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2ED" w:rsidRDefault="00ED12ED" w:rsidP="007C4A01">
      <w:pPr>
        <w:ind w:left="0" w:firstLine="0"/>
        <w:rPr>
          <w:szCs w:val="24"/>
        </w:rPr>
      </w:pPr>
    </w:p>
    <w:p w:rsidR="00287F5E" w:rsidRDefault="00287F5E" w:rsidP="007C4A01">
      <w:pPr>
        <w:ind w:left="0" w:firstLine="0"/>
        <w:rPr>
          <w:b/>
          <w:i/>
          <w:sz w:val="32"/>
          <w:szCs w:val="32"/>
        </w:rPr>
      </w:pPr>
    </w:p>
    <w:p w:rsidR="00535C53" w:rsidRPr="000305D0" w:rsidRDefault="00535C53" w:rsidP="00535C53">
      <w:pPr>
        <w:jc w:val="center"/>
        <w:rPr>
          <w:b/>
          <w:sz w:val="32"/>
          <w:szCs w:val="32"/>
        </w:rPr>
      </w:pPr>
      <w:r w:rsidRPr="000305D0">
        <w:rPr>
          <w:b/>
          <w:sz w:val="32"/>
          <w:szCs w:val="32"/>
        </w:rPr>
        <w:t>Friendly Fire: Amicus Curiae Participation and Impact at the Roberts Court</w:t>
      </w:r>
    </w:p>
    <w:p w:rsidR="00535C53" w:rsidRDefault="00535C53" w:rsidP="00535C53">
      <w:pPr>
        <w:jc w:val="center"/>
        <w:rPr>
          <w:b/>
          <w:i/>
          <w:sz w:val="32"/>
          <w:szCs w:val="32"/>
        </w:rPr>
      </w:pPr>
    </w:p>
    <w:p w:rsidR="00535C53" w:rsidRDefault="00535C53" w:rsidP="00535C53">
      <w:pPr>
        <w:jc w:val="center"/>
        <w:rPr>
          <w:b/>
          <w:i/>
          <w:sz w:val="32"/>
          <w:szCs w:val="32"/>
        </w:rPr>
      </w:pPr>
    </w:p>
    <w:p w:rsidR="00535C53" w:rsidRDefault="00535C53" w:rsidP="00535C53">
      <w:pPr>
        <w:jc w:val="center"/>
        <w:rPr>
          <w:b/>
          <w:i/>
          <w:sz w:val="32"/>
          <w:szCs w:val="32"/>
        </w:rPr>
      </w:pPr>
    </w:p>
    <w:p w:rsidR="00535C53" w:rsidRDefault="00535C53" w:rsidP="00535C53">
      <w:pPr>
        <w:jc w:val="center"/>
        <w:rPr>
          <w:b/>
          <w:i/>
          <w:sz w:val="32"/>
          <w:szCs w:val="32"/>
        </w:rPr>
      </w:pPr>
    </w:p>
    <w:p w:rsidR="00535C53" w:rsidRDefault="00535C53" w:rsidP="00535C53">
      <w:pPr>
        <w:jc w:val="center"/>
        <w:rPr>
          <w:b/>
          <w:i/>
          <w:sz w:val="32"/>
          <w:szCs w:val="32"/>
        </w:rPr>
      </w:pPr>
    </w:p>
    <w:p w:rsidR="00535C53" w:rsidRDefault="00535C53" w:rsidP="00535C53">
      <w:pPr>
        <w:jc w:val="center"/>
        <w:rPr>
          <w:b/>
          <w:i/>
          <w:sz w:val="32"/>
          <w:szCs w:val="32"/>
        </w:rPr>
      </w:pPr>
    </w:p>
    <w:p w:rsidR="00535C53" w:rsidRDefault="00535C53" w:rsidP="00535C53">
      <w:pPr>
        <w:jc w:val="center"/>
        <w:rPr>
          <w:b/>
          <w:i/>
          <w:sz w:val="32"/>
          <w:szCs w:val="32"/>
        </w:rPr>
      </w:pPr>
    </w:p>
    <w:p w:rsidR="00535C53" w:rsidRDefault="00535C53" w:rsidP="00535C53">
      <w:pPr>
        <w:jc w:val="center"/>
        <w:rPr>
          <w:b/>
          <w:i/>
          <w:sz w:val="32"/>
          <w:szCs w:val="32"/>
        </w:rPr>
      </w:pPr>
    </w:p>
    <w:p w:rsidR="00535C53" w:rsidRDefault="00535C53" w:rsidP="00535C53">
      <w:pPr>
        <w:jc w:val="center"/>
        <w:rPr>
          <w:b/>
          <w:i/>
          <w:sz w:val="32"/>
          <w:szCs w:val="32"/>
        </w:rPr>
      </w:pPr>
    </w:p>
    <w:p w:rsidR="00535C53" w:rsidRDefault="00535C53" w:rsidP="00535C53">
      <w:pPr>
        <w:jc w:val="center"/>
        <w:rPr>
          <w:b/>
          <w:i/>
          <w:sz w:val="32"/>
          <w:szCs w:val="32"/>
        </w:rPr>
      </w:pPr>
    </w:p>
    <w:p w:rsidR="00535C53" w:rsidRDefault="00535C53" w:rsidP="00535C53">
      <w:pPr>
        <w:jc w:val="center"/>
        <w:rPr>
          <w:b/>
          <w:i/>
          <w:sz w:val="32"/>
          <w:szCs w:val="32"/>
        </w:rPr>
      </w:pPr>
    </w:p>
    <w:p w:rsidR="00535C53" w:rsidRDefault="00535C53" w:rsidP="00535C53">
      <w:pPr>
        <w:jc w:val="center"/>
        <w:rPr>
          <w:b/>
          <w:i/>
          <w:sz w:val="32"/>
          <w:szCs w:val="32"/>
        </w:rPr>
      </w:pPr>
    </w:p>
    <w:p w:rsidR="00592ECE" w:rsidRDefault="00535C53" w:rsidP="00535C53">
      <w:pPr>
        <w:jc w:val="center"/>
        <w:rPr>
          <w:sz w:val="32"/>
          <w:szCs w:val="32"/>
        </w:rPr>
      </w:pPr>
      <w:r>
        <w:rPr>
          <w:sz w:val="32"/>
          <w:szCs w:val="32"/>
        </w:rPr>
        <w:t xml:space="preserve">A Dissertation Presented for the </w:t>
      </w:r>
    </w:p>
    <w:p w:rsidR="00592ECE" w:rsidRDefault="00535C53" w:rsidP="00535C53">
      <w:pPr>
        <w:jc w:val="center"/>
        <w:rPr>
          <w:sz w:val="32"/>
          <w:szCs w:val="32"/>
        </w:rPr>
      </w:pPr>
      <w:r>
        <w:rPr>
          <w:sz w:val="32"/>
          <w:szCs w:val="32"/>
        </w:rPr>
        <w:t xml:space="preserve">Doctor of Philosophy </w:t>
      </w:r>
    </w:p>
    <w:p w:rsidR="00535C53" w:rsidRDefault="00535C53" w:rsidP="00535C53">
      <w:pPr>
        <w:jc w:val="center"/>
        <w:rPr>
          <w:sz w:val="32"/>
          <w:szCs w:val="32"/>
        </w:rPr>
      </w:pPr>
      <w:r>
        <w:rPr>
          <w:sz w:val="32"/>
          <w:szCs w:val="32"/>
        </w:rPr>
        <w:t>Degree</w:t>
      </w:r>
    </w:p>
    <w:p w:rsidR="00535C53" w:rsidRDefault="00535C53" w:rsidP="00535C53">
      <w:pPr>
        <w:jc w:val="center"/>
        <w:rPr>
          <w:sz w:val="32"/>
          <w:szCs w:val="32"/>
        </w:rPr>
      </w:pPr>
      <w:r>
        <w:rPr>
          <w:sz w:val="32"/>
          <w:szCs w:val="32"/>
        </w:rPr>
        <w:t>University of Tennessee, Knoxville</w:t>
      </w:r>
    </w:p>
    <w:p w:rsidR="00535C53" w:rsidRDefault="00535C53" w:rsidP="00535C53">
      <w:pPr>
        <w:jc w:val="center"/>
        <w:rPr>
          <w:sz w:val="32"/>
          <w:szCs w:val="32"/>
        </w:rPr>
      </w:pPr>
    </w:p>
    <w:p w:rsidR="00535C53" w:rsidRDefault="00535C53" w:rsidP="00535C53">
      <w:pPr>
        <w:jc w:val="center"/>
        <w:rPr>
          <w:sz w:val="32"/>
          <w:szCs w:val="32"/>
        </w:rPr>
      </w:pPr>
    </w:p>
    <w:p w:rsidR="00535C53" w:rsidRDefault="00535C53" w:rsidP="00535C53">
      <w:pPr>
        <w:jc w:val="center"/>
        <w:rPr>
          <w:sz w:val="32"/>
          <w:szCs w:val="32"/>
        </w:rPr>
      </w:pPr>
    </w:p>
    <w:p w:rsidR="00535C53" w:rsidRDefault="00535C53" w:rsidP="00535C53">
      <w:pPr>
        <w:jc w:val="center"/>
        <w:rPr>
          <w:sz w:val="32"/>
          <w:szCs w:val="32"/>
        </w:rPr>
      </w:pPr>
    </w:p>
    <w:p w:rsidR="00535C53" w:rsidRDefault="00535C53" w:rsidP="00535C53">
      <w:pPr>
        <w:jc w:val="center"/>
        <w:rPr>
          <w:sz w:val="32"/>
          <w:szCs w:val="32"/>
        </w:rPr>
      </w:pPr>
    </w:p>
    <w:p w:rsidR="00535C53" w:rsidRDefault="00535C53" w:rsidP="00535C53">
      <w:pPr>
        <w:jc w:val="center"/>
        <w:rPr>
          <w:sz w:val="32"/>
          <w:szCs w:val="32"/>
        </w:rPr>
      </w:pPr>
    </w:p>
    <w:p w:rsidR="00535C53" w:rsidRDefault="00535C53" w:rsidP="00535C53">
      <w:pPr>
        <w:jc w:val="center"/>
        <w:rPr>
          <w:sz w:val="32"/>
          <w:szCs w:val="32"/>
        </w:rPr>
      </w:pPr>
    </w:p>
    <w:p w:rsidR="00535C53" w:rsidRDefault="00535C53" w:rsidP="00535C53">
      <w:pPr>
        <w:jc w:val="center"/>
        <w:rPr>
          <w:sz w:val="32"/>
          <w:szCs w:val="32"/>
        </w:rPr>
      </w:pPr>
    </w:p>
    <w:p w:rsidR="00535C53" w:rsidRDefault="00535C53" w:rsidP="00535C53">
      <w:pPr>
        <w:jc w:val="center"/>
        <w:rPr>
          <w:sz w:val="32"/>
          <w:szCs w:val="32"/>
        </w:rPr>
      </w:pPr>
    </w:p>
    <w:p w:rsidR="00287F5E" w:rsidRDefault="00287F5E" w:rsidP="00535C53">
      <w:pPr>
        <w:jc w:val="center"/>
        <w:rPr>
          <w:sz w:val="32"/>
          <w:szCs w:val="32"/>
        </w:rPr>
      </w:pPr>
    </w:p>
    <w:p w:rsidR="00535C53" w:rsidRDefault="00535C53" w:rsidP="00535C53">
      <w:pPr>
        <w:jc w:val="center"/>
        <w:rPr>
          <w:sz w:val="32"/>
          <w:szCs w:val="32"/>
        </w:rPr>
      </w:pPr>
    </w:p>
    <w:p w:rsidR="00535C53" w:rsidRDefault="00535C53" w:rsidP="00535C53">
      <w:pPr>
        <w:jc w:val="center"/>
        <w:rPr>
          <w:sz w:val="32"/>
          <w:szCs w:val="32"/>
        </w:rPr>
      </w:pPr>
    </w:p>
    <w:p w:rsidR="00535C53" w:rsidRDefault="00535C53" w:rsidP="00535C53">
      <w:pPr>
        <w:jc w:val="center"/>
        <w:rPr>
          <w:sz w:val="32"/>
          <w:szCs w:val="32"/>
        </w:rPr>
      </w:pPr>
      <w:r>
        <w:rPr>
          <w:sz w:val="32"/>
          <w:szCs w:val="32"/>
        </w:rPr>
        <w:t>David Hooper Scott</w:t>
      </w:r>
    </w:p>
    <w:p w:rsidR="00535C53" w:rsidRPr="00535C53" w:rsidRDefault="00592ECE" w:rsidP="00535C53">
      <w:pPr>
        <w:jc w:val="center"/>
        <w:rPr>
          <w:sz w:val="32"/>
          <w:szCs w:val="32"/>
        </w:rPr>
      </w:pPr>
      <w:r>
        <w:rPr>
          <w:sz w:val="32"/>
          <w:szCs w:val="32"/>
        </w:rPr>
        <w:t>December</w:t>
      </w:r>
      <w:r w:rsidR="00535C53">
        <w:rPr>
          <w:sz w:val="32"/>
          <w:szCs w:val="32"/>
        </w:rPr>
        <w:t xml:space="preserve"> 2013</w:t>
      </w:r>
    </w:p>
    <w:p w:rsidR="00535C53" w:rsidRDefault="00535C53" w:rsidP="001028E6">
      <w:pPr>
        <w:spacing w:line="480" w:lineRule="auto"/>
        <w:ind w:left="0" w:firstLine="0"/>
        <w:rPr>
          <w:b/>
          <w:szCs w:val="24"/>
          <w:u w:val="single"/>
        </w:rPr>
      </w:pPr>
    </w:p>
    <w:p w:rsidR="00535C53" w:rsidRDefault="00535C53" w:rsidP="001028E6">
      <w:pPr>
        <w:spacing w:line="480" w:lineRule="auto"/>
        <w:ind w:left="0" w:firstLine="0"/>
        <w:rPr>
          <w:b/>
          <w:szCs w:val="24"/>
          <w:u w:val="single"/>
        </w:rPr>
      </w:pPr>
    </w:p>
    <w:p w:rsidR="00535C53" w:rsidRDefault="00535C53" w:rsidP="001028E6">
      <w:pPr>
        <w:spacing w:line="480" w:lineRule="auto"/>
        <w:ind w:left="0" w:firstLine="0"/>
        <w:rPr>
          <w:b/>
          <w:szCs w:val="24"/>
          <w:u w:val="single"/>
        </w:rPr>
      </w:pPr>
    </w:p>
    <w:p w:rsidR="00F81507" w:rsidRDefault="00F81507" w:rsidP="001028E6">
      <w:pPr>
        <w:spacing w:line="480" w:lineRule="auto"/>
        <w:ind w:left="0" w:firstLine="0"/>
        <w:rPr>
          <w:b/>
          <w:szCs w:val="24"/>
          <w:u w:val="single"/>
        </w:rPr>
      </w:pPr>
    </w:p>
    <w:p w:rsidR="00F81507" w:rsidRDefault="00F81507" w:rsidP="001028E6">
      <w:pPr>
        <w:spacing w:line="480" w:lineRule="auto"/>
        <w:ind w:left="0" w:firstLine="0"/>
        <w:rPr>
          <w:b/>
          <w:szCs w:val="24"/>
          <w:u w:val="single"/>
        </w:rPr>
      </w:pPr>
    </w:p>
    <w:p w:rsidR="00F81507" w:rsidRDefault="00F81507" w:rsidP="001028E6">
      <w:pPr>
        <w:spacing w:line="480" w:lineRule="auto"/>
        <w:ind w:left="0" w:firstLine="0"/>
        <w:rPr>
          <w:b/>
          <w:szCs w:val="24"/>
          <w:u w:val="single"/>
        </w:rPr>
      </w:pPr>
    </w:p>
    <w:p w:rsidR="00F81507" w:rsidRDefault="00F81507" w:rsidP="001028E6">
      <w:pPr>
        <w:spacing w:line="480" w:lineRule="auto"/>
        <w:ind w:left="0" w:firstLine="0"/>
        <w:rPr>
          <w:b/>
          <w:szCs w:val="24"/>
          <w:u w:val="single"/>
        </w:rPr>
      </w:pPr>
    </w:p>
    <w:p w:rsidR="00F81507" w:rsidRDefault="00F81507" w:rsidP="001028E6">
      <w:pPr>
        <w:spacing w:line="480" w:lineRule="auto"/>
        <w:ind w:left="0" w:firstLine="0"/>
        <w:rPr>
          <w:b/>
          <w:szCs w:val="24"/>
          <w:u w:val="single"/>
        </w:rPr>
      </w:pPr>
    </w:p>
    <w:p w:rsidR="00F81507" w:rsidRDefault="00F81507" w:rsidP="001028E6">
      <w:pPr>
        <w:spacing w:line="480" w:lineRule="auto"/>
        <w:ind w:left="0" w:firstLine="0"/>
        <w:rPr>
          <w:b/>
          <w:szCs w:val="24"/>
          <w:u w:val="single"/>
        </w:rPr>
      </w:pPr>
    </w:p>
    <w:p w:rsidR="00F81507" w:rsidRDefault="00F81507" w:rsidP="001028E6">
      <w:pPr>
        <w:spacing w:line="480" w:lineRule="auto"/>
        <w:ind w:left="0" w:firstLine="0"/>
        <w:rPr>
          <w:b/>
          <w:szCs w:val="24"/>
          <w:u w:val="single"/>
        </w:rPr>
      </w:pPr>
    </w:p>
    <w:p w:rsidR="00F81507" w:rsidRDefault="00F81507" w:rsidP="001028E6">
      <w:pPr>
        <w:spacing w:line="480" w:lineRule="auto"/>
        <w:ind w:left="0" w:firstLine="0"/>
        <w:rPr>
          <w:b/>
          <w:szCs w:val="24"/>
          <w:u w:val="single"/>
        </w:rPr>
      </w:pPr>
    </w:p>
    <w:p w:rsidR="00F81507" w:rsidRDefault="00F81507" w:rsidP="001028E6">
      <w:pPr>
        <w:spacing w:line="480" w:lineRule="auto"/>
        <w:ind w:left="0" w:firstLine="0"/>
        <w:rPr>
          <w:b/>
          <w:szCs w:val="24"/>
          <w:u w:val="single"/>
        </w:rPr>
      </w:pPr>
    </w:p>
    <w:p w:rsidR="00F81507" w:rsidRDefault="00F81507" w:rsidP="001028E6">
      <w:pPr>
        <w:spacing w:line="480" w:lineRule="auto"/>
        <w:ind w:left="0" w:firstLine="0"/>
        <w:rPr>
          <w:b/>
          <w:szCs w:val="24"/>
          <w:u w:val="single"/>
        </w:rPr>
      </w:pPr>
    </w:p>
    <w:p w:rsidR="00F81507" w:rsidRPr="00F81507" w:rsidRDefault="00F81507" w:rsidP="00F81507">
      <w:pPr>
        <w:spacing w:line="480" w:lineRule="auto"/>
        <w:ind w:left="0" w:firstLine="0"/>
        <w:jc w:val="center"/>
        <w:rPr>
          <w:sz w:val="28"/>
          <w:szCs w:val="28"/>
        </w:rPr>
      </w:pPr>
      <w:r w:rsidRPr="00F81507">
        <w:rPr>
          <w:sz w:val="28"/>
          <w:szCs w:val="28"/>
        </w:rPr>
        <w:t xml:space="preserve">Copyright </w:t>
      </w:r>
      <w:r w:rsidRPr="00F81507">
        <w:rPr>
          <w:rFonts w:cs="Times New Roman"/>
          <w:sz w:val="28"/>
          <w:szCs w:val="28"/>
        </w:rPr>
        <w:t>©</w:t>
      </w:r>
      <w:r w:rsidRPr="00F81507">
        <w:rPr>
          <w:sz w:val="28"/>
          <w:szCs w:val="28"/>
        </w:rPr>
        <w:t xml:space="preserve"> 2013 by David Hooper Scott</w:t>
      </w:r>
    </w:p>
    <w:p w:rsidR="00ED76F4" w:rsidRDefault="00F81507" w:rsidP="00F81507">
      <w:pPr>
        <w:spacing w:line="480" w:lineRule="auto"/>
        <w:ind w:left="0" w:firstLine="0"/>
        <w:jc w:val="center"/>
        <w:rPr>
          <w:sz w:val="28"/>
          <w:szCs w:val="28"/>
        </w:rPr>
      </w:pPr>
      <w:r w:rsidRPr="00F81507">
        <w:rPr>
          <w:sz w:val="28"/>
          <w:szCs w:val="28"/>
        </w:rPr>
        <w:t>All rights reserved.</w:t>
      </w:r>
    </w:p>
    <w:p w:rsidR="00535C53" w:rsidRPr="00ED76F4" w:rsidRDefault="00ED76F4" w:rsidP="00ED76F4">
      <w:pPr>
        <w:rPr>
          <w:sz w:val="28"/>
          <w:szCs w:val="28"/>
        </w:rPr>
      </w:pPr>
      <w:r>
        <w:rPr>
          <w:sz w:val="28"/>
          <w:szCs w:val="28"/>
        </w:rPr>
        <w:br w:type="page"/>
      </w:r>
    </w:p>
    <w:p w:rsidR="00535C53" w:rsidRPr="000305D0" w:rsidRDefault="000305D0" w:rsidP="00F81507">
      <w:pPr>
        <w:spacing w:line="480" w:lineRule="auto"/>
        <w:ind w:left="0" w:firstLine="0"/>
        <w:jc w:val="center"/>
        <w:rPr>
          <w:b/>
          <w:sz w:val="32"/>
          <w:szCs w:val="32"/>
        </w:rPr>
      </w:pPr>
      <w:r>
        <w:rPr>
          <w:b/>
          <w:sz w:val="32"/>
          <w:szCs w:val="32"/>
        </w:rPr>
        <w:lastRenderedPageBreak/>
        <w:t>Dedication</w:t>
      </w:r>
    </w:p>
    <w:p w:rsidR="00F81507" w:rsidRDefault="00F81507" w:rsidP="00F81507">
      <w:pPr>
        <w:spacing w:line="480" w:lineRule="auto"/>
        <w:ind w:left="0" w:firstLine="0"/>
        <w:jc w:val="center"/>
        <w:rPr>
          <w:b/>
          <w:szCs w:val="24"/>
        </w:rPr>
      </w:pPr>
    </w:p>
    <w:p w:rsidR="00F81507" w:rsidRDefault="00F81507" w:rsidP="00AF1389">
      <w:pPr>
        <w:spacing w:line="480" w:lineRule="auto"/>
        <w:ind w:left="0" w:firstLine="0"/>
        <w:jc w:val="both"/>
        <w:rPr>
          <w:b/>
          <w:szCs w:val="24"/>
        </w:rPr>
      </w:pPr>
    </w:p>
    <w:p w:rsidR="000E64AE" w:rsidRDefault="000E64AE" w:rsidP="000E64AE">
      <w:pPr>
        <w:spacing w:line="480" w:lineRule="auto"/>
        <w:ind w:left="0" w:firstLine="720"/>
        <w:jc w:val="both"/>
        <w:rPr>
          <w:szCs w:val="24"/>
        </w:rPr>
      </w:pPr>
      <w:r>
        <w:rPr>
          <w:szCs w:val="24"/>
        </w:rPr>
        <w:t xml:space="preserve">To </w:t>
      </w:r>
      <w:r w:rsidRPr="00296A8E">
        <w:rPr>
          <w:i/>
          <w:szCs w:val="24"/>
        </w:rPr>
        <w:t>Natalie</w:t>
      </w:r>
      <w:r>
        <w:rPr>
          <w:szCs w:val="24"/>
        </w:rPr>
        <w:t xml:space="preserve">, my cherished wife, </w:t>
      </w:r>
      <w:r w:rsidR="00052CD1">
        <w:rPr>
          <w:szCs w:val="24"/>
        </w:rPr>
        <w:t>who</w:t>
      </w:r>
      <w:r w:rsidR="00A1591F">
        <w:rPr>
          <w:szCs w:val="24"/>
        </w:rPr>
        <w:t xml:space="preserve"> </w:t>
      </w:r>
      <w:r>
        <w:rPr>
          <w:szCs w:val="24"/>
        </w:rPr>
        <w:t>has</w:t>
      </w:r>
      <w:r w:rsidR="00A1591F">
        <w:rPr>
          <w:szCs w:val="24"/>
        </w:rPr>
        <w:t xml:space="preserve"> empowered me</w:t>
      </w:r>
      <w:r w:rsidR="000305D0">
        <w:rPr>
          <w:szCs w:val="24"/>
        </w:rPr>
        <w:t xml:space="preserve"> </w:t>
      </w:r>
      <w:r w:rsidR="00A1591F">
        <w:rPr>
          <w:szCs w:val="24"/>
        </w:rPr>
        <w:t>to carry this project from genesi</w:t>
      </w:r>
      <w:r w:rsidR="009F2BDA">
        <w:rPr>
          <w:szCs w:val="24"/>
        </w:rPr>
        <w:t xml:space="preserve">s to fruition in a timely </w:t>
      </w:r>
      <w:proofErr w:type="gramStart"/>
      <w:r w:rsidR="009F2BDA">
        <w:rPr>
          <w:szCs w:val="24"/>
        </w:rPr>
        <w:t>manner</w:t>
      </w:r>
      <w:r w:rsidR="00A1591F">
        <w:rPr>
          <w:szCs w:val="24"/>
        </w:rPr>
        <w:t>.</w:t>
      </w:r>
      <w:proofErr w:type="gramEnd"/>
      <w:r w:rsidR="00A1591F">
        <w:rPr>
          <w:szCs w:val="24"/>
        </w:rPr>
        <w:t xml:space="preserve"> </w:t>
      </w:r>
    </w:p>
    <w:p w:rsidR="00F81507" w:rsidRDefault="00A1591F" w:rsidP="000E64AE">
      <w:pPr>
        <w:spacing w:line="480" w:lineRule="auto"/>
        <w:ind w:left="0" w:firstLine="720"/>
        <w:jc w:val="both"/>
        <w:rPr>
          <w:szCs w:val="24"/>
        </w:rPr>
      </w:pPr>
      <w:r>
        <w:rPr>
          <w:szCs w:val="24"/>
        </w:rPr>
        <w:t xml:space="preserve"> </w:t>
      </w:r>
    </w:p>
    <w:p w:rsidR="000E64AE" w:rsidRDefault="000E64AE" w:rsidP="000E64AE">
      <w:pPr>
        <w:spacing w:line="480" w:lineRule="auto"/>
        <w:ind w:left="0" w:firstLine="720"/>
        <w:jc w:val="both"/>
        <w:rPr>
          <w:szCs w:val="24"/>
        </w:rPr>
      </w:pPr>
      <w:r>
        <w:rPr>
          <w:szCs w:val="24"/>
        </w:rPr>
        <w:t xml:space="preserve">To </w:t>
      </w:r>
      <w:r w:rsidRPr="00296A8E">
        <w:rPr>
          <w:i/>
          <w:szCs w:val="24"/>
        </w:rPr>
        <w:t>Caleb</w:t>
      </w:r>
      <w:r>
        <w:rPr>
          <w:szCs w:val="24"/>
        </w:rPr>
        <w:t>, my little buddy, whose smile brightens my days, and whose sanguine soul brings joy to my life.</w:t>
      </w:r>
    </w:p>
    <w:p w:rsidR="000E64AE" w:rsidRPr="00F81507" w:rsidRDefault="000E64AE" w:rsidP="00AF1389">
      <w:pPr>
        <w:spacing w:line="480" w:lineRule="auto"/>
        <w:ind w:left="0" w:firstLine="0"/>
        <w:jc w:val="both"/>
        <w:rPr>
          <w:szCs w:val="24"/>
        </w:rPr>
      </w:pPr>
    </w:p>
    <w:p w:rsidR="00F81507" w:rsidRPr="00F81507" w:rsidRDefault="00F81507" w:rsidP="00F81507">
      <w:pPr>
        <w:spacing w:line="480" w:lineRule="auto"/>
        <w:ind w:left="0" w:firstLine="0"/>
        <w:jc w:val="center"/>
        <w:rPr>
          <w:szCs w:val="24"/>
        </w:rPr>
      </w:pPr>
    </w:p>
    <w:p w:rsidR="00535C53" w:rsidRDefault="00535C53" w:rsidP="001028E6">
      <w:pPr>
        <w:spacing w:line="480" w:lineRule="auto"/>
        <w:ind w:left="0" w:firstLine="0"/>
        <w:rPr>
          <w:b/>
          <w:szCs w:val="24"/>
          <w:u w:val="single"/>
        </w:rPr>
      </w:pPr>
    </w:p>
    <w:p w:rsidR="00535C53" w:rsidRDefault="00535C53" w:rsidP="001028E6">
      <w:pPr>
        <w:spacing w:line="480" w:lineRule="auto"/>
        <w:ind w:left="0" w:firstLine="0"/>
        <w:rPr>
          <w:b/>
          <w:szCs w:val="24"/>
          <w:u w:val="single"/>
        </w:rPr>
      </w:pPr>
    </w:p>
    <w:p w:rsidR="00535C53" w:rsidRDefault="00535C53" w:rsidP="001028E6">
      <w:pPr>
        <w:spacing w:line="480" w:lineRule="auto"/>
        <w:ind w:left="0" w:firstLine="0"/>
        <w:rPr>
          <w:b/>
          <w:szCs w:val="24"/>
          <w:u w:val="single"/>
        </w:rPr>
      </w:pPr>
    </w:p>
    <w:p w:rsidR="00535C53" w:rsidRDefault="00535C53" w:rsidP="001028E6">
      <w:pPr>
        <w:spacing w:line="480" w:lineRule="auto"/>
        <w:ind w:left="0" w:firstLine="0"/>
        <w:rPr>
          <w:b/>
          <w:szCs w:val="24"/>
          <w:u w:val="single"/>
        </w:rPr>
      </w:pPr>
    </w:p>
    <w:p w:rsidR="00535C53" w:rsidRDefault="00535C53" w:rsidP="001028E6">
      <w:pPr>
        <w:spacing w:line="480" w:lineRule="auto"/>
        <w:ind w:left="0" w:firstLine="0"/>
        <w:rPr>
          <w:b/>
          <w:szCs w:val="24"/>
          <w:u w:val="single"/>
        </w:rPr>
      </w:pPr>
    </w:p>
    <w:p w:rsidR="00535C53" w:rsidRDefault="00535C53" w:rsidP="001028E6">
      <w:pPr>
        <w:spacing w:line="480" w:lineRule="auto"/>
        <w:ind w:left="0" w:firstLine="0"/>
        <w:rPr>
          <w:b/>
          <w:szCs w:val="24"/>
          <w:u w:val="single"/>
        </w:rPr>
      </w:pPr>
    </w:p>
    <w:p w:rsidR="00535C53" w:rsidRDefault="00535C53" w:rsidP="001028E6">
      <w:pPr>
        <w:spacing w:line="480" w:lineRule="auto"/>
        <w:ind w:left="0" w:firstLine="0"/>
        <w:rPr>
          <w:b/>
          <w:szCs w:val="24"/>
          <w:u w:val="single"/>
        </w:rPr>
      </w:pPr>
    </w:p>
    <w:p w:rsidR="00535C53" w:rsidRDefault="00535C53" w:rsidP="001028E6">
      <w:pPr>
        <w:spacing w:line="480" w:lineRule="auto"/>
        <w:ind w:left="0" w:firstLine="0"/>
        <w:rPr>
          <w:b/>
          <w:szCs w:val="24"/>
          <w:u w:val="single"/>
        </w:rPr>
      </w:pPr>
    </w:p>
    <w:p w:rsidR="00535C53" w:rsidRDefault="00535C53" w:rsidP="001028E6">
      <w:pPr>
        <w:spacing w:line="480" w:lineRule="auto"/>
        <w:ind w:left="0" w:firstLine="0"/>
        <w:rPr>
          <w:b/>
          <w:szCs w:val="24"/>
          <w:u w:val="single"/>
        </w:rPr>
      </w:pPr>
    </w:p>
    <w:p w:rsidR="00535C53" w:rsidRDefault="00535C53" w:rsidP="001028E6">
      <w:pPr>
        <w:spacing w:line="480" w:lineRule="auto"/>
        <w:ind w:left="0" w:firstLine="0"/>
        <w:rPr>
          <w:b/>
          <w:szCs w:val="24"/>
          <w:u w:val="single"/>
        </w:rPr>
      </w:pPr>
    </w:p>
    <w:p w:rsidR="00535C53" w:rsidRDefault="00535C53" w:rsidP="001028E6">
      <w:pPr>
        <w:spacing w:line="480" w:lineRule="auto"/>
        <w:ind w:left="0" w:firstLine="0"/>
        <w:rPr>
          <w:b/>
          <w:szCs w:val="24"/>
          <w:u w:val="single"/>
        </w:rPr>
      </w:pPr>
    </w:p>
    <w:p w:rsidR="00AF1389" w:rsidRDefault="00AF1389" w:rsidP="001028E6">
      <w:pPr>
        <w:spacing w:line="480" w:lineRule="auto"/>
        <w:ind w:left="0" w:firstLine="0"/>
        <w:rPr>
          <w:b/>
          <w:szCs w:val="24"/>
          <w:u w:val="single"/>
        </w:rPr>
      </w:pPr>
    </w:p>
    <w:p w:rsidR="00AF1389" w:rsidRDefault="00AF1389" w:rsidP="001028E6">
      <w:pPr>
        <w:spacing w:line="480" w:lineRule="auto"/>
        <w:ind w:left="0" w:firstLine="0"/>
        <w:rPr>
          <w:b/>
          <w:szCs w:val="24"/>
          <w:u w:val="single"/>
        </w:rPr>
      </w:pPr>
    </w:p>
    <w:p w:rsidR="00AF1389" w:rsidRPr="000305D0" w:rsidRDefault="000305D0" w:rsidP="00AF214C">
      <w:pPr>
        <w:spacing w:line="480" w:lineRule="auto"/>
        <w:ind w:left="0" w:firstLine="0"/>
        <w:jc w:val="center"/>
        <w:rPr>
          <w:b/>
          <w:sz w:val="32"/>
          <w:szCs w:val="32"/>
        </w:rPr>
      </w:pPr>
      <w:r>
        <w:rPr>
          <w:b/>
          <w:sz w:val="32"/>
          <w:szCs w:val="32"/>
        </w:rPr>
        <w:lastRenderedPageBreak/>
        <w:t>Acknowledgments</w:t>
      </w:r>
    </w:p>
    <w:p w:rsidR="00B80E9A" w:rsidRDefault="00AF1389" w:rsidP="00B46B7E">
      <w:pPr>
        <w:spacing w:line="480" w:lineRule="auto"/>
        <w:ind w:left="0" w:firstLine="720"/>
        <w:rPr>
          <w:szCs w:val="24"/>
        </w:rPr>
      </w:pPr>
      <w:r>
        <w:rPr>
          <w:szCs w:val="24"/>
        </w:rPr>
        <w:t xml:space="preserve">I owe a deep gratitude to many who have mentored and assisted me on this project.   First, I thank my dissertation committee chair, Dr. John </w:t>
      </w:r>
      <w:proofErr w:type="spellStart"/>
      <w:r>
        <w:rPr>
          <w:szCs w:val="24"/>
        </w:rPr>
        <w:t>Scheb</w:t>
      </w:r>
      <w:proofErr w:type="spellEnd"/>
      <w:r>
        <w:rPr>
          <w:szCs w:val="24"/>
        </w:rPr>
        <w:t>, whose guidance has proved invaluable as he has shepherded me through</w:t>
      </w:r>
      <w:r w:rsidR="00347AE1">
        <w:rPr>
          <w:szCs w:val="24"/>
        </w:rPr>
        <w:t xml:space="preserve"> </w:t>
      </w:r>
      <w:r>
        <w:rPr>
          <w:szCs w:val="24"/>
        </w:rPr>
        <w:t xml:space="preserve">this dissertation from conception to completion. </w:t>
      </w:r>
      <w:r w:rsidR="00B04703">
        <w:rPr>
          <w:szCs w:val="24"/>
        </w:rPr>
        <w:t xml:space="preserve"> Hi</w:t>
      </w:r>
      <w:r w:rsidR="00A313F5">
        <w:rPr>
          <w:szCs w:val="24"/>
        </w:rPr>
        <w:t>s knowledge and practicality have</w:t>
      </w:r>
      <w:r w:rsidR="00B04703">
        <w:rPr>
          <w:szCs w:val="24"/>
        </w:rPr>
        <w:t xml:space="preserve"> gr</w:t>
      </w:r>
      <w:r w:rsidR="00B80E9A">
        <w:rPr>
          <w:szCs w:val="24"/>
        </w:rPr>
        <w:t>eatly improved this work</w:t>
      </w:r>
      <w:r w:rsidR="00B04703">
        <w:rPr>
          <w:szCs w:val="24"/>
        </w:rPr>
        <w:t xml:space="preserve">, both theoretically and methodologically.  </w:t>
      </w:r>
      <w:r w:rsidR="00AF214C">
        <w:rPr>
          <w:szCs w:val="24"/>
        </w:rPr>
        <w:t>More importantly, his exa</w:t>
      </w:r>
      <w:r w:rsidR="00A313F5">
        <w:rPr>
          <w:szCs w:val="24"/>
        </w:rPr>
        <w:t xml:space="preserve">mple of professionalism and </w:t>
      </w:r>
      <w:r w:rsidR="00AF214C">
        <w:rPr>
          <w:szCs w:val="24"/>
        </w:rPr>
        <w:t xml:space="preserve">interest in my success in graduate school and beyond is greatly appreciated.  </w:t>
      </w:r>
      <w:r w:rsidR="00B04703">
        <w:rPr>
          <w:szCs w:val="24"/>
        </w:rPr>
        <w:t xml:space="preserve">I </w:t>
      </w:r>
      <w:r>
        <w:rPr>
          <w:szCs w:val="24"/>
        </w:rPr>
        <w:t>also thank</w:t>
      </w:r>
      <w:r w:rsidR="00347AE1">
        <w:rPr>
          <w:szCs w:val="24"/>
        </w:rPr>
        <w:t xml:space="preserve"> </w:t>
      </w:r>
      <w:r>
        <w:rPr>
          <w:szCs w:val="24"/>
        </w:rPr>
        <w:t xml:space="preserve">Dr. Anthony </w:t>
      </w:r>
      <w:proofErr w:type="spellStart"/>
      <w:r>
        <w:rPr>
          <w:szCs w:val="24"/>
        </w:rPr>
        <w:t>Nownes</w:t>
      </w:r>
      <w:proofErr w:type="spellEnd"/>
      <w:r>
        <w:rPr>
          <w:szCs w:val="24"/>
        </w:rPr>
        <w:t xml:space="preserve"> for his </w:t>
      </w:r>
      <w:r w:rsidR="00347AE1">
        <w:rPr>
          <w:szCs w:val="24"/>
        </w:rPr>
        <w:t>exte</w:t>
      </w:r>
      <w:r w:rsidR="00A313F5">
        <w:rPr>
          <w:szCs w:val="24"/>
        </w:rPr>
        <w:t>nsive contributions to this dissertation</w:t>
      </w:r>
      <w:r w:rsidR="00347AE1">
        <w:rPr>
          <w:szCs w:val="24"/>
        </w:rPr>
        <w:t xml:space="preserve"> – not only for his substantive guidance pertaining to interest group literature and methodological considerations, but also for his sage advice that kept me focused on the task at hand, that steered me clear of common pitfalls</w:t>
      </w:r>
      <w:r w:rsidR="00B04703">
        <w:rPr>
          <w:szCs w:val="24"/>
        </w:rPr>
        <w:t xml:space="preserve"> that </w:t>
      </w:r>
      <w:r w:rsidR="00347AE1">
        <w:rPr>
          <w:szCs w:val="24"/>
        </w:rPr>
        <w:t xml:space="preserve">many who enter the dissertation labyrinth fall prey, and for his refrain that the search for the perfect can often be the enemy of the good. </w:t>
      </w:r>
      <w:r w:rsidR="00AF214C">
        <w:rPr>
          <w:szCs w:val="24"/>
        </w:rPr>
        <w:t xml:space="preserve"> </w:t>
      </w:r>
    </w:p>
    <w:p w:rsidR="006C2E0E" w:rsidRDefault="006C2E0E" w:rsidP="00B46B7E">
      <w:pPr>
        <w:spacing w:line="480" w:lineRule="auto"/>
        <w:ind w:left="0" w:firstLine="720"/>
        <w:rPr>
          <w:szCs w:val="24"/>
        </w:rPr>
      </w:pPr>
      <w:r>
        <w:rPr>
          <w:szCs w:val="24"/>
        </w:rPr>
        <w:t xml:space="preserve">I </w:t>
      </w:r>
      <w:r w:rsidR="00AF214C">
        <w:rPr>
          <w:szCs w:val="24"/>
        </w:rPr>
        <w:t xml:space="preserve">also </w:t>
      </w:r>
      <w:r>
        <w:rPr>
          <w:szCs w:val="24"/>
        </w:rPr>
        <w:t xml:space="preserve">thank Dr. Michael Fitzgerald, Dr. Patricia Freeland, and Dr. Carl Pierce, who </w:t>
      </w:r>
      <w:r w:rsidR="000305D0">
        <w:rPr>
          <w:szCs w:val="24"/>
        </w:rPr>
        <w:t xml:space="preserve">have </w:t>
      </w:r>
      <w:r>
        <w:rPr>
          <w:szCs w:val="24"/>
        </w:rPr>
        <w:t xml:space="preserve">graciously devoted their time and energies serving on my committee.  My dissertation is better because of their presence and constructive comments and suggestions.  I owe Dr. Fitzgerald an extra measure of gratitude for the mentoring that he has provided me throughout my time as a graduate student </w:t>
      </w:r>
      <w:r w:rsidR="00B46B7E">
        <w:rPr>
          <w:szCs w:val="24"/>
        </w:rPr>
        <w:t>at the University of Tennessee.</w:t>
      </w:r>
      <w:r>
        <w:rPr>
          <w:szCs w:val="24"/>
        </w:rPr>
        <w:t xml:space="preserve"> </w:t>
      </w:r>
      <w:r w:rsidR="00B46B7E">
        <w:rPr>
          <w:szCs w:val="24"/>
        </w:rPr>
        <w:t>Dr. Fitzgerald has been a role model to me for what it means to teach with excellence in the academy, while genuinely caring for students, both in and out of the classroom.  I thank him for his advice and example.</w:t>
      </w:r>
    </w:p>
    <w:p w:rsidR="00AF1389" w:rsidRDefault="00B04703" w:rsidP="006C2E0E">
      <w:pPr>
        <w:spacing w:line="480" w:lineRule="auto"/>
        <w:ind w:left="0" w:firstLine="720"/>
        <w:rPr>
          <w:szCs w:val="24"/>
        </w:rPr>
      </w:pPr>
      <w:r>
        <w:rPr>
          <w:szCs w:val="24"/>
        </w:rPr>
        <w:t xml:space="preserve">I </w:t>
      </w:r>
      <w:r w:rsidR="00B80E9A">
        <w:rPr>
          <w:szCs w:val="24"/>
        </w:rPr>
        <w:t xml:space="preserve">am also grateful to </w:t>
      </w:r>
      <w:r>
        <w:rPr>
          <w:szCs w:val="24"/>
        </w:rPr>
        <w:t xml:space="preserve">Dr. </w:t>
      </w:r>
      <w:proofErr w:type="spellStart"/>
      <w:r>
        <w:rPr>
          <w:szCs w:val="24"/>
        </w:rPr>
        <w:t>Hemant</w:t>
      </w:r>
      <w:proofErr w:type="spellEnd"/>
      <w:r>
        <w:rPr>
          <w:szCs w:val="24"/>
        </w:rPr>
        <w:t xml:space="preserve"> Sharma for his generous assistance with </w:t>
      </w:r>
      <w:r w:rsidR="007E330A">
        <w:rPr>
          <w:szCs w:val="24"/>
        </w:rPr>
        <w:t xml:space="preserve">much of </w:t>
      </w:r>
      <w:r>
        <w:rPr>
          <w:szCs w:val="24"/>
        </w:rPr>
        <w:t xml:space="preserve">the statistical analysis that </w:t>
      </w:r>
      <w:r w:rsidR="006C2E0E">
        <w:rPr>
          <w:szCs w:val="24"/>
        </w:rPr>
        <w:t>is contained in this dissertation</w:t>
      </w:r>
      <w:r w:rsidR="00B80E9A">
        <w:rPr>
          <w:szCs w:val="24"/>
        </w:rPr>
        <w:t xml:space="preserve">. </w:t>
      </w:r>
      <w:r w:rsidR="006C2E0E">
        <w:rPr>
          <w:szCs w:val="24"/>
        </w:rPr>
        <w:t xml:space="preserve"> His keen knowledge helped me navigate through unfamiliar statistical waters in which I might have drowned without his aid.  </w:t>
      </w:r>
    </w:p>
    <w:p w:rsidR="00AF1389" w:rsidRDefault="00057781" w:rsidP="00AF1389">
      <w:pPr>
        <w:spacing w:line="480" w:lineRule="auto"/>
        <w:ind w:left="0" w:firstLine="0"/>
        <w:rPr>
          <w:szCs w:val="24"/>
        </w:rPr>
      </w:pPr>
      <w:r>
        <w:rPr>
          <w:szCs w:val="24"/>
        </w:rPr>
        <w:lastRenderedPageBreak/>
        <w:tab/>
        <w:t>Lastly, I</w:t>
      </w:r>
      <w:r w:rsidR="00AF338F">
        <w:rPr>
          <w:szCs w:val="24"/>
        </w:rPr>
        <w:t xml:space="preserve"> must</w:t>
      </w:r>
      <w:r>
        <w:rPr>
          <w:szCs w:val="24"/>
        </w:rPr>
        <w:t xml:space="preserve"> thank my family.  I thank my parents, Frank and Diane, for all the love and </w:t>
      </w:r>
      <w:r w:rsidR="00A313F5">
        <w:rPr>
          <w:szCs w:val="24"/>
        </w:rPr>
        <w:t xml:space="preserve">spiritual, </w:t>
      </w:r>
      <w:r>
        <w:rPr>
          <w:szCs w:val="24"/>
        </w:rPr>
        <w:t>emotional</w:t>
      </w:r>
      <w:r w:rsidR="00A313F5">
        <w:rPr>
          <w:szCs w:val="24"/>
        </w:rPr>
        <w:t>,</w:t>
      </w:r>
      <w:r>
        <w:rPr>
          <w:szCs w:val="24"/>
        </w:rPr>
        <w:t xml:space="preserve"> and financial support that they have provided to me over the years.</w:t>
      </w:r>
      <w:r w:rsidR="00AF338F">
        <w:rPr>
          <w:szCs w:val="24"/>
        </w:rPr>
        <w:t xml:space="preserve">  They have encouraged me to pursue my education and to not underestimate myself.</w:t>
      </w:r>
      <w:r>
        <w:rPr>
          <w:szCs w:val="24"/>
        </w:rPr>
        <w:t xml:space="preserve">  I hope that </w:t>
      </w:r>
      <w:r w:rsidR="00AF338F">
        <w:rPr>
          <w:szCs w:val="24"/>
        </w:rPr>
        <w:t xml:space="preserve">this </w:t>
      </w:r>
      <w:r>
        <w:rPr>
          <w:szCs w:val="24"/>
        </w:rPr>
        <w:t>dissertation, in some small way, honors</w:t>
      </w:r>
      <w:r w:rsidR="00AF338F">
        <w:rPr>
          <w:szCs w:val="24"/>
        </w:rPr>
        <w:t xml:space="preserve"> all that they</w:t>
      </w:r>
      <w:r>
        <w:rPr>
          <w:szCs w:val="24"/>
        </w:rPr>
        <w:t xml:space="preserve"> have poured into me.  Most importantly, I thank my wife, Natalie, who</w:t>
      </w:r>
      <w:r w:rsidR="00AF338F">
        <w:rPr>
          <w:szCs w:val="24"/>
        </w:rPr>
        <w:t xml:space="preserve"> gave me her heart and who has given me her support throughout our marriage.  She willingly embraced my decision to change careers and pursue this doctoral degree, and she has been unwavering in her encouragement ever since.  She has motivated me when I needed motivation, and she h</w:t>
      </w:r>
      <w:r w:rsidR="007E330A">
        <w:rPr>
          <w:szCs w:val="24"/>
        </w:rPr>
        <w:t xml:space="preserve">as stood beside me throughout. </w:t>
      </w:r>
      <w:r w:rsidR="00AF338F">
        <w:rPr>
          <w:szCs w:val="24"/>
        </w:rPr>
        <w:t xml:space="preserve"> </w:t>
      </w:r>
      <w:r w:rsidR="00847D3D">
        <w:rPr>
          <w:szCs w:val="24"/>
        </w:rPr>
        <w:t xml:space="preserve">I thank her for joining with me </w:t>
      </w:r>
      <w:r w:rsidR="007E330A">
        <w:rPr>
          <w:szCs w:val="24"/>
        </w:rPr>
        <w:t xml:space="preserve">in my pursuit of this </w:t>
      </w:r>
      <w:r w:rsidR="00847D3D">
        <w:rPr>
          <w:szCs w:val="24"/>
        </w:rPr>
        <w:t>academic vocation.</w:t>
      </w:r>
      <w:r w:rsidR="00AF338F">
        <w:rPr>
          <w:szCs w:val="24"/>
        </w:rPr>
        <w:t xml:space="preserve"> </w:t>
      </w:r>
    </w:p>
    <w:p w:rsidR="00AF1389" w:rsidRDefault="00AF1389" w:rsidP="00AF1389">
      <w:pPr>
        <w:spacing w:line="480" w:lineRule="auto"/>
        <w:ind w:left="0" w:firstLine="0"/>
        <w:rPr>
          <w:szCs w:val="24"/>
        </w:rPr>
      </w:pPr>
    </w:p>
    <w:p w:rsidR="00AF1389" w:rsidRDefault="00AF1389" w:rsidP="00AF1389">
      <w:pPr>
        <w:spacing w:line="480" w:lineRule="auto"/>
        <w:ind w:left="0" w:firstLine="0"/>
        <w:rPr>
          <w:szCs w:val="24"/>
        </w:rPr>
      </w:pPr>
    </w:p>
    <w:p w:rsidR="00AF1389" w:rsidRDefault="00AF1389" w:rsidP="00AF1389">
      <w:pPr>
        <w:spacing w:line="480" w:lineRule="auto"/>
        <w:ind w:left="0" w:firstLine="0"/>
        <w:rPr>
          <w:szCs w:val="24"/>
        </w:rPr>
      </w:pPr>
    </w:p>
    <w:p w:rsidR="00E53DB4" w:rsidRDefault="00E53DB4" w:rsidP="00AF1389">
      <w:pPr>
        <w:spacing w:line="480" w:lineRule="auto"/>
        <w:ind w:left="0" w:firstLine="0"/>
        <w:rPr>
          <w:szCs w:val="24"/>
        </w:rPr>
      </w:pPr>
    </w:p>
    <w:p w:rsidR="00E53DB4" w:rsidRDefault="00E53DB4" w:rsidP="00AF1389">
      <w:pPr>
        <w:spacing w:line="480" w:lineRule="auto"/>
        <w:ind w:left="0" w:firstLine="0"/>
        <w:rPr>
          <w:szCs w:val="24"/>
        </w:rPr>
      </w:pPr>
    </w:p>
    <w:p w:rsidR="00E53DB4" w:rsidRDefault="00E53DB4" w:rsidP="00AF1389">
      <w:pPr>
        <w:spacing w:line="480" w:lineRule="auto"/>
        <w:ind w:left="0" w:firstLine="0"/>
        <w:rPr>
          <w:szCs w:val="24"/>
        </w:rPr>
      </w:pPr>
    </w:p>
    <w:p w:rsidR="00E53DB4" w:rsidRDefault="00E53DB4" w:rsidP="00AF1389">
      <w:pPr>
        <w:spacing w:line="480" w:lineRule="auto"/>
        <w:ind w:left="0" w:firstLine="0"/>
        <w:rPr>
          <w:szCs w:val="24"/>
        </w:rPr>
      </w:pPr>
    </w:p>
    <w:p w:rsidR="00E53DB4" w:rsidRDefault="00E53DB4" w:rsidP="00AF1389">
      <w:pPr>
        <w:spacing w:line="480" w:lineRule="auto"/>
        <w:ind w:left="0" w:firstLine="0"/>
        <w:rPr>
          <w:szCs w:val="24"/>
        </w:rPr>
      </w:pPr>
    </w:p>
    <w:p w:rsidR="00E53DB4" w:rsidRDefault="00E53DB4" w:rsidP="00AF1389">
      <w:pPr>
        <w:spacing w:line="480" w:lineRule="auto"/>
        <w:ind w:left="0" w:firstLine="0"/>
        <w:rPr>
          <w:szCs w:val="24"/>
        </w:rPr>
      </w:pPr>
    </w:p>
    <w:p w:rsidR="00E53DB4" w:rsidRDefault="00E53DB4" w:rsidP="00AF1389">
      <w:pPr>
        <w:spacing w:line="480" w:lineRule="auto"/>
        <w:ind w:left="0" w:firstLine="0"/>
        <w:rPr>
          <w:szCs w:val="24"/>
        </w:rPr>
      </w:pPr>
    </w:p>
    <w:p w:rsidR="00E53DB4" w:rsidRDefault="00E53DB4" w:rsidP="00AF1389">
      <w:pPr>
        <w:spacing w:line="480" w:lineRule="auto"/>
        <w:ind w:left="0" w:firstLine="0"/>
        <w:rPr>
          <w:szCs w:val="24"/>
        </w:rPr>
      </w:pPr>
    </w:p>
    <w:p w:rsidR="00E53DB4" w:rsidRDefault="00E53DB4" w:rsidP="00AF1389">
      <w:pPr>
        <w:spacing w:line="480" w:lineRule="auto"/>
        <w:ind w:left="0" w:firstLine="0"/>
        <w:rPr>
          <w:szCs w:val="24"/>
        </w:rPr>
      </w:pPr>
    </w:p>
    <w:p w:rsidR="00E53DB4" w:rsidRDefault="00E53DB4" w:rsidP="00AF1389">
      <w:pPr>
        <w:spacing w:line="480" w:lineRule="auto"/>
        <w:ind w:left="0" w:firstLine="0"/>
        <w:rPr>
          <w:szCs w:val="24"/>
        </w:rPr>
      </w:pPr>
    </w:p>
    <w:p w:rsidR="00E53DB4" w:rsidRPr="00AF1389" w:rsidRDefault="00E53DB4" w:rsidP="00AF1389">
      <w:pPr>
        <w:spacing w:line="480" w:lineRule="auto"/>
        <w:ind w:left="0" w:firstLine="0"/>
        <w:rPr>
          <w:szCs w:val="24"/>
        </w:rPr>
      </w:pPr>
    </w:p>
    <w:p w:rsidR="001028E6" w:rsidRPr="00296A8E" w:rsidRDefault="00296A8E" w:rsidP="00ED12ED">
      <w:pPr>
        <w:spacing w:line="480" w:lineRule="auto"/>
        <w:ind w:left="0" w:firstLine="0"/>
        <w:jc w:val="center"/>
        <w:rPr>
          <w:b/>
          <w:sz w:val="32"/>
          <w:szCs w:val="32"/>
        </w:rPr>
      </w:pPr>
      <w:r>
        <w:rPr>
          <w:b/>
          <w:sz w:val="32"/>
          <w:szCs w:val="32"/>
        </w:rPr>
        <w:lastRenderedPageBreak/>
        <w:t>Abstract</w:t>
      </w:r>
    </w:p>
    <w:p w:rsidR="00B730DB" w:rsidRPr="009F02D9" w:rsidRDefault="001028E6" w:rsidP="001028E6">
      <w:pPr>
        <w:spacing w:line="480" w:lineRule="auto"/>
        <w:ind w:left="0" w:firstLine="810"/>
        <w:rPr>
          <w:szCs w:val="24"/>
        </w:rPr>
      </w:pPr>
      <w:r w:rsidRPr="009F02D9">
        <w:rPr>
          <w:szCs w:val="24"/>
        </w:rPr>
        <w:t>This dissertation explores t</w:t>
      </w:r>
      <w:r w:rsidR="00D7516D" w:rsidRPr="009F02D9">
        <w:rPr>
          <w:szCs w:val="24"/>
        </w:rPr>
        <w:t xml:space="preserve">he nature and extent of </w:t>
      </w:r>
      <w:r w:rsidR="002C44B3" w:rsidRPr="009F02D9">
        <w:rPr>
          <w:szCs w:val="24"/>
        </w:rPr>
        <w:t>amicus curiae</w:t>
      </w:r>
      <w:r w:rsidR="00D7516D" w:rsidRPr="009F02D9">
        <w:rPr>
          <w:szCs w:val="24"/>
        </w:rPr>
        <w:t xml:space="preserve"> participation and impact</w:t>
      </w:r>
      <w:r w:rsidR="002C44B3" w:rsidRPr="009F02D9">
        <w:rPr>
          <w:szCs w:val="24"/>
        </w:rPr>
        <w:t xml:space="preserve"> at</w:t>
      </w:r>
      <w:r w:rsidRPr="009F02D9">
        <w:rPr>
          <w:szCs w:val="24"/>
        </w:rPr>
        <w:t xml:space="preserve"> the Roberts Court.  While </w:t>
      </w:r>
      <w:r w:rsidR="00D2728C">
        <w:rPr>
          <w:szCs w:val="24"/>
        </w:rPr>
        <w:t>previous</w:t>
      </w:r>
      <w:r w:rsidR="002C44B3" w:rsidRPr="009F02D9">
        <w:rPr>
          <w:szCs w:val="24"/>
        </w:rPr>
        <w:t xml:space="preserve"> </w:t>
      </w:r>
      <w:r w:rsidRPr="009F02D9">
        <w:rPr>
          <w:szCs w:val="24"/>
        </w:rPr>
        <w:t>literat</w:t>
      </w:r>
      <w:r w:rsidR="00D2728C">
        <w:rPr>
          <w:szCs w:val="24"/>
        </w:rPr>
        <w:t xml:space="preserve">ure has addressed amicus </w:t>
      </w:r>
      <w:r w:rsidRPr="009F02D9">
        <w:rPr>
          <w:szCs w:val="24"/>
        </w:rPr>
        <w:t>activity and influence</w:t>
      </w:r>
      <w:r w:rsidR="003D00B9" w:rsidRPr="009F02D9">
        <w:rPr>
          <w:szCs w:val="24"/>
        </w:rPr>
        <w:t xml:space="preserve"> in prior eras </w:t>
      </w:r>
      <w:r w:rsidRPr="009F02D9">
        <w:rPr>
          <w:szCs w:val="24"/>
        </w:rPr>
        <w:t xml:space="preserve">of the Court, in specific issue areas, and in specific cases, none has focused in a systematic way on the Roberts Court. </w:t>
      </w:r>
      <w:r w:rsidR="003D67A8" w:rsidRPr="009F02D9">
        <w:rPr>
          <w:szCs w:val="24"/>
        </w:rPr>
        <w:t xml:space="preserve"> Compiling data from the 2007</w:t>
      </w:r>
      <w:r w:rsidR="00D2728C">
        <w:rPr>
          <w:szCs w:val="24"/>
        </w:rPr>
        <w:t>-08</w:t>
      </w:r>
      <w:r w:rsidR="003D67A8" w:rsidRPr="009F02D9">
        <w:rPr>
          <w:szCs w:val="24"/>
        </w:rPr>
        <w:t xml:space="preserve"> through 2011</w:t>
      </w:r>
      <w:r w:rsidR="00D2728C">
        <w:rPr>
          <w:szCs w:val="24"/>
        </w:rPr>
        <w:t>-12</w:t>
      </w:r>
      <w:r w:rsidR="003D67A8" w:rsidRPr="009F02D9">
        <w:rPr>
          <w:szCs w:val="24"/>
        </w:rPr>
        <w:t xml:space="preserve"> terms of the Roberts Court, this study first examines the levels and categories of amicus participation</w:t>
      </w:r>
      <w:r w:rsidRPr="009F02D9">
        <w:rPr>
          <w:szCs w:val="24"/>
        </w:rPr>
        <w:t xml:space="preserve"> </w:t>
      </w:r>
      <w:r w:rsidR="003D67A8" w:rsidRPr="009F02D9">
        <w:rPr>
          <w:szCs w:val="24"/>
        </w:rPr>
        <w:t xml:space="preserve">during this time period.  </w:t>
      </w:r>
      <w:r w:rsidR="003642B8" w:rsidRPr="009F02D9">
        <w:rPr>
          <w:szCs w:val="24"/>
        </w:rPr>
        <w:t xml:space="preserve">Amicus activity at the Roberts Court is </w:t>
      </w:r>
      <w:r w:rsidR="00140559" w:rsidRPr="009F02D9">
        <w:rPr>
          <w:szCs w:val="24"/>
        </w:rPr>
        <w:t>ubiquitous,</w:t>
      </w:r>
      <w:r w:rsidR="003642B8" w:rsidRPr="009F02D9">
        <w:rPr>
          <w:szCs w:val="24"/>
        </w:rPr>
        <w:t xml:space="preserve"> </w:t>
      </w:r>
      <w:r w:rsidR="00D2728C">
        <w:rPr>
          <w:szCs w:val="24"/>
        </w:rPr>
        <w:t xml:space="preserve">and </w:t>
      </w:r>
      <w:r w:rsidR="003642B8" w:rsidRPr="009F02D9">
        <w:rPr>
          <w:szCs w:val="24"/>
        </w:rPr>
        <w:t>exhibits an “arms race”</w:t>
      </w:r>
      <w:r w:rsidR="00140559" w:rsidRPr="009F02D9">
        <w:rPr>
          <w:szCs w:val="24"/>
        </w:rPr>
        <w:t xml:space="preserve"> phenomenon</w:t>
      </w:r>
      <w:r w:rsidR="00D2728C">
        <w:rPr>
          <w:szCs w:val="24"/>
        </w:rPr>
        <w:t>, being</w:t>
      </w:r>
      <w:r w:rsidR="00140559" w:rsidRPr="009F02D9">
        <w:rPr>
          <w:szCs w:val="24"/>
        </w:rPr>
        <w:t xml:space="preserve"> relatively ideologically balanced. </w:t>
      </w:r>
      <w:r w:rsidR="003642B8" w:rsidRPr="009F02D9">
        <w:rPr>
          <w:szCs w:val="24"/>
        </w:rPr>
        <w:t xml:space="preserve"> </w:t>
      </w:r>
    </w:p>
    <w:p w:rsidR="003D67A8" w:rsidRPr="009F02D9" w:rsidRDefault="00D2728C" w:rsidP="00B730DB">
      <w:pPr>
        <w:spacing w:line="480" w:lineRule="auto"/>
        <w:ind w:left="0" w:firstLine="810"/>
        <w:rPr>
          <w:szCs w:val="24"/>
        </w:rPr>
      </w:pPr>
      <w:r>
        <w:rPr>
          <w:szCs w:val="24"/>
        </w:rPr>
        <w:t>Second</w:t>
      </w:r>
      <w:r w:rsidR="003D67A8" w:rsidRPr="009F02D9">
        <w:rPr>
          <w:szCs w:val="24"/>
        </w:rPr>
        <w:t xml:space="preserve">, this study analyzes </w:t>
      </w:r>
      <w:r w:rsidR="00D7516D" w:rsidRPr="009F02D9">
        <w:rPr>
          <w:szCs w:val="24"/>
        </w:rPr>
        <w:t>the impact of amici</w:t>
      </w:r>
      <w:r w:rsidR="003D67A8" w:rsidRPr="009F02D9">
        <w:rPr>
          <w:szCs w:val="24"/>
        </w:rPr>
        <w:t xml:space="preserve"> on the ideological direction of the justices’ votes</w:t>
      </w:r>
      <w:r w:rsidR="00D7516D" w:rsidRPr="009F02D9">
        <w:rPr>
          <w:szCs w:val="24"/>
        </w:rPr>
        <w:t xml:space="preserve"> at the Roberts Court</w:t>
      </w:r>
      <w:r w:rsidR="003D67A8" w:rsidRPr="009F02D9">
        <w:rPr>
          <w:szCs w:val="24"/>
        </w:rPr>
        <w:t xml:space="preserve">. </w:t>
      </w:r>
      <w:r w:rsidR="00D7516D" w:rsidRPr="009F02D9">
        <w:rPr>
          <w:szCs w:val="24"/>
        </w:rPr>
        <w:t xml:space="preserve"> To address this topic</w:t>
      </w:r>
      <w:r w:rsidR="003D67A8" w:rsidRPr="009F02D9">
        <w:rPr>
          <w:szCs w:val="24"/>
        </w:rPr>
        <w:t>, a number of statistical models are estimated, controlling for o</w:t>
      </w:r>
      <w:r>
        <w:rPr>
          <w:szCs w:val="24"/>
        </w:rPr>
        <w:t>ther known influences on judicial</w:t>
      </w:r>
      <w:r w:rsidR="003D67A8" w:rsidRPr="009F02D9">
        <w:rPr>
          <w:szCs w:val="24"/>
        </w:rPr>
        <w:t xml:space="preserve"> decision-making. </w:t>
      </w:r>
      <w:r>
        <w:rPr>
          <w:szCs w:val="24"/>
        </w:rPr>
        <w:t xml:space="preserve"> The</w:t>
      </w:r>
      <w:r w:rsidR="00D7516D" w:rsidRPr="009F02D9">
        <w:rPr>
          <w:szCs w:val="24"/>
        </w:rPr>
        <w:t xml:space="preserve"> results demonstrate </w:t>
      </w:r>
      <w:r w:rsidR="00917F03">
        <w:rPr>
          <w:szCs w:val="24"/>
        </w:rPr>
        <w:t xml:space="preserve">that amicus </w:t>
      </w:r>
      <w:r w:rsidR="00B730DB" w:rsidRPr="009F02D9">
        <w:rPr>
          <w:szCs w:val="24"/>
        </w:rPr>
        <w:t>briefs</w:t>
      </w:r>
      <w:r w:rsidR="00D7516D" w:rsidRPr="009F02D9">
        <w:rPr>
          <w:szCs w:val="24"/>
        </w:rPr>
        <w:t xml:space="preserve"> d</w:t>
      </w:r>
      <w:r w:rsidR="00532FB7">
        <w:rPr>
          <w:szCs w:val="24"/>
        </w:rPr>
        <w:t>o positively impact</w:t>
      </w:r>
      <w:r w:rsidR="00D7516D" w:rsidRPr="009F02D9">
        <w:rPr>
          <w:szCs w:val="24"/>
        </w:rPr>
        <w:t xml:space="preserve"> the direc</w:t>
      </w:r>
      <w:r>
        <w:rPr>
          <w:szCs w:val="24"/>
        </w:rPr>
        <w:t>tion of justice votes</w:t>
      </w:r>
      <w:r w:rsidR="00532FB7">
        <w:rPr>
          <w:szCs w:val="24"/>
        </w:rPr>
        <w:t xml:space="preserve"> across the ideological spectrum in both routine and politically salient cases</w:t>
      </w:r>
      <w:r>
        <w:rPr>
          <w:szCs w:val="24"/>
        </w:rPr>
        <w:t>.  W</w:t>
      </w:r>
      <w:r w:rsidR="00D7516D" w:rsidRPr="009F02D9">
        <w:rPr>
          <w:szCs w:val="24"/>
        </w:rPr>
        <w:t>he</w:t>
      </w:r>
      <w:r w:rsidR="00B730DB" w:rsidRPr="009F02D9">
        <w:rPr>
          <w:szCs w:val="24"/>
        </w:rPr>
        <w:t>n, how, and to what deg</w:t>
      </w:r>
      <w:r>
        <w:rPr>
          <w:szCs w:val="24"/>
        </w:rPr>
        <w:t>ree amicus briefs matter depends</w:t>
      </w:r>
      <w:r w:rsidR="00D7516D" w:rsidRPr="009F02D9">
        <w:rPr>
          <w:szCs w:val="24"/>
        </w:rPr>
        <w:t xml:space="preserve"> on the</w:t>
      </w:r>
      <w:r w:rsidR="00B730DB" w:rsidRPr="009F02D9">
        <w:rPr>
          <w:szCs w:val="24"/>
        </w:rPr>
        <w:t xml:space="preserve"> level of amicus brief disparity, the</w:t>
      </w:r>
      <w:r w:rsidR="00D7516D" w:rsidRPr="009F02D9">
        <w:rPr>
          <w:szCs w:val="24"/>
        </w:rPr>
        <w:t xml:space="preserve"> ideology of the justice, the issue area of the case, and the prestige of the amicus participants involved.  </w:t>
      </w:r>
      <w:r w:rsidR="00140559" w:rsidRPr="009F02D9">
        <w:rPr>
          <w:szCs w:val="24"/>
        </w:rPr>
        <w:t xml:space="preserve">The greater the amicus brief advantage in a case, the greater the amicus influence.  </w:t>
      </w:r>
      <w:r w:rsidR="00D7516D" w:rsidRPr="009F02D9">
        <w:rPr>
          <w:szCs w:val="24"/>
        </w:rPr>
        <w:t xml:space="preserve">Moderate justices, as a rule, are more influenced by amicus briefs than more ideologically extreme justices. </w:t>
      </w:r>
      <w:r w:rsidR="00994039">
        <w:rPr>
          <w:szCs w:val="24"/>
        </w:rPr>
        <w:t xml:space="preserve"> However</w:t>
      </w:r>
      <w:r w:rsidR="00532FB7">
        <w:rPr>
          <w:szCs w:val="24"/>
        </w:rPr>
        <w:t>, unlike amicus briefs, an advantage of amicus cosigners in a case</w:t>
      </w:r>
      <w:r w:rsidR="00994039">
        <w:rPr>
          <w:szCs w:val="24"/>
        </w:rPr>
        <w:t xml:space="preserve"> typically</w:t>
      </w:r>
      <w:r w:rsidR="00B730DB" w:rsidRPr="009F02D9">
        <w:rPr>
          <w:szCs w:val="24"/>
        </w:rPr>
        <w:t xml:space="preserve"> does</w:t>
      </w:r>
      <w:r w:rsidR="00532FB7">
        <w:rPr>
          <w:szCs w:val="24"/>
        </w:rPr>
        <w:t xml:space="preserve"> not </w:t>
      </w:r>
      <w:r w:rsidR="009F02D9" w:rsidRPr="009F02D9">
        <w:rPr>
          <w:szCs w:val="24"/>
        </w:rPr>
        <w:t>impact</w:t>
      </w:r>
      <w:r w:rsidR="00B730DB" w:rsidRPr="009F02D9">
        <w:rPr>
          <w:szCs w:val="24"/>
        </w:rPr>
        <w:t xml:space="preserve"> the direction of</w:t>
      </w:r>
      <w:r w:rsidR="009F02D9" w:rsidRPr="009F02D9">
        <w:rPr>
          <w:szCs w:val="24"/>
        </w:rPr>
        <w:t xml:space="preserve"> the</w:t>
      </w:r>
      <w:r w:rsidR="00B730DB" w:rsidRPr="009F02D9">
        <w:rPr>
          <w:szCs w:val="24"/>
        </w:rPr>
        <w:t xml:space="preserve"> justice</w:t>
      </w:r>
      <w:r w:rsidR="009F02D9" w:rsidRPr="009F02D9">
        <w:rPr>
          <w:szCs w:val="24"/>
        </w:rPr>
        <w:t>s’</w:t>
      </w:r>
      <w:r w:rsidR="00532FB7">
        <w:rPr>
          <w:szCs w:val="24"/>
        </w:rPr>
        <w:t xml:space="preserve"> votes. </w:t>
      </w:r>
    </w:p>
    <w:p w:rsidR="009F02D9" w:rsidRDefault="003D67A8" w:rsidP="009F02D9">
      <w:pPr>
        <w:spacing w:line="480" w:lineRule="auto"/>
        <w:ind w:left="0" w:firstLine="720"/>
      </w:pPr>
      <w:r w:rsidRPr="009F02D9">
        <w:rPr>
          <w:szCs w:val="24"/>
        </w:rPr>
        <w:t xml:space="preserve"> </w:t>
      </w:r>
      <w:r w:rsidR="00140559" w:rsidRPr="009F02D9">
        <w:rPr>
          <w:szCs w:val="24"/>
        </w:rPr>
        <w:t xml:space="preserve">These findings shed light on the </w:t>
      </w:r>
      <w:r w:rsidR="001028E6" w:rsidRPr="009F02D9">
        <w:rPr>
          <w:szCs w:val="24"/>
        </w:rPr>
        <w:t>larger debate in</w:t>
      </w:r>
      <w:r w:rsidR="0098708A" w:rsidRPr="009F02D9">
        <w:rPr>
          <w:szCs w:val="24"/>
        </w:rPr>
        <w:t xml:space="preserve"> the</w:t>
      </w:r>
      <w:r w:rsidR="001028E6" w:rsidRPr="009F02D9">
        <w:rPr>
          <w:szCs w:val="24"/>
        </w:rPr>
        <w:t xml:space="preserve"> ju</w:t>
      </w:r>
      <w:r w:rsidR="00140559" w:rsidRPr="009F02D9">
        <w:rPr>
          <w:szCs w:val="24"/>
        </w:rPr>
        <w:t>dicial behavior literature regarding</w:t>
      </w:r>
      <w:r w:rsidR="001028E6" w:rsidRPr="009F02D9">
        <w:rPr>
          <w:szCs w:val="24"/>
        </w:rPr>
        <w:t xml:space="preserve"> whether justice votes are simply a resul</w:t>
      </w:r>
      <w:r w:rsidR="00140559" w:rsidRPr="009F02D9">
        <w:rPr>
          <w:szCs w:val="24"/>
        </w:rPr>
        <w:t xml:space="preserve">t of judicial </w:t>
      </w:r>
      <w:r w:rsidR="009F02D9" w:rsidRPr="009F02D9">
        <w:rPr>
          <w:szCs w:val="24"/>
        </w:rPr>
        <w:t>attitudes</w:t>
      </w:r>
      <w:r w:rsidR="001028E6" w:rsidRPr="009F02D9">
        <w:rPr>
          <w:szCs w:val="24"/>
        </w:rPr>
        <w:t xml:space="preserve"> (attitudinal model), or</w:t>
      </w:r>
      <w:r w:rsidR="0098708A" w:rsidRPr="009F02D9">
        <w:rPr>
          <w:szCs w:val="24"/>
        </w:rPr>
        <w:t xml:space="preserve"> if</w:t>
      </w:r>
      <w:r w:rsidR="001028E6" w:rsidRPr="009F02D9">
        <w:rPr>
          <w:szCs w:val="24"/>
        </w:rPr>
        <w:t xml:space="preserve"> legal rules and arguments (legal model)</w:t>
      </w:r>
      <w:r w:rsidR="00994039">
        <w:rPr>
          <w:szCs w:val="24"/>
        </w:rPr>
        <w:t>,</w:t>
      </w:r>
      <w:r w:rsidR="001028E6" w:rsidRPr="009F02D9">
        <w:rPr>
          <w:szCs w:val="24"/>
        </w:rPr>
        <w:t xml:space="preserve"> and/or public opinion (interest group</w:t>
      </w:r>
      <w:r w:rsidR="009F02D9" w:rsidRPr="009F02D9">
        <w:rPr>
          <w:szCs w:val="24"/>
        </w:rPr>
        <w:t xml:space="preserve"> model) shape ju</w:t>
      </w:r>
      <w:r w:rsidR="00994039">
        <w:rPr>
          <w:szCs w:val="24"/>
        </w:rPr>
        <w:t>dicial</w:t>
      </w:r>
      <w:r w:rsidR="00140559" w:rsidRPr="009F02D9">
        <w:rPr>
          <w:szCs w:val="24"/>
        </w:rPr>
        <w:t xml:space="preserve"> decision-</w:t>
      </w:r>
      <w:r w:rsidR="001028E6" w:rsidRPr="009F02D9">
        <w:rPr>
          <w:szCs w:val="24"/>
        </w:rPr>
        <w:t>making</w:t>
      </w:r>
      <w:r w:rsidR="009F02D9" w:rsidRPr="009F02D9">
        <w:rPr>
          <w:szCs w:val="24"/>
        </w:rPr>
        <w:t>.  While affirming th</w:t>
      </w:r>
      <w:r w:rsidR="00994039">
        <w:rPr>
          <w:szCs w:val="24"/>
        </w:rPr>
        <w:t>at judicial attitudes are</w:t>
      </w:r>
      <w:r w:rsidR="009F02D9" w:rsidRPr="009F02D9">
        <w:rPr>
          <w:szCs w:val="24"/>
        </w:rPr>
        <w:t xml:space="preserve"> the most s</w:t>
      </w:r>
      <w:r w:rsidR="009F02D9">
        <w:rPr>
          <w:szCs w:val="24"/>
        </w:rPr>
        <w:t>ignificant predictors of</w:t>
      </w:r>
      <w:r w:rsidR="00370929">
        <w:rPr>
          <w:szCs w:val="24"/>
        </w:rPr>
        <w:t xml:space="preserve"> the</w:t>
      </w:r>
      <w:r w:rsidR="009F02D9">
        <w:rPr>
          <w:szCs w:val="24"/>
        </w:rPr>
        <w:t xml:space="preserve"> </w:t>
      </w:r>
      <w:r w:rsidR="009F02D9">
        <w:rPr>
          <w:szCs w:val="24"/>
        </w:rPr>
        <w:lastRenderedPageBreak/>
        <w:t>justice</w:t>
      </w:r>
      <w:r w:rsidR="00370929">
        <w:rPr>
          <w:szCs w:val="24"/>
        </w:rPr>
        <w:t>s’</w:t>
      </w:r>
      <w:r w:rsidR="009F02D9" w:rsidRPr="009F02D9">
        <w:rPr>
          <w:szCs w:val="24"/>
        </w:rPr>
        <w:t xml:space="preserve"> votes, </w:t>
      </w:r>
      <w:r w:rsidR="00532FB7">
        <w:rPr>
          <w:szCs w:val="24"/>
        </w:rPr>
        <w:t>the</w:t>
      </w:r>
      <w:r w:rsidR="009F02D9" w:rsidRPr="009F02D9">
        <w:rPr>
          <w:szCs w:val="24"/>
        </w:rPr>
        <w:t xml:space="preserve"> results indicate that the legal persuasion model best describes amicus influence. </w:t>
      </w:r>
      <w:r w:rsidR="00EF1EF6">
        <w:rPr>
          <w:szCs w:val="24"/>
        </w:rPr>
        <w:t xml:space="preserve"> Amicus curiae</w:t>
      </w:r>
      <w:r w:rsidR="00186F36">
        <w:rPr>
          <w:szCs w:val="24"/>
        </w:rPr>
        <w:t xml:space="preserve"> briefs</w:t>
      </w:r>
      <w:r w:rsidR="00EF1EF6">
        <w:rPr>
          <w:szCs w:val="24"/>
        </w:rPr>
        <w:t xml:space="preserve"> matter</w:t>
      </w:r>
      <w:r w:rsidR="009F02D9" w:rsidRPr="009F02D9">
        <w:rPr>
          <w:szCs w:val="24"/>
        </w:rPr>
        <w:t xml:space="preserve"> for the</w:t>
      </w:r>
      <w:r w:rsidR="00994039">
        <w:rPr>
          <w:szCs w:val="24"/>
        </w:rPr>
        <w:t xml:space="preserve"> relevant</w:t>
      </w:r>
      <w:r w:rsidR="009F02D9" w:rsidRPr="009F02D9">
        <w:rPr>
          <w:szCs w:val="24"/>
        </w:rPr>
        <w:t xml:space="preserve"> information </w:t>
      </w:r>
      <w:r w:rsidR="00EF1EF6">
        <w:rPr>
          <w:szCs w:val="24"/>
        </w:rPr>
        <w:t>they</w:t>
      </w:r>
      <w:r w:rsidR="00994039">
        <w:rPr>
          <w:szCs w:val="24"/>
        </w:rPr>
        <w:t xml:space="preserve"> </w:t>
      </w:r>
      <w:r w:rsidR="00EF1EF6">
        <w:rPr>
          <w:szCs w:val="24"/>
        </w:rPr>
        <w:t xml:space="preserve">provide </w:t>
      </w:r>
      <w:r w:rsidR="00994039">
        <w:rPr>
          <w:szCs w:val="24"/>
        </w:rPr>
        <w:t>to the justices</w:t>
      </w:r>
      <w:r w:rsidR="00EF1EF6">
        <w:t>, and most</w:t>
      </w:r>
      <w:r w:rsidR="004A1C00">
        <w:t xml:space="preserve"> justices</w:t>
      </w:r>
      <w:r w:rsidR="00370929">
        <w:t>, regardless of ideology,</w:t>
      </w:r>
      <w:r w:rsidR="004A1C00">
        <w:t xml:space="preserve"> </w:t>
      </w:r>
      <w:r w:rsidR="00186F36">
        <w:t>are influenced by this information</w:t>
      </w:r>
      <w:r w:rsidR="00994039">
        <w:t>.</w:t>
      </w:r>
    </w:p>
    <w:p w:rsidR="00994039" w:rsidRPr="009F02D9" w:rsidRDefault="00994039" w:rsidP="009F02D9">
      <w:pPr>
        <w:spacing w:line="480" w:lineRule="auto"/>
        <w:ind w:left="0" w:firstLine="720"/>
        <w:rPr>
          <w:szCs w:val="24"/>
        </w:rPr>
      </w:pPr>
      <w:r>
        <w:t>.</w:t>
      </w:r>
      <w:r>
        <w:rPr>
          <w:szCs w:val="24"/>
        </w:rPr>
        <w:t xml:space="preserve">  </w:t>
      </w:r>
    </w:p>
    <w:p w:rsidR="001028E6" w:rsidRPr="00052CD1" w:rsidRDefault="009F02D9" w:rsidP="00140559">
      <w:pPr>
        <w:spacing w:line="480" w:lineRule="auto"/>
        <w:ind w:left="0" w:firstLine="810"/>
        <w:rPr>
          <w:color w:val="FF0000"/>
          <w:szCs w:val="24"/>
        </w:rPr>
      </w:pPr>
      <w:r>
        <w:rPr>
          <w:color w:val="FF0000"/>
          <w:szCs w:val="24"/>
        </w:rPr>
        <w:t xml:space="preserve"> </w:t>
      </w:r>
    </w:p>
    <w:p w:rsidR="00D50941" w:rsidRDefault="00D50941" w:rsidP="001028E6">
      <w:pPr>
        <w:ind w:left="0" w:firstLine="0"/>
        <w:rPr>
          <w:b/>
        </w:rPr>
      </w:pPr>
    </w:p>
    <w:p w:rsidR="009E31E8" w:rsidRDefault="009E31E8" w:rsidP="00D50941">
      <w:pPr>
        <w:jc w:val="center"/>
        <w:rPr>
          <w:b/>
        </w:rPr>
      </w:pPr>
    </w:p>
    <w:p w:rsidR="00ED12ED" w:rsidRDefault="00ED12ED" w:rsidP="00ED12ED">
      <w:pPr>
        <w:spacing w:line="480" w:lineRule="auto"/>
        <w:ind w:left="0" w:firstLine="0"/>
        <w:jc w:val="center"/>
        <w:rPr>
          <w:b/>
        </w:rPr>
      </w:pPr>
    </w:p>
    <w:p w:rsidR="00ED12ED" w:rsidRDefault="00ED12ED" w:rsidP="00ED12ED">
      <w:pPr>
        <w:spacing w:line="480" w:lineRule="auto"/>
        <w:ind w:left="0" w:firstLine="0"/>
        <w:jc w:val="center"/>
        <w:rPr>
          <w:b/>
        </w:rPr>
      </w:pPr>
    </w:p>
    <w:p w:rsidR="00A828B4" w:rsidRDefault="00A828B4" w:rsidP="00ED12ED">
      <w:pPr>
        <w:spacing w:line="480" w:lineRule="auto"/>
        <w:ind w:left="0" w:firstLine="0"/>
        <w:jc w:val="center"/>
        <w:rPr>
          <w:b/>
        </w:rPr>
      </w:pPr>
    </w:p>
    <w:p w:rsidR="00A828B4" w:rsidRDefault="00A828B4" w:rsidP="00ED12ED">
      <w:pPr>
        <w:spacing w:line="480" w:lineRule="auto"/>
        <w:ind w:left="0" w:firstLine="0"/>
        <w:jc w:val="center"/>
        <w:rPr>
          <w:b/>
        </w:rPr>
      </w:pPr>
    </w:p>
    <w:p w:rsidR="00A828B4" w:rsidRDefault="00A828B4" w:rsidP="00ED12ED">
      <w:pPr>
        <w:spacing w:line="480" w:lineRule="auto"/>
        <w:ind w:left="0" w:firstLine="0"/>
        <w:jc w:val="center"/>
        <w:rPr>
          <w:b/>
        </w:rPr>
      </w:pPr>
    </w:p>
    <w:p w:rsidR="00A828B4" w:rsidRDefault="00A828B4" w:rsidP="00ED12ED">
      <w:pPr>
        <w:spacing w:line="480" w:lineRule="auto"/>
        <w:ind w:left="0" w:firstLine="0"/>
        <w:jc w:val="center"/>
        <w:rPr>
          <w:b/>
        </w:rPr>
      </w:pPr>
    </w:p>
    <w:p w:rsidR="00A828B4" w:rsidRDefault="00A828B4" w:rsidP="00ED12ED">
      <w:pPr>
        <w:spacing w:line="480" w:lineRule="auto"/>
        <w:ind w:left="0" w:firstLine="0"/>
        <w:jc w:val="center"/>
        <w:rPr>
          <w:b/>
        </w:rPr>
      </w:pPr>
    </w:p>
    <w:p w:rsidR="00A828B4" w:rsidRDefault="00A828B4" w:rsidP="00ED12ED">
      <w:pPr>
        <w:spacing w:line="480" w:lineRule="auto"/>
        <w:ind w:left="0" w:firstLine="0"/>
        <w:jc w:val="center"/>
        <w:rPr>
          <w:b/>
        </w:rPr>
      </w:pPr>
    </w:p>
    <w:p w:rsidR="00A828B4" w:rsidRDefault="00A828B4" w:rsidP="00ED12ED">
      <w:pPr>
        <w:spacing w:line="480" w:lineRule="auto"/>
        <w:ind w:left="0" w:firstLine="0"/>
        <w:jc w:val="center"/>
        <w:rPr>
          <w:b/>
        </w:rPr>
      </w:pPr>
    </w:p>
    <w:p w:rsidR="00A828B4" w:rsidRDefault="00A828B4" w:rsidP="00ED12ED">
      <w:pPr>
        <w:spacing w:line="480" w:lineRule="auto"/>
        <w:ind w:left="0" w:firstLine="0"/>
        <w:jc w:val="center"/>
        <w:rPr>
          <w:b/>
        </w:rPr>
      </w:pPr>
    </w:p>
    <w:p w:rsidR="00A828B4" w:rsidRDefault="00A828B4" w:rsidP="00ED12ED">
      <w:pPr>
        <w:spacing w:line="480" w:lineRule="auto"/>
        <w:ind w:left="0" w:firstLine="0"/>
        <w:jc w:val="center"/>
        <w:rPr>
          <w:b/>
        </w:rPr>
      </w:pPr>
    </w:p>
    <w:p w:rsidR="00A828B4" w:rsidRDefault="00A828B4" w:rsidP="00ED12ED">
      <w:pPr>
        <w:spacing w:line="480" w:lineRule="auto"/>
        <w:ind w:left="0" w:firstLine="0"/>
        <w:jc w:val="center"/>
        <w:rPr>
          <w:b/>
        </w:rPr>
      </w:pPr>
    </w:p>
    <w:p w:rsidR="00A828B4" w:rsidRDefault="00A828B4" w:rsidP="00ED12ED">
      <w:pPr>
        <w:spacing w:line="480" w:lineRule="auto"/>
        <w:ind w:left="0" w:firstLine="0"/>
        <w:jc w:val="center"/>
        <w:rPr>
          <w:b/>
        </w:rPr>
      </w:pPr>
    </w:p>
    <w:p w:rsidR="00A828B4" w:rsidRDefault="00A828B4" w:rsidP="00ED12ED">
      <w:pPr>
        <w:spacing w:line="480" w:lineRule="auto"/>
        <w:ind w:left="0" w:firstLine="0"/>
        <w:jc w:val="center"/>
        <w:rPr>
          <w:b/>
        </w:rPr>
      </w:pPr>
    </w:p>
    <w:p w:rsidR="00A828B4" w:rsidRDefault="00A828B4" w:rsidP="00ED12ED">
      <w:pPr>
        <w:spacing w:line="480" w:lineRule="auto"/>
        <w:ind w:left="0" w:firstLine="0"/>
        <w:jc w:val="center"/>
        <w:rPr>
          <w:b/>
        </w:rPr>
      </w:pPr>
    </w:p>
    <w:p w:rsidR="00BA5E26" w:rsidRDefault="00BA5E26" w:rsidP="00ED12ED">
      <w:pPr>
        <w:spacing w:line="480" w:lineRule="auto"/>
        <w:ind w:left="0" w:firstLine="0"/>
        <w:jc w:val="center"/>
        <w:rPr>
          <w:b/>
        </w:rPr>
      </w:pPr>
      <w:bookmarkStart w:id="0" w:name="_GoBack"/>
      <w:bookmarkEnd w:id="0"/>
    </w:p>
    <w:p w:rsidR="002C44B3" w:rsidRDefault="002C44B3" w:rsidP="00287F5E">
      <w:pPr>
        <w:spacing w:line="480" w:lineRule="auto"/>
        <w:ind w:left="0" w:firstLine="0"/>
        <w:rPr>
          <w:b/>
        </w:rPr>
      </w:pPr>
    </w:p>
    <w:p w:rsidR="000E191F" w:rsidRPr="00296A8E" w:rsidRDefault="000E191F" w:rsidP="000E191F">
      <w:pPr>
        <w:spacing w:line="480" w:lineRule="auto"/>
        <w:ind w:left="0" w:firstLine="0"/>
        <w:jc w:val="center"/>
        <w:rPr>
          <w:b/>
          <w:sz w:val="32"/>
          <w:szCs w:val="32"/>
        </w:rPr>
      </w:pPr>
      <w:r>
        <w:rPr>
          <w:b/>
          <w:sz w:val="32"/>
          <w:szCs w:val="32"/>
        </w:rPr>
        <w:lastRenderedPageBreak/>
        <w:t>Table of Contents</w:t>
      </w:r>
    </w:p>
    <w:p w:rsidR="000E191F" w:rsidRDefault="000E191F" w:rsidP="000E191F">
      <w:pPr>
        <w:spacing w:line="480" w:lineRule="auto"/>
        <w:ind w:left="0" w:firstLine="0"/>
        <w:jc w:val="both"/>
      </w:pPr>
      <w:r w:rsidRPr="00255873">
        <w:t>List of Tables</w:t>
      </w:r>
      <w:r>
        <w:t xml:space="preserve">…………………………………………………………………………………….. </w:t>
      </w:r>
      <w:proofErr w:type="gramStart"/>
      <w:r>
        <w:t>x</w:t>
      </w:r>
      <w:proofErr w:type="gramEnd"/>
    </w:p>
    <w:p w:rsidR="000E191F" w:rsidRDefault="000E191F" w:rsidP="000E191F">
      <w:pPr>
        <w:spacing w:line="480" w:lineRule="auto"/>
        <w:ind w:left="0" w:firstLine="0"/>
        <w:jc w:val="both"/>
      </w:pPr>
      <w:r>
        <w:t>List of Figures…………………………………………………………………………………</w:t>
      </w:r>
      <w:r w:rsidR="008C5AE5">
        <w:t>..</w:t>
      </w:r>
      <w:r>
        <w:t xml:space="preserve"> xii</w:t>
      </w:r>
      <w:r w:rsidR="008C5AE5">
        <w:t>i</w:t>
      </w:r>
    </w:p>
    <w:p w:rsidR="000E191F" w:rsidRPr="009F2BDA" w:rsidRDefault="000E191F" w:rsidP="000E191F">
      <w:pPr>
        <w:spacing w:line="480" w:lineRule="auto"/>
        <w:ind w:left="0" w:firstLine="0"/>
        <w:jc w:val="both"/>
      </w:pPr>
      <w:r w:rsidRPr="009F2BDA">
        <w:t>Chapter 1: Introduction and Literature Review</w:t>
      </w:r>
      <w:r>
        <w:t>………………………………………………….. 1</w:t>
      </w:r>
      <w:r w:rsidRPr="009F2BDA">
        <w:tab/>
      </w:r>
    </w:p>
    <w:p w:rsidR="000E191F" w:rsidRPr="00A544E0" w:rsidRDefault="000E191F" w:rsidP="000E191F">
      <w:pPr>
        <w:pStyle w:val="ListParagraph"/>
        <w:numPr>
          <w:ilvl w:val="0"/>
          <w:numId w:val="3"/>
        </w:numPr>
        <w:spacing w:line="480" w:lineRule="auto"/>
        <w:jc w:val="both"/>
      </w:pPr>
      <w:r>
        <w:t>What Is an Amicus Curiae and What Is Its Function</w:t>
      </w:r>
      <w:proofErr w:type="gramStart"/>
      <w:r>
        <w:t>?..................................................</w:t>
      </w:r>
      <w:proofErr w:type="gramEnd"/>
      <w:r>
        <w:t xml:space="preserve"> 8</w:t>
      </w:r>
    </w:p>
    <w:p w:rsidR="000E191F" w:rsidRPr="00A544E0" w:rsidRDefault="000E191F" w:rsidP="000E191F">
      <w:pPr>
        <w:pStyle w:val="ListParagraph"/>
        <w:numPr>
          <w:ilvl w:val="0"/>
          <w:numId w:val="3"/>
        </w:numPr>
        <w:spacing w:line="480" w:lineRule="auto"/>
        <w:jc w:val="both"/>
      </w:pPr>
      <w:r>
        <w:t>Who Participates and How M</w:t>
      </w:r>
      <w:r w:rsidRPr="00A544E0">
        <w:t>uch</w:t>
      </w:r>
      <w:proofErr w:type="gramStart"/>
      <w:r w:rsidRPr="00A544E0">
        <w:t>?</w:t>
      </w:r>
      <w:r>
        <w:t>.............................................................................</w:t>
      </w:r>
      <w:proofErr w:type="gramEnd"/>
      <w:r>
        <w:t xml:space="preserve"> 16</w:t>
      </w:r>
    </w:p>
    <w:p w:rsidR="000E191F" w:rsidRPr="00A544E0" w:rsidRDefault="000E191F" w:rsidP="000E191F">
      <w:pPr>
        <w:pStyle w:val="ListParagraph"/>
        <w:numPr>
          <w:ilvl w:val="0"/>
          <w:numId w:val="3"/>
        </w:numPr>
        <w:spacing w:line="480" w:lineRule="auto"/>
        <w:jc w:val="both"/>
      </w:pPr>
      <w:r>
        <w:t>Why Do Interest Groups File Amicus B</w:t>
      </w:r>
      <w:r w:rsidRPr="00A544E0">
        <w:t>riefs?</w:t>
      </w:r>
      <w:r>
        <w:t>............................................................ 25</w:t>
      </w:r>
    </w:p>
    <w:p w:rsidR="000E191F" w:rsidRPr="000778D1" w:rsidRDefault="000E191F" w:rsidP="000E191F">
      <w:pPr>
        <w:pStyle w:val="ListParagraph"/>
        <w:numPr>
          <w:ilvl w:val="0"/>
          <w:numId w:val="3"/>
        </w:numPr>
        <w:spacing w:line="480" w:lineRule="auto"/>
        <w:jc w:val="both"/>
      </w:pPr>
      <w:r>
        <w:rPr>
          <w:szCs w:val="24"/>
        </w:rPr>
        <w:t>Do Amici Influence Judicial Decision-m</w:t>
      </w:r>
      <w:r w:rsidRPr="00A544E0">
        <w:rPr>
          <w:szCs w:val="24"/>
        </w:rPr>
        <w:t>aking</w:t>
      </w:r>
      <w:r>
        <w:rPr>
          <w:szCs w:val="24"/>
        </w:rPr>
        <w:t xml:space="preserve"> at the USSC</w:t>
      </w:r>
      <w:r w:rsidRPr="00A544E0">
        <w:rPr>
          <w:szCs w:val="24"/>
        </w:rPr>
        <w:t>?</w:t>
      </w:r>
      <w:r>
        <w:rPr>
          <w:szCs w:val="24"/>
        </w:rPr>
        <w:t>.................................... 29</w:t>
      </w:r>
      <w:r w:rsidRPr="00A544E0">
        <w:rPr>
          <w:szCs w:val="24"/>
        </w:rPr>
        <w:t xml:space="preserve"> </w:t>
      </w:r>
    </w:p>
    <w:p w:rsidR="000E191F" w:rsidRPr="000778D1" w:rsidRDefault="000E191F" w:rsidP="000E191F">
      <w:pPr>
        <w:pStyle w:val="ListParagraph"/>
        <w:numPr>
          <w:ilvl w:val="0"/>
          <w:numId w:val="3"/>
        </w:numPr>
        <w:spacing w:line="480" w:lineRule="auto"/>
        <w:jc w:val="both"/>
      </w:pPr>
      <w:r w:rsidRPr="000778D1">
        <w:rPr>
          <w:szCs w:val="24"/>
        </w:rPr>
        <w:t>Amicus Participation and Influence in Lower Federal Courts and State Courts</w:t>
      </w:r>
      <w:r>
        <w:rPr>
          <w:szCs w:val="24"/>
        </w:rPr>
        <w:t>…… 50</w:t>
      </w:r>
    </w:p>
    <w:p w:rsidR="000E191F" w:rsidRPr="00A544E0" w:rsidRDefault="000E191F" w:rsidP="000E191F">
      <w:pPr>
        <w:pStyle w:val="ListParagraph"/>
        <w:numPr>
          <w:ilvl w:val="0"/>
          <w:numId w:val="3"/>
        </w:numPr>
        <w:spacing w:line="480" w:lineRule="auto"/>
        <w:jc w:val="both"/>
      </w:pPr>
      <w:r>
        <w:rPr>
          <w:szCs w:val="24"/>
        </w:rPr>
        <w:t>What Model of Judicial Decision-making Best Explains Amici I</w:t>
      </w:r>
      <w:r w:rsidRPr="00A544E0">
        <w:rPr>
          <w:szCs w:val="24"/>
        </w:rPr>
        <w:t>nfluence</w:t>
      </w:r>
      <w:proofErr w:type="gramStart"/>
      <w:r w:rsidRPr="00A544E0">
        <w:rPr>
          <w:szCs w:val="24"/>
        </w:rPr>
        <w:t>?</w:t>
      </w:r>
      <w:r>
        <w:rPr>
          <w:szCs w:val="24"/>
        </w:rPr>
        <w:t>..............</w:t>
      </w:r>
      <w:proofErr w:type="gramEnd"/>
      <w:r>
        <w:rPr>
          <w:szCs w:val="24"/>
        </w:rPr>
        <w:t xml:space="preserve"> 56</w:t>
      </w:r>
    </w:p>
    <w:p w:rsidR="000E191F" w:rsidRPr="00A544E0" w:rsidRDefault="000E191F" w:rsidP="000E191F">
      <w:pPr>
        <w:pStyle w:val="ListParagraph"/>
        <w:numPr>
          <w:ilvl w:val="1"/>
          <w:numId w:val="3"/>
        </w:numPr>
        <w:spacing w:line="480" w:lineRule="auto"/>
        <w:jc w:val="both"/>
        <w:rPr>
          <w:szCs w:val="24"/>
        </w:rPr>
      </w:pPr>
      <w:r>
        <w:rPr>
          <w:szCs w:val="24"/>
        </w:rPr>
        <w:t>Attitudinal Model: “Attitudinal Congruence” Hypothesi</w:t>
      </w:r>
      <w:r w:rsidRPr="00A544E0">
        <w:rPr>
          <w:szCs w:val="24"/>
        </w:rPr>
        <w:t>s</w:t>
      </w:r>
      <w:r>
        <w:rPr>
          <w:szCs w:val="24"/>
        </w:rPr>
        <w:t>……………………... 56</w:t>
      </w:r>
    </w:p>
    <w:p w:rsidR="000E191F" w:rsidRPr="00A544E0" w:rsidRDefault="000E191F" w:rsidP="000E191F">
      <w:pPr>
        <w:pStyle w:val="ListParagraph"/>
        <w:numPr>
          <w:ilvl w:val="1"/>
          <w:numId w:val="3"/>
        </w:numPr>
        <w:spacing w:line="480" w:lineRule="auto"/>
        <w:jc w:val="both"/>
        <w:rPr>
          <w:szCs w:val="24"/>
        </w:rPr>
      </w:pPr>
      <w:r>
        <w:rPr>
          <w:szCs w:val="24"/>
        </w:rPr>
        <w:t>Legal Model:  “Information” or “Legal Persuasion” Hypothesi</w:t>
      </w:r>
      <w:r w:rsidRPr="00A544E0">
        <w:rPr>
          <w:szCs w:val="24"/>
        </w:rPr>
        <w:t>s</w:t>
      </w:r>
      <w:r>
        <w:rPr>
          <w:szCs w:val="24"/>
        </w:rPr>
        <w:t>………………. 58</w:t>
      </w:r>
    </w:p>
    <w:p w:rsidR="000E191F" w:rsidRPr="00A544E0" w:rsidRDefault="000E191F" w:rsidP="000E191F">
      <w:pPr>
        <w:pStyle w:val="ListParagraph"/>
        <w:numPr>
          <w:ilvl w:val="1"/>
          <w:numId w:val="3"/>
        </w:numPr>
        <w:spacing w:line="480" w:lineRule="auto"/>
        <w:jc w:val="both"/>
      </w:pPr>
      <w:r>
        <w:t>Interest Group M</w:t>
      </w:r>
      <w:r w:rsidRPr="00A544E0">
        <w:t>o</w:t>
      </w:r>
      <w:r>
        <w:t>del: “Affected Groups” Hypothesi</w:t>
      </w:r>
      <w:r w:rsidRPr="00A544E0">
        <w:t>s</w:t>
      </w:r>
      <w:r>
        <w:t>………………………… 59</w:t>
      </w:r>
    </w:p>
    <w:p w:rsidR="000E191F" w:rsidRPr="00A544E0" w:rsidRDefault="000E191F" w:rsidP="000E191F">
      <w:pPr>
        <w:pStyle w:val="ListParagraph"/>
        <w:numPr>
          <w:ilvl w:val="1"/>
          <w:numId w:val="3"/>
        </w:numPr>
        <w:spacing w:line="480" w:lineRule="auto"/>
        <w:jc w:val="both"/>
        <w:rPr>
          <w:szCs w:val="24"/>
        </w:rPr>
      </w:pPr>
      <w:r>
        <w:rPr>
          <w:szCs w:val="24"/>
        </w:rPr>
        <w:t>Empirical Evidence……………………………………………………………... 60</w:t>
      </w:r>
    </w:p>
    <w:p w:rsidR="000E191F" w:rsidRPr="009F2BDA" w:rsidRDefault="000E191F" w:rsidP="000E191F">
      <w:pPr>
        <w:spacing w:line="480" w:lineRule="auto"/>
        <w:ind w:left="0" w:firstLine="0"/>
        <w:jc w:val="both"/>
      </w:pPr>
      <w:r w:rsidRPr="009F2BDA">
        <w:t>Chapter 2:  The Roberts Court</w:t>
      </w:r>
      <w:r>
        <w:t>………………………………………………………………….. 64</w:t>
      </w:r>
    </w:p>
    <w:p w:rsidR="000E191F" w:rsidRDefault="000E191F" w:rsidP="000E191F">
      <w:pPr>
        <w:pStyle w:val="ListParagraph"/>
        <w:numPr>
          <w:ilvl w:val="0"/>
          <w:numId w:val="43"/>
        </w:numPr>
        <w:spacing w:line="480" w:lineRule="auto"/>
        <w:jc w:val="both"/>
      </w:pPr>
      <w:r>
        <w:t>Literature and Case Law Review…………………………………………………… 64</w:t>
      </w:r>
    </w:p>
    <w:p w:rsidR="000E191F" w:rsidRDefault="000E191F" w:rsidP="000E191F">
      <w:pPr>
        <w:pStyle w:val="ListParagraph"/>
        <w:numPr>
          <w:ilvl w:val="0"/>
          <w:numId w:val="43"/>
        </w:numPr>
        <w:spacing w:line="480" w:lineRule="auto"/>
        <w:jc w:val="both"/>
      </w:pPr>
      <w:r>
        <w:t>Descriptive Statistics on the</w:t>
      </w:r>
      <w:r w:rsidRPr="00A544E0">
        <w:t xml:space="preserve"> Roberts Court </w:t>
      </w:r>
      <w:r>
        <w:t>and</w:t>
      </w:r>
      <w:r w:rsidRPr="00A544E0">
        <w:t xml:space="preserve"> Comparison to Past Courts</w:t>
      </w:r>
      <w:r>
        <w:t>………. 77</w:t>
      </w:r>
    </w:p>
    <w:p w:rsidR="000E191F" w:rsidRPr="00A544E0" w:rsidRDefault="000E191F" w:rsidP="000E191F">
      <w:pPr>
        <w:pStyle w:val="ListParagraph"/>
        <w:numPr>
          <w:ilvl w:val="0"/>
          <w:numId w:val="43"/>
        </w:numPr>
        <w:spacing w:line="480" w:lineRule="auto"/>
        <w:jc w:val="both"/>
      </w:pPr>
      <w:r>
        <w:t>Conclusion………………………………………………………………………….. 86</w:t>
      </w:r>
    </w:p>
    <w:p w:rsidR="000E191F" w:rsidRPr="009F2BDA" w:rsidRDefault="000E191F" w:rsidP="000E191F">
      <w:pPr>
        <w:spacing w:line="480" w:lineRule="auto"/>
        <w:ind w:left="0" w:firstLine="0"/>
        <w:jc w:val="both"/>
      </w:pPr>
      <w:r w:rsidRPr="009F2BDA">
        <w:t>Chapter 3:  Hypotheses and Research Design</w:t>
      </w:r>
      <w:r>
        <w:t>………………………………………………….. 88</w:t>
      </w:r>
    </w:p>
    <w:p w:rsidR="000E191F" w:rsidRPr="00A544E0" w:rsidRDefault="000E191F" w:rsidP="000E191F">
      <w:pPr>
        <w:pStyle w:val="ListParagraph"/>
        <w:numPr>
          <w:ilvl w:val="0"/>
          <w:numId w:val="44"/>
        </w:numPr>
        <w:spacing w:line="480" w:lineRule="auto"/>
        <w:jc w:val="both"/>
      </w:pPr>
      <w:r w:rsidRPr="00A544E0">
        <w:t>Hypotheses</w:t>
      </w:r>
      <w:r>
        <w:t>………………………………………………………………………….. 89</w:t>
      </w:r>
    </w:p>
    <w:p w:rsidR="000E191F" w:rsidRPr="00A544E0" w:rsidRDefault="000E191F" w:rsidP="000E191F">
      <w:pPr>
        <w:pStyle w:val="ListParagraph"/>
        <w:numPr>
          <w:ilvl w:val="0"/>
          <w:numId w:val="44"/>
        </w:numPr>
        <w:spacing w:line="480" w:lineRule="auto"/>
        <w:jc w:val="both"/>
      </w:pPr>
      <w:r w:rsidRPr="00A544E0">
        <w:t xml:space="preserve">Research Design: Data </w:t>
      </w:r>
      <w:r>
        <w:t>and</w:t>
      </w:r>
      <w:r w:rsidRPr="00A544E0">
        <w:t xml:space="preserve"> Methods</w:t>
      </w:r>
      <w:r>
        <w:t>……………………………………………….. 94</w:t>
      </w:r>
    </w:p>
    <w:p w:rsidR="000E191F" w:rsidRPr="009F2BDA" w:rsidRDefault="000E191F" w:rsidP="000E191F">
      <w:pPr>
        <w:spacing w:line="480" w:lineRule="auto"/>
        <w:ind w:left="0" w:firstLine="0"/>
        <w:jc w:val="both"/>
      </w:pPr>
      <w:r w:rsidRPr="009F2BDA">
        <w:t>Chapter 4:  Amici Participation at Roberts Court</w:t>
      </w:r>
      <w:r>
        <w:t>……………………………………………... 120</w:t>
      </w:r>
    </w:p>
    <w:p w:rsidR="000E191F" w:rsidRPr="000A4321" w:rsidRDefault="000E191F" w:rsidP="000E191F">
      <w:pPr>
        <w:pStyle w:val="ListParagraph"/>
        <w:numPr>
          <w:ilvl w:val="0"/>
          <w:numId w:val="45"/>
        </w:numPr>
        <w:spacing w:line="480" w:lineRule="auto"/>
        <w:jc w:val="both"/>
      </w:pPr>
      <w:r w:rsidRPr="000A4321">
        <w:t>Amicus Participation by Issue Area</w:t>
      </w:r>
      <w:r>
        <w:t>……………………………………………….. 120</w:t>
      </w:r>
    </w:p>
    <w:p w:rsidR="000E191F" w:rsidRPr="000A4321" w:rsidRDefault="000E191F" w:rsidP="000E191F">
      <w:pPr>
        <w:pStyle w:val="ListParagraph"/>
        <w:numPr>
          <w:ilvl w:val="0"/>
          <w:numId w:val="45"/>
        </w:numPr>
        <w:spacing w:line="480" w:lineRule="auto"/>
        <w:jc w:val="both"/>
      </w:pPr>
      <w:r w:rsidRPr="000A4321">
        <w:lastRenderedPageBreak/>
        <w:t>Amicus Participation by Term</w:t>
      </w:r>
      <w:r>
        <w:t>…………………………………………………….. 131</w:t>
      </w:r>
    </w:p>
    <w:p w:rsidR="000E191F" w:rsidRPr="000A4321" w:rsidRDefault="000E191F" w:rsidP="000E191F">
      <w:pPr>
        <w:pStyle w:val="ListParagraph"/>
        <w:numPr>
          <w:ilvl w:val="0"/>
          <w:numId w:val="45"/>
        </w:numPr>
        <w:spacing w:line="480" w:lineRule="auto"/>
        <w:jc w:val="both"/>
      </w:pPr>
      <w:r w:rsidRPr="000A4321">
        <w:t>Amicus Participation by Amicus Category</w:t>
      </w:r>
      <w:r>
        <w:t>………………………………………... 135</w:t>
      </w:r>
    </w:p>
    <w:p w:rsidR="000E191F" w:rsidRPr="000A4321" w:rsidRDefault="000E191F" w:rsidP="000E191F">
      <w:pPr>
        <w:pStyle w:val="ListParagraph"/>
        <w:numPr>
          <w:ilvl w:val="0"/>
          <w:numId w:val="45"/>
        </w:numPr>
        <w:spacing w:line="480" w:lineRule="auto"/>
        <w:jc w:val="both"/>
      </w:pPr>
      <w:r w:rsidRPr="000A4321">
        <w:rPr>
          <w:szCs w:val="24"/>
        </w:rPr>
        <w:t>Frequency of Participation and</w:t>
      </w:r>
      <w:r>
        <w:rPr>
          <w:szCs w:val="24"/>
        </w:rPr>
        <w:t xml:space="preserve"> Winning Percentage of </w:t>
      </w:r>
      <w:r w:rsidRPr="000A4321">
        <w:rPr>
          <w:szCs w:val="24"/>
        </w:rPr>
        <w:t>Prestigious Amici</w:t>
      </w:r>
      <w:r>
        <w:rPr>
          <w:szCs w:val="24"/>
        </w:rPr>
        <w:t>………. 146</w:t>
      </w:r>
    </w:p>
    <w:p w:rsidR="000E191F" w:rsidRPr="000A4321" w:rsidRDefault="000E191F" w:rsidP="000E191F">
      <w:pPr>
        <w:pStyle w:val="ListParagraph"/>
        <w:numPr>
          <w:ilvl w:val="0"/>
          <w:numId w:val="45"/>
        </w:numPr>
        <w:spacing w:line="480" w:lineRule="auto"/>
        <w:jc w:val="both"/>
      </w:pPr>
      <w:r w:rsidRPr="000A4321">
        <w:t>Conclusion</w:t>
      </w:r>
      <w:r>
        <w:t>………………………………………………………………………… 154</w:t>
      </w:r>
    </w:p>
    <w:p w:rsidR="000E191F" w:rsidRPr="009F2BDA" w:rsidRDefault="000E191F" w:rsidP="000E191F">
      <w:pPr>
        <w:spacing w:line="480" w:lineRule="auto"/>
        <w:ind w:left="0" w:firstLine="0"/>
        <w:jc w:val="both"/>
      </w:pPr>
      <w:r w:rsidRPr="009F2BDA">
        <w:t>Chapter 5:  Amici Influence on Justice Votes</w:t>
      </w:r>
      <w:r>
        <w:t>………………………………………………… 156</w:t>
      </w:r>
    </w:p>
    <w:p w:rsidR="000E191F" w:rsidRPr="001A2839" w:rsidRDefault="000E191F" w:rsidP="000E191F">
      <w:pPr>
        <w:pStyle w:val="ListParagraph"/>
        <w:numPr>
          <w:ilvl w:val="0"/>
          <w:numId w:val="46"/>
        </w:numPr>
        <w:spacing w:line="480" w:lineRule="auto"/>
        <w:jc w:val="both"/>
      </w:pPr>
      <w:r w:rsidRPr="001A2839">
        <w:t xml:space="preserve">Results and Interpretation of </w:t>
      </w:r>
      <w:proofErr w:type="spellStart"/>
      <w:r w:rsidRPr="001A2839">
        <w:t>Logit</w:t>
      </w:r>
      <w:proofErr w:type="spellEnd"/>
      <w:r w:rsidRPr="001A2839">
        <w:t xml:space="preserve"> Models</w:t>
      </w:r>
      <w:r>
        <w:t>………………………………………. 156</w:t>
      </w:r>
    </w:p>
    <w:p w:rsidR="000E191F" w:rsidRPr="001A2839" w:rsidRDefault="000E191F" w:rsidP="000E191F">
      <w:pPr>
        <w:pStyle w:val="ListParagraph"/>
        <w:numPr>
          <w:ilvl w:val="0"/>
          <w:numId w:val="46"/>
        </w:numPr>
        <w:spacing w:line="480" w:lineRule="auto"/>
        <w:jc w:val="both"/>
      </w:pPr>
      <w:r w:rsidRPr="001A2839">
        <w:t>Pearson’s Correlation Tables and Interpretation</w:t>
      </w:r>
      <w:r>
        <w:t>………………………………….. 211</w:t>
      </w:r>
    </w:p>
    <w:p w:rsidR="000E191F" w:rsidRPr="001A2839" w:rsidRDefault="000E191F" w:rsidP="000E191F">
      <w:pPr>
        <w:pStyle w:val="ListParagraph"/>
        <w:numPr>
          <w:ilvl w:val="0"/>
          <w:numId w:val="46"/>
        </w:numPr>
        <w:spacing w:line="480" w:lineRule="auto"/>
        <w:jc w:val="both"/>
      </w:pPr>
      <w:r>
        <w:t>Conclusions</w:t>
      </w:r>
      <w:r w:rsidRPr="001A2839">
        <w:t xml:space="preserve"> and Implications</w:t>
      </w:r>
      <w:r>
        <w:t>……………………………………………………... 220</w:t>
      </w:r>
    </w:p>
    <w:p w:rsidR="000E191F" w:rsidRPr="009F2BDA" w:rsidRDefault="000E191F" w:rsidP="000E191F">
      <w:pPr>
        <w:spacing w:line="480" w:lineRule="auto"/>
        <w:ind w:left="0" w:firstLine="0"/>
        <w:jc w:val="both"/>
      </w:pPr>
      <w:r w:rsidRPr="009F2BDA">
        <w:t>Chapter 6:  Conclusion</w:t>
      </w:r>
      <w:r>
        <w:t>……………………………………………………………………….... 223</w:t>
      </w:r>
    </w:p>
    <w:p w:rsidR="000E191F" w:rsidRDefault="000E191F" w:rsidP="000E191F">
      <w:pPr>
        <w:pStyle w:val="ListParagraph"/>
        <w:numPr>
          <w:ilvl w:val="0"/>
          <w:numId w:val="41"/>
        </w:numPr>
        <w:spacing w:line="480" w:lineRule="auto"/>
        <w:jc w:val="both"/>
      </w:pPr>
      <w:r>
        <w:t>Summary of Chapters………………………………………………………………..... 224</w:t>
      </w:r>
    </w:p>
    <w:p w:rsidR="000E191F" w:rsidRPr="00E77CF3" w:rsidRDefault="000E191F" w:rsidP="000E191F">
      <w:pPr>
        <w:pStyle w:val="ListParagraph"/>
        <w:numPr>
          <w:ilvl w:val="0"/>
          <w:numId w:val="41"/>
        </w:numPr>
        <w:spacing w:line="480" w:lineRule="auto"/>
        <w:jc w:val="both"/>
      </w:pPr>
      <w:r>
        <w:t>Areas for Future Research…………………………………………………………….. 232</w:t>
      </w:r>
    </w:p>
    <w:p w:rsidR="000E191F" w:rsidRPr="009F2BDA" w:rsidRDefault="000E191F" w:rsidP="000E191F">
      <w:pPr>
        <w:spacing w:line="480" w:lineRule="auto"/>
        <w:ind w:left="0" w:firstLine="0"/>
        <w:jc w:val="both"/>
      </w:pPr>
      <w:r w:rsidRPr="009F2BDA">
        <w:t>List of References</w:t>
      </w:r>
      <w:r>
        <w:t>……………………………………………………………………………... 234</w:t>
      </w:r>
    </w:p>
    <w:p w:rsidR="000E191F" w:rsidRPr="009F2BDA" w:rsidRDefault="000E191F" w:rsidP="000E191F">
      <w:pPr>
        <w:spacing w:line="480" w:lineRule="auto"/>
        <w:ind w:left="0" w:firstLine="0"/>
        <w:jc w:val="both"/>
      </w:pPr>
      <w:r w:rsidRPr="009F2BDA">
        <w:t>Appendix</w:t>
      </w:r>
      <w:r>
        <w:t>………………………………………………………………………………………. 252</w:t>
      </w:r>
    </w:p>
    <w:p w:rsidR="000E191F" w:rsidRPr="009F2BDA" w:rsidRDefault="000E191F" w:rsidP="000E191F">
      <w:pPr>
        <w:spacing w:line="480" w:lineRule="auto"/>
        <w:ind w:left="0" w:firstLine="0"/>
        <w:jc w:val="both"/>
      </w:pPr>
      <w:r w:rsidRPr="009F2BDA">
        <w:t>Vita</w:t>
      </w:r>
      <w:r>
        <w:t>…………………………………………………………………………………………….. 268</w:t>
      </w:r>
    </w:p>
    <w:p w:rsidR="000E191F" w:rsidRDefault="000E191F" w:rsidP="000E191F"/>
    <w:p w:rsidR="000E191F" w:rsidRDefault="000E191F" w:rsidP="000E191F"/>
    <w:p w:rsidR="000E191F" w:rsidRDefault="000E191F" w:rsidP="000E191F"/>
    <w:p w:rsidR="000E191F" w:rsidRDefault="000E191F" w:rsidP="000E191F"/>
    <w:p w:rsidR="000E191F" w:rsidRDefault="000E191F" w:rsidP="000E191F"/>
    <w:p w:rsidR="000E191F" w:rsidRDefault="000E191F" w:rsidP="000E191F"/>
    <w:p w:rsidR="000E191F" w:rsidRDefault="000E191F" w:rsidP="000E191F"/>
    <w:p w:rsidR="000E191F" w:rsidRDefault="000E191F" w:rsidP="000E191F"/>
    <w:p w:rsidR="000E191F" w:rsidRDefault="000E191F" w:rsidP="000E191F"/>
    <w:p w:rsidR="000E191F" w:rsidRDefault="000E191F" w:rsidP="000E191F"/>
    <w:p w:rsidR="000E191F" w:rsidRDefault="000E191F" w:rsidP="000E191F"/>
    <w:p w:rsidR="000E191F" w:rsidRDefault="000E191F" w:rsidP="000E191F"/>
    <w:p w:rsidR="000E191F" w:rsidRDefault="000E191F" w:rsidP="000E191F"/>
    <w:p w:rsidR="000E191F" w:rsidRDefault="000E191F" w:rsidP="000E191F"/>
    <w:p w:rsidR="000E191F" w:rsidRDefault="000E191F" w:rsidP="000E191F"/>
    <w:p w:rsidR="000E191F" w:rsidRDefault="000E191F" w:rsidP="000E191F"/>
    <w:p w:rsidR="000E191F" w:rsidRDefault="000E191F" w:rsidP="000E191F"/>
    <w:p w:rsidR="000E191F" w:rsidRDefault="000E191F" w:rsidP="000E191F"/>
    <w:p w:rsidR="000E191F" w:rsidRPr="00296A8E" w:rsidRDefault="000E191F" w:rsidP="000E191F">
      <w:pPr>
        <w:ind w:left="0" w:firstLine="0"/>
        <w:jc w:val="center"/>
        <w:rPr>
          <w:b/>
          <w:sz w:val="32"/>
          <w:szCs w:val="32"/>
        </w:rPr>
      </w:pPr>
      <w:r>
        <w:rPr>
          <w:b/>
          <w:sz w:val="32"/>
          <w:szCs w:val="32"/>
        </w:rPr>
        <w:lastRenderedPageBreak/>
        <w:t>List of Tables</w:t>
      </w:r>
    </w:p>
    <w:p w:rsidR="000E191F" w:rsidRDefault="000E191F" w:rsidP="000E191F">
      <w:pPr>
        <w:ind w:left="0" w:firstLine="0"/>
        <w:rPr>
          <w:rFonts w:cs="Times New Roman"/>
          <w:szCs w:val="24"/>
        </w:rPr>
      </w:pPr>
    </w:p>
    <w:p w:rsidR="000E191F" w:rsidRDefault="000E191F" w:rsidP="000E191F">
      <w:pPr>
        <w:ind w:left="0" w:firstLine="0"/>
        <w:jc w:val="both"/>
        <w:rPr>
          <w:rFonts w:cs="Times New Roman"/>
          <w:szCs w:val="24"/>
        </w:rPr>
      </w:pPr>
      <w:proofErr w:type="gramStart"/>
      <w:r w:rsidRPr="00E84721">
        <w:rPr>
          <w:rFonts w:cs="Times New Roman"/>
          <w:szCs w:val="24"/>
        </w:rPr>
        <w:t>Table 1.1.</w:t>
      </w:r>
      <w:proofErr w:type="gramEnd"/>
      <w:r w:rsidRPr="00E84721">
        <w:rPr>
          <w:rFonts w:cs="Times New Roman"/>
          <w:szCs w:val="24"/>
        </w:rPr>
        <w:t xml:space="preserve"> </w:t>
      </w:r>
    </w:p>
    <w:p w:rsidR="000E191F" w:rsidRDefault="000E191F" w:rsidP="000E191F">
      <w:pPr>
        <w:ind w:left="0" w:firstLine="720"/>
        <w:jc w:val="both"/>
        <w:rPr>
          <w:rFonts w:cs="Times New Roman"/>
          <w:szCs w:val="24"/>
        </w:rPr>
      </w:pPr>
      <w:r w:rsidRPr="00E84721">
        <w:rPr>
          <w:rFonts w:cs="Times New Roman"/>
          <w:szCs w:val="24"/>
        </w:rPr>
        <w:t>Top 15 Amici Groups, 1976-2006</w:t>
      </w:r>
      <w:r>
        <w:rPr>
          <w:rFonts w:cs="Times New Roman"/>
          <w:szCs w:val="24"/>
        </w:rPr>
        <w:t xml:space="preserve"> USSC terms………………………………………... 22</w:t>
      </w:r>
    </w:p>
    <w:p w:rsidR="000E191F" w:rsidRPr="00E84721" w:rsidRDefault="000E191F" w:rsidP="000E191F">
      <w:pPr>
        <w:ind w:left="0" w:firstLine="0"/>
        <w:jc w:val="both"/>
        <w:rPr>
          <w:rFonts w:cs="Times New Roman"/>
          <w:szCs w:val="24"/>
        </w:rPr>
      </w:pPr>
    </w:p>
    <w:p w:rsidR="000E191F" w:rsidRDefault="000E191F" w:rsidP="000E191F">
      <w:pPr>
        <w:ind w:left="0" w:firstLine="0"/>
        <w:jc w:val="both"/>
        <w:rPr>
          <w:rFonts w:cs="Times New Roman"/>
          <w:szCs w:val="24"/>
        </w:rPr>
      </w:pPr>
      <w:proofErr w:type="gramStart"/>
      <w:r w:rsidRPr="00E84721">
        <w:rPr>
          <w:rFonts w:cs="Times New Roman"/>
          <w:szCs w:val="24"/>
        </w:rPr>
        <w:t>Table 1.2</w:t>
      </w:r>
      <w:r>
        <w:rPr>
          <w:rFonts w:cs="Times New Roman"/>
          <w:szCs w:val="24"/>
        </w:rPr>
        <w:t>.</w:t>
      </w:r>
      <w:proofErr w:type="gramEnd"/>
    </w:p>
    <w:p w:rsidR="000E191F" w:rsidRDefault="000E191F" w:rsidP="000E191F">
      <w:pPr>
        <w:ind w:left="0" w:firstLine="720"/>
        <w:jc w:val="both"/>
        <w:rPr>
          <w:rFonts w:cs="Times New Roman"/>
          <w:szCs w:val="24"/>
        </w:rPr>
      </w:pPr>
      <w:r w:rsidRPr="00E84721">
        <w:rPr>
          <w:rFonts w:cs="Times New Roman"/>
          <w:szCs w:val="24"/>
        </w:rPr>
        <w:t>“Sweet Sixteen”:  Cert-Stage Amicus All-Stars, May 2009- August 2012</w:t>
      </w:r>
      <w:r>
        <w:rPr>
          <w:rFonts w:cs="Times New Roman"/>
          <w:szCs w:val="24"/>
        </w:rPr>
        <w:t>…………….. 23</w:t>
      </w:r>
    </w:p>
    <w:p w:rsidR="000E191F" w:rsidRPr="00E84721" w:rsidRDefault="000E191F" w:rsidP="000E191F">
      <w:pPr>
        <w:ind w:left="0" w:firstLine="0"/>
        <w:jc w:val="both"/>
        <w:rPr>
          <w:rFonts w:cs="Times New Roman"/>
          <w:szCs w:val="24"/>
        </w:rPr>
      </w:pPr>
    </w:p>
    <w:p w:rsidR="000E191F" w:rsidRDefault="000E191F" w:rsidP="000E191F">
      <w:pPr>
        <w:autoSpaceDE w:val="0"/>
        <w:autoSpaceDN w:val="0"/>
        <w:adjustRightInd w:val="0"/>
        <w:ind w:left="0" w:firstLine="0"/>
        <w:jc w:val="both"/>
        <w:rPr>
          <w:rFonts w:cs="Times New Roman"/>
          <w:szCs w:val="24"/>
        </w:rPr>
      </w:pPr>
      <w:proofErr w:type="gramStart"/>
      <w:r w:rsidRPr="00E84721">
        <w:rPr>
          <w:rFonts w:cs="Times New Roman"/>
          <w:szCs w:val="24"/>
        </w:rPr>
        <w:t>Table 3.1</w:t>
      </w:r>
      <w:r>
        <w:rPr>
          <w:rFonts w:cs="Times New Roman"/>
          <w:szCs w:val="24"/>
        </w:rPr>
        <w:t>.</w:t>
      </w:r>
      <w:proofErr w:type="gramEnd"/>
      <w:r w:rsidRPr="00E84721">
        <w:rPr>
          <w:rFonts w:cs="Times New Roman"/>
          <w:szCs w:val="24"/>
        </w:rPr>
        <w:t xml:space="preserve"> </w:t>
      </w:r>
      <w:r>
        <w:rPr>
          <w:rFonts w:cs="Times New Roman"/>
          <w:szCs w:val="24"/>
        </w:rPr>
        <w:t xml:space="preserve"> </w:t>
      </w:r>
    </w:p>
    <w:p w:rsidR="000E191F" w:rsidRDefault="000E191F" w:rsidP="000E191F">
      <w:pPr>
        <w:autoSpaceDE w:val="0"/>
        <w:autoSpaceDN w:val="0"/>
        <w:adjustRightInd w:val="0"/>
        <w:ind w:firstLine="0"/>
        <w:jc w:val="both"/>
        <w:rPr>
          <w:rFonts w:cs="Times New Roman"/>
          <w:szCs w:val="24"/>
        </w:rPr>
      </w:pPr>
      <w:r w:rsidRPr="00E84721">
        <w:rPr>
          <w:rFonts w:cs="Times New Roman"/>
          <w:szCs w:val="24"/>
        </w:rPr>
        <w:t>Justice Segal-Cover Scores Ranked Most Liberal to Most Conservative</w:t>
      </w:r>
      <w:r>
        <w:rPr>
          <w:rFonts w:cs="Times New Roman"/>
          <w:szCs w:val="24"/>
        </w:rPr>
        <w:t xml:space="preserve">, 2007-2011 </w:t>
      </w:r>
      <w:r w:rsidRPr="00E84721">
        <w:rPr>
          <w:rFonts w:cs="Times New Roman"/>
          <w:szCs w:val="24"/>
        </w:rPr>
        <w:t xml:space="preserve">terms </w:t>
      </w:r>
      <w:r>
        <w:rPr>
          <w:rFonts w:cs="Times New Roman"/>
          <w:szCs w:val="24"/>
        </w:rPr>
        <w:t xml:space="preserve">of the </w:t>
      </w:r>
      <w:r w:rsidRPr="00E84721">
        <w:rPr>
          <w:rFonts w:cs="Times New Roman"/>
          <w:szCs w:val="24"/>
        </w:rPr>
        <w:t>USSC</w:t>
      </w:r>
      <w:r>
        <w:rPr>
          <w:rFonts w:cs="Times New Roman"/>
          <w:szCs w:val="24"/>
        </w:rPr>
        <w:t>…………………….................................................................................... 104</w:t>
      </w:r>
    </w:p>
    <w:p w:rsidR="000E191F" w:rsidRPr="00E84721" w:rsidRDefault="000E191F" w:rsidP="000E191F">
      <w:pPr>
        <w:autoSpaceDE w:val="0"/>
        <w:autoSpaceDN w:val="0"/>
        <w:adjustRightInd w:val="0"/>
        <w:ind w:left="0" w:firstLine="0"/>
        <w:jc w:val="both"/>
        <w:rPr>
          <w:rFonts w:cs="Times New Roman"/>
          <w:szCs w:val="24"/>
        </w:rPr>
      </w:pPr>
    </w:p>
    <w:p w:rsidR="000E191F" w:rsidRDefault="000E191F" w:rsidP="000E191F">
      <w:pPr>
        <w:ind w:left="0" w:firstLine="0"/>
        <w:jc w:val="both"/>
        <w:rPr>
          <w:rFonts w:cs="Times New Roman"/>
          <w:szCs w:val="24"/>
        </w:rPr>
      </w:pPr>
      <w:proofErr w:type="gramStart"/>
      <w:r>
        <w:rPr>
          <w:rFonts w:cs="Times New Roman"/>
          <w:szCs w:val="24"/>
        </w:rPr>
        <w:t>Table 3.2.</w:t>
      </w:r>
      <w:proofErr w:type="gramEnd"/>
      <w:r>
        <w:rPr>
          <w:rFonts w:cs="Times New Roman"/>
          <w:szCs w:val="24"/>
        </w:rPr>
        <w:t xml:space="preserve">  </w:t>
      </w:r>
    </w:p>
    <w:p w:rsidR="000E191F" w:rsidRDefault="000E191F" w:rsidP="000E191F">
      <w:pPr>
        <w:ind w:firstLine="0"/>
        <w:jc w:val="both"/>
        <w:rPr>
          <w:rFonts w:cs="Times New Roman"/>
          <w:szCs w:val="24"/>
        </w:rPr>
      </w:pPr>
      <w:r w:rsidRPr="00E84721">
        <w:rPr>
          <w:rFonts w:cs="Times New Roman"/>
          <w:szCs w:val="24"/>
        </w:rPr>
        <w:t>Justice Moderation Scores, From Most to Least Moderate, 2007-2011 Terms of the USSC</w:t>
      </w:r>
      <w:r>
        <w:rPr>
          <w:rFonts w:cs="Times New Roman"/>
          <w:szCs w:val="24"/>
        </w:rPr>
        <w:t>………………………………………………………………………………….. 112</w:t>
      </w:r>
    </w:p>
    <w:p w:rsidR="000E191F" w:rsidRPr="00E84721" w:rsidRDefault="000E191F" w:rsidP="000E191F">
      <w:pPr>
        <w:ind w:left="0" w:firstLine="0"/>
        <w:jc w:val="both"/>
        <w:rPr>
          <w:rFonts w:cs="Times New Roman"/>
          <w:szCs w:val="24"/>
        </w:rPr>
      </w:pPr>
    </w:p>
    <w:p w:rsidR="000E191F" w:rsidRDefault="000E191F" w:rsidP="000E191F">
      <w:pPr>
        <w:ind w:left="0" w:firstLine="0"/>
        <w:jc w:val="both"/>
        <w:rPr>
          <w:rFonts w:cs="Times New Roman"/>
          <w:szCs w:val="24"/>
        </w:rPr>
      </w:pPr>
      <w:proofErr w:type="gramStart"/>
      <w:r w:rsidRPr="00E84721">
        <w:rPr>
          <w:rFonts w:cs="Times New Roman"/>
          <w:szCs w:val="24"/>
        </w:rPr>
        <w:t>Table 3.3.</w:t>
      </w:r>
      <w:proofErr w:type="gramEnd"/>
      <w:r>
        <w:rPr>
          <w:rFonts w:cs="Times New Roman"/>
          <w:szCs w:val="24"/>
        </w:rPr>
        <w:t xml:space="preserve"> </w:t>
      </w:r>
      <w:r w:rsidRPr="00E84721">
        <w:rPr>
          <w:rFonts w:cs="Times New Roman"/>
          <w:szCs w:val="24"/>
        </w:rPr>
        <w:t xml:space="preserve"> </w:t>
      </w:r>
    </w:p>
    <w:p w:rsidR="000E191F" w:rsidRDefault="000E191F" w:rsidP="000E191F">
      <w:pPr>
        <w:ind w:firstLine="0"/>
        <w:jc w:val="both"/>
        <w:rPr>
          <w:rFonts w:cs="Times New Roman"/>
          <w:szCs w:val="24"/>
        </w:rPr>
      </w:pPr>
      <w:r w:rsidRPr="00E84721">
        <w:rPr>
          <w:rFonts w:cs="Times New Roman"/>
          <w:szCs w:val="24"/>
        </w:rPr>
        <w:t>Ranking of Justices According to Their Martin-Quinn Mean Ideology Scores, 2007-2011 Terms</w:t>
      </w:r>
      <w:r>
        <w:rPr>
          <w:rFonts w:cs="Times New Roman"/>
          <w:szCs w:val="24"/>
        </w:rPr>
        <w:t>………………………………………………………………………………….. 117</w:t>
      </w:r>
    </w:p>
    <w:p w:rsidR="000E191F" w:rsidRPr="00E84721" w:rsidRDefault="000E191F" w:rsidP="000E191F">
      <w:pPr>
        <w:ind w:left="0" w:firstLine="0"/>
        <w:jc w:val="both"/>
        <w:rPr>
          <w:rFonts w:cs="Times New Roman"/>
          <w:szCs w:val="24"/>
        </w:rPr>
      </w:pPr>
    </w:p>
    <w:p w:rsidR="000E191F" w:rsidRDefault="000E191F" w:rsidP="000E191F">
      <w:pPr>
        <w:autoSpaceDE w:val="0"/>
        <w:autoSpaceDN w:val="0"/>
        <w:adjustRightInd w:val="0"/>
        <w:ind w:left="0" w:firstLine="0"/>
        <w:jc w:val="both"/>
        <w:rPr>
          <w:rFonts w:cs="Times New Roman"/>
          <w:szCs w:val="24"/>
        </w:rPr>
      </w:pPr>
      <w:proofErr w:type="gramStart"/>
      <w:r w:rsidRPr="00E84721">
        <w:rPr>
          <w:rFonts w:cs="Times New Roman"/>
          <w:szCs w:val="24"/>
        </w:rPr>
        <w:t>Table 4.1.</w:t>
      </w:r>
      <w:proofErr w:type="gramEnd"/>
      <w:r w:rsidRPr="00E84721">
        <w:rPr>
          <w:rFonts w:cs="Times New Roman"/>
          <w:szCs w:val="24"/>
        </w:rPr>
        <w:t xml:space="preserve">  </w:t>
      </w:r>
    </w:p>
    <w:p w:rsidR="000E191F" w:rsidRDefault="000E191F" w:rsidP="000E191F">
      <w:pPr>
        <w:autoSpaceDE w:val="0"/>
        <w:autoSpaceDN w:val="0"/>
        <w:adjustRightInd w:val="0"/>
        <w:ind w:left="0" w:firstLine="720"/>
        <w:jc w:val="both"/>
        <w:rPr>
          <w:rFonts w:cs="Times New Roman"/>
          <w:szCs w:val="24"/>
        </w:rPr>
      </w:pPr>
      <w:r w:rsidRPr="00E84721">
        <w:rPr>
          <w:rFonts w:cs="Times New Roman"/>
          <w:szCs w:val="24"/>
        </w:rPr>
        <w:t>Amicus Curiae Briefs by Issue Areas, 2007-2011 Terms</w:t>
      </w:r>
      <w:r>
        <w:rPr>
          <w:rFonts w:cs="Times New Roman"/>
          <w:szCs w:val="24"/>
        </w:rPr>
        <w:t>…………………………….. 120</w:t>
      </w:r>
    </w:p>
    <w:p w:rsidR="000E191F" w:rsidRPr="00E84721" w:rsidRDefault="000E191F" w:rsidP="000E191F">
      <w:pPr>
        <w:autoSpaceDE w:val="0"/>
        <w:autoSpaceDN w:val="0"/>
        <w:adjustRightInd w:val="0"/>
        <w:ind w:left="0" w:firstLine="0"/>
        <w:jc w:val="both"/>
        <w:rPr>
          <w:rFonts w:cs="Times New Roman"/>
          <w:szCs w:val="24"/>
        </w:rPr>
      </w:pPr>
    </w:p>
    <w:p w:rsidR="000E191F" w:rsidRDefault="000E191F" w:rsidP="000E191F">
      <w:pPr>
        <w:autoSpaceDE w:val="0"/>
        <w:autoSpaceDN w:val="0"/>
        <w:adjustRightInd w:val="0"/>
        <w:ind w:left="0" w:firstLine="0"/>
        <w:jc w:val="both"/>
        <w:rPr>
          <w:rFonts w:cs="Times New Roman"/>
          <w:szCs w:val="24"/>
        </w:rPr>
      </w:pPr>
      <w:proofErr w:type="gramStart"/>
      <w:r w:rsidRPr="00E84721">
        <w:rPr>
          <w:rFonts w:cs="Times New Roman"/>
          <w:szCs w:val="24"/>
        </w:rPr>
        <w:t>Table 4.2.</w:t>
      </w:r>
      <w:proofErr w:type="gramEnd"/>
      <w:r w:rsidRPr="00E84721">
        <w:rPr>
          <w:rFonts w:cs="Times New Roman"/>
          <w:szCs w:val="24"/>
        </w:rPr>
        <w:t xml:space="preserve">  </w:t>
      </w:r>
    </w:p>
    <w:p w:rsidR="000E191F" w:rsidRDefault="000E191F" w:rsidP="000E191F">
      <w:pPr>
        <w:autoSpaceDE w:val="0"/>
        <w:autoSpaceDN w:val="0"/>
        <w:adjustRightInd w:val="0"/>
        <w:ind w:left="0" w:firstLine="720"/>
        <w:jc w:val="both"/>
        <w:rPr>
          <w:rFonts w:cs="Times New Roman"/>
          <w:szCs w:val="24"/>
        </w:rPr>
      </w:pPr>
      <w:r w:rsidRPr="00E84721">
        <w:rPr>
          <w:rFonts w:cs="Times New Roman"/>
          <w:szCs w:val="24"/>
        </w:rPr>
        <w:t>Amicus Curiae Cosigners by Issue Areas, 2007-2011 Terms</w:t>
      </w:r>
      <w:r>
        <w:rPr>
          <w:rFonts w:cs="Times New Roman"/>
          <w:szCs w:val="24"/>
        </w:rPr>
        <w:t>………………………… 126</w:t>
      </w:r>
    </w:p>
    <w:p w:rsidR="000E191F" w:rsidRPr="00E84721" w:rsidRDefault="000E191F" w:rsidP="000E191F">
      <w:pPr>
        <w:autoSpaceDE w:val="0"/>
        <w:autoSpaceDN w:val="0"/>
        <w:adjustRightInd w:val="0"/>
        <w:ind w:left="0" w:firstLine="0"/>
        <w:jc w:val="both"/>
        <w:rPr>
          <w:rFonts w:cs="Times New Roman"/>
          <w:szCs w:val="24"/>
        </w:rPr>
      </w:pPr>
    </w:p>
    <w:p w:rsidR="000E191F" w:rsidRDefault="000E191F" w:rsidP="000E191F">
      <w:pPr>
        <w:ind w:left="0" w:firstLine="0"/>
        <w:jc w:val="both"/>
        <w:rPr>
          <w:rFonts w:cs="Times New Roman"/>
          <w:szCs w:val="24"/>
        </w:rPr>
      </w:pPr>
      <w:proofErr w:type="gramStart"/>
      <w:r w:rsidRPr="00E84721">
        <w:rPr>
          <w:rFonts w:cs="Times New Roman"/>
          <w:szCs w:val="24"/>
        </w:rPr>
        <w:t>Table 4.3.</w:t>
      </w:r>
      <w:proofErr w:type="gramEnd"/>
      <w:r w:rsidRPr="00E84721">
        <w:rPr>
          <w:rFonts w:cs="Times New Roman"/>
          <w:szCs w:val="24"/>
        </w:rPr>
        <w:t xml:space="preserve">  </w:t>
      </w:r>
    </w:p>
    <w:p w:rsidR="000E191F" w:rsidRDefault="000E191F" w:rsidP="000E191F">
      <w:pPr>
        <w:ind w:left="0" w:firstLine="720"/>
        <w:jc w:val="both"/>
        <w:rPr>
          <w:rFonts w:cs="Times New Roman"/>
          <w:szCs w:val="24"/>
        </w:rPr>
      </w:pPr>
      <w:r w:rsidRPr="00E84721">
        <w:rPr>
          <w:rFonts w:cs="Times New Roman"/>
          <w:szCs w:val="24"/>
        </w:rPr>
        <w:t>Amicus Curiae Briefs by Term</w:t>
      </w:r>
      <w:r>
        <w:rPr>
          <w:rFonts w:cs="Times New Roman"/>
          <w:szCs w:val="24"/>
        </w:rPr>
        <w:t>………………………………………………………... 133</w:t>
      </w:r>
    </w:p>
    <w:p w:rsidR="000E191F" w:rsidRPr="00E84721" w:rsidRDefault="000E191F" w:rsidP="000E191F">
      <w:pPr>
        <w:ind w:left="0" w:firstLine="0"/>
        <w:jc w:val="both"/>
        <w:rPr>
          <w:rFonts w:cs="Times New Roman"/>
          <w:szCs w:val="24"/>
        </w:rPr>
      </w:pPr>
    </w:p>
    <w:p w:rsidR="000E191F" w:rsidRDefault="000E191F" w:rsidP="000E191F">
      <w:pPr>
        <w:ind w:left="0" w:firstLine="0"/>
        <w:jc w:val="both"/>
        <w:rPr>
          <w:rFonts w:cs="Times New Roman"/>
          <w:szCs w:val="24"/>
        </w:rPr>
      </w:pPr>
      <w:proofErr w:type="gramStart"/>
      <w:r w:rsidRPr="00E84721">
        <w:rPr>
          <w:rFonts w:cs="Times New Roman"/>
          <w:szCs w:val="24"/>
        </w:rPr>
        <w:t>Table 4.4.</w:t>
      </w:r>
      <w:proofErr w:type="gramEnd"/>
      <w:r w:rsidRPr="00E84721">
        <w:rPr>
          <w:rFonts w:cs="Times New Roman"/>
          <w:szCs w:val="24"/>
        </w:rPr>
        <w:t xml:space="preserve">  </w:t>
      </w:r>
    </w:p>
    <w:p w:rsidR="000E191F" w:rsidRDefault="000E191F" w:rsidP="000E191F">
      <w:pPr>
        <w:ind w:left="0" w:firstLine="720"/>
        <w:jc w:val="both"/>
        <w:rPr>
          <w:rFonts w:cs="Times New Roman"/>
          <w:szCs w:val="24"/>
        </w:rPr>
      </w:pPr>
      <w:r w:rsidRPr="00E84721">
        <w:rPr>
          <w:rFonts w:cs="Times New Roman"/>
          <w:szCs w:val="24"/>
        </w:rPr>
        <w:t>Amicus Curiae Cosigners by Term</w:t>
      </w:r>
      <w:r>
        <w:rPr>
          <w:rFonts w:cs="Times New Roman"/>
          <w:szCs w:val="24"/>
        </w:rPr>
        <w:t>……………………………………………………. 137</w:t>
      </w:r>
    </w:p>
    <w:p w:rsidR="000E191F" w:rsidRPr="00E84721" w:rsidRDefault="000E191F" w:rsidP="000E191F">
      <w:pPr>
        <w:ind w:left="0" w:firstLine="0"/>
        <w:jc w:val="both"/>
        <w:rPr>
          <w:rFonts w:cs="Times New Roman"/>
          <w:szCs w:val="24"/>
        </w:rPr>
      </w:pPr>
    </w:p>
    <w:p w:rsidR="000E191F" w:rsidRDefault="000E191F" w:rsidP="000E191F">
      <w:pPr>
        <w:ind w:left="0" w:firstLine="0"/>
        <w:jc w:val="both"/>
        <w:rPr>
          <w:rFonts w:cs="Times New Roman"/>
          <w:szCs w:val="24"/>
        </w:rPr>
      </w:pPr>
      <w:proofErr w:type="gramStart"/>
      <w:r>
        <w:rPr>
          <w:rFonts w:cs="Times New Roman"/>
          <w:szCs w:val="24"/>
        </w:rPr>
        <w:t>Table 4.5.</w:t>
      </w:r>
      <w:proofErr w:type="gramEnd"/>
      <w:r>
        <w:rPr>
          <w:rFonts w:cs="Times New Roman"/>
          <w:szCs w:val="24"/>
        </w:rPr>
        <w:t xml:space="preserve">  </w:t>
      </w:r>
    </w:p>
    <w:p w:rsidR="000E191F" w:rsidRDefault="000E191F" w:rsidP="000E191F">
      <w:pPr>
        <w:ind w:left="0" w:firstLine="720"/>
        <w:jc w:val="both"/>
        <w:rPr>
          <w:rFonts w:cs="Times New Roman"/>
          <w:szCs w:val="24"/>
        </w:rPr>
      </w:pPr>
      <w:r w:rsidRPr="00E84721">
        <w:rPr>
          <w:rFonts w:cs="Times New Roman"/>
          <w:szCs w:val="24"/>
        </w:rPr>
        <w:t>Amicus Curiae Participation by Amicus Category, 2007-2011 Terms</w:t>
      </w:r>
      <w:r>
        <w:rPr>
          <w:rFonts w:cs="Times New Roman"/>
          <w:szCs w:val="24"/>
        </w:rPr>
        <w:t>……………...... 139</w:t>
      </w:r>
    </w:p>
    <w:p w:rsidR="000E191F" w:rsidRPr="00E84721" w:rsidRDefault="000E191F" w:rsidP="000E191F">
      <w:pPr>
        <w:ind w:left="0" w:firstLine="0"/>
        <w:jc w:val="both"/>
        <w:rPr>
          <w:rFonts w:cs="Times New Roman"/>
          <w:szCs w:val="24"/>
        </w:rPr>
      </w:pPr>
    </w:p>
    <w:p w:rsidR="000E191F" w:rsidRDefault="000E191F" w:rsidP="000E191F">
      <w:pPr>
        <w:ind w:left="0" w:firstLine="0"/>
        <w:jc w:val="both"/>
        <w:rPr>
          <w:rFonts w:cs="Times New Roman"/>
          <w:szCs w:val="24"/>
        </w:rPr>
      </w:pPr>
      <w:proofErr w:type="gramStart"/>
      <w:r w:rsidRPr="00E84721">
        <w:rPr>
          <w:rFonts w:cs="Times New Roman"/>
          <w:szCs w:val="24"/>
        </w:rPr>
        <w:t>Table 4.6.</w:t>
      </w:r>
      <w:proofErr w:type="gramEnd"/>
      <w:r w:rsidRPr="00E84721">
        <w:rPr>
          <w:rFonts w:cs="Times New Roman"/>
          <w:szCs w:val="24"/>
        </w:rPr>
        <w:t xml:space="preserve">  </w:t>
      </w:r>
    </w:p>
    <w:p w:rsidR="000E191F" w:rsidRDefault="000E191F" w:rsidP="000E191F">
      <w:pPr>
        <w:ind w:left="0" w:firstLine="720"/>
        <w:jc w:val="both"/>
        <w:rPr>
          <w:rFonts w:cs="Times New Roman"/>
          <w:szCs w:val="24"/>
        </w:rPr>
      </w:pPr>
      <w:r w:rsidRPr="00E84721">
        <w:rPr>
          <w:rFonts w:cs="Times New Roman"/>
          <w:szCs w:val="24"/>
        </w:rPr>
        <w:t>Amicus Curiae Participation by Governments, 2007-2011 Terms</w:t>
      </w:r>
      <w:r>
        <w:rPr>
          <w:rFonts w:cs="Times New Roman"/>
          <w:szCs w:val="24"/>
        </w:rPr>
        <w:t>……………………. 142</w:t>
      </w:r>
    </w:p>
    <w:p w:rsidR="000E191F" w:rsidRPr="00E84721" w:rsidRDefault="000E191F" w:rsidP="000E191F">
      <w:pPr>
        <w:ind w:left="0" w:firstLine="0"/>
        <w:jc w:val="both"/>
        <w:rPr>
          <w:rFonts w:cs="Times New Roman"/>
          <w:szCs w:val="24"/>
        </w:rPr>
      </w:pPr>
    </w:p>
    <w:p w:rsidR="000E191F" w:rsidRDefault="000E191F" w:rsidP="000E191F">
      <w:pPr>
        <w:tabs>
          <w:tab w:val="left" w:pos="1365"/>
        </w:tabs>
        <w:ind w:left="0" w:firstLine="0"/>
        <w:jc w:val="both"/>
        <w:rPr>
          <w:rFonts w:cs="Times New Roman"/>
          <w:szCs w:val="24"/>
        </w:rPr>
      </w:pPr>
      <w:proofErr w:type="gramStart"/>
      <w:r w:rsidRPr="00E84721">
        <w:rPr>
          <w:rFonts w:cs="Times New Roman"/>
          <w:szCs w:val="24"/>
        </w:rPr>
        <w:t>Table 4.7.</w:t>
      </w:r>
      <w:proofErr w:type="gramEnd"/>
      <w:r w:rsidRPr="00E84721">
        <w:rPr>
          <w:rFonts w:cs="Times New Roman"/>
          <w:szCs w:val="24"/>
        </w:rPr>
        <w:t xml:space="preserve">  </w:t>
      </w:r>
    </w:p>
    <w:p w:rsidR="000E191F" w:rsidRDefault="000E191F" w:rsidP="000E191F">
      <w:pPr>
        <w:tabs>
          <w:tab w:val="left" w:pos="1365"/>
        </w:tabs>
        <w:jc w:val="both"/>
        <w:rPr>
          <w:rFonts w:cs="Times New Roman"/>
          <w:szCs w:val="24"/>
        </w:rPr>
      </w:pPr>
      <w:r>
        <w:rPr>
          <w:rFonts w:cs="Times New Roman"/>
          <w:szCs w:val="24"/>
        </w:rPr>
        <w:tab/>
      </w:r>
      <w:r w:rsidRPr="00E84721">
        <w:rPr>
          <w:rFonts w:cs="Times New Roman"/>
          <w:szCs w:val="24"/>
        </w:rPr>
        <w:t>Most Frequent Tracked Amicus Interest Groups, 2007-2011 Terms</w:t>
      </w:r>
      <w:r>
        <w:rPr>
          <w:rFonts w:cs="Times New Roman"/>
          <w:szCs w:val="24"/>
        </w:rPr>
        <w:t>…………………. 147</w:t>
      </w:r>
    </w:p>
    <w:p w:rsidR="000E191F" w:rsidRPr="00E84721" w:rsidRDefault="000E191F" w:rsidP="000E191F">
      <w:pPr>
        <w:tabs>
          <w:tab w:val="left" w:pos="1365"/>
        </w:tabs>
        <w:ind w:left="0" w:firstLine="0"/>
        <w:jc w:val="both"/>
        <w:rPr>
          <w:rFonts w:cs="Times New Roman"/>
          <w:szCs w:val="24"/>
        </w:rPr>
      </w:pPr>
    </w:p>
    <w:p w:rsidR="000E191F" w:rsidRDefault="000E191F" w:rsidP="000E191F">
      <w:pPr>
        <w:tabs>
          <w:tab w:val="left" w:pos="1365"/>
        </w:tabs>
        <w:ind w:left="0" w:firstLine="0"/>
        <w:jc w:val="both"/>
        <w:rPr>
          <w:rFonts w:cs="Times New Roman"/>
          <w:szCs w:val="24"/>
        </w:rPr>
      </w:pPr>
      <w:proofErr w:type="gramStart"/>
      <w:r w:rsidRPr="00E84721">
        <w:rPr>
          <w:rFonts w:cs="Times New Roman"/>
          <w:szCs w:val="24"/>
        </w:rPr>
        <w:t>Table 4.8.</w:t>
      </w:r>
      <w:proofErr w:type="gramEnd"/>
      <w:r w:rsidRPr="00E84721">
        <w:rPr>
          <w:rFonts w:cs="Times New Roman"/>
          <w:szCs w:val="24"/>
        </w:rPr>
        <w:t xml:space="preserve">  </w:t>
      </w:r>
    </w:p>
    <w:p w:rsidR="000E191F" w:rsidRDefault="000E191F" w:rsidP="000E191F">
      <w:pPr>
        <w:tabs>
          <w:tab w:val="left" w:pos="1365"/>
        </w:tabs>
        <w:ind w:firstLine="0"/>
        <w:jc w:val="both"/>
        <w:rPr>
          <w:rFonts w:cs="Times New Roman"/>
          <w:szCs w:val="24"/>
        </w:rPr>
      </w:pPr>
      <w:r w:rsidRPr="00E84721">
        <w:rPr>
          <w:rFonts w:cs="Times New Roman"/>
          <w:szCs w:val="24"/>
        </w:rPr>
        <w:t>Most Frequent Tracked Conservative Amicus Interest Groups, 2007-2011 Terms</w:t>
      </w:r>
      <w:r>
        <w:rPr>
          <w:rFonts w:cs="Times New Roman"/>
          <w:szCs w:val="24"/>
        </w:rPr>
        <w:t>…... 149</w:t>
      </w:r>
    </w:p>
    <w:p w:rsidR="000E191F" w:rsidRPr="00E84721" w:rsidRDefault="000E191F" w:rsidP="000E191F">
      <w:pPr>
        <w:tabs>
          <w:tab w:val="left" w:pos="1365"/>
        </w:tabs>
        <w:ind w:left="0" w:firstLine="0"/>
        <w:jc w:val="both"/>
        <w:rPr>
          <w:rFonts w:cs="Times New Roman"/>
          <w:szCs w:val="24"/>
        </w:rPr>
      </w:pPr>
    </w:p>
    <w:p w:rsidR="000E191F" w:rsidRDefault="000E191F" w:rsidP="000E191F">
      <w:pPr>
        <w:tabs>
          <w:tab w:val="left" w:pos="1365"/>
        </w:tabs>
        <w:ind w:left="0" w:firstLine="0"/>
        <w:jc w:val="both"/>
        <w:rPr>
          <w:rFonts w:cs="Times New Roman"/>
          <w:szCs w:val="24"/>
        </w:rPr>
      </w:pPr>
      <w:proofErr w:type="gramStart"/>
      <w:r w:rsidRPr="00E84721">
        <w:rPr>
          <w:rFonts w:cs="Times New Roman"/>
          <w:szCs w:val="24"/>
        </w:rPr>
        <w:t>Table 4.9.</w:t>
      </w:r>
      <w:proofErr w:type="gramEnd"/>
      <w:r w:rsidRPr="00E84721">
        <w:rPr>
          <w:rFonts w:cs="Times New Roman"/>
          <w:szCs w:val="24"/>
        </w:rPr>
        <w:t xml:space="preserve">  </w:t>
      </w:r>
    </w:p>
    <w:p w:rsidR="000E191F" w:rsidRDefault="000E191F" w:rsidP="000E191F">
      <w:pPr>
        <w:tabs>
          <w:tab w:val="left" w:pos="1365"/>
        </w:tabs>
        <w:ind w:firstLine="0"/>
        <w:jc w:val="both"/>
        <w:rPr>
          <w:rFonts w:cs="Times New Roman"/>
          <w:szCs w:val="24"/>
        </w:rPr>
      </w:pPr>
      <w:r w:rsidRPr="00E84721">
        <w:rPr>
          <w:rFonts w:cs="Times New Roman"/>
          <w:szCs w:val="24"/>
        </w:rPr>
        <w:t>Most Frequent Tracked Liberal Amicus Interest Groups, 2007-2011 Terms</w:t>
      </w:r>
      <w:r>
        <w:rPr>
          <w:rFonts w:cs="Times New Roman"/>
          <w:szCs w:val="24"/>
        </w:rPr>
        <w:t>…………. 149</w:t>
      </w:r>
    </w:p>
    <w:p w:rsidR="000E191F" w:rsidRPr="00E84721" w:rsidRDefault="000E191F" w:rsidP="000E191F">
      <w:pPr>
        <w:tabs>
          <w:tab w:val="left" w:pos="1365"/>
        </w:tabs>
        <w:ind w:left="0" w:firstLine="0"/>
        <w:jc w:val="both"/>
        <w:rPr>
          <w:rFonts w:cs="Times New Roman"/>
          <w:szCs w:val="24"/>
        </w:rPr>
      </w:pPr>
    </w:p>
    <w:p w:rsidR="000E191F" w:rsidRDefault="000E191F" w:rsidP="000E191F">
      <w:pPr>
        <w:tabs>
          <w:tab w:val="left" w:pos="1365"/>
        </w:tabs>
        <w:ind w:left="0" w:firstLine="0"/>
        <w:jc w:val="both"/>
        <w:rPr>
          <w:rFonts w:cs="Times New Roman"/>
          <w:szCs w:val="24"/>
        </w:rPr>
      </w:pPr>
      <w:proofErr w:type="gramStart"/>
      <w:r w:rsidRPr="00E84721">
        <w:rPr>
          <w:rFonts w:cs="Times New Roman"/>
          <w:szCs w:val="24"/>
        </w:rPr>
        <w:t>Table 4.10.</w:t>
      </w:r>
      <w:proofErr w:type="gramEnd"/>
      <w:r w:rsidRPr="00E84721">
        <w:rPr>
          <w:rFonts w:cs="Times New Roman"/>
          <w:szCs w:val="24"/>
        </w:rPr>
        <w:t xml:space="preserve">  </w:t>
      </w:r>
    </w:p>
    <w:p w:rsidR="000E191F" w:rsidRDefault="000E191F" w:rsidP="000E191F">
      <w:pPr>
        <w:tabs>
          <w:tab w:val="left" w:pos="1365"/>
        </w:tabs>
        <w:ind w:firstLine="0"/>
        <w:jc w:val="both"/>
        <w:rPr>
          <w:rFonts w:cs="Times New Roman"/>
          <w:szCs w:val="24"/>
        </w:rPr>
      </w:pPr>
      <w:r w:rsidRPr="00E84721">
        <w:rPr>
          <w:rFonts w:cs="Times New Roman"/>
          <w:szCs w:val="24"/>
        </w:rPr>
        <w:t>Winning Percentage of Tracked Prest</w:t>
      </w:r>
      <w:r>
        <w:rPr>
          <w:rFonts w:cs="Times New Roman"/>
          <w:szCs w:val="24"/>
        </w:rPr>
        <w:t>igious Amici, 2007-2011 Terms………………. 150</w:t>
      </w:r>
    </w:p>
    <w:p w:rsidR="000E191F" w:rsidRPr="00E84721" w:rsidRDefault="000E191F" w:rsidP="000E191F">
      <w:pPr>
        <w:tabs>
          <w:tab w:val="left" w:pos="1365"/>
        </w:tabs>
        <w:ind w:left="0" w:firstLine="0"/>
        <w:jc w:val="both"/>
        <w:rPr>
          <w:rFonts w:cs="Times New Roman"/>
          <w:szCs w:val="24"/>
        </w:rPr>
      </w:pPr>
    </w:p>
    <w:p w:rsidR="000E191F" w:rsidRDefault="000E191F" w:rsidP="000E191F">
      <w:pPr>
        <w:autoSpaceDE w:val="0"/>
        <w:autoSpaceDN w:val="0"/>
        <w:adjustRightInd w:val="0"/>
        <w:ind w:left="0" w:firstLine="0"/>
        <w:jc w:val="both"/>
        <w:rPr>
          <w:rFonts w:cs="Times New Roman"/>
          <w:szCs w:val="24"/>
        </w:rPr>
      </w:pPr>
      <w:proofErr w:type="gramStart"/>
      <w:r w:rsidRPr="00E84721">
        <w:rPr>
          <w:rFonts w:cs="Times New Roman"/>
          <w:szCs w:val="24"/>
        </w:rPr>
        <w:t>Table 5.1.</w:t>
      </w:r>
      <w:proofErr w:type="gramEnd"/>
      <w:r w:rsidRPr="00E84721">
        <w:rPr>
          <w:rFonts w:cs="Times New Roman"/>
          <w:szCs w:val="24"/>
        </w:rPr>
        <w:t xml:space="preserve"> </w:t>
      </w:r>
      <w:r>
        <w:rPr>
          <w:rFonts w:cs="Times New Roman"/>
          <w:szCs w:val="24"/>
        </w:rPr>
        <w:t xml:space="preserve"> </w:t>
      </w:r>
    </w:p>
    <w:p w:rsidR="000E191F" w:rsidRDefault="000E191F" w:rsidP="000E191F">
      <w:pPr>
        <w:autoSpaceDE w:val="0"/>
        <w:autoSpaceDN w:val="0"/>
        <w:adjustRightInd w:val="0"/>
        <w:ind w:firstLine="0"/>
        <w:jc w:val="both"/>
        <w:rPr>
          <w:rFonts w:cs="Times New Roman"/>
          <w:szCs w:val="24"/>
        </w:rPr>
      </w:pPr>
      <w:r w:rsidRPr="00E84721">
        <w:rPr>
          <w:rFonts w:cs="Times New Roman"/>
          <w:szCs w:val="24"/>
        </w:rPr>
        <w:t xml:space="preserve">Primary </w:t>
      </w:r>
      <w:proofErr w:type="spellStart"/>
      <w:r w:rsidRPr="00E84721">
        <w:rPr>
          <w:rFonts w:cs="Times New Roman"/>
          <w:szCs w:val="24"/>
        </w:rPr>
        <w:t>Logit</w:t>
      </w:r>
      <w:proofErr w:type="spellEnd"/>
      <w:r w:rsidRPr="00E84721">
        <w:rPr>
          <w:rFonts w:cs="Times New Roman"/>
          <w:szCs w:val="24"/>
        </w:rPr>
        <w:t xml:space="preserve"> Model of the Impact of Amici on Ideological Direction of Justice Votes at the Roberts Court with Interaction Term, 2007 – 2011 Terms</w:t>
      </w:r>
      <w:r>
        <w:rPr>
          <w:rFonts w:cs="Times New Roman"/>
          <w:szCs w:val="24"/>
        </w:rPr>
        <w:t>………………………... 157</w:t>
      </w:r>
    </w:p>
    <w:p w:rsidR="000E191F" w:rsidRPr="00E84721" w:rsidRDefault="000E191F" w:rsidP="000E191F">
      <w:pPr>
        <w:autoSpaceDE w:val="0"/>
        <w:autoSpaceDN w:val="0"/>
        <w:adjustRightInd w:val="0"/>
        <w:ind w:left="0" w:firstLine="0"/>
        <w:jc w:val="both"/>
        <w:rPr>
          <w:rFonts w:cs="Times New Roman"/>
          <w:szCs w:val="24"/>
        </w:rPr>
      </w:pPr>
    </w:p>
    <w:p w:rsidR="000E191F" w:rsidRDefault="000E191F" w:rsidP="000E191F">
      <w:pPr>
        <w:autoSpaceDE w:val="0"/>
        <w:autoSpaceDN w:val="0"/>
        <w:adjustRightInd w:val="0"/>
        <w:ind w:left="0" w:firstLine="0"/>
        <w:jc w:val="both"/>
        <w:rPr>
          <w:rFonts w:cs="Times New Roman"/>
          <w:szCs w:val="24"/>
        </w:rPr>
      </w:pPr>
      <w:proofErr w:type="gramStart"/>
      <w:r w:rsidRPr="00E84721">
        <w:rPr>
          <w:rFonts w:cs="Times New Roman"/>
          <w:szCs w:val="24"/>
        </w:rPr>
        <w:t>Table 5.2.</w:t>
      </w:r>
      <w:proofErr w:type="gramEnd"/>
      <w:r w:rsidRPr="00E84721">
        <w:rPr>
          <w:rFonts w:cs="Times New Roman"/>
          <w:szCs w:val="24"/>
        </w:rPr>
        <w:t xml:space="preserve"> </w:t>
      </w:r>
      <w:r>
        <w:rPr>
          <w:rFonts w:cs="Times New Roman"/>
          <w:szCs w:val="24"/>
        </w:rPr>
        <w:t xml:space="preserve"> </w:t>
      </w:r>
    </w:p>
    <w:p w:rsidR="000E191F" w:rsidRDefault="000E191F" w:rsidP="000E191F">
      <w:pPr>
        <w:autoSpaceDE w:val="0"/>
        <w:autoSpaceDN w:val="0"/>
        <w:adjustRightInd w:val="0"/>
        <w:ind w:firstLine="0"/>
        <w:jc w:val="both"/>
        <w:rPr>
          <w:rFonts w:cs="Times New Roman"/>
          <w:szCs w:val="24"/>
        </w:rPr>
      </w:pPr>
      <w:proofErr w:type="spellStart"/>
      <w:r w:rsidRPr="00E84721">
        <w:rPr>
          <w:rFonts w:cs="Times New Roman"/>
          <w:szCs w:val="24"/>
        </w:rPr>
        <w:t>Logit</w:t>
      </w:r>
      <w:proofErr w:type="spellEnd"/>
      <w:r w:rsidRPr="00E84721">
        <w:rPr>
          <w:rFonts w:cs="Times New Roman"/>
          <w:szCs w:val="24"/>
        </w:rPr>
        <w:t xml:space="preserve"> Model of the Impact of Amici on Ideological Direction of Justice Votes at the Roberts Court, 2007 – 2011 Terms: Criminal Procedure Cases</w:t>
      </w:r>
      <w:r>
        <w:rPr>
          <w:rFonts w:cs="Times New Roman"/>
          <w:szCs w:val="24"/>
        </w:rPr>
        <w:t>……………………....  168</w:t>
      </w:r>
    </w:p>
    <w:p w:rsidR="000E191F" w:rsidRPr="00E84721" w:rsidRDefault="000E191F" w:rsidP="000E191F">
      <w:pPr>
        <w:autoSpaceDE w:val="0"/>
        <w:autoSpaceDN w:val="0"/>
        <w:adjustRightInd w:val="0"/>
        <w:ind w:left="0" w:firstLine="0"/>
        <w:jc w:val="both"/>
        <w:rPr>
          <w:rFonts w:cs="Times New Roman"/>
          <w:szCs w:val="24"/>
        </w:rPr>
      </w:pPr>
    </w:p>
    <w:p w:rsidR="000E191F" w:rsidRDefault="000E191F" w:rsidP="000E191F">
      <w:pPr>
        <w:autoSpaceDE w:val="0"/>
        <w:autoSpaceDN w:val="0"/>
        <w:adjustRightInd w:val="0"/>
        <w:ind w:left="0" w:firstLine="0"/>
        <w:jc w:val="both"/>
        <w:rPr>
          <w:rFonts w:cs="Times New Roman"/>
          <w:szCs w:val="24"/>
        </w:rPr>
      </w:pPr>
      <w:proofErr w:type="gramStart"/>
      <w:r w:rsidRPr="00E84721">
        <w:rPr>
          <w:rFonts w:cs="Times New Roman"/>
          <w:szCs w:val="24"/>
        </w:rPr>
        <w:t>Table 5.3.</w:t>
      </w:r>
      <w:proofErr w:type="gramEnd"/>
      <w:r w:rsidRPr="00E84721">
        <w:rPr>
          <w:rFonts w:cs="Times New Roman"/>
          <w:szCs w:val="24"/>
        </w:rPr>
        <w:t xml:space="preserve"> </w:t>
      </w:r>
    </w:p>
    <w:p w:rsidR="000E191F" w:rsidRDefault="000E191F" w:rsidP="000E191F">
      <w:pPr>
        <w:autoSpaceDE w:val="0"/>
        <w:autoSpaceDN w:val="0"/>
        <w:adjustRightInd w:val="0"/>
        <w:ind w:firstLine="0"/>
        <w:jc w:val="both"/>
        <w:rPr>
          <w:rFonts w:cs="Times New Roman"/>
          <w:szCs w:val="24"/>
        </w:rPr>
      </w:pPr>
      <w:proofErr w:type="spellStart"/>
      <w:r w:rsidRPr="00E84721">
        <w:rPr>
          <w:rFonts w:cs="Times New Roman"/>
          <w:szCs w:val="24"/>
        </w:rPr>
        <w:t>Logit</w:t>
      </w:r>
      <w:proofErr w:type="spellEnd"/>
      <w:r w:rsidRPr="00E84721">
        <w:rPr>
          <w:rFonts w:cs="Times New Roman"/>
          <w:szCs w:val="24"/>
        </w:rPr>
        <w:t xml:space="preserve"> Model of the Impact of Amici on Ideological Direction of Justice Votes at the Roberts Court, 2007 – 2011 Terms: Civil Rights and Liberties Cases</w:t>
      </w:r>
      <w:r>
        <w:rPr>
          <w:rFonts w:cs="Times New Roman"/>
          <w:szCs w:val="24"/>
        </w:rPr>
        <w:t>………………..  174</w:t>
      </w:r>
    </w:p>
    <w:p w:rsidR="000E191F" w:rsidRPr="00E84721" w:rsidRDefault="000E191F" w:rsidP="000E191F">
      <w:pPr>
        <w:autoSpaceDE w:val="0"/>
        <w:autoSpaceDN w:val="0"/>
        <w:adjustRightInd w:val="0"/>
        <w:ind w:left="0" w:firstLine="0"/>
        <w:jc w:val="both"/>
        <w:rPr>
          <w:rFonts w:cs="Times New Roman"/>
          <w:szCs w:val="24"/>
        </w:rPr>
      </w:pPr>
    </w:p>
    <w:p w:rsidR="000E191F" w:rsidRDefault="000E191F" w:rsidP="000E191F">
      <w:pPr>
        <w:autoSpaceDE w:val="0"/>
        <w:autoSpaceDN w:val="0"/>
        <w:adjustRightInd w:val="0"/>
        <w:ind w:left="0" w:firstLine="0"/>
        <w:jc w:val="both"/>
        <w:rPr>
          <w:rFonts w:cs="Times New Roman"/>
          <w:szCs w:val="24"/>
        </w:rPr>
      </w:pPr>
      <w:proofErr w:type="gramStart"/>
      <w:r w:rsidRPr="00E84721">
        <w:rPr>
          <w:rFonts w:cs="Times New Roman"/>
          <w:szCs w:val="24"/>
        </w:rPr>
        <w:t>Table 5.4.</w:t>
      </w:r>
      <w:proofErr w:type="gramEnd"/>
      <w:r w:rsidRPr="00E84721">
        <w:rPr>
          <w:rFonts w:cs="Times New Roman"/>
          <w:szCs w:val="24"/>
        </w:rPr>
        <w:t xml:space="preserve"> </w:t>
      </w:r>
      <w:r>
        <w:rPr>
          <w:rFonts w:cs="Times New Roman"/>
          <w:szCs w:val="24"/>
        </w:rPr>
        <w:t xml:space="preserve"> </w:t>
      </w:r>
    </w:p>
    <w:p w:rsidR="000E191F" w:rsidRDefault="000E191F" w:rsidP="000E191F">
      <w:pPr>
        <w:autoSpaceDE w:val="0"/>
        <w:autoSpaceDN w:val="0"/>
        <w:adjustRightInd w:val="0"/>
        <w:ind w:firstLine="0"/>
        <w:jc w:val="both"/>
        <w:rPr>
          <w:rFonts w:cs="Times New Roman"/>
          <w:szCs w:val="24"/>
        </w:rPr>
      </w:pPr>
      <w:proofErr w:type="spellStart"/>
      <w:r w:rsidRPr="00E84721">
        <w:rPr>
          <w:rFonts w:cs="Times New Roman"/>
          <w:szCs w:val="24"/>
        </w:rPr>
        <w:t>Logit</w:t>
      </w:r>
      <w:proofErr w:type="spellEnd"/>
      <w:r w:rsidRPr="00E84721">
        <w:rPr>
          <w:rFonts w:cs="Times New Roman"/>
          <w:szCs w:val="24"/>
        </w:rPr>
        <w:t xml:space="preserve"> Model of the Impact of Amici on Ideological Direction of Justice Votes at the Roberts Court, 2007 – 2011 Terms: Economics Cases</w:t>
      </w:r>
      <w:r>
        <w:rPr>
          <w:rFonts w:cs="Times New Roman"/>
          <w:szCs w:val="24"/>
        </w:rPr>
        <w:t>………………………………... 182</w:t>
      </w:r>
    </w:p>
    <w:p w:rsidR="000E191F" w:rsidRPr="00E84721" w:rsidRDefault="000E191F" w:rsidP="000E191F">
      <w:pPr>
        <w:autoSpaceDE w:val="0"/>
        <w:autoSpaceDN w:val="0"/>
        <w:adjustRightInd w:val="0"/>
        <w:ind w:left="0" w:firstLine="0"/>
        <w:jc w:val="both"/>
        <w:rPr>
          <w:rFonts w:cs="Times New Roman"/>
          <w:szCs w:val="24"/>
        </w:rPr>
      </w:pPr>
    </w:p>
    <w:p w:rsidR="000E191F" w:rsidRDefault="000E191F" w:rsidP="000E191F">
      <w:pPr>
        <w:autoSpaceDE w:val="0"/>
        <w:autoSpaceDN w:val="0"/>
        <w:adjustRightInd w:val="0"/>
        <w:ind w:left="0" w:firstLine="0"/>
        <w:jc w:val="both"/>
        <w:rPr>
          <w:rFonts w:cs="Times New Roman"/>
          <w:szCs w:val="24"/>
        </w:rPr>
      </w:pPr>
      <w:proofErr w:type="gramStart"/>
      <w:r w:rsidRPr="00E84721">
        <w:rPr>
          <w:rFonts w:cs="Times New Roman"/>
          <w:szCs w:val="24"/>
        </w:rPr>
        <w:t>Table 5.5.</w:t>
      </w:r>
      <w:proofErr w:type="gramEnd"/>
      <w:r w:rsidRPr="00E84721">
        <w:rPr>
          <w:rFonts w:cs="Times New Roman"/>
          <w:szCs w:val="24"/>
        </w:rPr>
        <w:t xml:space="preserve"> </w:t>
      </w:r>
      <w:r>
        <w:rPr>
          <w:rFonts w:cs="Times New Roman"/>
          <w:szCs w:val="24"/>
        </w:rPr>
        <w:t xml:space="preserve"> </w:t>
      </w:r>
    </w:p>
    <w:p w:rsidR="000E191F" w:rsidRDefault="000E191F" w:rsidP="000E191F">
      <w:pPr>
        <w:autoSpaceDE w:val="0"/>
        <w:autoSpaceDN w:val="0"/>
        <w:adjustRightInd w:val="0"/>
        <w:ind w:firstLine="0"/>
        <w:jc w:val="both"/>
        <w:rPr>
          <w:rFonts w:cs="Times New Roman"/>
          <w:szCs w:val="24"/>
        </w:rPr>
      </w:pPr>
      <w:proofErr w:type="spellStart"/>
      <w:r w:rsidRPr="00E84721">
        <w:rPr>
          <w:rFonts w:cs="Times New Roman"/>
          <w:szCs w:val="24"/>
        </w:rPr>
        <w:t>Logit</w:t>
      </w:r>
      <w:proofErr w:type="spellEnd"/>
      <w:r w:rsidRPr="00E84721">
        <w:rPr>
          <w:rFonts w:cs="Times New Roman"/>
          <w:szCs w:val="24"/>
        </w:rPr>
        <w:t xml:space="preserve"> Model of the Impact of Amici on Ideological Direction of Justice Votes at the Roberts Court, 2007 – 2011 Terms: Judicial Power and Federalism Cases</w:t>
      </w:r>
      <w:r>
        <w:rPr>
          <w:rFonts w:cs="Times New Roman"/>
          <w:szCs w:val="24"/>
        </w:rPr>
        <w:t>…………... 188</w:t>
      </w:r>
    </w:p>
    <w:p w:rsidR="000E191F" w:rsidRPr="00E84721" w:rsidRDefault="000E191F" w:rsidP="000E191F">
      <w:pPr>
        <w:autoSpaceDE w:val="0"/>
        <w:autoSpaceDN w:val="0"/>
        <w:adjustRightInd w:val="0"/>
        <w:ind w:left="0" w:firstLine="0"/>
        <w:jc w:val="both"/>
        <w:rPr>
          <w:rFonts w:cs="Times New Roman"/>
          <w:szCs w:val="24"/>
        </w:rPr>
      </w:pPr>
    </w:p>
    <w:p w:rsidR="000E191F" w:rsidRDefault="000E191F" w:rsidP="000E191F">
      <w:pPr>
        <w:autoSpaceDE w:val="0"/>
        <w:autoSpaceDN w:val="0"/>
        <w:adjustRightInd w:val="0"/>
        <w:ind w:left="0" w:firstLine="0"/>
        <w:jc w:val="both"/>
        <w:rPr>
          <w:rFonts w:cs="Times New Roman"/>
          <w:szCs w:val="24"/>
        </w:rPr>
      </w:pPr>
      <w:proofErr w:type="gramStart"/>
      <w:r w:rsidRPr="00E84721">
        <w:rPr>
          <w:rFonts w:cs="Times New Roman"/>
          <w:szCs w:val="24"/>
        </w:rPr>
        <w:t>Table 5.6.</w:t>
      </w:r>
      <w:proofErr w:type="gramEnd"/>
      <w:r w:rsidRPr="00E84721">
        <w:rPr>
          <w:rFonts w:cs="Times New Roman"/>
          <w:szCs w:val="24"/>
        </w:rPr>
        <w:t xml:space="preserve"> </w:t>
      </w:r>
      <w:r>
        <w:rPr>
          <w:rFonts w:cs="Times New Roman"/>
          <w:szCs w:val="24"/>
        </w:rPr>
        <w:t xml:space="preserve"> </w:t>
      </w:r>
    </w:p>
    <w:p w:rsidR="000E191F" w:rsidRDefault="000E191F" w:rsidP="000E191F">
      <w:pPr>
        <w:autoSpaceDE w:val="0"/>
        <w:autoSpaceDN w:val="0"/>
        <w:adjustRightInd w:val="0"/>
        <w:ind w:firstLine="0"/>
        <w:jc w:val="both"/>
        <w:rPr>
          <w:rFonts w:cs="Times New Roman"/>
          <w:szCs w:val="24"/>
        </w:rPr>
      </w:pPr>
      <w:proofErr w:type="spellStart"/>
      <w:r w:rsidRPr="00E84721">
        <w:rPr>
          <w:rFonts w:cs="Times New Roman"/>
          <w:szCs w:val="24"/>
        </w:rPr>
        <w:t>Logit</w:t>
      </w:r>
      <w:proofErr w:type="spellEnd"/>
      <w:r w:rsidRPr="00E84721">
        <w:rPr>
          <w:rFonts w:cs="Times New Roman"/>
          <w:szCs w:val="24"/>
        </w:rPr>
        <w:t xml:space="preserve"> Model of the Impact of Amici on Ideological Direction of Justice Votes at the Roberts Court, 2007 – 2011 Terms: Salient Cases</w:t>
      </w:r>
      <w:r>
        <w:rPr>
          <w:rFonts w:cs="Times New Roman"/>
          <w:szCs w:val="24"/>
        </w:rPr>
        <w:t>……………………………………. 194</w:t>
      </w:r>
    </w:p>
    <w:p w:rsidR="000E191F" w:rsidRPr="00E84721" w:rsidRDefault="000E191F" w:rsidP="000E191F">
      <w:pPr>
        <w:autoSpaceDE w:val="0"/>
        <w:autoSpaceDN w:val="0"/>
        <w:adjustRightInd w:val="0"/>
        <w:ind w:left="0" w:firstLine="0"/>
        <w:jc w:val="both"/>
        <w:rPr>
          <w:rFonts w:cs="Times New Roman"/>
          <w:szCs w:val="24"/>
        </w:rPr>
      </w:pPr>
    </w:p>
    <w:p w:rsidR="000E191F" w:rsidRDefault="000E191F" w:rsidP="000E191F">
      <w:pPr>
        <w:autoSpaceDE w:val="0"/>
        <w:autoSpaceDN w:val="0"/>
        <w:adjustRightInd w:val="0"/>
        <w:ind w:left="0" w:firstLine="0"/>
        <w:jc w:val="both"/>
        <w:rPr>
          <w:rFonts w:cs="Times New Roman"/>
          <w:szCs w:val="24"/>
        </w:rPr>
      </w:pPr>
      <w:proofErr w:type="gramStart"/>
      <w:r w:rsidRPr="00E84721">
        <w:rPr>
          <w:rFonts w:cs="Times New Roman"/>
          <w:szCs w:val="24"/>
        </w:rPr>
        <w:t>Table 5.7.</w:t>
      </w:r>
      <w:proofErr w:type="gramEnd"/>
      <w:r w:rsidRPr="00E84721">
        <w:rPr>
          <w:rFonts w:cs="Times New Roman"/>
          <w:szCs w:val="24"/>
        </w:rPr>
        <w:t xml:space="preserve"> </w:t>
      </w:r>
    </w:p>
    <w:p w:rsidR="000E191F" w:rsidRDefault="000E191F" w:rsidP="000E191F">
      <w:pPr>
        <w:autoSpaceDE w:val="0"/>
        <w:autoSpaceDN w:val="0"/>
        <w:adjustRightInd w:val="0"/>
        <w:ind w:firstLine="0"/>
        <w:jc w:val="both"/>
        <w:rPr>
          <w:rFonts w:cs="Times New Roman"/>
          <w:szCs w:val="24"/>
        </w:rPr>
      </w:pPr>
      <w:proofErr w:type="spellStart"/>
      <w:r w:rsidRPr="00E84721">
        <w:rPr>
          <w:rFonts w:cs="Times New Roman"/>
          <w:szCs w:val="24"/>
        </w:rPr>
        <w:t>Logit</w:t>
      </w:r>
      <w:proofErr w:type="spellEnd"/>
      <w:r w:rsidRPr="00E84721">
        <w:rPr>
          <w:rFonts w:cs="Times New Roman"/>
          <w:szCs w:val="24"/>
        </w:rPr>
        <w:t xml:space="preserve"> Model of the Impact of Amici on Ideological Direction of Justice Votes at the Roberts Court, 2007 – 2011 Terms: Salient Cases – Liberal Justices Only</w:t>
      </w:r>
      <w:r>
        <w:rPr>
          <w:rFonts w:cs="Times New Roman"/>
          <w:szCs w:val="24"/>
        </w:rPr>
        <w:t>…………... 204</w:t>
      </w:r>
    </w:p>
    <w:p w:rsidR="000E191F" w:rsidRPr="00E84721" w:rsidRDefault="000E191F" w:rsidP="000E191F">
      <w:pPr>
        <w:autoSpaceDE w:val="0"/>
        <w:autoSpaceDN w:val="0"/>
        <w:adjustRightInd w:val="0"/>
        <w:ind w:left="0" w:firstLine="0"/>
        <w:jc w:val="both"/>
        <w:rPr>
          <w:rFonts w:cs="Times New Roman"/>
          <w:szCs w:val="24"/>
        </w:rPr>
      </w:pPr>
    </w:p>
    <w:p w:rsidR="000E191F" w:rsidRDefault="000E191F" w:rsidP="000E191F">
      <w:pPr>
        <w:autoSpaceDE w:val="0"/>
        <w:autoSpaceDN w:val="0"/>
        <w:adjustRightInd w:val="0"/>
        <w:ind w:left="0" w:firstLine="0"/>
        <w:jc w:val="both"/>
        <w:rPr>
          <w:rFonts w:cs="Times New Roman"/>
          <w:szCs w:val="24"/>
        </w:rPr>
      </w:pPr>
      <w:proofErr w:type="gramStart"/>
      <w:r w:rsidRPr="00E84721">
        <w:rPr>
          <w:rFonts w:cs="Times New Roman"/>
          <w:szCs w:val="24"/>
        </w:rPr>
        <w:t>Table 5.8.</w:t>
      </w:r>
      <w:proofErr w:type="gramEnd"/>
      <w:r w:rsidRPr="00E84721">
        <w:rPr>
          <w:rFonts w:cs="Times New Roman"/>
          <w:szCs w:val="24"/>
        </w:rPr>
        <w:t xml:space="preserve"> </w:t>
      </w:r>
      <w:r>
        <w:rPr>
          <w:rFonts w:cs="Times New Roman"/>
          <w:szCs w:val="24"/>
        </w:rPr>
        <w:t xml:space="preserve"> </w:t>
      </w:r>
    </w:p>
    <w:p w:rsidR="000E191F" w:rsidRDefault="000E191F" w:rsidP="000E191F">
      <w:pPr>
        <w:autoSpaceDE w:val="0"/>
        <w:autoSpaceDN w:val="0"/>
        <w:adjustRightInd w:val="0"/>
        <w:ind w:firstLine="0"/>
        <w:jc w:val="both"/>
        <w:rPr>
          <w:rFonts w:cs="Times New Roman"/>
          <w:szCs w:val="24"/>
        </w:rPr>
      </w:pPr>
      <w:proofErr w:type="spellStart"/>
      <w:r w:rsidRPr="00E84721">
        <w:rPr>
          <w:rFonts w:cs="Times New Roman"/>
          <w:szCs w:val="24"/>
        </w:rPr>
        <w:t>Logit</w:t>
      </w:r>
      <w:proofErr w:type="spellEnd"/>
      <w:r w:rsidRPr="00E84721">
        <w:rPr>
          <w:rFonts w:cs="Times New Roman"/>
          <w:szCs w:val="24"/>
        </w:rPr>
        <w:t xml:space="preserve"> Model of the Impact of Amici on Ideological Direction of Justice Votes at the Roberts Court, 2007 – 2011 Terms: Salient Cases – Conservative Justices Only</w:t>
      </w:r>
      <w:r>
        <w:rPr>
          <w:rFonts w:cs="Times New Roman"/>
          <w:szCs w:val="24"/>
        </w:rPr>
        <w:t>…….. 205</w:t>
      </w:r>
    </w:p>
    <w:p w:rsidR="000E191F" w:rsidRPr="00E84721" w:rsidRDefault="000E191F" w:rsidP="000E191F">
      <w:pPr>
        <w:autoSpaceDE w:val="0"/>
        <w:autoSpaceDN w:val="0"/>
        <w:adjustRightInd w:val="0"/>
        <w:ind w:left="0" w:firstLine="0"/>
        <w:jc w:val="both"/>
        <w:rPr>
          <w:rFonts w:cs="Times New Roman"/>
          <w:szCs w:val="24"/>
        </w:rPr>
      </w:pPr>
    </w:p>
    <w:p w:rsidR="000E191F" w:rsidRDefault="000E191F" w:rsidP="000E191F">
      <w:pPr>
        <w:autoSpaceDE w:val="0"/>
        <w:autoSpaceDN w:val="0"/>
        <w:adjustRightInd w:val="0"/>
        <w:ind w:left="0" w:firstLine="0"/>
        <w:jc w:val="both"/>
        <w:rPr>
          <w:rFonts w:cs="Times New Roman"/>
          <w:szCs w:val="24"/>
        </w:rPr>
      </w:pPr>
      <w:proofErr w:type="gramStart"/>
      <w:r w:rsidRPr="00E84721">
        <w:rPr>
          <w:rFonts w:cs="Times New Roman"/>
          <w:szCs w:val="24"/>
        </w:rPr>
        <w:t>Table 5.9.</w:t>
      </w:r>
      <w:proofErr w:type="gramEnd"/>
      <w:r w:rsidRPr="00E84721">
        <w:rPr>
          <w:rFonts w:cs="Times New Roman"/>
          <w:szCs w:val="24"/>
        </w:rPr>
        <w:t xml:space="preserve"> </w:t>
      </w:r>
      <w:r>
        <w:rPr>
          <w:rFonts w:cs="Times New Roman"/>
          <w:szCs w:val="24"/>
        </w:rPr>
        <w:t xml:space="preserve"> </w:t>
      </w:r>
    </w:p>
    <w:p w:rsidR="000E191F" w:rsidRDefault="000E191F" w:rsidP="000E191F">
      <w:pPr>
        <w:autoSpaceDE w:val="0"/>
        <w:autoSpaceDN w:val="0"/>
        <w:adjustRightInd w:val="0"/>
        <w:ind w:firstLine="0"/>
        <w:jc w:val="both"/>
        <w:rPr>
          <w:rFonts w:cs="Times New Roman"/>
          <w:szCs w:val="24"/>
        </w:rPr>
      </w:pPr>
      <w:proofErr w:type="spellStart"/>
      <w:r w:rsidRPr="00E84721">
        <w:rPr>
          <w:rFonts w:cs="Times New Roman"/>
          <w:szCs w:val="24"/>
        </w:rPr>
        <w:t>Logit</w:t>
      </w:r>
      <w:proofErr w:type="spellEnd"/>
      <w:r w:rsidRPr="00E84721">
        <w:rPr>
          <w:rFonts w:cs="Times New Roman"/>
          <w:szCs w:val="24"/>
        </w:rPr>
        <w:t xml:space="preserve"> Model of the Impact of Amici on Ideological Direction of Justice Votes at the Roberts Court, 2007 – 2011 Terms: All Cases – Liberal Justices Only</w:t>
      </w:r>
      <w:r>
        <w:rPr>
          <w:rFonts w:cs="Times New Roman"/>
          <w:szCs w:val="24"/>
        </w:rPr>
        <w:t>………………. 207</w:t>
      </w:r>
    </w:p>
    <w:p w:rsidR="000E191F" w:rsidRPr="00E84721" w:rsidRDefault="000E191F" w:rsidP="000E191F">
      <w:pPr>
        <w:autoSpaceDE w:val="0"/>
        <w:autoSpaceDN w:val="0"/>
        <w:adjustRightInd w:val="0"/>
        <w:ind w:left="0" w:firstLine="0"/>
        <w:jc w:val="both"/>
        <w:rPr>
          <w:rFonts w:cs="Times New Roman"/>
          <w:szCs w:val="24"/>
        </w:rPr>
      </w:pPr>
    </w:p>
    <w:p w:rsidR="000E191F" w:rsidRDefault="000E191F" w:rsidP="000E191F">
      <w:pPr>
        <w:autoSpaceDE w:val="0"/>
        <w:autoSpaceDN w:val="0"/>
        <w:adjustRightInd w:val="0"/>
        <w:ind w:left="0" w:firstLine="0"/>
        <w:jc w:val="both"/>
        <w:rPr>
          <w:rFonts w:cs="Times New Roman"/>
          <w:szCs w:val="24"/>
        </w:rPr>
      </w:pPr>
      <w:proofErr w:type="gramStart"/>
      <w:r w:rsidRPr="00E84721">
        <w:rPr>
          <w:rFonts w:cs="Times New Roman"/>
          <w:szCs w:val="24"/>
        </w:rPr>
        <w:t>Table 5.10.</w:t>
      </w:r>
      <w:proofErr w:type="gramEnd"/>
      <w:r w:rsidRPr="00E84721">
        <w:rPr>
          <w:rFonts w:cs="Times New Roman"/>
          <w:szCs w:val="24"/>
        </w:rPr>
        <w:t xml:space="preserve"> </w:t>
      </w:r>
      <w:r>
        <w:rPr>
          <w:rFonts w:cs="Times New Roman"/>
          <w:szCs w:val="24"/>
        </w:rPr>
        <w:t xml:space="preserve"> </w:t>
      </w:r>
    </w:p>
    <w:p w:rsidR="000E191F" w:rsidRDefault="000E191F" w:rsidP="000E191F">
      <w:pPr>
        <w:autoSpaceDE w:val="0"/>
        <w:autoSpaceDN w:val="0"/>
        <w:adjustRightInd w:val="0"/>
        <w:ind w:firstLine="0"/>
        <w:jc w:val="both"/>
        <w:rPr>
          <w:rFonts w:cs="Times New Roman"/>
          <w:szCs w:val="24"/>
        </w:rPr>
      </w:pPr>
      <w:proofErr w:type="spellStart"/>
      <w:r w:rsidRPr="00E84721">
        <w:rPr>
          <w:rFonts w:cs="Times New Roman"/>
          <w:szCs w:val="24"/>
        </w:rPr>
        <w:t>Logit</w:t>
      </w:r>
      <w:proofErr w:type="spellEnd"/>
      <w:r w:rsidRPr="00E84721">
        <w:rPr>
          <w:rFonts w:cs="Times New Roman"/>
          <w:szCs w:val="24"/>
        </w:rPr>
        <w:t xml:space="preserve"> Model of the Impact of Amici on Ideological Direction of Justice Votes at the Roberts Court, 2007 – 2011 Terms: All Cases – Conservative Justices Only</w:t>
      </w:r>
      <w:r>
        <w:rPr>
          <w:rFonts w:cs="Times New Roman"/>
          <w:szCs w:val="24"/>
        </w:rPr>
        <w:t>………… 208</w:t>
      </w:r>
    </w:p>
    <w:p w:rsidR="000E191F" w:rsidRDefault="000E191F" w:rsidP="000E191F">
      <w:pPr>
        <w:ind w:left="0" w:firstLine="0"/>
        <w:jc w:val="both"/>
        <w:rPr>
          <w:rFonts w:cs="Times New Roman"/>
          <w:szCs w:val="24"/>
        </w:rPr>
      </w:pPr>
    </w:p>
    <w:p w:rsidR="00A828B4" w:rsidRDefault="00A828B4" w:rsidP="000E191F">
      <w:pPr>
        <w:ind w:left="0" w:firstLine="0"/>
        <w:jc w:val="both"/>
        <w:rPr>
          <w:rFonts w:cs="Times New Roman"/>
          <w:szCs w:val="24"/>
        </w:rPr>
      </w:pPr>
    </w:p>
    <w:p w:rsidR="00A828B4" w:rsidRDefault="00A828B4" w:rsidP="000E191F">
      <w:pPr>
        <w:ind w:left="0" w:firstLine="0"/>
        <w:jc w:val="both"/>
        <w:rPr>
          <w:rFonts w:cs="Times New Roman"/>
          <w:szCs w:val="24"/>
        </w:rPr>
      </w:pPr>
    </w:p>
    <w:p w:rsidR="000E191F" w:rsidRDefault="000E191F" w:rsidP="000E191F">
      <w:pPr>
        <w:ind w:left="0" w:firstLine="0"/>
        <w:jc w:val="both"/>
        <w:rPr>
          <w:rFonts w:cs="Times New Roman"/>
          <w:szCs w:val="24"/>
        </w:rPr>
      </w:pPr>
      <w:proofErr w:type="gramStart"/>
      <w:r w:rsidRPr="00E84721">
        <w:rPr>
          <w:rFonts w:cs="Times New Roman"/>
          <w:szCs w:val="24"/>
        </w:rPr>
        <w:lastRenderedPageBreak/>
        <w:t>Table 5.11.</w:t>
      </w:r>
      <w:proofErr w:type="gramEnd"/>
      <w:r w:rsidRPr="00E84721">
        <w:rPr>
          <w:rFonts w:cs="Times New Roman"/>
          <w:szCs w:val="24"/>
        </w:rPr>
        <w:t xml:space="preserve"> </w:t>
      </w:r>
    </w:p>
    <w:p w:rsidR="000E191F" w:rsidRPr="00725C89" w:rsidRDefault="000E191F" w:rsidP="000E191F">
      <w:pPr>
        <w:ind w:firstLine="0"/>
        <w:jc w:val="both"/>
        <w:rPr>
          <w:rFonts w:cs="Times New Roman"/>
          <w:szCs w:val="24"/>
        </w:rPr>
      </w:pPr>
      <w:r w:rsidRPr="00E84721">
        <w:rPr>
          <w:rFonts w:cs="Times New Roman"/>
          <w:szCs w:val="24"/>
        </w:rPr>
        <w:t xml:space="preserve">Ranking of Roberts Court Justices Based Upon Pearson Correlation </w:t>
      </w:r>
      <w:proofErr w:type="gramStart"/>
      <w:r w:rsidRPr="00E84721">
        <w:rPr>
          <w:rFonts w:cs="Times New Roman"/>
          <w:szCs w:val="24"/>
        </w:rPr>
        <w:t>Between</w:t>
      </w:r>
      <w:proofErr w:type="gramEnd"/>
      <w:r w:rsidRPr="00E84721">
        <w:rPr>
          <w:rFonts w:cs="Times New Roman"/>
          <w:szCs w:val="24"/>
        </w:rPr>
        <w:t xml:space="preserve"> Ideological Direction of Justice Vote and </w:t>
      </w:r>
      <w:r w:rsidRPr="00E84721">
        <w:rPr>
          <w:rFonts w:cs="Times New Roman"/>
          <w:i/>
          <w:szCs w:val="24"/>
        </w:rPr>
        <w:t>Liberal-Conservative Amicus Brief Difference</w:t>
      </w:r>
      <w:r>
        <w:rPr>
          <w:rFonts w:cs="Times New Roman"/>
          <w:szCs w:val="24"/>
        </w:rPr>
        <w:t>………... 212</w:t>
      </w:r>
    </w:p>
    <w:p w:rsidR="000E191F" w:rsidRPr="00E84721" w:rsidRDefault="000E191F" w:rsidP="000E191F">
      <w:pPr>
        <w:ind w:left="0" w:firstLine="0"/>
        <w:jc w:val="both"/>
        <w:rPr>
          <w:rFonts w:cs="Times New Roman"/>
          <w:i/>
          <w:szCs w:val="24"/>
        </w:rPr>
      </w:pPr>
    </w:p>
    <w:p w:rsidR="000E191F" w:rsidRDefault="000E191F" w:rsidP="000E191F">
      <w:pPr>
        <w:ind w:left="0" w:firstLine="0"/>
        <w:jc w:val="both"/>
        <w:rPr>
          <w:rFonts w:cs="Times New Roman"/>
          <w:szCs w:val="24"/>
        </w:rPr>
      </w:pPr>
      <w:proofErr w:type="gramStart"/>
      <w:r w:rsidRPr="00E84721">
        <w:rPr>
          <w:rFonts w:cs="Times New Roman"/>
          <w:szCs w:val="24"/>
        </w:rPr>
        <w:t>Table 5.12.</w:t>
      </w:r>
      <w:proofErr w:type="gramEnd"/>
      <w:r w:rsidRPr="00E84721">
        <w:rPr>
          <w:rFonts w:cs="Times New Roman"/>
          <w:szCs w:val="24"/>
        </w:rPr>
        <w:t xml:space="preserve"> </w:t>
      </w:r>
      <w:r>
        <w:rPr>
          <w:rFonts w:cs="Times New Roman"/>
          <w:szCs w:val="24"/>
        </w:rPr>
        <w:t xml:space="preserve"> </w:t>
      </w:r>
    </w:p>
    <w:p w:rsidR="000E191F" w:rsidRPr="00725C89" w:rsidRDefault="000E191F" w:rsidP="000E191F">
      <w:pPr>
        <w:ind w:firstLine="0"/>
        <w:jc w:val="both"/>
        <w:rPr>
          <w:rFonts w:cs="Times New Roman"/>
          <w:szCs w:val="24"/>
        </w:rPr>
      </w:pPr>
      <w:r w:rsidRPr="00E84721">
        <w:rPr>
          <w:rFonts w:cs="Times New Roman"/>
          <w:szCs w:val="24"/>
        </w:rPr>
        <w:t xml:space="preserve">Ranking of Justices Based Upon Pearson Correlation </w:t>
      </w:r>
      <w:proofErr w:type="gramStart"/>
      <w:r w:rsidRPr="00E84721">
        <w:rPr>
          <w:rFonts w:cs="Times New Roman"/>
          <w:szCs w:val="24"/>
        </w:rPr>
        <w:t>Between</w:t>
      </w:r>
      <w:proofErr w:type="gramEnd"/>
      <w:r w:rsidRPr="00E84721">
        <w:rPr>
          <w:rFonts w:cs="Times New Roman"/>
          <w:szCs w:val="24"/>
        </w:rPr>
        <w:t xml:space="preserve"> Ideological Direction of Justice Vote and </w:t>
      </w:r>
      <w:r w:rsidRPr="00E84721">
        <w:rPr>
          <w:rFonts w:cs="Times New Roman"/>
          <w:i/>
          <w:szCs w:val="24"/>
        </w:rPr>
        <w:t>Liberal-Conservative Amicus Cosigner Difference</w:t>
      </w:r>
      <w:r>
        <w:rPr>
          <w:rFonts w:cs="Times New Roman"/>
          <w:szCs w:val="24"/>
        </w:rPr>
        <w:t>…………………. 215</w:t>
      </w:r>
    </w:p>
    <w:p w:rsidR="000E191F" w:rsidRPr="00E84721" w:rsidRDefault="000E191F" w:rsidP="000E191F">
      <w:pPr>
        <w:ind w:left="0" w:firstLine="0"/>
        <w:jc w:val="both"/>
        <w:rPr>
          <w:rFonts w:cs="Times New Roman"/>
          <w:i/>
          <w:szCs w:val="24"/>
        </w:rPr>
      </w:pPr>
    </w:p>
    <w:p w:rsidR="000E191F" w:rsidRDefault="000E191F" w:rsidP="000E191F">
      <w:pPr>
        <w:ind w:left="0" w:firstLine="0"/>
        <w:jc w:val="both"/>
        <w:rPr>
          <w:rFonts w:cs="Times New Roman"/>
          <w:szCs w:val="24"/>
        </w:rPr>
      </w:pPr>
      <w:proofErr w:type="gramStart"/>
      <w:r w:rsidRPr="00E84721">
        <w:rPr>
          <w:rFonts w:cs="Times New Roman"/>
          <w:szCs w:val="24"/>
        </w:rPr>
        <w:t>Table 5.13.</w:t>
      </w:r>
      <w:proofErr w:type="gramEnd"/>
      <w:r w:rsidRPr="00E84721">
        <w:rPr>
          <w:rFonts w:cs="Times New Roman"/>
          <w:szCs w:val="24"/>
        </w:rPr>
        <w:t xml:space="preserve"> </w:t>
      </w:r>
      <w:r>
        <w:rPr>
          <w:rFonts w:cs="Times New Roman"/>
          <w:szCs w:val="24"/>
        </w:rPr>
        <w:t xml:space="preserve"> </w:t>
      </w:r>
    </w:p>
    <w:p w:rsidR="000E191F" w:rsidRPr="00725C89" w:rsidRDefault="000E191F" w:rsidP="000E191F">
      <w:pPr>
        <w:ind w:firstLine="0"/>
        <w:jc w:val="both"/>
        <w:rPr>
          <w:rFonts w:cs="Times New Roman"/>
          <w:szCs w:val="24"/>
        </w:rPr>
      </w:pPr>
      <w:r w:rsidRPr="00E84721">
        <w:rPr>
          <w:rFonts w:cs="Times New Roman"/>
          <w:szCs w:val="24"/>
        </w:rPr>
        <w:t xml:space="preserve">Ranking of Justices Based Upon Pearson Correlation </w:t>
      </w:r>
      <w:proofErr w:type="gramStart"/>
      <w:r w:rsidRPr="00E84721">
        <w:rPr>
          <w:rFonts w:cs="Times New Roman"/>
          <w:szCs w:val="24"/>
        </w:rPr>
        <w:t>Between</w:t>
      </w:r>
      <w:proofErr w:type="gramEnd"/>
      <w:r w:rsidRPr="00E84721">
        <w:rPr>
          <w:rFonts w:cs="Times New Roman"/>
          <w:szCs w:val="24"/>
        </w:rPr>
        <w:t xml:space="preserve"> Ideological Direction of Justice Vote and </w:t>
      </w:r>
      <w:r w:rsidRPr="00E84721">
        <w:rPr>
          <w:rFonts w:cs="Times New Roman"/>
          <w:i/>
          <w:szCs w:val="24"/>
        </w:rPr>
        <w:t>Prestigious Liberal-Conservative Amicus Difference</w:t>
      </w:r>
      <w:r>
        <w:rPr>
          <w:rFonts w:cs="Times New Roman"/>
          <w:szCs w:val="24"/>
        </w:rPr>
        <w:t>………………. 215</w:t>
      </w:r>
    </w:p>
    <w:p w:rsidR="000E191F" w:rsidRPr="00E84721" w:rsidRDefault="000E191F" w:rsidP="000E191F">
      <w:pPr>
        <w:ind w:left="0" w:firstLine="0"/>
        <w:jc w:val="both"/>
        <w:rPr>
          <w:rFonts w:cs="Times New Roman"/>
          <w:i/>
          <w:szCs w:val="24"/>
        </w:rPr>
      </w:pPr>
    </w:p>
    <w:p w:rsidR="000E191F" w:rsidRDefault="000E191F" w:rsidP="000E191F">
      <w:pPr>
        <w:ind w:left="0" w:firstLine="0"/>
        <w:jc w:val="both"/>
        <w:rPr>
          <w:rFonts w:cs="Times New Roman"/>
          <w:szCs w:val="24"/>
        </w:rPr>
      </w:pPr>
      <w:proofErr w:type="gramStart"/>
      <w:r w:rsidRPr="00E84721">
        <w:rPr>
          <w:rFonts w:cs="Times New Roman"/>
          <w:szCs w:val="24"/>
        </w:rPr>
        <w:t>Table 5.14.</w:t>
      </w:r>
      <w:proofErr w:type="gramEnd"/>
      <w:r w:rsidRPr="00E84721">
        <w:rPr>
          <w:rFonts w:cs="Times New Roman"/>
          <w:szCs w:val="24"/>
        </w:rPr>
        <w:t xml:space="preserve"> </w:t>
      </w:r>
      <w:r>
        <w:rPr>
          <w:rFonts w:cs="Times New Roman"/>
          <w:szCs w:val="24"/>
        </w:rPr>
        <w:t xml:space="preserve"> </w:t>
      </w:r>
    </w:p>
    <w:p w:rsidR="000E191F" w:rsidRPr="00725C89" w:rsidRDefault="000E191F" w:rsidP="000E191F">
      <w:pPr>
        <w:ind w:firstLine="0"/>
        <w:jc w:val="both"/>
        <w:rPr>
          <w:rFonts w:cs="Times New Roman"/>
          <w:szCs w:val="24"/>
        </w:rPr>
      </w:pPr>
      <w:r w:rsidRPr="00E84721">
        <w:rPr>
          <w:rFonts w:cs="Times New Roman"/>
          <w:szCs w:val="24"/>
        </w:rPr>
        <w:t xml:space="preserve">Ranking of Justices Based Upon Pearson Correlation Between Ideological Direction of Justice Vote and </w:t>
      </w:r>
      <w:r w:rsidRPr="00E84721">
        <w:rPr>
          <w:rFonts w:cs="Times New Roman"/>
          <w:i/>
          <w:szCs w:val="24"/>
        </w:rPr>
        <w:t>SG Liberal Amicus</w:t>
      </w:r>
      <w:r>
        <w:rPr>
          <w:rFonts w:cs="Times New Roman"/>
          <w:szCs w:val="24"/>
        </w:rPr>
        <w:t>………………………………………………….. 217</w:t>
      </w:r>
    </w:p>
    <w:p w:rsidR="000E191F" w:rsidRPr="00E84721" w:rsidRDefault="000E191F" w:rsidP="000E191F">
      <w:pPr>
        <w:ind w:left="0" w:firstLine="0"/>
        <w:jc w:val="both"/>
        <w:rPr>
          <w:rFonts w:cs="Times New Roman"/>
          <w:i/>
          <w:szCs w:val="24"/>
        </w:rPr>
      </w:pPr>
    </w:p>
    <w:p w:rsidR="000E191F" w:rsidRDefault="000E191F" w:rsidP="000E191F">
      <w:pPr>
        <w:ind w:left="0" w:firstLine="0"/>
        <w:jc w:val="both"/>
        <w:rPr>
          <w:rFonts w:cs="Times New Roman"/>
          <w:szCs w:val="24"/>
        </w:rPr>
      </w:pPr>
      <w:proofErr w:type="gramStart"/>
      <w:r w:rsidRPr="00E84721">
        <w:rPr>
          <w:rFonts w:cs="Times New Roman"/>
          <w:szCs w:val="24"/>
        </w:rPr>
        <w:t>Table 5.15.</w:t>
      </w:r>
      <w:proofErr w:type="gramEnd"/>
      <w:r w:rsidRPr="00E84721">
        <w:rPr>
          <w:rFonts w:cs="Times New Roman"/>
          <w:szCs w:val="24"/>
        </w:rPr>
        <w:t xml:space="preserve"> </w:t>
      </w:r>
    </w:p>
    <w:p w:rsidR="000E191F" w:rsidRPr="00725C89" w:rsidRDefault="000E191F" w:rsidP="000E191F">
      <w:pPr>
        <w:ind w:firstLine="0"/>
        <w:jc w:val="both"/>
        <w:rPr>
          <w:rFonts w:cs="Times New Roman"/>
          <w:szCs w:val="24"/>
        </w:rPr>
      </w:pPr>
      <w:r w:rsidRPr="00E84721">
        <w:rPr>
          <w:rFonts w:cs="Times New Roman"/>
          <w:szCs w:val="24"/>
        </w:rPr>
        <w:t xml:space="preserve">Ranking of Justices Based Upon Pearson Correlation </w:t>
      </w:r>
      <w:proofErr w:type="gramStart"/>
      <w:r w:rsidRPr="00E84721">
        <w:rPr>
          <w:rFonts w:cs="Times New Roman"/>
          <w:szCs w:val="24"/>
        </w:rPr>
        <w:t>Between</w:t>
      </w:r>
      <w:proofErr w:type="gramEnd"/>
      <w:r w:rsidRPr="00E84721">
        <w:rPr>
          <w:rFonts w:cs="Times New Roman"/>
          <w:szCs w:val="24"/>
        </w:rPr>
        <w:t xml:space="preserve"> Ideological Direction of Justice Vote and </w:t>
      </w:r>
      <w:r w:rsidRPr="00E84721">
        <w:rPr>
          <w:rFonts w:cs="Times New Roman"/>
          <w:i/>
          <w:szCs w:val="24"/>
        </w:rPr>
        <w:t>SG Conservative Amicu</w:t>
      </w:r>
      <w:r>
        <w:rPr>
          <w:rFonts w:cs="Times New Roman"/>
          <w:i/>
          <w:szCs w:val="24"/>
        </w:rPr>
        <w:t>s</w:t>
      </w:r>
      <w:r>
        <w:rPr>
          <w:rFonts w:cs="Times New Roman"/>
          <w:szCs w:val="24"/>
        </w:rPr>
        <w:t>……………………………………………. 218</w:t>
      </w:r>
    </w:p>
    <w:p w:rsidR="000E191F" w:rsidRPr="00E84721" w:rsidRDefault="000E191F" w:rsidP="000E191F">
      <w:pPr>
        <w:ind w:left="0" w:firstLine="0"/>
        <w:jc w:val="both"/>
        <w:rPr>
          <w:rFonts w:cs="Times New Roman"/>
          <w:szCs w:val="24"/>
        </w:rPr>
      </w:pPr>
    </w:p>
    <w:p w:rsidR="000E191F" w:rsidRDefault="000E191F" w:rsidP="000E191F">
      <w:pPr>
        <w:ind w:left="0" w:firstLine="0"/>
        <w:jc w:val="both"/>
        <w:rPr>
          <w:rFonts w:cs="Times New Roman"/>
          <w:szCs w:val="24"/>
        </w:rPr>
      </w:pPr>
      <w:r w:rsidRPr="00E84721">
        <w:rPr>
          <w:rFonts w:cs="Times New Roman"/>
          <w:szCs w:val="24"/>
        </w:rPr>
        <w:t xml:space="preserve">Table A.1. </w:t>
      </w:r>
      <w:r>
        <w:rPr>
          <w:rFonts w:cs="Times New Roman"/>
          <w:szCs w:val="24"/>
        </w:rPr>
        <w:t xml:space="preserve"> </w:t>
      </w:r>
    </w:p>
    <w:p w:rsidR="000E191F" w:rsidRDefault="000E191F" w:rsidP="000E191F">
      <w:pPr>
        <w:ind w:left="0" w:firstLine="720"/>
        <w:jc w:val="both"/>
        <w:rPr>
          <w:rFonts w:cs="Times New Roman"/>
          <w:szCs w:val="24"/>
        </w:rPr>
      </w:pPr>
      <w:r w:rsidRPr="00E84721">
        <w:rPr>
          <w:rFonts w:cs="Times New Roman"/>
          <w:szCs w:val="24"/>
        </w:rPr>
        <w:t>List of Cases Attracting At Least 25 Amicus Briefs, 2007-2011</w:t>
      </w:r>
      <w:r>
        <w:rPr>
          <w:rFonts w:cs="Times New Roman"/>
          <w:szCs w:val="24"/>
        </w:rPr>
        <w:t>……………………... 253</w:t>
      </w:r>
    </w:p>
    <w:p w:rsidR="000E191F" w:rsidRPr="00E84721" w:rsidRDefault="000E191F" w:rsidP="000E191F">
      <w:pPr>
        <w:ind w:left="0" w:firstLine="0"/>
        <w:jc w:val="both"/>
        <w:rPr>
          <w:rFonts w:cs="Times New Roman"/>
          <w:szCs w:val="24"/>
        </w:rPr>
      </w:pPr>
    </w:p>
    <w:p w:rsidR="000E191F" w:rsidRDefault="000E191F" w:rsidP="000E191F">
      <w:pPr>
        <w:ind w:left="0" w:firstLine="0"/>
        <w:jc w:val="both"/>
        <w:rPr>
          <w:rFonts w:cs="Times New Roman"/>
          <w:szCs w:val="24"/>
        </w:rPr>
      </w:pPr>
      <w:r w:rsidRPr="00E84721">
        <w:rPr>
          <w:rFonts w:cs="Times New Roman"/>
          <w:szCs w:val="24"/>
        </w:rPr>
        <w:t xml:space="preserve">Table A.2. </w:t>
      </w:r>
      <w:r>
        <w:rPr>
          <w:rFonts w:cs="Times New Roman"/>
          <w:szCs w:val="24"/>
        </w:rPr>
        <w:t xml:space="preserve"> </w:t>
      </w:r>
    </w:p>
    <w:p w:rsidR="000E191F" w:rsidRDefault="000E191F" w:rsidP="000E191F">
      <w:pPr>
        <w:ind w:left="0" w:firstLine="720"/>
        <w:jc w:val="both"/>
        <w:rPr>
          <w:rFonts w:cs="Times New Roman"/>
          <w:szCs w:val="24"/>
        </w:rPr>
      </w:pPr>
      <w:r w:rsidRPr="00E84721">
        <w:rPr>
          <w:rFonts w:cs="Times New Roman"/>
          <w:szCs w:val="24"/>
        </w:rPr>
        <w:t>List of Cases Attracting At Least 125 Amicus Cosigners, 2007-2011</w:t>
      </w:r>
      <w:r>
        <w:rPr>
          <w:rFonts w:cs="Times New Roman"/>
          <w:szCs w:val="24"/>
        </w:rPr>
        <w:t>………………... 259</w:t>
      </w:r>
    </w:p>
    <w:p w:rsidR="000E191F" w:rsidRPr="00E84721" w:rsidRDefault="000E191F" w:rsidP="000E191F">
      <w:pPr>
        <w:ind w:left="0" w:firstLine="0"/>
        <w:jc w:val="both"/>
        <w:rPr>
          <w:rFonts w:cs="Times New Roman"/>
          <w:szCs w:val="24"/>
        </w:rPr>
      </w:pPr>
    </w:p>
    <w:p w:rsidR="000E191F" w:rsidRDefault="000E191F" w:rsidP="000E191F">
      <w:pPr>
        <w:autoSpaceDE w:val="0"/>
        <w:autoSpaceDN w:val="0"/>
        <w:adjustRightInd w:val="0"/>
        <w:ind w:left="0" w:firstLine="0"/>
        <w:jc w:val="both"/>
        <w:rPr>
          <w:rFonts w:cs="Times New Roman"/>
          <w:szCs w:val="24"/>
        </w:rPr>
      </w:pPr>
      <w:r w:rsidRPr="00E84721">
        <w:rPr>
          <w:rFonts w:cs="Times New Roman"/>
          <w:szCs w:val="24"/>
        </w:rPr>
        <w:t xml:space="preserve">Table A.3. </w:t>
      </w:r>
      <w:r>
        <w:rPr>
          <w:rFonts w:cs="Times New Roman"/>
          <w:szCs w:val="24"/>
        </w:rPr>
        <w:t xml:space="preserve"> </w:t>
      </w:r>
    </w:p>
    <w:p w:rsidR="000E191F" w:rsidRDefault="000E191F" w:rsidP="000E191F">
      <w:pPr>
        <w:autoSpaceDE w:val="0"/>
        <w:autoSpaceDN w:val="0"/>
        <w:adjustRightInd w:val="0"/>
        <w:ind w:firstLine="0"/>
        <w:jc w:val="both"/>
        <w:rPr>
          <w:rFonts w:cs="Times New Roman"/>
          <w:szCs w:val="24"/>
        </w:rPr>
      </w:pPr>
      <w:r w:rsidRPr="00E84721">
        <w:rPr>
          <w:rFonts w:cs="Times New Roman"/>
          <w:szCs w:val="24"/>
        </w:rPr>
        <w:t xml:space="preserve">Base </w:t>
      </w:r>
      <w:proofErr w:type="spellStart"/>
      <w:r w:rsidRPr="00E84721">
        <w:rPr>
          <w:rFonts w:cs="Times New Roman"/>
          <w:szCs w:val="24"/>
        </w:rPr>
        <w:t>Logit</w:t>
      </w:r>
      <w:proofErr w:type="spellEnd"/>
      <w:r w:rsidRPr="00E84721">
        <w:rPr>
          <w:rFonts w:cs="Times New Roman"/>
          <w:szCs w:val="24"/>
        </w:rPr>
        <w:t xml:space="preserve"> Model of the Impact of Amici on Ideological Direction of Justice Votes at the Roberts Court, 2007 – 2011 Terms</w:t>
      </w:r>
      <w:r>
        <w:rPr>
          <w:rFonts w:cs="Times New Roman"/>
          <w:szCs w:val="24"/>
        </w:rPr>
        <w:t>……………………………………………............. 265</w:t>
      </w:r>
    </w:p>
    <w:p w:rsidR="000E191F" w:rsidRPr="00E84721" w:rsidRDefault="000E191F" w:rsidP="000E191F">
      <w:pPr>
        <w:autoSpaceDE w:val="0"/>
        <w:autoSpaceDN w:val="0"/>
        <w:adjustRightInd w:val="0"/>
        <w:ind w:left="0" w:firstLine="0"/>
        <w:jc w:val="both"/>
        <w:rPr>
          <w:rFonts w:cs="Times New Roman"/>
          <w:szCs w:val="24"/>
        </w:rPr>
      </w:pPr>
    </w:p>
    <w:p w:rsidR="000E191F" w:rsidRDefault="000E191F" w:rsidP="000E191F">
      <w:pPr>
        <w:autoSpaceDE w:val="0"/>
        <w:autoSpaceDN w:val="0"/>
        <w:adjustRightInd w:val="0"/>
        <w:ind w:left="0" w:firstLine="0"/>
        <w:jc w:val="both"/>
        <w:rPr>
          <w:rFonts w:cs="Times New Roman"/>
          <w:szCs w:val="24"/>
        </w:rPr>
      </w:pPr>
      <w:r w:rsidRPr="00E84721">
        <w:rPr>
          <w:rFonts w:cs="Times New Roman"/>
          <w:szCs w:val="24"/>
        </w:rPr>
        <w:t>Table A.4.</w:t>
      </w:r>
      <w:r>
        <w:rPr>
          <w:rFonts w:cs="Times New Roman"/>
          <w:szCs w:val="24"/>
        </w:rPr>
        <w:t xml:space="preserve">  </w:t>
      </w:r>
    </w:p>
    <w:p w:rsidR="000E191F" w:rsidRDefault="000E191F" w:rsidP="000E191F">
      <w:pPr>
        <w:autoSpaceDE w:val="0"/>
        <w:autoSpaceDN w:val="0"/>
        <w:adjustRightInd w:val="0"/>
        <w:ind w:firstLine="0"/>
        <w:jc w:val="both"/>
        <w:rPr>
          <w:rFonts w:cs="Times New Roman"/>
          <w:szCs w:val="24"/>
        </w:rPr>
      </w:pPr>
      <w:r w:rsidRPr="00E84721">
        <w:rPr>
          <w:rFonts w:cs="Times New Roman"/>
          <w:szCs w:val="24"/>
        </w:rPr>
        <w:t>Predicted Probabilities of Observing a Liberal Justice Vote Across Range of Judicial Moderation and Amicus Brief Advantage Values for Primary All-Inclusive Model</w:t>
      </w:r>
      <w:r>
        <w:rPr>
          <w:rFonts w:cs="Times New Roman"/>
          <w:szCs w:val="24"/>
        </w:rPr>
        <w:t>…. 266</w:t>
      </w:r>
    </w:p>
    <w:p w:rsidR="003642B8" w:rsidRDefault="003642B8" w:rsidP="000E191F">
      <w:pPr>
        <w:autoSpaceDE w:val="0"/>
        <w:autoSpaceDN w:val="0"/>
        <w:adjustRightInd w:val="0"/>
        <w:ind w:left="0" w:firstLine="0"/>
        <w:jc w:val="both"/>
        <w:rPr>
          <w:rFonts w:cs="Times New Roman"/>
          <w:szCs w:val="24"/>
        </w:rPr>
      </w:pPr>
    </w:p>
    <w:p w:rsidR="000E191F" w:rsidRDefault="000E191F" w:rsidP="000E191F">
      <w:pPr>
        <w:autoSpaceDE w:val="0"/>
        <w:autoSpaceDN w:val="0"/>
        <w:adjustRightInd w:val="0"/>
        <w:ind w:left="0" w:firstLine="0"/>
        <w:jc w:val="both"/>
        <w:rPr>
          <w:rFonts w:cs="Times New Roman"/>
          <w:szCs w:val="24"/>
        </w:rPr>
      </w:pPr>
      <w:r w:rsidRPr="00E84721">
        <w:rPr>
          <w:rFonts w:cs="Times New Roman"/>
          <w:szCs w:val="24"/>
        </w:rPr>
        <w:t>Table A.5.</w:t>
      </w:r>
      <w:r>
        <w:rPr>
          <w:rFonts w:cs="Times New Roman"/>
          <w:szCs w:val="24"/>
        </w:rPr>
        <w:t xml:space="preserve">  </w:t>
      </w:r>
    </w:p>
    <w:p w:rsidR="000E191F" w:rsidRPr="00DA7E27" w:rsidRDefault="000E191F" w:rsidP="000E191F">
      <w:pPr>
        <w:autoSpaceDE w:val="0"/>
        <w:autoSpaceDN w:val="0"/>
        <w:adjustRightInd w:val="0"/>
        <w:ind w:firstLine="0"/>
        <w:jc w:val="both"/>
        <w:rPr>
          <w:rFonts w:cs="Times New Roman"/>
          <w:szCs w:val="24"/>
        </w:rPr>
      </w:pPr>
      <w:r w:rsidRPr="00E84721">
        <w:rPr>
          <w:rFonts w:cs="Times New Roman"/>
          <w:szCs w:val="24"/>
        </w:rPr>
        <w:t>Predicted Probabilities of Observing a Liberal Justice Vote Across Range of Judicial Moderation and Amicus Brief Advantage Values for Salient Cases Model</w:t>
      </w:r>
      <w:r>
        <w:rPr>
          <w:rFonts w:cs="Times New Roman"/>
          <w:szCs w:val="24"/>
        </w:rPr>
        <w:t>………….. 267</w:t>
      </w:r>
    </w:p>
    <w:p w:rsidR="000E191F" w:rsidRDefault="000E191F" w:rsidP="000E191F">
      <w:pPr>
        <w:ind w:left="0" w:firstLine="0"/>
        <w:jc w:val="center"/>
        <w:rPr>
          <w:b/>
          <w:sz w:val="32"/>
          <w:szCs w:val="32"/>
        </w:rPr>
      </w:pPr>
    </w:p>
    <w:p w:rsidR="000E191F" w:rsidRDefault="000E191F" w:rsidP="000E191F">
      <w:pPr>
        <w:ind w:left="0" w:firstLine="0"/>
        <w:jc w:val="center"/>
        <w:rPr>
          <w:b/>
          <w:sz w:val="32"/>
          <w:szCs w:val="32"/>
        </w:rPr>
      </w:pPr>
    </w:p>
    <w:p w:rsidR="000E191F" w:rsidRDefault="000E191F" w:rsidP="000E191F">
      <w:pPr>
        <w:ind w:left="0" w:firstLine="0"/>
        <w:jc w:val="center"/>
        <w:rPr>
          <w:b/>
          <w:sz w:val="32"/>
          <w:szCs w:val="32"/>
        </w:rPr>
      </w:pPr>
    </w:p>
    <w:p w:rsidR="000E191F" w:rsidRDefault="000E191F" w:rsidP="000E191F">
      <w:pPr>
        <w:ind w:left="0" w:firstLine="0"/>
        <w:jc w:val="center"/>
        <w:rPr>
          <w:b/>
          <w:sz w:val="32"/>
          <w:szCs w:val="32"/>
        </w:rPr>
      </w:pPr>
    </w:p>
    <w:p w:rsidR="000E191F" w:rsidRDefault="000E191F" w:rsidP="000E191F">
      <w:pPr>
        <w:ind w:left="0" w:firstLine="0"/>
        <w:rPr>
          <w:b/>
          <w:sz w:val="32"/>
          <w:szCs w:val="32"/>
        </w:rPr>
      </w:pPr>
    </w:p>
    <w:p w:rsidR="000E191F" w:rsidRDefault="000E191F" w:rsidP="000E191F">
      <w:pPr>
        <w:ind w:left="0" w:firstLine="0"/>
        <w:jc w:val="center"/>
        <w:rPr>
          <w:b/>
          <w:sz w:val="32"/>
          <w:szCs w:val="32"/>
        </w:rPr>
      </w:pPr>
    </w:p>
    <w:p w:rsidR="00A828B4" w:rsidRDefault="00A828B4" w:rsidP="000E191F">
      <w:pPr>
        <w:ind w:left="0" w:firstLine="0"/>
        <w:jc w:val="center"/>
        <w:rPr>
          <w:b/>
          <w:sz w:val="32"/>
          <w:szCs w:val="32"/>
        </w:rPr>
      </w:pPr>
    </w:p>
    <w:p w:rsidR="000E191F" w:rsidRPr="00296A8E" w:rsidRDefault="000E191F" w:rsidP="000E191F">
      <w:pPr>
        <w:ind w:left="0" w:firstLine="0"/>
        <w:jc w:val="center"/>
        <w:rPr>
          <w:b/>
          <w:sz w:val="32"/>
          <w:szCs w:val="32"/>
        </w:rPr>
      </w:pPr>
      <w:r>
        <w:rPr>
          <w:b/>
          <w:sz w:val="32"/>
          <w:szCs w:val="32"/>
        </w:rPr>
        <w:lastRenderedPageBreak/>
        <w:t>List of Figures</w:t>
      </w:r>
    </w:p>
    <w:p w:rsidR="000E191F" w:rsidRDefault="000E191F" w:rsidP="000E191F">
      <w:pPr>
        <w:ind w:left="0" w:firstLine="0"/>
        <w:rPr>
          <w:b/>
          <w:sz w:val="32"/>
          <w:szCs w:val="32"/>
          <w:u w:val="single"/>
        </w:rPr>
      </w:pPr>
    </w:p>
    <w:p w:rsidR="000E191F" w:rsidRDefault="000E191F" w:rsidP="000E191F">
      <w:pPr>
        <w:ind w:left="0" w:firstLine="0"/>
        <w:jc w:val="both"/>
        <w:rPr>
          <w:rFonts w:cs="Times New Roman"/>
          <w:szCs w:val="24"/>
        </w:rPr>
      </w:pPr>
      <w:proofErr w:type="gramStart"/>
      <w:r w:rsidRPr="00642746">
        <w:rPr>
          <w:rFonts w:cs="Times New Roman"/>
          <w:szCs w:val="24"/>
        </w:rPr>
        <w:t>Figure 2.1.</w:t>
      </w:r>
      <w:proofErr w:type="gramEnd"/>
      <w:r w:rsidRPr="00642746">
        <w:rPr>
          <w:rFonts w:cs="Times New Roman"/>
          <w:szCs w:val="24"/>
        </w:rPr>
        <w:t xml:space="preserve"> </w:t>
      </w:r>
      <w:r>
        <w:rPr>
          <w:rFonts w:cs="Times New Roman"/>
          <w:szCs w:val="24"/>
        </w:rPr>
        <w:t xml:space="preserve"> </w:t>
      </w:r>
    </w:p>
    <w:p w:rsidR="000E191F" w:rsidRDefault="000E191F" w:rsidP="000E191F">
      <w:pPr>
        <w:ind w:left="0" w:firstLine="720"/>
        <w:jc w:val="both"/>
        <w:rPr>
          <w:rFonts w:cs="Times New Roman"/>
          <w:szCs w:val="24"/>
        </w:rPr>
      </w:pPr>
      <w:r w:rsidRPr="00642746">
        <w:rPr>
          <w:rFonts w:cs="Times New Roman"/>
          <w:szCs w:val="24"/>
        </w:rPr>
        <w:t>Number of Orally-Argued Cases Decided Per Term at Roberts Court</w:t>
      </w:r>
      <w:r>
        <w:rPr>
          <w:rFonts w:cs="Times New Roman"/>
          <w:szCs w:val="24"/>
        </w:rPr>
        <w:t>………………… 78</w:t>
      </w:r>
    </w:p>
    <w:p w:rsidR="000E191F" w:rsidRPr="00642746" w:rsidRDefault="000E191F" w:rsidP="000E191F">
      <w:pPr>
        <w:ind w:left="0" w:firstLine="0"/>
        <w:jc w:val="both"/>
        <w:rPr>
          <w:rFonts w:cs="Times New Roman"/>
          <w:szCs w:val="24"/>
        </w:rPr>
      </w:pPr>
    </w:p>
    <w:p w:rsidR="000E191F" w:rsidRDefault="000E191F" w:rsidP="000E191F">
      <w:pPr>
        <w:ind w:left="0" w:firstLine="0"/>
        <w:jc w:val="both"/>
        <w:rPr>
          <w:rFonts w:cs="Times New Roman"/>
          <w:noProof/>
          <w:szCs w:val="24"/>
        </w:rPr>
      </w:pPr>
      <w:r w:rsidRPr="00642746">
        <w:rPr>
          <w:rFonts w:cs="Times New Roman"/>
          <w:noProof/>
          <w:szCs w:val="24"/>
        </w:rPr>
        <w:t xml:space="preserve">Figure 2.2. </w:t>
      </w:r>
      <w:r>
        <w:rPr>
          <w:rFonts w:cs="Times New Roman"/>
          <w:noProof/>
          <w:szCs w:val="24"/>
        </w:rPr>
        <w:t xml:space="preserve"> </w:t>
      </w:r>
    </w:p>
    <w:p w:rsidR="000E191F" w:rsidRDefault="000E191F" w:rsidP="000E191F">
      <w:pPr>
        <w:ind w:left="0" w:firstLine="720"/>
        <w:jc w:val="both"/>
        <w:rPr>
          <w:rFonts w:cs="Times New Roman"/>
          <w:noProof/>
          <w:szCs w:val="24"/>
        </w:rPr>
      </w:pPr>
      <w:r w:rsidRPr="00642746">
        <w:rPr>
          <w:rFonts w:cs="Times New Roman"/>
          <w:noProof/>
          <w:szCs w:val="24"/>
        </w:rPr>
        <w:t>Number of Liberal and Conservative Decisions Per Term at Roberts Court</w:t>
      </w:r>
      <w:r>
        <w:rPr>
          <w:rFonts w:cs="Times New Roman"/>
          <w:noProof/>
          <w:szCs w:val="24"/>
        </w:rPr>
        <w:t>…………... 79</w:t>
      </w:r>
    </w:p>
    <w:p w:rsidR="000E191F" w:rsidRPr="00642746" w:rsidRDefault="000E191F" w:rsidP="000E191F">
      <w:pPr>
        <w:ind w:left="0" w:firstLine="0"/>
        <w:jc w:val="both"/>
        <w:rPr>
          <w:rFonts w:cs="Times New Roman"/>
          <w:noProof/>
          <w:szCs w:val="24"/>
        </w:rPr>
      </w:pPr>
    </w:p>
    <w:p w:rsidR="000E191F" w:rsidRDefault="000E191F" w:rsidP="000E191F">
      <w:pPr>
        <w:ind w:left="0" w:firstLine="0"/>
        <w:jc w:val="both"/>
        <w:rPr>
          <w:rFonts w:cs="Times New Roman"/>
          <w:szCs w:val="24"/>
        </w:rPr>
      </w:pPr>
      <w:proofErr w:type="gramStart"/>
      <w:r w:rsidRPr="00642746">
        <w:rPr>
          <w:rFonts w:cs="Times New Roman"/>
          <w:szCs w:val="24"/>
        </w:rPr>
        <w:t>Figure 2</w:t>
      </w:r>
      <w:r>
        <w:rPr>
          <w:rFonts w:cs="Times New Roman"/>
          <w:szCs w:val="24"/>
        </w:rPr>
        <w:t>.3.</w:t>
      </w:r>
      <w:proofErr w:type="gramEnd"/>
      <w:r>
        <w:rPr>
          <w:rFonts w:cs="Times New Roman"/>
          <w:szCs w:val="24"/>
        </w:rPr>
        <w:t xml:space="preserve">  </w:t>
      </w:r>
    </w:p>
    <w:p w:rsidR="000E191F" w:rsidRDefault="000E191F" w:rsidP="000E191F">
      <w:pPr>
        <w:ind w:left="0" w:firstLine="720"/>
        <w:jc w:val="both"/>
        <w:rPr>
          <w:rFonts w:cs="Times New Roman"/>
          <w:szCs w:val="24"/>
        </w:rPr>
      </w:pPr>
      <w:r w:rsidRPr="00642746">
        <w:rPr>
          <w:rFonts w:cs="Times New Roman"/>
          <w:szCs w:val="24"/>
        </w:rPr>
        <w:t>Percentage of Cases Striking Down Laws as Unconstitutional at USSC</w:t>
      </w:r>
      <w:r>
        <w:rPr>
          <w:rFonts w:cs="Times New Roman"/>
          <w:szCs w:val="24"/>
        </w:rPr>
        <w:t>………………. 80</w:t>
      </w:r>
    </w:p>
    <w:p w:rsidR="000E191F" w:rsidRPr="00642746" w:rsidRDefault="000E191F" w:rsidP="000E191F">
      <w:pPr>
        <w:ind w:left="0" w:firstLine="0"/>
        <w:jc w:val="both"/>
        <w:rPr>
          <w:rFonts w:cs="Times New Roman"/>
          <w:szCs w:val="24"/>
        </w:rPr>
      </w:pPr>
    </w:p>
    <w:p w:rsidR="000E191F" w:rsidRDefault="000E191F" w:rsidP="000E191F">
      <w:pPr>
        <w:ind w:left="0" w:firstLine="0"/>
        <w:jc w:val="both"/>
        <w:rPr>
          <w:rFonts w:cs="Times New Roman"/>
          <w:szCs w:val="24"/>
        </w:rPr>
      </w:pPr>
      <w:proofErr w:type="gramStart"/>
      <w:r w:rsidRPr="00642746">
        <w:rPr>
          <w:rFonts w:cs="Times New Roman"/>
          <w:szCs w:val="24"/>
        </w:rPr>
        <w:t>Figure 2</w:t>
      </w:r>
      <w:r>
        <w:rPr>
          <w:rFonts w:cs="Times New Roman"/>
          <w:szCs w:val="24"/>
        </w:rPr>
        <w:t>.4.</w:t>
      </w:r>
      <w:proofErr w:type="gramEnd"/>
      <w:r>
        <w:rPr>
          <w:rFonts w:cs="Times New Roman"/>
          <w:szCs w:val="24"/>
        </w:rPr>
        <w:t xml:space="preserve">  </w:t>
      </w:r>
    </w:p>
    <w:p w:rsidR="000E191F" w:rsidRDefault="000E191F" w:rsidP="000E191F">
      <w:pPr>
        <w:ind w:left="0" w:firstLine="720"/>
        <w:jc w:val="both"/>
        <w:rPr>
          <w:rFonts w:cs="Times New Roman"/>
          <w:szCs w:val="24"/>
        </w:rPr>
      </w:pPr>
      <w:r w:rsidRPr="00642746">
        <w:rPr>
          <w:rFonts w:cs="Times New Roman"/>
          <w:szCs w:val="24"/>
        </w:rPr>
        <w:t>Percentage of Cases in Which USSC Ruled in Favor of Petitioner</w:t>
      </w:r>
      <w:r>
        <w:rPr>
          <w:rFonts w:cs="Times New Roman"/>
          <w:szCs w:val="24"/>
        </w:rPr>
        <w:t>…………………….. 82</w:t>
      </w:r>
    </w:p>
    <w:p w:rsidR="000E191F" w:rsidRPr="00642746" w:rsidRDefault="000E191F" w:rsidP="000E191F">
      <w:pPr>
        <w:ind w:left="0" w:firstLine="0"/>
        <w:jc w:val="both"/>
        <w:rPr>
          <w:rFonts w:cs="Times New Roman"/>
          <w:szCs w:val="24"/>
        </w:rPr>
      </w:pPr>
    </w:p>
    <w:p w:rsidR="000E191F" w:rsidRDefault="000E191F" w:rsidP="000E191F">
      <w:pPr>
        <w:ind w:left="0" w:firstLine="0"/>
        <w:jc w:val="both"/>
        <w:rPr>
          <w:rFonts w:cs="Times New Roman"/>
          <w:szCs w:val="24"/>
        </w:rPr>
      </w:pPr>
      <w:proofErr w:type="gramStart"/>
      <w:r w:rsidRPr="00642746">
        <w:rPr>
          <w:rFonts w:cs="Times New Roman"/>
          <w:szCs w:val="24"/>
        </w:rPr>
        <w:t>Figure 2</w:t>
      </w:r>
      <w:r>
        <w:rPr>
          <w:rFonts w:cs="Times New Roman"/>
          <w:szCs w:val="24"/>
        </w:rPr>
        <w:t>.5.</w:t>
      </w:r>
      <w:proofErr w:type="gramEnd"/>
      <w:r>
        <w:rPr>
          <w:rFonts w:cs="Times New Roman"/>
          <w:szCs w:val="24"/>
        </w:rPr>
        <w:t xml:space="preserve">  </w:t>
      </w:r>
    </w:p>
    <w:p w:rsidR="000E191F" w:rsidRDefault="000E191F" w:rsidP="000E191F">
      <w:pPr>
        <w:ind w:left="0" w:firstLine="720"/>
        <w:jc w:val="both"/>
        <w:rPr>
          <w:rFonts w:cs="Times New Roman"/>
          <w:szCs w:val="24"/>
        </w:rPr>
      </w:pPr>
      <w:r w:rsidRPr="00642746">
        <w:rPr>
          <w:rFonts w:cs="Times New Roman"/>
          <w:szCs w:val="24"/>
        </w:rPr>
        <w:t>Percentage of Cases in Which USSC Formally Altered Precedent</w:t>
      </w:r>
      <w:r>
        <w:rPr>
          <w:rFonts w:cs="Times New Roman"/>
          <w:szCs w:val="24"/>
        </w:rPr>
        <w:t>…………………….. 82</w:t>
      </w:r>
    </w:p>
    <w:p w:rsidR="000E191F" w:rsidRPr="00642746" w:rsidRDefault="000E191F" w:rsidP="000E191F">
      <w:pPr>
        <w:ind w:left="0" w:firstLine="0"/>
        <w:jc w:val="both"/>
        <w:rPr>
          <w:rFonts w:cs="Times New Roman"/>
          <w:szCs w:val="24"/>
        </w:rPr>
      </w:pPr>
    </w:p>
    <w:p w:rsidR="000E191F" w:rsidRDefault="000E191F" w:rsidP="000E191F">
      <w:pPr>
        <w:ind w:left="0" w:firstLine="0"/>
        <w:jc w:val="both"/>
        <w:rPr>
          <w:rFonts w:cs="Times New Roman"/>
          <w:szCs w:val="24"/>
        </w:rPr>
      </w:pPr>
      <w:proofErr w:type="gramStart"/>
      <w:r w:rsidRPr="00642746">
        <w:rPr>
          <w:rFonts w:cs="Times New Roman"/>
          <w:szCs w:val="24"/>
        </w:rPr>
        <w:t>Figure 2.6.</w:t>
      </w:r>
      <w:proofErr w:type="gramEnd"/>
      <w:r>
        <w:rPr>
          <w:rFonts w:cs="Times New Roman"/>
          <w:szCs w:val="24"/>
        </w:rPr>
        <w:t xml:space="preserve"> </w:t>
      </w:r>
      <w:r w:rsidRPr="00642746">
        <w:rPr>
          <w:rFonts w:cs="Times New Roman"/>
          <w:szCs w:val="24"/>
        </w:rPr>
        <w:t xml:space="preserve"> </w:t>
      </w:r>
    </w:p>
    <w:p w:rsidR="000E191F" w:rsidRDefault="000E191F" w:rsidP="000E191F">
      <w:pPr>
        <w:ind w:left="0" w:firstLine="720"/>
        <w:jc w:val="both"/>
        <w:rPr>
          <w:rFonts w:cs="Times New Roman"/>
          <w:szCs w:val="24"/>
        </w:rPr>
      </w:pPr>
      <w:r w:rsidRPr="00642746">
        <w:rPr>
          <w:rFonts w:cs="Times New Roman"/>
          <w:szCs w:val="24"/>
        </w:rPr>
        <w:t>Percentage of Five Vote Majority and Unanimous Cases at the USSC</w:t>
      </w:r>
      <w:r>
        <w:rPr>
          <w:rFonts w:cs="Times New Roman"/>
          <w:szCs w:val="24"/>
        </w:rPr>
        <w:t>………………... 84</w:t>
      </w:r>
    </w:p>
    <w:p w:rsidR="000E191F" w:rsidRPr="00642746" w:rsidRDefault="000E191F" w:rsidP="000E191F">
      <w:pPr>
        <w:ind w:left="0" w:firstLine="0"/>
        <w:jc w:val="both"/>
        <w:rPr>
          <w:rFonts w:cs="Times New Roman"/>
          <w:szCs w:val="24"/>
        </w:rPr>
      </w:pPr>
    </w:p>
    <w:p w:rsidR="000E191F" w:rsidRDefault="000E191F" w:rsidP="000E191F">
      <w:pPr>
        <w:ind w:left="0" w:firstLine="0"/>
        <w:jc w:val="both"/>
        <w:rPr>
          <w:rFonts w:cs="Times New Roman"/>
          <w:szCs w:val="24"/>
        </w:rPr>
      </w:pPr>
      <w:proofErr w:type="gramStart"/>
      <w:r w:rsidRPr="00642746">
        <w:rPr>
          <w:rFonts w:cs="Times New Roman"/>
          <w:szCs w:val="24"/>
        </w:rPr>
        <w:t>Figure 2.7</w:t>
      </w:r>
      <w:r>
        <w:rPr>
          <w:rFonts w:cs="Times New Roman"/>
          <w:szCs w:val="24"/>
        </w:rPr>
        <w:t>.</w:t>
      </w:r>
      <w:proofErr w:type="gramEnd"/>
      <w:r>
        <w:rPr>
          <w:rFonts w:cs="Times New Roman"/>
          <w:szCs w:val="24"/>
        </w:rPr>
        <w:t xml:space="preserve">  </w:t>
      </w:r>
    </w:p>
    <w:p w:rsidR="000E191F" w:rsidRDefault="000E191F" w:rsidP="000E191F">
      <w:pPr>
        <w:ind w:left="0" w:firstLine="720"/>
        <w:jc w:val="both"/>
        <w:rPr>
          <w:rFonts w:cs="Times New Roman"/>
          <w:szCs w:val="24"/>
        </w:rPr>
      </w:pPr>
      <w:r w:rsidRPr="00642746">
        <w:rPr>
          <w:rFonts w:cs="Times New Roman"/>
          <w:szCs w:val="24"/>
        </w:rPr>
        <w:t>Number of Cases Decided by Issue Area and Dec</w:t>
      </w:r>
      <w:r>
        <w:rPr>
          <w:rFonts w:cs="Times New Roman"/>
          <w:szCs w:val="24"/>
        </w:rPr>
        <w:t>ision Direction at Roberts Court…… 86</w:t>
      </w:r>
    </w:p>
    <w:p w:rsidR="000E191F" w:rsidRPr="00642746" w:rsidRDefault="000E191F" w:rsidP="000E191F">
      <w:pPr>
        <w:ind w:left="0" w:firstLine="0"/>
        <w:jc w:val="both"/>
        <w:rPr>
          <w:rFonts w:cs="Times New Roman"/>
          <w:szCs w:val="24"/>
        </w:rPr>
      </w:pPr>
    </w:p>
    <w:p w:rsidR="000E191F" w:rsidRDefault="000E191F" w:rsidP="000E191F">
      <w:pPr>
        <w:ind w:left="0" w:firstLine="0"/>
        <w:jc w:val="both"/>
        <w:rPr>
          <w:rFonts w:cs="Times New Roman"/>
          <w:szCs w:val="24"/>
        </w:rPr>
      </w:pPr>
      <w:proofErr w:type="gramStart"/>
      <w:r w:rsidRPr="00642746">
        <w:rPr>
          <w:rFonts w:cs="Times New Roman"/>
          <w:szCs w:val="24"/>
        </w:rPr>
        <w:t>Figure 5.1</w:t>
      </w:r>
      <w:r>
        <w:rPr>
          <w:rFonts w:cs="Times New Roman"/>
          <w:szCs w:val="24"/>
        </w:rPr>
        <w:t>.</w:t>
      </w:r>
      <w:proofErr w:type="gramEnd"/>
      <w:r w:rsidRPr="00642746">
        <w:rPr>
          <w:rFonts w:cs="Times New Roman"/>
          <w:szCs w:val="24"/>
        </w:rPr>
        <w:t xml:space="preserve"> </w:t>
      </w:r>
      <w:r>
        <w:rPr>
          <w:rFonts w:cs="Times New Roman"/>
          <w:szCs w:val="24"/>
        </w:rPr>
        <w:t xml:space="preserve"> </w:t>
      </w:r>
    </w:p>
    <w:p w:rsidR="000E191F" w:rsidRDefault="000E191F" w:rsidP="000E191F">
      <w:pPr>
        <w:ind w:firstLine="0"/>
        <w:jc w:val="both"/>
        <w:rPr>
          <w:rFonts w:cs="Times New Roman"/>
          <w:szCs w:val="24"/>
        </w:rPr>
      </w:pPr>
      <w:r w:rsidRPr="00642746">
        <w:rPr>
          <w:rFonts w:cs="Times New Roman"/>
          <w:szCs w:val="24"/>
        </w:rPr>
        <w:t xml:space="preserve">Marginal Effect of </w:t>
      </w:r>
      <w:r w:rsidRPr="00642746">
        <w:rPr>
          <w:rFonts w:cs="Times New Roman"/>
          <w:i/>
          <w:szCs w:val="24"/>
        </w:rPr>
        <w:t>Liberal-Conservative Amicus Brief Difference</w:t>
      </w:r>
      <w:r w:rsidRPr="00642746">
        <w:rPr>
          <w:rFonts w:cs="Times New Roman"/>
          <w:szCs w:val="24"/>
        </w:rPr>
        <w:t xml:space="preserve"> on Ideological Direction of Justice Vote Across Varying Levels of Judicial Moderation</w:t>
      </w:r>
      <w:r>
        <w:rPr>
          <w:rFonts w:cs="Times New Roman"/>
          <w:szCs w:val="24"/>
        </w:rPr>
        <w:t>…………………………………………………………………………….. 160</w:t>
      </w:r>
    </w:p>
    <w:p w:rsidR="000E191F" w:rsidRPr="00642746" w:rsidRDefault="000E191F" w:rsidP="000E191F">
      <w:pPr>
        <w:ind w:left="0" w:firstLine="0"/>
        <w:jc w:val="both"/>
        <w:rPr>
          <w:rFonts w:cs="Times New Roman"/>
          <w:szCs w:val="24"/>
        </w:rPr>
      </w:pPr>
    </w:p>
    <w:p w:rsidR="000E191F" w:rsidRDefault="000E191F" w:rsidP="000E191F">
      <w:pPr>
        <w:ind w:left="0" w:firstLine="0"/>
        <w:jc w:val="both"/>
        <w:rPr>
          <w:rFonts w:cs="Times New Roman"/>
          <w:szCs w:val="24"/>
        </w:rPr>
      </w:pPr>
      <w:proofErr w:type="gramStart"/>
      <w:r>
        <w:rPr>
          <w:rFonts w:cs="Times New Roman"/>
          <w:szCs w:val="24"/>
        </w:rPr>
        <w:t>Figure 5.2.</w:t>
      </w:r>
      <w:proofErr w:type="gramEnd"/>
      <w:r>
        <w:rPr>
          <w:rFonts w:cs="Times New Roman"/>
          <w:szCs w:val="24"/>
        </w:rPr>
        <w:t xml:space="preserve"> </w:t>
      </w:r>
    </w:p>
    <w:p w:rsidR="000E191F" w:rsidRDefault="000E191F" w:rsidP="000E191F">
      <w:pPr>
        <w:ind w:firstLine="0"/>
        <w:jc w:val="both"/>
        <w:rPr>
          <w:rFonts w:cs="Times New Roman"/>
          <w:szCs w:val="24"/>
        </w:rPr>
      </w:pPr>
      <w:r w:rsidRPr="00642746">
        <w:rPr>
          <w:rFonts w:cs="Times New Roman"/>
          <w:szCs w:val="24"/>
        </w:rPr>
        <w:t xml:space="preserve">Marginal Effect of </w:t>
      </w:r>
      <w:r w:rsidRPr="00642746">
        <w:rPr>
          <w:rFonts w:cs="Times New Roman"/>
          <w:i/>
          <w:szCs w:val="24"/>
        </w:rPr>
        <w:t>Liberal-Conservative Amicus Brief Difference</w:t>
      </w:r>
      <w:r w:rsidRPr="00642746">
        <w:rPr>
          <w:rFonts w:cs="Times New Roman"/>
          <w:szCs w:val="24"/>
        </w:rPr>
        <w:t xml:space="preserve"> on Ideological Direction of Justice Vote Across Varying Levels of Judicial Moderation in Criminal Procedure Cases</w:t>
      </w:r>
      <w:r>
        <w:rPr>
          <w:rFonts w:cs="Times New Roman"/>
          <w:szCs w:val="24"/>
        </w:rPr>
        <w:t>……………………………………………………………………...... 170</w:t>
      </w:r>
    </w:p>
    <w:p w:rsidR="000E191F" w:rsidRPr="00642746" w:rsidRDefault="000E191F" w:rsidP="000E191F">
      <w:pPr>
        <w:ind w:left="0" w:firstLine="0"/>
        <w:jc w:val="both"/>
        <w:rPr>
          <w:rFonts w:cs="Times New Roman"/>
          <w:szCs w:val="24"/>
        </w:rPr>
      </w:pPr>
    </w:p>
    <w:p w:rsidR="000E191F" w:rsidRDefault="000E191F" w:rsidP="000E191F">
      <w:pPr>
        <w:ind w:left="0" w:firstLine="0"/>
        <w:jc w:val="both"/>
        <w:rPr>
          <w:rFonts w:cs="Times New Roman"/>
          <w:szCs w:val="24"/>
        </w:rPr>
      </w:pPr>
      <w:proofErr w:type="gramStart"/>
      <w:r w:rsidRPr="00642746">
        <w:rPr>
          <w:rFonts w:cs="Times New Roman"/>
          <w:szCs w:val="24"/>
        </w:rPr>
        <w:t>Figure 5.3.</w:t>
      </w:r>
      <w:proofErr w:type="gramEnd"/>
      <w:r>
        <w:rPr>
          <w:rFonts w:cs="Times New Roman"/>
          <w:szCs w:val="24"/>
        </w:rPr>
        <w:t xml:space="preserve"> </w:t>
      </w:r>
      <w:r w:rsidRPr="00642746">
        <w:rPr>
          <w:rFonts w:cs="Times New Roman"/>
          <w:szCs w:val="24"/>
        </w:rPr>
        <w:t xml:space="preserve"> </w:t>
      </w:r>
    </w:p>
    <w:p w:rsidR="000E191F" w:rsidRDefault="000E191F" w:rsidP="000E191F">
      <w:pPr>
        <w:ind w:firstLine="0"/>
        <w:jc w:val="both"/>
        <w:rPr>
          <w:rFonts w:cs="Times New Roman"/>
          <w:szCs w:val="24"/>
        </w:rPr>
      </w:pPr>
      <w:r w:rsidRPr="00642746">
        <w:rPr>
          <w:rFonts w:cs="Times New Roman"/>
          <w:szCs w:val="24"/>
        </w:rPr>
        <w:t xml:space="preserve">Marginal Effect of </w:t>
      </w:r>
      <w:r w:rsidRPr="00642746">
        <w:rPr>
          <w:rFonts w:cs="Times New Roman"/>
          <w:i/>
          <w:szCs w:val="24"/>
        </w:rPr>
        <w:t>Liberal-Conservative Amicus Cosigner Difference</w:t>
      </w:r>
      <w:r w:rsidRPr="00642746">
        <w:rPr>
          <w:rFonts w:cs="Times New Roman"/>
          <w:szCs w:val="24"/>
        </w:rPr>
        <w:t xml:space="preserve"> on Ideological Direction of Justice Vote Across Varying Levels of Judicial Moderation in Civil Rights and Liberties Cases</w:t>
      </w:r>
      <w:r>
        <w:rPr>
          <w:rFonts w:cs="Times New Roman"/>
          <w:szCs w:val="24"/>
        </w:rPr>
        <w:t>……………………………………………………......................... 177</w:t>
      </w:r>
    </w:p>
    <w:p w:rsidR="000E191F" w:rsidRPr="00642746" w:rsidRDefault="000E191F" w:rsidP="000E191F">
      <w:pPr>
        <w:ind w:left="0" w:firstLine="0"/>
        <w:jc w:val="both"/>
        <w:rPr>
          <w:rFonts w:cs="Times New Roman"/>
          <w:szCs w:val="24"/>
        </w:rPr>
      </w:pPr>
    </w:p>
    <w:p w:rsidR="000E191F" w:rsidRDefault="000E191F" w:rsidP="000E191F">
      <w:pPr>
        <w:ind w:left="0" w:firstLine="0"/>
        <w:jc w:val="both"/>
        <w:rPr>
          <w:rFonts w:cs="Times New Roman"/>
          <w:szCs w:val="24"/>
        </w:rPr>
      </w:pPr>
      <w:proofErr w:type="gramStart"/>
      <w:r w:rsidRPr="00642746">
        <w:rPr>
          <w:rFonts w:cs="Times New Roman"/>
          <w:szCs w:val="24"/>
        </w:rPr>
        <w:t>Figure 5.4.</w:t>
      </w:r>
      <w:proofErr w:type="gramEnd"/>
      <w:r w:rsidRPr="00642746">
        <w:rPr>
          <w:rFonts w:cs="Times New Roman"/>
          <w:szCs w:val="24"/>
        </w:rPr>
        <w:t xml:space="preserve"> </w:t>
      </w:r>
      <w:r>
        <w:rPr>
          <w:rFonts w:cs="Times New Roman"/>
          <w:szCs w:val="24"/>
        </w:rPr>
        <w:t xml:space="preserve"> </w:t>
      </w:r>
    </w:p>
    <w:p w:rsidR="000E191F" w:rsidRDefault="000E191F" w:rsidP="000E191F">
      <w:pPr>
        <w:ind w:firstLine="0"/>
        <w:jc w:val="both"/>
        <w:rPr>
          <w:rFonts w:cs="Times New Roman"/>
          <w:szCs w:val="24"/>
        </w:rPr>
      </w:pPr>
      <w:r w:rsidRPr="00642746">
        <w:rPr>
          <w:rFonts w:cs="Times New Roman"/>
          <w:szCs w:val="24"/>
        </w:rPr>
        <w:t xml:space="preserve">Marginal Effect of </w:t>
      </w:r>
      <w:r w:rsidRPr="00642746">
        <w:rPr>
          <w:rFonts w:cs="Times New Roman"/>
          <w:i/>
          <w:szCs w:val="24"/>
        </w:rPr>
        <w:t>Liberal-Conservative Amicus Brief Difference</w:t>
      </w:r>
      <w:r w:rsidRPr="00642746">
        <w:rPr>
          <w:rFonts w:cs="Times New Roman"/>
          <w:szCs w:val="24"/>
        </w:rPr>
        <w:t xml:space="preserve"> on Ideological Direction of Justice Vote Across Levels of Judicial Moderation in Economics Cases</w:t>
      </w:r>
      <w:r>
        <w:rPr>
          <w:rFonts w:cs="Times New Roman"/>
          <w:szCs w:val="24"/>
        </w:rPr>
        <w:t>…………………………………………………………………………………... 184</w:t>
      </w:r>
    </w:p>
    <w:p w:rsidR="000E191F" w:rsidRPr="00642746" w:rsidRDefault="000E191F" w:rsidP="000E191F">
      <w:pPr>
        <w:ind w:left="0" w:firstLine="0"/>
        <w:jc w:val="both"/>
        <w:rPr>
          <w:rFonts w:cs="Times New Roman"/>
          <w:szCs w:val="24"/>
        </w:rPr>
      </w:pPr>
    </w:p>
    <w:p w:rsidR="000E191F" w:rsidRDefault="000E191F" w:rsidP="000E191F">
      <w:pPr>
        <w:ind w:left="0" w:firstLine="0"/>
        <w:jc w:val="both"/>
        <w:rPr>
          <w:rFonts w:cs="Times New Roman"/>
          <w:szCs w:val="24"/>
        </w:rPr>
      </w:pPr>
    </w:p>
    <w:p w:rsidR="000E191F" w:rsidRDefault="000E191F" w:rsidP="000E191F">
      <w:pPr>
        <w:ind w:left="0" w:firstLine="0"/>
        <w:jc w:val="both"/>
        <w:rPr>
          <w:rFonts w:cs="Times New Roman"/>
          <w:szCs w:val="24"/>
        </w:rPr>
      </w:pPr>
    </w:p>
    <w:p w:rsidR="000E191F" w:rsidRDefault="000E191F" w:rsidP="000E191F">
      <w:pPr>
        <w:ind w:left="0" w:firstLine="0"/>
        <w:jc w:val="both"/>
        <w:rPr>
          <w:rFonts w:cs="Times New Roman"/>
          <w:szCs w:val="24"/>
        </w:rPr>
      </w:pPr>
    </w:p>
    <w:p w:rsidR="000E191F" w:rsidRDefault="000E191F" w:rsidP="000E191F">
      <w:pPr>
        <w:ind w:left="0" w:firstLine="0"/>
        <w:jc w:val="both"/>
        <w:rPr>
          <w:rFonts w:cs="Times New Roman"/>
          <w:szCs w:val="24"/>
        </w:rPr>
      </w:pPr>
      <w:proofErr w:type="gramStart"/>
      <w:r w:rsidRPr="00642746">
        <w:rPr>
          <w:rFonts w:cs="Times New Roman"/>
          <w:szCs w:val="24"/>
        </w:rPr>
        <w:lastRenderedPageBreak/>
        <w:t>Figure 5.5.</w:t>
      </w:r>
      <w:proofErr w:type="gramEnd"/>
      <w:r w:rsidRPr="00642746">
        <w:rPr>
          <w:rFonts w:cs="Times New Roman"/>
          <w:szCs w:val="24"/>
        </w:rPr>
        <w:t xml:space="preserve"> </w:t>
      </w:r>
      <w:r>
        <w:rPr>
          <w:rFonts w:cs="Times New Roman"/>
          <w:szCs w:val="24"/>
        </w:rPr>
        <w:t xml:space="preserve"> </w:t>
      </w:r>
    </w:p>
    <w:p w:rsidR="000E191F" w:rsidRDefault="000E191F" w:rsidP="000E191F">
      <w:pPr>
        <w:ind w:firstLine="0"/>
        <w:jc w:val="both"/>
        <w:rPr>
          <w:rFonts w:cs="Times New Roman"/>
          <w:szCs w:val="24"/>
        </w:rPr>
      </w:pPr>
      <w:r w:rsidRPr="00642746">
        <w:rPr>
          <w:rFonts w:cs="Times New Roman"/>
          <w:szCs w:val="24"/>
        </w:rPr>
        <w:t xml:space="preserve">Marginal Effect of </w:t>
      </w:r>
      <w:r w:rsidRPr="00642746">
        <w:rPr>
          <w:rFonts w:cs="Times New Roman"/>
          <w:i/>
          <w:szCs w:val="24"/>
        </w:rPr>
        <w:t>Liberal-Conservative Amicus Brief Difference</w:t>
      </w:r>
      <w:r w:rsidRPr="00642746">
        <w:rPr>
          <w:rFonts w:cs="Times New Roman"/>
          <w:szCs w:val="24"/>
        </w:rPr>
        <w:t xml:space="preserve"> on Ideological Direction of Justice Vote Across Varying Levels of Judicial Moderation in Judicial Power and Federalism Cases</w:t>
      </w:r>
      <w:r>
        <w:rPr>
          <w:rFonts w:cs="Times New Roman"/>
          <w:szCs w:val="24"/>
        </w:rPr>
        <w:t>………………………………………………………….. 190</w:t>
      </w:r>
    </w:p>
    <w:p w:rsidR="000E191F" w:rsidRPr="00642746" w:rsidRDefault="000E191F" w:rsidP="000E191F">
      <w:pPr>
        <w:ind w:left="0" w:firstLine="0"/>
        <w:jc w:val="both"/>
        <w:rPr>
          <w:rFonts w:cs="Times New Roman"/>
          <w:szCs w:val="24"/>
        </w:rPr>
      </w:pPr>
    </w:p>
    <w:p w:rsidR="000E191F" w:rsidRDefault="000E191F" w:rsidP="000E191F">
      <w:pPr>
        <w:ind w:left="0" w:firstLine="0"/>
        <w:jc w:val="both"/>
        <w:rPr>
          <w:rFonts w:cs="Times New Roman"/>
          <w:szCs w:val="24"/>
        </w:rPr>
      </w:pPr>
      <w:proofErr w:type="gramStart"/>
      <w:r w:rsidRPr="00642746">
        <w:rPr>
          <w:rFonts w:cs="Times New Roman"/>
          <w:szCs w:val="24"/>
        </w:rPr>
        <w:t>Figure 5.6.</w:t>
      </w:r>
      <w:proofErr w:type="gramEnd"/>
      <w:r w:rsidRPr="00642746">
        <w:rPr>
          <w:rFonts w:cs="Times New Roman"/>
          <w:szCs w:val="24"/>
        </w:rPr>
        <w:t xml:space="preserve"> </w:t>
      </w:r>
      <w:r>
        <w:rPr>
          <w:rFonts w:cs="Times New Roman"/>
          <w:szCs w:val="24"/>
        </w:rPr>
        <w:t xml:space="preserve"> </w:t>
      </w:r>
    </w:p>
    <w:p w:rsidR="000E191F" w:rsidRPr="00642746" w:rsidRDefault="000E191F" w:rsidP="000E191F">
      <w:pPr>
        <w:ind w:firstLine="0"/>
        <w:jc w:val="both"/>
        <w:rPr>
          <w:rFonts w:cs="Times New Roman"/>
          <w:szCs w:val="24"/>
        </w:rPr>
      </w:pPr>
      <w:r w:rsidRPr="00642746">
        <w:rPr>
          <w:rFonts w:cs="Times New Roman"/>
          <w:szCs w:val="24"/>
        </w:rPr>
        <w:t xml:space="preserve">Marginal Effect of </w:t>
      </w:r>
      <w:r w:rsidRPr="00642746">
        <w:rPr>
          <w:rFonts w:cs="Times New Roman"/>
          <w:i/>
          <w:szCs w:val="24"/>
        </w:rPr>
        <w:t>Liberal-Conservative Amicus Brief Difference</w:t>
      </w:r>
      <w:r w:rsidRPr="00642746">
        <w:rPr>
          <w:rFonts w:cs="Times New Roman"/>
          <w:szCs w:val="24"/>
        </w:rPr>
        <w:t xml:space="preserve"> on Ideological Direction of Justice Vote Across Varying Levels of Judicial Moderation in Salient Cases</w:t>
      </w:r>
      <w:r>
        <w:rPr>
          <w:rFonts w:cs="Times New Roman"/>
          <w:szCs w:val="24"/>
        </w:rPr>
        <w:t>…………………………………………………………………………………... 195</w:t>
      </w:r>
    </w:p>
    <w:p w:rsidR="000E191F" w:rsidRDefault="000E191F" w:rsidP="000E191F">
      <w:pPr>
        <w:ind w:left="0" w:firstLine="0"/>
        <w:jc w:val="both"/>
        <w:rPr>
          <w:b/>
          <w:sz w:val="32"/>
          <w:szCs w:val="32"/>
          <w:u w:val="single"/>
        </w:rPr>
      </w:pPr>
    </w:p>
    <w:p w:rsidR="000E191F" w:rsidRDefault="000E191F" w:rsidP="000E191F">
      <w:pPr>
        <w:jc w:val="both"/>
      </w:pPr>
    </w:p>
    <w:p w:rsidR="00ED12ED" w:rsidRDefault="00ED12ED" w:rsidP="00D50941">
      <w:pPr>
        <w:ind w:left="0" w:firstLine="0"/>
        <w:rPr>
          <w:b/>
          <w:sz w:val="32"/>
          <w:szCs w:val="32"/>
          <w:u w:val="single"/>
        </w:rPr>
      </w:pPr>
    </w:p>
    <w:p w:rsidR="00ED12ED" w:rsidRDefault="00ED12ED" w:rsidP="00D50941">
      <w:pPr>
        <w:ind w:left="0" w:firstLine="0"/>
        <w:rPr>
          <w:b/>
          <w:sz w:val="32"/>
          <w:szCs w:val="32"/>
          <w:u w:val="single"/>
        </w:rPr>
      </w:pPr>
    </w:p>
    <w:p w:rsidR="00ED12ED" w:rsidRDefault="00ED12ED" w:rsidP="00D50941">
      <w:pPr>
        <w:ind w:left="0" w:firstLine="0"/>
        <w:rPr>
          <w:b/>
          <w:sz w:val="32"/>
          <w:szCs w:val="32"/>
          <w:u w:val="single"/>
        </w:rPr>
      </w:pPr>
    </w:p>
    <w:p w:rsidR="00ED12ED" w:rsidRDefault="00ED12ED" w:rsidP="00D50941">
      <w:pPr>
        <w:ind w:left="0" w:firstLine="0"/>
        <w:rPr>
          <w:b/>
          <w:sz w:val="32"/>
          <w:szCs w:val="32"/>
          <w:u w:val="single"/>
        </w:rPr>
      </w:pPr>
    </w:p>
    <w:p w:rsidR="000778D1" w:rsidRDefault="000778D1" w:rsidP="00296A8E">
      <w:pPr>
        <w:ind w:left="0" w:firstLine="0"/>
        <w:jc w:val="center"/>
        <w:rPr>
          <w:b/>
          <w:sz w:val="32"/>
          <w:szCs w:val="32"/>
          <w:u w:val="single"/>
        </w:rPr>
      </w:pPr>
    </w:p>
    <w:p w:rsidR="00287F5E" w:rsidRDefault="009E657D" w:rsidP="009E657D">
      <w:pPr>
        <w:rPr>
          <w:b/>
          <w:sz w:val="32"/>
          <w:szCs w:val="32"/>
        </w:rPr>
      </w:pPr>
      <w:r>
        <w:rPr>
          <w:b/>
          <w:sz w:val="32"/>
          <w:szCs w:val="32"/>
        </w:rPr>
        <w:br w:type="page"/>
      </w:r>
    </w:p>
    <w:p w:rsidR="009E657D" w:rsidRDefault="009E657D" w:rsidP="00296A8E">
      <w:pPr>
        <w:ind w:left="0" w:firstLine="0"/>
        <w:jc w:val="center"/>
        <w:rPr>
          <w:b/>
          <w:sz w:val="32"/>
          <w:szCs w:val="32"/>
        </w:rPr>
        <w:sectPr w:rsidR="009E657D" w:rsidSect="009E657D">
          <w:footerReference w:type="default" r:id="rId9"/>
          <w:pgSz w:w="12240" w:h="15840"/>
          <w:pgMar w:top="1440" w:right="1440" w:bottom="1440" w:left="1440" w:header="720" w:footer="720" w:gutter="0"/>
          <w:pgNumType w:fmt="lowerRoman" w:start="1"/>
          <w:cols w:space="720"/>
          <w:titlePg/>
          <w:docGrid w:linePitch="360"/>
        </w:sectPr>
      </w:pPr>
    </w:p>
    <w:p w:rsidR="00D50941" w:rsidRPr="00296A8E" w:rsidRDefault="00112B74" w:rsidP="00296A8E">
      <w:pPr>
        <w:ind w:left="0" w:firstLine="0"/>
        <w:jc w:val="center"/>
        <w:rPr>
          <w:b/>
          <w:sz w:val="32"/>
          <w:szCs w:val="32"/>
        </w:rPr>
      </w:pPr>
      <w:r w:rsidRPr="00296A8E">
        <w:rPr>
          <w:b/>
          <w:sz w:val="32"/>
          <w:szCs w:val="32"/>
        </w:rPr>
        <w:lastRenderedPageBreak/>
        <w:t xml:space="preserve">Chapter </w:t>
      </w:r>
      <w:r w:rsidR="00296A8E">
        <w:rPr>
          <w:b/>
          <w:sz w:val="32"/>
          <w:szCs w:val="32"/>
        </w:rPr>
        <w:t>1:</w:t>
      </w:r>
      <w:r w:rsidR="00D50941" w:rsidRPr="00296A8E">
        <w:rPr>
          <w:b/>
          <w:sz w:val="32"/>
          <w:szCs w:val="32"/>
        </w:rPr>
        <w:t xml:space="preserve">  </w:t>
      </w:r>
      <w:r w:rsidR="00472AA9" w:rsidRPr="00296A8E">
        <w:rPr>
          <w:b/>
          <w:sz w:val="32"/>
          <w:szCs w:val="32"/>
        </w:rPr>
        <w:t>Intro</w:t>
      </w:r>
      <w:r w:rsidR="00DE4181" w:rsidRPr="00296A8E">
        <w:rPr>
          <w:b/>
          <w:sz w:val="32"/>
          <w:szCs w:val="32"/>
        </w:rPr>
        <w:t>duction</w:t>
      </w:r>
      <w:r w:rsidR="00472AA9" w:rsidRPr="00296A8E">
        <w:rPr>
          <w:b/>
          <w:sz w:val="32"/>
          <w:szCs w:val="32"/>
        </w:rPr>
        <w:t xml:space="preserve"> </w:t>
      </w:r>
      <w:r w:rsidR="000D6839" w:rsidRPr="00296A8E">
        <w:rPr>
          <w:b/>
          <w:sz w:val="32"/>
          <w:szCs w:val="32"/>
        </w:rPr>
        <w:t>and</w:t>
      </w:r>
      <w:r w:rsidR="00472AA9" w:rsidRPr="00296A8E">
        <w:rPr>
          <w:b/>
          <w:sz w:val="32"/>
          <w:szCs w:val="32"/>
        </w:rPr>
        <w:t xml:space="preserve"> </w:t>
      </w:r>
      <w:r w:rsidR="001F6F61" w:rsidRPr="00296A8E">
        <w:rPr>
          <w:b/>
          <w:sz w:val="32"/>
          <w:szCs w:val="32"/>
        </w:rPr>
        <w:t>Literature Review</w:t>
      </w:r>
    </w:p>
    <w:p w:rsidR="00D50941" w:rsidRDefault="00D50941" w:rsidP="00D50941">
      <w:pPr>
        <w:ind w:left="0" w:firstLine="0"/>
        <w:rPr>
          <w:b/>
          <w:szCs w:val="24"/>
        </w:rPr>
      </w:pPr>
    </w:p>
    <w:p w:rsidR="00810A23" w:rsidRDefault="008C7067" w:rsidP="00296A8E">
      <w:pPr>
        <w:spacing w:line="480" w:lineRule="auto"/>
        <w:ind w:left="0" w:firstLine="720"/>
        <w:rPr>
          <w:szCs w:val="24"/>
        </w:rPr>
      </w:pPr>
      <w:r w:rsidRPr="008C7067">
        <w:rPr>
          <w:szCs w:val="24"/>
        </w:rPr>
        <w:t xml:space="preserve">The </w:t>
      </w:r>
      <w:r w:rsidR="003D00B9">
        <w:rPr>
          <w:szCs w:val="24"/>
        </w:rPr>
        <w:t xml:space="preserve">federal </w:t>
      </w:r>
      <w:r w:rsidRPr="008C7067">
        <w:rPr>
          <w:szCs w:val="24"/>
        </w:rPr>
        <w:t>courts were intended by the Founders to be the protectors of fundamental rights and independent, dispassionate arbit</w:t>
      </w:r>
      <w:r w:rsidR="00425BA8">
        <w:rPr>
          <w:szCs w:val="24"/>
        </w:rPr>
        <w:t>ers of constitutional meaning.  The contention</w:t>
      </w:r>
      <w:r>
        <w:rPr>
          <w:szCs w:val="24"/>
        </w:rPr>
        <w:t xml:space="preserve"> of the Founders</w:t>
      </w:r>
      <w:r w:rsidR="00425BA8">
        <w:rPr>
          <w:szCs w:val="24"/>
        </w:rPr>
        <w:t xml:space="preserve"> was</w:t>
      </w:r>
      <w:r>
        <w:rPr>
          <w:szCs w:val="24"/>
        </w:rPr>
        <w:t xml:space="preserve"> that</w:t>
      </w:r>
      <w:r w:rsidRPr="008C7067">
        <w:rPr>
          <w:szCs w:val="24"/>
        </w:rPr>
        <w:t xml:space="preserve"> courts</w:t>
      </w:r>
      <w:r>
        <w:rPr>
          <w:szCs w:val="24"/>
        </w:rPr>
        <w:t xml:space="preserve"> would be the “least dangerous branch” (</w:t>
      </w:r>
      <w:r w:rsidRPr="008C7067">
        <w:rPr>
          <w:szCs w:val="24"/>
        </w:rPr>
        <w:t>lack</w:t>
      </w:r>
      <w:r>
        <w:rPr>
          <w:szCs w:val="24"/>
        </w:rPr>
        <w:t>ing</w:t>
      </w:r>
      <w:r w:rsidRPr="008C7067">
        <w:rPr>
          <w:szCs w:val="24"/>
        </w:rPr>
        <w:t xml:space="preserve"> force and will, but merely possess</w:t>
      </w:r>
      <w:r>
        <w:rPr>
          <w:szCs w:val="24"/>
        </w:rPr>
        <w:t>ing</w:t>
      </w:r>
      <w:r w:rsidRPr="008C7067">
        <w:rPr>
          <w:szCs w:val="24"/>
        </w:rPr>
        <w:t xml:space="preserve"> judgment</w:t>
      </w:r>
      <w:r>
        <w:rPr>
          <w:szCs w:val="24"/>
        </w:rPr>
        <w:t>) (</w:t>
      </w:r>
      <w:r w:rsidRPr="0055468D">
        <w:rPr>
          <w:i/>
          <w:szCs w:val="24"/>
        </w:rPr>
        <w:t>Federalist No. 78</w:t>
      </w:r>
      <w:r>
        <w:rPr>
          <w:szCs w:val="24"/>
        </w:rPr>
        <w:t>, Hamilton 1788)</w:t>
      </w:r>
      <w:r w:rsidRPr="008C7067">
        <w:rPr>
          <w:szCs w:val="24"/>
        </w:rPr>
        <w:t>,</w:t>
      </w:r>
      <w:r w:rsidR="00425BA8">
        <w:rPr>
          <w:szCs w:val="24"/>
        </w:rPr>
        <w:t xml:space="preserve"> and</w:t>
      </w:r>
      <w:r w:rsidRPr="008C7067">
        <w:rPr>
          <w:szCs w:val="24"/>
        </w:rPr>
        <w:t xml:space="preserve"> the history of federal judiciary shows </w:t>
      </w:r>
      <w:r w:rsidR="0098708A">
        <w:rPr>
          <w:szCs w:val="24"/>
        </w:rPr>
        <w:t>that it has been the least powerful</w:t>
      </w:r>
      <w:r w:rsidRPr="008C7067">
        <w:rPr>
          <w:szCs w:val="24"/>
        </w:rPr>
        <w:t xml:space="preserve"> of the three branches (</w:t>
      </w:r>
      <w:proofErr w:type="spellStart"/>
      <w:r w:rsidRPr="008C7067">
        <w:rPr>
          <w:szCs w:val="24"/>
        </w:rPr>
        <w:t>Mondak</w:t>
      </w:r>
      <w:proofErr w:type="spellEnd"/>
      <w:r w:rsidRPr="008C7067">
        <w:rPr>
          <w:szCs w:val="24"/>
        </w:rPr>
        <w:t xml:space="preserve"> and Smithy 1997; Silverstein and Ginsburg 1987).  The federal courts are constrained by presidential appointment power and congressional control over their jurisdiction, organization, and size.  Thus, the Judiciary is dependent upon its own mythology (Casey 1974), popular support (</w:t>
      </w:r>
      <w:proofErr w:type="spellStart"/>
      <w:r w:rsidRPr="008C7067">
        <w:rPr>
          <w:szCs w:val="24"/>
        </w:rPr>
        <w:t>Adamany</w:t>
      </w:r>
      <w:proofErr w:type="spellEnd"/>
      <w:r w:rsidRPr="008C7067">
        <w:rPr>
          <w:szCs w:val="24"/>
        </w:rPr>
        <w:t xml:space="preserve"> and Grossman 1983; McGuire and Stimson 2004), and the support of the other branches to compensate for its political weaknesses (Dahl 1957; </w:t>
      </w:r>
      <w:proofErr w:type="spellStart"/>
      <w:r w:rsidRPr="008C7067">
        <w:rPr>
          <w:szCs w:val="24"/>
        </w:rPr>
        <w:t>Flemming</w:t>
      </w:r>
      <w:proofErr w:type="spellEnd"/>
      <w:r w:rsidRPr="008C7067">
        <w:rPr>
          <w:szCs w:val="24"/>
        </w:rPr>
        <w:t xml:space="preserve"> and </w:t>
      </w:r>
      <w:r w:rsidR="0098708A">
        <w:rPr>
          <w:szCs w:val="24"/>
        </w:rPr>
        <w:t>Wood 1997). Because of this, federal</w:t>
      </w:r>
      <w:r w:rsidRPr="008C7067">
        <w:rPr>
          <w:szCs w:val="24"/>
        </w:rPr>
        <w:t xml:space="preserve"> courts have generally acquiesced to the expansion of federal power (Silverstein and Ginsburg 1987), and the ideological orientation of the Supreme Court generally corresponds to attitudes/mood of the electorate (Dahl 1957; Funston 1975; </w:t>
      </w:r>
      <w:proofErr w:type="spellStart"/>
      <w:r w:rsidRPr="008C7067">
        <w:rPr>
          <w:szCs w:val="24"/>
        </w:rPr>
        <w:t>Mishler</w:t>
      </w:r>
      <w:proofErr w:type="spellEnd"/>
      <w:r w:rsidRPr="008C7067">
        <w:rPr>
          <w:szCs w:val="24"/>
        </w:rPr>
        <w:t xml:space="preserve"> and Sheehan 1993; </w:t>
      </w:r>
      <w:proofErr w:type="spellStart"/>
      <w:r w:rsidRPr="008C7067">
        <w:rPr>
          <w:szCs w:val="24"/>
        </w:rPr>
        <w:t>Flemming</w:t>
      </w:r>
      <w:proofErr w:type="spellEnd"/>
      <w:r w:rsidRPr="008C7067">
        <w:rPr>
          <w:szCs w:val="24"/>
        </w:rPr>
        <w:t xml:space="preserve"> and Wood 1997; McGuire </w:t>
      </w:r>
      <w:r w:rsidR="000D6839">
        <w:rPr>
          <w:szCs w:val="24"/>
        </w:rPr>
        <w:t>and</w:t>
      </w:r>
      <w:r w:rsidRPr="008C7067">
        <w:rPr>
          <w:szCs w:val="24"/>
        </w:rPr>
        <w:t xml:space="preserve"> Stimson 2004). </w:t>
      </w:r>
      <w:r w:rsidR="00513A90">
        <w:rPr>
          <w:szCs w:val="24"/>
        </w:rPr>
        <w:t xml:space="preserve"> Inconsistent with its popular </w:t>
      </w:r>
      <w:proofErr w:type="spellStart"/>
      <w:r w:rsidRPr="008C7067">
        <w:rPr>
          <w:szCs w:val="24"/>
        </w:rPr>
        <w:t>countermajoritarian</w:t>
      </w:r>
      <w:proofErr w:type="spellEnd"/>
      <w:r w:rsidRPr="008C7067">
        <w:rPr>
          <w:szCs w:val="24"/>
        </w:rPr>
        <w:t xml:space="preserve"> reputation, the literature shows that the Supreme Court is often a part of the dominant national political coalition (Dahl 1957; Funston 1975)</w:t>
      </w:r>
      <w:r w:rsidR="00F36FDB">
        <w:rPr>
          <w:szCs w:val="24"/>
        </w:rPr>
        <w:t>,</w:t>
      </w:r>
      <w:r w:rsidRPr="008C7067">
        <w:rPr>
          <w:szCs w:val="24"/>
        </w:rPr>
        <w:t xml:space="preserve"> and its decisions are most often consistent with public preferences, even when they protect minority interests (Barnum 1985).  Accordingly, despite the Judiciary’s status as an independent institution, it is evident that justices adjust their decisions at the margins “toward a compromise that avoids active political opposition and pays some attention to what the public wants” (</w:t>
      </w:r>
      <w:proofErr w:type="spellStart"/>
      <w:r w:rsidRPr="008C7067">
        <w:rPr>
          <w:szCs w:val="24"/>
        </w:rPr>
        <w:t>Flemming</w:t>
      </w:r>
      <w:proofErr w:type="spellEnd"/>
      <w:r w:rsidRPr="008C7067">
        <w:rPr>
          <w:szCs w:val="24"/>
        </w:rPr>
        <w:t xml:space="preserve"> and Wood </w:t>
      </w:r>
      <w:r>
        <w:rPr>
          <w:szCs w:val="24"/>
        </w:rPr>
        <w:t>1997, 494).</w:t>
      </w:r>
      <w:r w:rsidR="00513A90">
        <w:rPr>
          <w:szCs w:val="24"/>
        </w:rPr>
        <w:t xml:space="preserve">   </w:t>
      </w:r>
    </w:p>
    <w:p w:rsidR="00D8765B" w:rsidRDefault="00810A23" w:rsidP="00810A23">
      <w:pPr>
        <w:spacing w:line="480" w:lineRule="auto"/>
        <w:ind w:left="0" w:firstLine="720"/>
        <w:rPr>
          <w:szCs w:val="24"/>
        </w:rPr>
      </w:pPr>
      <w:r>
        <w:rPr>
          <w:szCs w:val="24"/>
        </w:rPr>
        <w:t xml:space="preserve">Scholars have long known that judges are influenced by a number of political and extra-legal actors, including the other branches of government, the media, public opinion, and, most </w:t>
      </w:r>
      <w:r>
        <w:rPr>
          <w:szCs w:val="24"/>
        </w:rPr>
        <w:lastRenderedPageBreak/>
        <w:t>germane to this study, inter</w:t>
      </w:r>
      <w:r w:rsidR="00CF0407">
        <w:rPr>
          <w:szCs w:val="24"/>
        </w:rPr>
        <w:t>est groups.  A</w:t>
      </w:r>
      <w:r>
        <w:rPr>
          <w:szCs w:val="24"/>
        </w:rPr>
        <w:t xml:space="preserve">mbiguities in the law and conflicting legal precedents allow judges to exercise significant discretion in reaching decisions (Samuels 2004, 1-2).  </w:t>
      </w:r>
      <w:r w:rsidR="00513A90">
        <w:rPr>
          <w:szCs w:val="24"/>
        </w:rPr>
        <w:t xml:space="preserve">This context makes the United States Supreme Court (USSC) </w:t>
      </w:r>
      <w:r w:rsidR="00D8765B">
        <w:rPr>
          <w:szCs w:val="24"/>
        </w:rPr>
        <w:t>ripe for amicus curiae influence</w:t>
      </w:r>
      <w:r w:rsidR="00513A90">
        <w:rPr>
          <w:szCs w:val="24"/>
        </w:rPr>
        <w:t>.</w:t>
      </w:r>
      <w:r w:rsidR="00653184">
        <w:rPr>
          <w:szCs w:val="24"/>
        </w:rPr>
        <w:t xml:space="preserve"> </w:t>
      </w:r>
    </w:p>
    <w:p w:rsidR="00D8765B" w:rsidRPr="0010775B" w:rsidRDefault="00447572" w:rsidP="0010775B">
      <w:pPr>
        <w:spacing w:line="480" w:lineRule="auto"/>
        <w:ind w:left="0" w:firstLine="720"/>
        <w:rPr>
          <w:szCs w:val="24"/>
        </w:rPr>
      </w:pPr>
      <w:r>
        <w:rPr>
          <w:rFonts w:cs="Times New Roman"/>
          <w:szCs w:val="24"/>
        </w:rPr>
        <w:t xml:space="preserve">The most controversial and closely watched case of the Roberts Court era – </w:t>
      </w:r>
      <w:r w:rsidRPr="00A66909">
        <w:rPr>
          <w:rFonts w:cs="Times New Roman"/>
          <w:i/>
          <w:szCs w:val="24"/>
        </w:rPr>
        <w:t xml:space="preserve">National Federation of Independent Business v. </w:t>
      </w:r>
      <w:proofErr w:type="spellStart"/>
      <w:r w:rsidRPr="00A66909">
        <w:rPr>
          <w:rFonts w:cs="Times New Roman"/>
          <w:i/>
          <w:szCs w:val="24"/>
        </w:rPr>
        <w:t>Sebelius</w:t>
      </w:r>
      <w:proofErr w:type="spellEnd"/>
      <w:r>
        <w:rPr>
          <w:rFonts w:cs="Times New Roman"/>
          <w:i/>
          <w:szCs w:val="24"/>
        </w:rPr>
        <w:t xml:space="preserve"> </w:t>
      </w:r>
      <w:r>
        <w:rPr>
          <w:rFonts w:cs="Times New Roman"/>
          <w:szCs w:val="24"/>
        </w:rPr>
        <w:t>(2012),</w:t>
      </w:r>
      <w:r w:rsidR="002D4A21">
        <w:rPr>
          <w:rStyle w:val="FootnoteReference"/>
          <w:rFonts w:cs="Times New Roman"/>
          <w:szCs w:val="24"/>
        </w:rPr>
        <w:footnoteReference w:id="1"/>
      </w:r>
      <w:r>
        <w:rPr>
          <w:rFonts w:cs="Times New Roman"/>
          <w:szCs w:val="24"/>
        </w:rPr>
        <w:t xml:space="preserve"> involving the constitutionality of the Patient Protection and Affordable Care Act (PPACA) – is illustrative of the impact that amici curiae</w:t>
      </w:r>
      <w:r w:rsidR="003D740C">
        <w:rPr>
          <w:rFonts w:cs="Times New Roman"/>
          <w:szCs w:val="24"/>
        </w:rPr>
        <w:t xml:space="preserve"> can have on the USSC in an uncertain</w:t>
      </w:r>
      <w:r w:rsidR="008C0407">
        <w:rPr>
          <w:rFonts w:cs="Times New Roman"/>
          <w:szCs w:val="24"/>
        </w:rPr>
        <w:t xml:space="preserve"> and </w:t>
      </w:r>
      <w:r w:rsidR="003D740C">
        <w:rPr>
          <w:rFonts w:cs="Times New Roman"/>
          <w:szCs w:val="24"/>
        </w:rPr>
        <w:t xml:space="preserve">hotly contested </w:t>
      </w:r>
      <w:r w:rsidR="008C0407">
        <w:rPr>
          <w:rFonts w:cs="Times New Roman"/>
          <w:szCs w:val="24"/>
        </w:rPr>
        <w:t>legal context</w:t>
      </w:r>
      <w:r>
        <w:rPr>
          <w:rFonts w:cs="Times New Roman"/>
          <w:szCs w:val="24"/>
        </w:rPr>
        <w:t xml:space="preserve">.  </w:t>
      </w:r>
      <w:r w:rsidR="003D740C">
        <w:rPr>
          <w:rFonts w:cs="Times New Roman"/>
          <w:szCs w:val="24"/>
        </w:rPr>
        <w:t xml:space="preserve">In an unforeseen </w:t>
      </w:r>
      <w:r w:rsidR="00D8765B">
        <w:rPr>
          <w:rFonts w:cs="Times New Roman"/>
          <w:szCs w:val="24"/>
        </w:rPr>
        <w:t>move to most USSC observers, the Roberts Court ruled 5-4 that, although the</w:t>
      </w:r>
      <w:r w:rsidR="0010775B">
        <w:rPr>
          <w:rFonts w:cs="Times New Roman"/>
          <w:szCs w:val="24"/>
        </w:rPr>
        <w:t xml:space="preserve"> PPACA’s individual mandate, which</w:t>
      </w:r>
      <w:r w:rsidR="00D8765B">
        <w:rPr>
          <w:rFonts w:cs="Times New Roman"/>
          <w:szCs w:val="24"/>
        </w:rPr>
        <w:t xml:space="preserve"> required an individual to purchase health insurance or pay a fine</w:t>
      </w:r>
      <w:r w:rsidR="0010775B">
        <w:rPr>
          <w:rFonts w:cs="Times New Roman"/>
          <w:szCs w:val="24"/>
        </w:rPr>
        <w:t>,</w:t>
      </w:r>
      <w:r w:rsidR="00D8765B">
        <w:rPr>
          <w:rFonts w:cs="Times New Roman"/>
          <w:szCs w:val="24"/>
        </w:rPr>
        <w:t xml:space="preserve"> was not a valid exercise of Congress’ commerce power, the mandate was constitutional under Congress’ taxing power.  </w:t>
      </w:r>
      <w:r w:rsidR="008C0407">
        <w:rPr>
          <w:rFonts w:cs="Times New Roman"/>
          <w:szCs w:val="24"/>
        </w:rPr>
        <w:t>Yet</w:t>
      </w:r>
      <w:r w:rsidR="0010775B">
        <w:rPr>
          <w:rFonts w:cs="Times New Roman"/>
          <w:szCs w:val="24"/>
        </w:rPr>
        <w:t>, a</w:t>
      </w:r>
      <w:r w:rsidR="00D8765B">
        <w:rPr>
          <w:rFonts w:cs="Times New Roman"/>
          <w:szCs w:val="24"/>
        </w:rPr>
        <w:t xml:space="preserve">lso as part of the holding, the Roberts Court ruled 6-3 that the PPACA’s Medicaid expansion exceeded Congress’ powers by unduly coercing states to adopt such an expansion.   </w:t>
      </w:r>
    </w:p>
    <w:p w:rsidR="00D8765B" w:rsidRDefault="00D8765B" w:rsidP="003D740C">
      <w:pPr>
        <w:spacing w:line="480" w:lineRule="auto"/>
        <w:ind w:left="0" w:firstLine="720"/>
        <w:rPr>
          <w:rFonts w:cs="Times New Roman"/>
          <w:szCs w:val="24"/>
        </w:rPr>
      </w:pPr>
      <w:r>
        <w:rPr>
          <w:rFonts w:cs="Times New Roman"/>
          <w:szCs w:val="24"/>
        </w:rPr>
        <w:t xml:space="preserve">The </w:t>
      </w:r>
      <w:r w:rsidR="00FB1A24">
        <w:rPr>
          <w:rFonts w:cs="Times New Roman"/>
          <w:szCs w:val="24"/>
        </w:rPr>
        <w:t xml:space="preserve">consolidated </w:t>
      </w:r>
      <w:r>
        <w:rPr>
          <w:rFonts w:cs="Times New Roman"/>
          <w:szCs w:val="24"/>
        </w:rPr>
        <w:t>PPACA case was full of intrigue, involving the signature legislative achievement of Barack Obama’s presidency, and decided in the height of a hotly contested presidential election.  The case attracted a record-breaking 136 separate amicus briefs</w:t>
      </w:r>
      <w:r w:rsidR="00144B85">
        <w:rPr>
          <w:rFonts w:cs="Times New Roman"/>
          <w:szCs w:val="24"/>
        </w:rPr>
        <w:t>, plus two USSC-appointed amici</w:t>
      </w:r>
      <w:r>
        <w:rPr>
          <w:rFonts w:cs="Times New Roman"/>
          <w:szCs w:val="24"/>
        </w:rPr>
        <w:t>.</w:t>
      </w:r>
      <w:r w:rsidR="00EF3F12">
        <w:rPr>
          <w:rStyle w:val="FootnoteReference"/>
          <w:rFonts w:cs="Times New Roman"/>
          <w:szCs w:val="24"/>
        </w:rPr>
        <w:footnoteReference w:id="2"/>
      </w:r>
      <w:r w:rsidR="003D740C">
        <w:rPr>
          <w:rFonts w:cs="Times New Roman"/>
          <w:szCs w:val="24"/>
        </w:rPr>
        <w:t xml:space="preserve"> </w:t>
      </w:r>
      <w:r w:rsidR="003E3E15">
        <w:rPr>
          <w:rFonts w:cs="Times New Roman"/>
          <w:szCs w:val="24"/>
        </w:rPr>
        <w:t xml:space="preserve"> </w:t>
      </w:r>
      <w:r>
        <w:rPr>
          <w:rFonts w:cs="Times New Roman"/>
          <w:szCs w:val="24"/>
        </w:rPr>
        <w:t xml:space="preserve">It was not surprising that the case split 5-4 amongst the justices </w:t>
      </w:r>
      <w:r>
        <w:rPr>
          <w:rFonts w:cs="Times New Roman"/>
          <w:szCs w:val="24"/>
        </w:rPr>
        <w:lastRenderedPageBreak/>
        <w:t>regarding the primary constitutional question of the case.  What was of great surprise, however, was the fact that Chief Justice</w:t>
      </w:r>
      <w:r w:rsidR="0010775B">
        <w:rPr>
          <w:rFonts w:cs="Times New Roman"/>
          <w:szCs w:val="24"/>
        </w:rPr>
        <w:t xml:space="preserve"> John</w:t>
      </w:r>
      <w:r w:rsidR="00C2464A">
        <w:rPr>
          <w:rFonts w:cs="Times New Roman"/>
          <w:szCs w:val="24"/>
        </w:rPr>
        <w:t xml:space="preserve"> Roberts – and </w:t>
      </w:r>
      <w:r>
        <w:rPr>
          <w:rFonts w:cs="Times New Roman"/>
          <w:szCs w:val="24"/>
        </w:rPr>
        <w:t>not</w:t>
      </w:r>
      <w:r w:rsidR="0010775B">
        <w:rPr>
          <w:rFonts w:cs="Times New Roman"/>
          <w:szCs w:val="24"/>
        </w:rPr>
        <w:t xml:space="preserve"> the </w:t>
      </w:r>
      <w:r w:rsidR="00C2464A">
        <w:rPr>
          <w:rFonts w:cs="Times New Roman"/>
          <w:szCs w:val="24"/>
        </w:rPr>
        <w:t xml:space="preserve">usual </w:t>
      </w:r>
      <w:r w:rsidR="0010775B">
        <w:rPr>
          <w:rFonts w:cs="Times New Roman"/>
          <w:szCs w:val="24"/>
        </w:rPr>
        <w:t xml:space="preserve">“swing justice” Anthony </w:t>
      </w:r>
      <w:r w:rsidR="00C2464A">
        <w:rPr>
          <w:rFonts w:cs="Times New Roman"/>
          <w:szCs w:val="24"/>
        </w:rPr>
        <w:t>Kennedy – served as the pivotal 5th</w:t>
      </w:r>
      <w:r>
        <w:rPr>
          <w:rFonts w:cs="Times New Roman"/>
          <w:szCs w:val="24"/>
        </w:rPr>
        <w:t xml:space="preserve"> vote, joining w</w:t>
      </w:r>
      <w:r w:rsidR="00742BD1">
        <w:rPr>
          <w:rFonts w:cs="Times New Roman"/>
          <w:szCs w:val="24"/>
        </w:rPr>
        <w:t>ith the four liberal justices to form the majority</w:t>
      </w:r>
      <w:r w:rsidR="00C2464A">
        <w:rPr>
          <w:rFonts w:cs="Times New Roman"/>
          <w:szCs w:val="24"/>
        </w:rPr>
        <w:t>.</w:t>
      </w:r>
      <w:r w:rsidR="00C2464A">
        <w:rPr>
          <w:rStyle w:val="FootnoteReference"/>
          <w:rFonts w:cs="Times New Roman"/>
          <w:szCs w:val="24"/>
        </w:rPr>
        <w:footnoteReference w:id="3"/>
      </w:r>
      <w:r w:rsidR="00C2464A">
        <w:rPr>
          <w:rFonts w:cs="Times New Roman"/>
          <w:szCs w:val="24"/>
        </w:rPr>
        <w:t xml:space="preserve"> </w:t>
      </w:r>
      <w:r>
        <w:rPr>
          <w:rFonts w:cs="Times New Roman"/>
          <w:szCs w:val="24"/>
        </w:rPr>
        <w:t xml:space="preserve"> The decision in the PPACA case was widely viewed as a defining moment for the Roberts Court and for the Chief Justice.  Roberts was praised by many observers, particularly those who agreed with the decision, for tactfully and wisely rising above partisan concerns, avoiding judicial overreach, and recognizing the importance of maintaining the legitimacy of the USSC.   Others noted that Roberts strategically planted seeds of conservative victories in federalism cases down the line in his opinion by soundly rejecting the Obama administration’s arguments basing the constitutionality of the PPACA on Congress’</w:t>
      </w:r>
      <w:r w:rsidR="00653DBA">
        <w:rPr>
          <w:rFonts w:cs="Times New Roman"/>
          <w:szCs w:val="24"/>
        </w:rPr>
        <w:t>s</w:t>
      </w:r>
      <w:r>
        <w:rPr>
          <w:rFonts w:cs="Times New Roman"/>
          <w:szCs w:val="24"/>
        </w:rPr>
        <w:t xml:space="preserve"> power to regulate interstate commerce.  Seen in this light, the Chief Justice was not a traitor to the conservative cause, but a Trojan horse who allowed liberals to achieve a Pyrrhic victory, with the aim of winning the longer war. </w:t>
      </w:r>
    </w:p>
    <w:p w:rsidR="001F18D3" w:rsidRDefault="006B39BC" w:rsidP="00D8765B">
      <w:pPr>
        <w:spacing w:line="480" w:lineRule="auto"/>
        <w:ind w:left="0" w:firstLine="720"/>
        <w:rPr>
          <w:rFonts w:cs="Times New Roman"/>
          <w:szCs w:val="24"/>
        </w:rPr>
      </w:pPr>
      <w:r>
        <w:rPr>
          <w:rFonts w:cs="Times New Roman"/>
          <w:szCs w:val="24"/>
        </w:rPr>
        <w:t xml:space="preserve">The </w:t>
      </w:r>
      <w:r w:rsidR="00B1634C">
        <w:rPr>
          <w:rFonts w:cs="Times New Roman"/>
          <w:szCs w:val="24"/>
        </w:rPr>
        <w:t xml:space="preserve">two </w:t>
      </w:r>
      <w:r>
        <w:rPr>
          <w:rFonts w:cs="Times New Roman"/>
          <w:szCs w:val="24"/>
        </w:rPr>
        <w:t>Court-appointed amici</w:t>
      </w:r>
      <w:r w:rsidR="00B1634C">
        <w:rPr>
          <w:rFonts w:cs="Times New Roman"/>
          <w:szCs w:val="24"/>
        </w:rPr>
        <w:t xml:space="preserve"> </w:t>
      </w:r>
      <w:r>
        <w:rPr>
          <w:rFonts w:cs="Times New Roman"/>
          <w:szCs w:val="24"/>
        </w:rPr>
        <w:t>were requested to advocate positions not supported by any of the parties in the case, but which the USSC wished to consider.  The first Court-appointed amici – H. Bartow Farr, III – was asked to advance the position that the individual mandate could be completely severed from the rest of the PPACA</w:t>
      </w:r>
      <w:r w:rsidR="00653DBA">
        <w:rPr>
          <w:rFonts w:cs="Times New Roman"/>
          <w:szCs w:val="24"/>
        </w:rPr>
        <w:t>, saving the remainder of the legislation if the individual mandate was struck down</w:t>
      </w:r>
      <w:r>
        <w:rPr>
          <w:rFonts w:cs="Times New Roman"/>
          <w:szCs w:val="24"/>
        </w:rPr>
        <w:t xml:space="preserve">.   Given </w:t>
      </w:r>
      <w:r w:rsidR="003A38B3">
        <w:rPr>
          <w:rFonts w:cs="Times New Roman"/>
          <w:szCs w:val="24"/>
        </w:rPr>
        <w:t>the majority’s opinion upholding the individual mandate</w:t>
      </w:r>
      <w:r>
        <w:rPr>
          <w:rFonts w:cs="Times New Roman"/>
          <w:szCs w:val="24"/>
        </w:rPr>
        <w:t xml:space="preserve">, </w:t>
      </w:r>
      <w:r w:rsidR="003A38B3">
        <w:rPr>
          <w:rFonts w:cs="Times New Roman"/>
          <w:szCs w:val="24"/>
        </w:rPr>
        <w:t>it</w:t>
      </w:r>
      <w:r w:rsidR="00653DBA">
        <w:rPr>
          <w:rFonts w:cs="Times New Roman"/>
          <w:szCs w:val="24"/>
        </w:rPr>
        <w:t xml:space="preserve"> was not necessary for the </w:t>
      </w:r>
      <w:r w:rsidR="002D4A21">
        <w:rPr>
          <w:rFonts w:cs="Times New Roman"/>
          <w:szCs w:val="24"/>
        </w:rPr>
        <w:t xml:space="preserve">majority </w:t>
      </w:r>
      <w:r w:rsidR="003A38B3">
        <w:rPr>
          <w:rFonts w:cs="Times New Roman"/>
          <w:szCs w:val="24"/>
        </w:rPr>
        <w:t xml:space="preserve">to address this position.  </w:t>
      </w:r>
      <w:r>
        <w:rPr>
          <w:rFonts w:cs="Times New Roman"/>
          <w:szCs w:val="24"/>
        </w:rPr>
        <w:t xml:space="preserve">The second </w:t>
      </w:r>
      <w:r>
        <w:rPr>
          <w:rFonts w:cs="Times New Roman"/>
          <w:szCs w:val="24"/>
        </w:rPr>
        <w:lastRenderedPageBreak/>
        <w:t xml:space="preserve">Court-appointed amici – Robert A. Long, Jr. – was requested to advocate the position that the Anti-Injunction Act deprived the USSC of jurisdiction to hear challenges to the constitutionality of the individual mandate.   </w:t>
      </w:r>
      <w:r w:rsidR="00B1634C">
        <w:rPr>
          <w:rFonts w:cs="Times New Roman"/>
          <w:szCs w:val="24"/>
        </w:rPr>
        <w:t>Ultimately, the majority opinion</w:t>
      </w:r>
      <w:r>
        <w:rPr>
          <w:rFonts w:cs="Times New Roman"/>
          <w:szCs w:val="24"/>
        </w:rPr>
        <w:t xml:space="preserve"> considered and rejected the arguments of Robert Long regarding the Anti-Injunction Act serving as</w:t>
      </w:r>
      <w:r w:rsidR="00B1634C">
        <w:rPr>
          <w:rFonts w:cs="Times New Roman"/>
          <w:szCs w:val="24"/>
        </w:rPr>
        <w:t xml:space="preserve"> a</w:t>
      </w:r>
      <w:r>
        <w:rPr>
          <w:rFonts w:cs="Times New Roman"/>
          <w:szCs w:val="24"/>
        </w:rPr>
        <w:t xml:space="preserve"> jurisdictional bar. </w:t>
      </w:r>
    </w:p>
    <w:p w:rsidR="003A38B3" w:rsidRDefault="003A38B3" w:rsidP="00D8765B">
      <w:pPr>
        <w:spacing w:line="480" w:lineRule="auto"/>
        <w:ind w:left="0" w:firstLine="720"/>
      </w:pPr>
      <w:r>
        <w:rPr>
          <w:rFonts w:cs="Times New Roman"/>
          <w:szCs w:val="24"/>
        </w:rPr>
        <w:t xml:space="preserve">In addition to the two Court-appointed amici, </w:t>
      </w:r>
      <w:r w:rsidR="009B7731">
        <w:rPr>
          <w:rFonts w:cs="Times New Roman"/>
          <w:szCs w:val="24"/>
        </w:rPr>
        <w:t>by my count</w:t>
      </w:r>
      <w:r w:rsidR="00B1634C">
        <w:rPr>
          <w:rFonts w:cs="Times New Roman"/>
          <w:szCs w:val="24"/>
        </w:rPr>
        <w:t>,</w:t>
      </w:r>
      <w:r w:rsidR="009B7731">
        <w:rPr>
          <w:rFonts w:cs="Times New Roman"/>
          <w:szCs w:val="24"/>
        </w:rPr>
        <w:t xml:space="preserve"> </w:t>
      </w:r>
      <w:r>
        <w:rPr>
          <w:rFonts w:cs="Times New Roman"/>
          <w:szCs w:val="24"/>
        </w:rPr>
        <w:t>the justices</w:t>
      </w:r>
      <w:r w:rsidR="009B7731">
        <w:rPr>
          <w:rFonts w:cs="Times New Roman"/>
          <w:szCs w:val="24"/>
        </w:rPr>
        <w:t xml:space="preserve"> explicitly cited or referenced</w:t>
      </w:r>
      <w:r>
        <w:rPr>
          <w:rFonts w:cs="Times New Roman"/>
          <w:szCs w:val="24"/>
        </w:rPr>
        <w:t xml:space="preserve"> 13 different amicus briefs in their majority, concurring, and dissenting opinions</w:t>
      </w:r>
      <w:r w:rsidR="009B7731">
        <w:rPr>
          <w:rFonts w:cs="Times New Roman"/>
          <w:szCs w:val="24"/>
        </w:rPr>
        <w:t xml:space="preserve"> in the PPACA case</w:t>
      </w:r>
      <w:r>
        <w:rPr>
          <w:rFonts w:cs="Times New Roman"/>
          <w:szCs w:val="24"/>
        </w:rPr>
        <w:t xml:space="preserve">: </w:t>
      </w:r>
      <w:r>
        <w:t xml:space="preserve"> </w:t>
      </w:r>
      <w:r w:rsidR="009B7731">
        <w:t>Brief of United States (multiple times)</w:t>
      </w:r>
      <w:r>
        <w:t>; Brief for America's Health Insurance Plans et al</w:t>
      </w:r>
      <w:r w:rsidR="00653DBA">
        <w:t>.</w:t>
      </w:r>
      <w:r w:rsidR="009B7731">
        <w:t xml:space="preserve"> (once)</w:t>
      </w:r>
      <w:r>
        <w:t>.; Brief for Economist</w:t>
      </w:r>
      <w:r w:rsidR="009B7731">
        <w:t>s (twice)</w:t>
      </w:r>
      <w:r>
        <w:t xml:space="preserve">; </w:t>
      </w:r>
      <w:r w:rsidR="009B7731">
        <w:t xml:space="preserve">Brief for Sen. Harry Reid et al. (once); Brief for Service Employees International Union et al. (once); Brief for David </w:t>
      </w:r>
      <w:proofErr w:type="spellStart"/>
      <w:r w:rsidR="009B7731">
        <w:t>Satcher</w:t>
      </w:r>
      <w:proofErr w:type="spellEnd"/>
      <w:r w:rsidR="009B7731">
        <w:t xml:space="preserve"> et al. (once); Brief for National Health Law Program et al. (once); Brief for State of Maryland and 10 Other States et al. (twice); Brief for Barry Friedman et al. (once); Brief for Commonwealth of Massachusetts (twice); Brief for American Association of People with Disabilities et al. (twice); Brief for Governor of Washington Christine </w:t>
      </w:r>
      <w:proofErr w:type="spellStart"/>
      <w:r w:rsidR="009B7731">
        <w:t>Gregoire</w:t>
      </w:r>
      <w:proofErr w:type="spellEnd"/>
      <w:r w:rsidR="009B7731">
        <w:t xml:space="preserve"> (once); and Brief for Health Care for All, Inc., et al. (once).   Of these amicus briefs, the Brief of the United States</w:t>
      </w:r>
      <w:r w:rsidR="00B1634C">
        <w:t xml:space="preserve"> provided by the Solicitor General</w:t>
      </w:r>
      <w:r w:rsidR="009B7731">
        <w:t xml:space="preserve"> was, not surprisingly, given the most attention in the justices’ opinions</w:t>
      </w:r>
      <w:r w:rsidR="00424AD7">
        <w:t xml:space="preserve">.  </w:t>
      </w:r>
      <w:r w:rsidR="00B1634C">
        <w:t>While many</w:t>
      </w:r>
      <w:r w:rsidR="00424AD7">
        <w:t xml:space="preserve"> of these</w:t>
      </w:r>
      <w:r w:rsidR="00B1634C">
        <w:t xml:space="preserve"> 13 amicus</w:t>
      </w:r>
      <w:r w:rsidR="00424AD7">
        <w:t xml:space="preserve"> briefs were cited or quoted to support the justices’</w:t>
      </w:r>
      <w:r w:rsidR="00B1634C">
        <w:t xml:space="preserve"> opinions, </w:t>
      </w:r>
      <w:r w:rsidR="00424AD7">
        <w:t>others were cited or quoted by the justices to argue against the position</w:t>
      </w:r>
      <w:r w:rsidR="00B1634C">
        <w:t xml:space="preserve"> which the brief advanced</w:t>
      </w:r>
      <w:r w:rsidR="00424AD7">
        <w:t xml:space="preserve">.  </w:t>
      </w:r>
    </w:p>
    <w:p w:rsidR="00A54CB9" w:rsidRDefault="00B1634C" w:rsidP="00D8765B">
      <w:pPr>
        <w:spacing w:line="480" w:lineRule="auto"/>
        <w:ind w:left="0" w:firstLine="720"/>
      </w:pPr>
      <w:r>
        <w:t xml:space="preserve">However, it seems that the amicus curiae briefs which had the most impact on the holdings of the PPACA case were briefs that were </w:t>
      </w:r>
      <w:r w:rsidR="002D4A21">
        <w:t xml:space="preserve">not </w:t>
      </w:r>
      <w:r>
        <w:t xml:space="preserve">explicitly cited by the justices.  Two amicus briefs in particular stand out in this regard.  </w:t>
      </w:r>
      <w:r w:rsidR="00657382">
        <w:t xml:space="preserve"> First, </w:t>
      </w:r>
      <w:r>
        <w:t>Vanderbilt University Law Professor James Blumstein’s amicus brief has been</w:t>
      </w:r>
      <w:r w:rsidR="00657382">
        <w:t xml:space="preserve"> credited with shaping that portion of the USSC’s decision pertaining to the constitutionality of the PPACA’s Medicaid expansion (Patterson 2012</w:t>
      </w:r>
      <w:r w:rsidR="00EE1BED">
        <w:t>; Greenblatt 2012</w:t>
      </w:r>
      <w:r w:rsidR="00657382">
        <w:t xml:space="preserve">).   </w:t>
      </w:r>
      <w:r w:rsidR="00653DBA">
        <w:t xml:space="preserve">The rationale of Chief Justice Roberts in his majority opinion supporting the </w:t>
      </w:r>
      <w:r w:rsidR="00653DBA">
        <w:lastRenderedPageBreak/>
        <w:t>position that the PPACA’s Medicaid expansion mandate on the states was unenforceable seemed to be directly drawn from t</w:t>
      </w:r>
      <w:r w:rsidR="00657382">
        <w:t xml:space="preserve">he legal arguments advanced in Blumstein’s </w:t>
      </w:r>
      <w:r w:rsidR="00653DBA">
        <w:t>brief</w:t>
      </w:r>
      <w:r w:rsidR="00657382">
        <w:t xml:space="preserve">.  Under the terms of the PPACA, the states were obligated to expand their Medicaid coverage for all those whose incomes were under 133 percent of the </w:t>
      </w:r>
      <w:r w:rsidR="009775EE">
        <w:t xml:space="preserve">federal </w:t>
      </w:r>
      <w:r w:rsidR="00657382">
        <w:t>poverty line</w:t>
      </w:r>
      <w:r w:rsidR="009775EE">
        <w:t>, significantly increasing the costs of coverage for the states</w:t>
      </w:r>
      <w:r w:rsidR="00657382">
        <w:t>.</w:t>
      </w:r>
      <w:r w:rsidR="009775EE">
        <w:t xml:space="preserve">  If states did not accept the mandated expansion of coverage eligibility, they would no longer be eligible to receive Medicaid matching funding from the federal government.  </w:t>
      </w:r>
    </w:p>
    <w:p w:rsidR="00B1634C" w:rsidRDefault="009775EE" w:rsidP="00D8765B">
      <w:pPr>
        <w:spacing w:line="480" w:lineRule="auto"/>
        <w:ind w:left="0" w:firstLine="720"/>
      </w:pPr>
      <w:r>
        <w:t>Blumstein was the drivi</w:t>
      </w:r>
      <w:r w:rsidR="00653DBA">
        <w:t>ng force behind persuading the s</w:t>
      </w:r>
      <w:r>
        <w:t>tate of Florida to make the Medicaid challenge a part of their litigation before the USSC.   In his amicus brief</w:t>
      </w:r>
      <w:r w:rsidR="00EE1BED">
        <w:t xml:space="preserve"> (2012, 2)</w:t>
      </w:r>
      <w:r>
        <w:t xml:space="preserve">, he argued that “Medicaid, enacted under the federal government’s spending power, is much in the nature of a contract: in return for federal funds, the States agree to comply with </w:t>
      </w:r>
      <w:r w:rsidR="00EE1BED">
        <w:t>federally imposed conditions.”</w:t>
      </w:r>
      <w:r>
        <w:t xml:space="preserve">  </w:t>
      </w:r>
      <w:r w:rsidR="00A54CB9">
        <w:t xml:space="preserve">Citing precedent in his brief that the USSC had previously held that the relationship between the states and the federal government </w:t>
      </w:r>
      <w:r w:rsidR="00653DBA">
        <w:t xml:space="preserve">was analogous to a contract, Blumstein </w:t>
      </w:r>
      <w:r w:rsidR="00A54CB9">
        <w:t>argued that it was coercive for the federal government to change the terms of the contract by conditioning the receipt of funding for existing Medicaid programs on acceptance of new terms</w:t>
      </w:r>
      <w:r w:rsidR="00EE1BED">
        <w:t xml:space="preserve"> (2-3)</w:t>
      </w:r>
      <w:r w:rsidR="00A54CB9">
        <w:t xml:space="preserve">.  </w:t>
      </w:r>
      <w:r>
        <w:t>Blumstein’s brief goes on to argue that</w:t>
      </w:r>
      <w:r w:rsidR="00A54CB9">
        <w:t xml:space="preserve"> the Medicaid expansion was a form of bait-and-switch that the states could not have reasonably foreseen when they originally signed up for Medicaid: </w:t>
      </w:r>
      <w:r>
        <w:t xml:space="preserve"> “[a]</w:t>
      </w:r>
      <w:proofErr w:type="spellStart"/>
      <w:r>
        <w:t>cting</w:t>
      </w:r>
      <w:proofErr w:type="spellEnd"/>
      <w:r>
        <w:t xml:space="preserve"> as a contract modification, [the PPACA Medicaid mandate] is coercive because it puts states to a set of choices that the federal government may not impose on states”</w:t>
      </w:r>
      <w:r w:rsidR="00A54CB9">
        <w:t xml:space="preserve"> </w:t>
      </w:r>
      <w:r w:rsidR="00EE1BED">
        <w:t>(3).</w:t>
      </w:r>
      <w:r w:rsidR="00653DBA">
        <w:t xml:space="preserve">  Referring to prior legal precedent, Blumstein</w:t>
      </w:r>
      <w:r w:rsidR="00A54CB9">
        <w:t xml:space="preserve"> adds that the Medicaid expansion “also violates the </w:t>
      </w:r>
      <w:proofErr w:type="spellStart"/>
      <w:r w:rsidR="00A54CB9" w:rsidRPr="00653DBA">
        <w:rPr>
          <w:i/>
        </w:rPr>
        <w:t>Pennhurst</w:t>
      </w:r>
      <w:proofErr w:type="spellEnd"/>
      <w:r w:rsidR="00A54CB9">
        <w:t xml:space="preserve"> clear-notice obligation because that obligation accrues in this case at contract forma</w:t>
      </w:r>
      <w:r w:rsidR="00EE1BED">
        <w:t>tion, not contract modification</w:t>
      </w:r>
      <w:r w:rsidR="00A54CB9">
        <w:t>"</w:t>
      </w:r>
      <w:r w:rsidR="00EE1BED">
        <w:t xml:space="preserve"> (3).</w:t>
      </w:r>
      <w:r w:rsidR="00A54CB9">
        <w:t xml:space="preserve"> </w:t>
      </w:r>
    </w:p>
    <w:p w:rsidR="00A24F56" w:rsidRDefault="00A54CB9" w:rsidP="00A24F56">
      <w:pPr>
        <w:spacing w:line="480" w:lineRule="auto"/>
        <w:ind w:left="0" w:firstLine="720"/>
      </w:pPr>
      <w:r>
        <w:lastRenderedPageBreak/>
        <w:t>In his opinion, Chief Justice Roberts essentially adopted this contractual argument advanced by Blumstein</w:t>
      </w:r>
      <w:r w:rsidR="00EE1BED">
        <w:t xml:space="preserve"> (45-51)</w:t>
      </w:r>
      <w:r>
        <w:t xml:space="preserve">.  </w:t>
      </w:r>
      <w:r w:rsidR="00EE1BED">
        <w:t>T</w:t>
      </w:r>
      <w:r>
        <w:t>he Chief Justice argued that the legitimacy of Spending Clause legislation depends upon whether a state voluntarily and knowingly</w:t>
      </w:r>
      <w:r w:rsidR="00EE1BED">
        <w:t xml:space="preserve"> accepts the terms of </w:t>
      </w:r>
      <w:r w:rsidR="00653DBA">
        <w:t>such a program.  Roberts went</w:t>
      </w:r>
      <w:r w:rsidR="00EE1BED">
        <w:t xml:space="preserve"> on to argue that a state could hardly anticipate that Congress’s reservation of the right to “alter” or “amend” the Medicaid program included the power to transform it so dramatically.  Thus, Roberts concluded that the Medicaid expansion violates the Constitution by threatening states with the loss of their existing Medicaid funding if they decline to comply with the expansion (51-55).</w:t>
      </w:r>
      <w:r w:rsidR="00A24F56">
        <w:t xml:space="preserve">   </w:t>
      </w:r>
    </w:p>
    <w:p w:rsidR="00A24F56" w:rsidRDefault="00C825C0" w:rsidP="00A24F56">
      <w:pPr>
        <w:spacing w:line="480" w:lineRule="auto"/>
        <w:ind w:left="0" w:firstLine="720"/>
      </w:pPr>
      <w:r>
        <w:t xml:space="preserve">Secondly, one amicus brief in particular – Brief of Constitutional Law Scholars Jack M. </w:t>
      </w:r>
      <w:proofErr w:type="spellStart"/>
      <w:r>
        <w:t>Balkin</w:t>
      </w:r>
      <w:proofErr w:type="spellEnd"/>
      <w:r>
        <w:t xml:space="preserve">, Brian Galle, Edward </w:t>
      </w:r>
      <w:proofErr w:type="spellStart"/>
      <w:r>
        <w:t>Kleinbard</w:t>
      </w:r>
      <w:proofErr w:type="spellEnd"/>
      <w:r>
        <w:t>, Gillian E. Metzger, and Trevor W. Morrison</w:t>
      </w:r>
      <w:r w:rsidR="00502A5B">
        <w:t xml:space="preserve"> (2012)</w:t>
      </w:r>
      <w:r>
        <w:t xml:space="preserve"> – </w:t>
      </w:r>
      <w:r w:rsidR="00C9008E">
        <w:t>is viewed</w:t>
      </w:r>
      <w:r w:rsidR="00223F14">
        <w:t xml:space="preserve"> as</w:t>
      </w:r>
      <w:r w:rsidR="00C9008E">
        <w:t xml:space="preserve"> </w:t>
      </w:r>
      <w:r w:rsidR="00223F14">
        <w:t>providing</w:t>
      </w:r>
      <w:r w:rsidR="00C9008E">
        <w:t xml:space="preserve"> the</w:t>
      </w:r>
      <w:r>
        <w:t xml:space="preserve"> intellectual ammunition for that portion of</w:t>
      </w:r>
      <w:r w:rsidR="00223F14">
        <w:t xml:space="preserve"> </w:t>
      </w:r>
      <w:r>
        <w:t>Chief Justice Robert’s opinion upholding the individual mandate as within Congress’s taxing power</w:t>
      </w:r>
      <w:r w:rsidR="00C9008E">
        <w:t xml:space="preserve"> (Mauro 2012)</w:t>
      </w:r>
      <w:r>
        <w:t xml:space="preserve">.  </w:t>
      </w:r>
      <w:r w:rsidR="004D496C">
        <w:t xml:space="preserve">Rosen (2013) has speculated that, even if this </w:t>
      </w:r>
      <w:proofErr w:type="spellStart"/>
      <w:r w:rsidR="004D496C">
        <w:t>Balkin</w:t>
      </w:r>
      <w:proofErr w:type="spellEnd"/>
      <w:r w:rsidR="004D496C">
        <w:t xml:space="preserve"> et al. brief did not decisively influence Chief Justice Roberts’ majority opinion, it did at least provide a way for Roberts to take the long view and </w:t>
      </w:r>
      <w:r w:rsidR="002C0713">
        <w:t xml:space="preserve">ostensibly </w:t>
      </w:r>
      <w:r w:rsidR="004D496C">
        <w:t>put the institutional interests of the USSC  above id</w:t>
      </w:r>
      <w:r w:rsidR="002C0713">
        <w:t xml:space="preserve">eological agendas.  That is, the brief </w:t>
      </w:r>
      <w:r w:rsidR="004D496C">
        <w:t xml:space="preserve">provided the Chief with a greater array of options for how to decide the case consistent with his strategic goals.  The </w:t>
      </w:r>
      <w:proofErr w:type="spellStart"/>
      <w:r w:rsidR="004D496C">
        <w:t>Balkin</w:t>
      </w:r>
      <w:proofErr w:type="spellEnd"/>
      <w:r w:rsidR="004D496C">
        <w:t xml:space="preserve"> et al. brief</w:t>
      </w:r>
      <w:r w:rsidR="00C9008E">
        <w:t xml:space="preserve"> was the only amicus brief, along with the Brief of Service Employees International Union, of the 136 briefs that were submitted in the PP</w:t>
      </w:r>
      <w:r w:rsidR="002C0713">
        <w:t xml:space="preserve">ACA case, which argued that Congress </w:t>
      </w:r>
      <w:r w:rsidR="00C9008E">
        <w:t xml:space="preserve">had the power to impose a tax on those without health </w:t>
      </w:r>
      <w:r w:rsidR="002C0713">
        <w:t>insurance under the Spending Clause</w:t>
      </w:r>
      <w:r w:rsidR="00C9008E">
        <w:t>.  The basic structur</w:t>
      </w:r>
      <w:r w:rsidR="006D27FE">
        <w:t>e of the argument</w:t>
      </w:r>
      <w:r w:rsidR="00502A5B">
        <w:t xml:space="preserve"> set forth in </w:t>
      </w:r>
      <w:proofErr w:type="spellStart"/>
      <w:r w:rsidR="00C9008E">
        <w:t>Balkin</w:t>
      </w:r>
      <w:proofErr w:type="spellEnd"/>
      <w:r w:rsidR="00C9008E">
        <w:t xml:space="preserve"> et al.’</w:t>
      </w:r>
      <w:r w:rsidR="00474452">
        <w:t xml:space="preserve">s amicus brief is as follows.  </w:t>
      </w:r>
      <w:r w:rsidR="00502A5B">
        <w:t xml:space="preserve">According to a long-line of precedent, </w:t>
      </w:r>
      <w:r w:rsidR="00C9008E">
        <w:t xml:space="preserve">Congress’s taxing power is broad, and the individual mandate falls within this expansive taxing power.  The minimum coverage provision of the PPACA (i.e., </w:t>
      </w:r>
      <w:r w:rsidR="002C0713">
        <w:t>you must have</w:t>
      </w:r>
      <w:r w:rsidR="00C9008E">
        <w:t xml:space="preserve"> health insurance or pay a “fine”) serves </w:t>
      </w:r>
      <w:r w:rsidR="00C9008E">
        <w:lastRenderedPageBreak/>
        <w:t xml:space="preserve">the general welfare, is reasonably related to raising revenue, and does not infringe on constitutionally protected rights.  </w:t>
      </w:r>
      <w:r w:rsidR="00502A5B">
        <w:t>Finally, t</w:t>
      </w:r>
      <w:r w:rsidR="00C9008E">
        <w:t>he minimum coverage provision should be treated like a tax because Congress did not clearly intend otherwise</w:t>
      </w:r>
      <w:r w:rsidR="002C0713">
        <w:t>, even though Congress did not call the provision a “tax.”</w:t>
      </w:r>
    </w:p>
    <w:p w:rsidR="002C0713" w:rsidRDefault="004D496C" w:rsidP="002C0713">
      <w:pPr>
        <w:spacing w:line="480" w:lineRule="auto"/>
        <w:ind w:left="0" w:firstLine="720"/>
      </w:pPr>
      <w:r>
        <w:t xml:space="preserve">In his majority opinion, Chief Justice Roberts </w:t>
      </w:r>
      <w:r w:rsidR="002D7DAD">
        <w:t>adopts the essentials of the foregoing argument.  He argues that the minimum coverage provision is akin to a tax, even if it is labeled a “penalty” by Congr</w:t>
      </w:r>
      <w:r w:rsidR="002C0713">
        <w:t>ess.  In effect, Roberts argues</w:t>
      </w:r>
      <w:r w:rsidR="002D7DAD">
        <w:t xml:space="preserve"> that failure to purchase insurance under the minimum coverage provision is a choice, not an unlawful act: “[t]hat Congress apparently regards such extensive failure to comply with the mandate as tolerable suggests that Congress did not think it was creating four million outlaws.</w:t>
      </w:r>
      <w:r w:rsidR="007F6363">
        <w:t xml:space="preserve"> </w:t>
      </w:r>
      <w:r w:rsidR="002D7DAD">
        <w:t xml:space="preserve"> </w:t>
      </w:r>
      <w:proofErr w:type="gramStart"/>
      <w:r w:rsidR="002D7DAD">
        <w:t xml:space="preserve">It suggests instead that the shared responsibility payment merely imposes a tax citizens may lawfully choose to pay in </w:t>
      </w:r>
      <w:r w:rsidR="008B078B">
        <w:t>lieu of buying health insurance” (35-40).</w:t>
      </w:r>
      <w:proofErr w:type="gramEnd"/>
      <w:r w:rsidR="002C0713">
        <w:t xml:space="preserve">  </w:t>
      </w:r>
      <w:r w:rsidR="009D09D5">
        <w:t xml:space="preserve">While the degree to which the Chief Justice relied on these two amicus briefs cannot be conclusively demonstrated, the evidence suggests that these two particular amicus briefs played a significant role in shaping the most high-profile decision of the Roberts Court era.  </w:t>
      </w:r>
    </w:p>
    <w:p w:rsidR="002C0713" w:rsidRDefault="00E01FF7" w:rsidP="002C0713">
      <w:pPr>
        <w:spacing w:line="480" w:lineRule="auto"/>
        <w:ind w:left="0" w:firstLine="720"/>
      </w:pPr>
      <w:r>
        <w:t>As a further indi</w:t>
      </w:r>
      <w:r w:rsidR="007F6363">
        <w:t>cator of the influence of amici</w:t>
      </w:r>
      <w:r>
        <w:t xml:space="preserve"> curiae, </w:t>
      </w:r>
      <w:proofErr w:type="spellStart"/>
      <w:r>
        <w:t>Franze</w:t>
      </w:r>
      <w:proofErr w:type="spellEnd"/>
      <w:r>
        <w:t xml:space="preserve"> and Anderson (2012, 3) show that during the 2011-12 t</w:t>
      </w:r>
      <w:r w:rsidR="007F6363">
        <w:t>erm of the Roberts Court, amici</w:t>
      </w:r>
      <w:r>
        <w:t xml:space="preserve"> curiae were cited b</w:t>
      </w:r>
      <w:r w:rsidR="007F6363">
        <w:t xml:space="preserve">y justices in 63 percent of </w:t>
      </w:r>
      <w:r>
        <w:t>cases with only a five or six member majority coalition.  In contrast</w:t>
      </w:r>
      <w:r w:rsidR="007F6363">
        <w:t>, the justices only cited amici</w:t>
      </w:r>
      <w:r>
        <w:t xml:space="preserve"> curiae in 29 percent of the cases where the decision was unanimous or 8-1. </w:t>
      </w:r>
      <w:r w:rsidR="002C0713">
        <w:t xml:space="preserve"> </w:t>
      </w:r>
      <w:r>
        <w:t xml:space="preserve">This finding would suggest that amicus briefs may have a greater effect on the Court in the most controversial and </w:t>
      </w:r>
      <w:r w:rsidR="002C0713">
        <w:t xml:space="preserve">salient </w:t>
      </w:r>
      <w:r>
        <w:t xml:space="preserve">cases.  While amicus citation rates are admittedly a blunt indicator, at best, of amicus impact, they do show that the justices </w:t>
      </w:r>
      <w:r w:rsidR="002C0713">
        <w:t xml:space="preserve">pay attention to the briefs, </w:t>
      </w:r>
      <w:r>
        <w:t>keep</w:t>
      </w:r>
      <w:r w:rsidR="002C0713">
        <w:t>ing</w:t>
      </w:r>
      <w:r>
        <w:t xml:space="preserve"> </w:t>
      </w:r>
      <w:r w:rsidR="007F6363">
        <w:t>the arguments provided by amici</w:t>
      </w:r>
      <w:r>
        <w:t xml:space="preserve"> curiae in their arsenal when writing their opinions.  </w:t>
      </w:r>
      <w:r w:rsidR="002C0713">
        <w:t xml:space="preserve">At a minimum, </w:t>
      </w:r>
      <w:r w:rsidR="002C0713">
        <w:lastRenderedPageBreak/>
        <w:t>the foregoing</w:t>
      </w:r>
      <w:r w:rsidR="005478D2">
        <w:t xml:space="preserve"> </w:t>
      </w:r>
      <w:r>
        <w:t xml:space="preserve">statistics and </w:t>
      </w:r>
      <w:r w:rsidR="005478D2">
        <w:t>anecdotal</w:t>
      </w:r>
      <w:r w:rsidR="002C0713">
        <w:t xml:space="preserve"> evidence provide a reasonably strong</w:t>
      </w:r>
      <w:r w:rsidR="005478D2">
        <w:t xml:space="preserve"> inference that amici curiae matter and that they can play a powerful role in shaping the course of our nat</w:t>
      </w:r>
      <w:r w:rsidR="002C0713">
        <w:t xml:space="preserve">ion’s legal and public policy.  </w:t>
      </w:r>
    </w:p>
    <w:p w:rsidR="002A1AC8" w:rsidRDefault="002C0713" w:rsidP="002A1AC8">
      <w:pPr>
        <w:spacing w:line="480" w:lineRule="auto"/>
        <w:ind w:left="0" w:firstLine="720"/>
        <w:rPr>
          <w:szCs w:val="24"/>
        </w:rPr>
      </w:pPr>
      <w:r>
        <w:t xml:space="preserve">What follows is an exploration of </w:t>
      </w:r>
      <w:r>
        <w:rPr>
          <w:szCs w:val="24"/>
        </w:rPr>
        <w:t xml:space="preserve">nature, extent, and influence of amicus curiae participation on the Roberts Court.  While a large body of literature has addressed the topic of amicus curiae activity and influence in prior terms and eras of the Court, in specific issue areas, and in specific cases, none has focused in a systematic way on the Roberts Court.  </w:t>
      </w:r>
      <w:r w:rsidR="002A1AC8">
        <w:rPr>
          <w:szCs w:val="24"/>
        </w:rPr>
        <w:t>Further, this study will shed light on the larger debate in the judicial behavior literature as to whether justice votes are simply a result of judicial attitudes/ideology (attitudinal model), or if legal rules and arguments (legal model) and/or public opinion (interest group model)</w:t>
      </w:r>
      <w:r w:rsidR="00AB65E5">
        <w:rPr>
          <w:szCs w:val="24"/>
        </w:rPr>
        <w:t xml:space="preserve"> shape judicial decision</w:t>
      </w:r>
      <w:r w:rsidR="002B441B">
        <w:rPr>
          <w:szCs w:val="24"/>
        </w:rPr>
        <w:t>-</w:t>
      </w:r>
      <w:r w:rsidR="002A1AC8">
        <w:rPr>
          <w:szCs w:val="24"/>
        </w:rPr>
        <w:t xml:space="preserve">making at the USSC.  Each of these views leads to different hypotheses about the expected influence of amici, and this study will provide information as to which view better captures the reality of amicus influence on the </w:t>
      </w:r>
      <w:r w:rsidR="00AB65E5">
        <w:rPr>
          <w:szCs w:val="24"/>
        </w:rPr>
        <w:t xml:space="preserve">Roberts </w:t>
      </w:r>
      <w:r w:rsidR="002A1AC8">
        <w:rPr>
          <w:szCs w:val="24"/>
        </w:rPr>
        <w:t>Court.</w:t>
      </w:r>
    </w:p>
    <w:p w:rsidR="008C7067" w:rsidRPr="00653184" w:rsidRDefault="008C7067" w:rsidP="00EF3F12">
      <w:pPr>
        <w:spacing w:line="480" w:lineRule="auto"/>
        <w:ind w:left="0" w:firstLine="0"/>
        <w:rPr>
          <w:szCs w:val="24"/>
        </w:rPr>
      </w:pPr>
    </w:p>
    <w:p w:rsidR="00D50941" w:rsidRPr="00E312DD" w:rsidRDefault="00D50941" w:rsidP="00D50941">
      <w:pPr>
        <w:pStyle w:val="ListParagraph"/>
        <w:numPr>
          <w:ilvl w:val="0"/>
          <w:numId w:val="7"/>
        </w:numPr>
        <w:spacing w:line="480" w:lineRule="auto"/>
        <w:rPr>
          <w:b/>
          <w:szCs w:val="24"/>
        </w:rPr>
      </w:pPr>
      <w:r w:rsidRPr="00E312DD">
        <w:rPr>
          <w:b/>
          <w:szCs w:val="24"/>
        </w:rPr>
        <w:t>W</w:t>
      </w:r>
      <w:r w:rsidR="00E312DD" w:rsidRPr="00E312DD">
        <w:rPr>
          <w:b/>
          <w:szCs w:val="24"/>
        </w:rPr>
        <w:t>hat I</w:t>
      </w:r>
      <w:r w:rsidR="00923E59" w:rsidRPr="00E312DD">
        <w:rPr>
          <w:b/>
          <w:szCs w:val="24"/>
        </w:rPr>
        <w:t>s an</w:t>
      </w:r>
      <w:r w:rsidR="00FA3781" w:rsidRPr="00E312DD">
        <w:rPr>
          <w:b/>
          <w:szCs w:val="24"/>
        </w:rPr>
        <w:t xml:space="preserve"> </w:t>
      </w:r>
      <w:r w:rsidR="00E312DD" w:rsidRPr="00E312DD">
        <w:rPr>
          <w:b/>
          <w:szCs w:val="24"/>
        </w:rPr>
        <w:t>Amicus Curiae and What Is I</w:t>
      </w:r>
      <w:r w:rsidR="00923E59" w:rsidRPr="00E312DD">
        <w:rPr>
          <w:b/>
          <w:szCs w:val="24"/>
        </w:rPr>
        <w:t>ts</w:t>
      </w:r>
      <w:r w:rsidR="00E312DD" w:rsidRPr="00E312DD">
        <w:rPr>
          <w:b/>
          <w:szCs w:val="24"/>
        </w:rPr>
        <w:t xml:space="preserve"> F</w:t>
      </w:r>
      <w:r w:rsidRPr="00E312DD">
        <w:rPr>
          <w:b/>
          <w:szCs w:val="24"/>
        </w:rPr>
        <w:t>unction?</w:t>
      </w:r>
    </w:p>
    <w:p w:rsidR="00D50941" w:rsidRDefault="00D76401" w:rsidP="00D50941">
      <w:pPr>
        <w:pStyle w:val="ListParagraph"/>
        <w:spacing w:line="480" w:lineRule="auto"/>
        <w:ind w:left="0" w:firstLine="720"/>
        <w:rPr>
          <w:szCs w:val="24"/>
        </w:rPr>
      </w:pPr>
      <w:r>
        <w:rPr>
          <w:szCs w:val="24"/>
        </w:rPr>
        <w:t>Amicus curiae</w:t>
      </w:r>
      <w:r w:rsidR="007132BB">
        <w:rPr>
          <w:rStyle w:val="FootnoteReference"/>
          <w:szCs w:val="24"/>
        </w:rPr>
        <w:footnoteReference w:id="4"/>
      </w:r>
      <w:r>
        <w:rPr>
          <w:szCs w:val="24"/>
        </w:rPr>
        <w:t xml:space="preserve"> – Latin for “friend of the court” – refers to the tradition of courts permitting third parties to litigation to submit their opinions on issues pertaining to the case at hand (</w:t>
      </w:r>
      <w:proofErr w:type="spellStart"/>
      <w:r>
        <w:rPr>
          <w:szCs w:val="24"/>
        </w:rPr>
        <w:t>Krislov</w:t>
      </w:r>
      <w:proofErr w:type="spellEnd"/>
      <w:r>
        <w:rPr>
          <w:szCs w:val="24"/>
        </w:rPr>
        <w:t xml:space="preserve"> 1963, 694). </w:t>
      </w:r>
      <w:r w:rsidR="00D6566E">
        <w:rPr>
          <w:szCs w:val="24"/>
        </w:rPr>
        <w:t xml:space="preserve"> Black’s Law Dictionary</w:t>
      </w:r>
      <w:r w:rsidR="00680402">
        <w:rPr>
          <w:szCs w:val="24"/>
        </w:rPr>
        <w:t xml:space="preserve"> (1979, 75)</w:t>
      </w:r>
      <w:r w:rsidR="00D6566E">
        <w:rPr>
          <w:szCs w:val="24"/>
        </w:rPr>
        <w:t xml:space="preserve"> defines “amicus curiae” this way: “</w:t>
      </w:r>
      <w:r w:rsidR="00680402">
        <w:rPr>
          <w:szCs w:val="24"/>
        </w:rPr>
        <w:t xml:space="preserve">[a] person with a strong interest in or views on the subject matter of an action [who] …. </w:t>
      </w:r>
      <w:proofErr w:type="gramStart"/>
      <w:r w:rsidR="00680402">
        <w:rPr>
          <w:szCs w:val="24"/>
        </w:rPr>
        <w:t>petition[</w:t>
      </w:r>
      <w:proofErr w:type="gramEnd"/>
      <w:r w:rsidR="00680402">
        <w:rPr>
          <w:szCs w:val="24"/>
        </w:rPr>
        <w:t>s]</w:t>
      </w:r>
      <w:r>
        <w:rPr>
          <w:szCs w:val="24"/>
        </w:rPr>
        <w:t xml:space="preserve"> </w:t>
      </w:r>
      <w:r w:rsidR="00680402">
        <w:rPr>
          <w:szCs w:val="24"/>
        </w:rPr>
        <w:t xml:space="preserve">the court for permission to file a brief, ostensibly on behalf of a party, but actually to suggest a rationale consistent with its own views.” </w:t>
      </w:r>
      <w:r w:rsidR="00C54E69">
        <w:rPr>
          <w:szCs w:val="24"/>
        </w:rPr>
        <w:t xml:space="preserve"> </w:t>
      </w:r>
      <w:r w:rsidR="007132BB">
        <w:rPr>
          <w:szCs w:val="24"/>
        </w:rPr>
        <w:t xml:space="preserve">Amici curiae have long been of interest to </w:t>
      </w:r>
      <w:r w:rsidR="007132BB">
        <w:rPr>
          <w:szCs w:val="24"/>
        </w:rPr>
        <w:lastRenderedPageBreak/>
        <w:t xml:space="preserve">judicial researchers.  </w:t>
      </w:r>
      <w:r>
        <w:rPr>
          <w:szCs w:val="24"/>
        </w:rPr>
        <w:t>Amici</w:t>
      </w:r>
      <w:r w:rsidR="00D50941">
        <w:rPr>
          <w:szCs w:val="24"/>
        </w:rPr>
        <w:t xml:space="preserve"> curiae serve to link broad interests in society to individual parties of intere</w:t>
      </w:r>
      <w:r w:rsidR="00C54E69">
        <w:rPr>
          <w:szCs w:val="24"/>
        </w:rPr>
        <w:t>st in court cases (</w:t>
      </w:r>
      <w:proofErr w:type="spellStart"/>
      <w:r w:rsidR="00C54E69">
        <w:rPr>
          <w:szCs w:val="24"/>
        </w:rPr>
        <w:t>Vose</w:t>
      </w:r>
      <w:proofErr w:type="spellEnd"/>
      <w:r w:rsidR="00C54E69">
        <w:rPr>
          <w:szCs w:val="24"/>
        </w:rPr>
        <w:t xml:space="preserve"> 1958).  </w:t>
      </w:r>
      <w:r w:rsidR="00D50941">
        <w:rPr>
          <w:szCs w:val="24"/>
        </w:rPr>
        <w:t xml:space="preserve">While scholarly opinion regarding the propriety and efficacy of amici is mixed, the conventional wisdom is that amicus participants can influence the judicial process. </w:t>
      </w:r>
    </w:p>
    <w:p w:rsidR="007B638E" w:rsidRPr="002A3546" w:rsidRDefault="007B638E" w:rsidP="007B638E">
      <w:pPr>
        <w:pStyle w:val="ListParagraph"/>
        <w:spacing w:line="480" w:lineRule="auto"/>
        <w:ind w:left="0" w:firstLine="720"/>
        <w:rPr>
          <w:szCs w:val="24"/>
        </w:rPr>
      </w:pPr>
      <w:r>
        <w:rPr>
          <w:szCs w:val="24"/>
        </w:rPr>
        <w:t xml:space="preserve">“Interest groups” (or “organized interests”) – broadly defined – are the primary filers of amicus briefs.  This study adopts </w:t>
      </w:r>
      <w:proofErr w:type="spellStart"/>
      <w:r>
        <w:rPr>
          <w:szCs w:val="24"/>
        </w:rPr>
        <w:t>Schlozman</w:t>
      </w:r>
      <w:proofErr w:type="spellEnd"/>
      <w:r>
        <w:rPr>
          <w:szCs w:val="24"/>
        </w:rPr>
        <w:t xml:space="preserve"> </w:t>
      </w:r>
      <w:r w:rsidR="000D6839">
        <w:rPr>
          <w:szCs w:val="24"/>
        </w:rPr>
        <w:t>and</w:t>
      </w:r>
      <w:r>
        <w:rPr>
          <w:szCs w:val="24"/>
        </w:rPr>
        <w:t xml:space="preserve"> Tierney’s (1986, 11) classic definition of organized interests: “a variety of organizations that seek joint ends through political action.”  As such, interest groups can include corporations, businesses, governments, public interest law firms, public advocacy organizations, professional and trade associations, nonprofits, universities, churches, and unions, among others.  Even individuals who collaborate together to cosign amicus briefs can loosely fit within this broad definition if they are a group of individuals jointly pursuing political activity.  Throughout the remainder of this study, I use the terms “organized interest,” “group,” or “interest group” interchangeably.</w:t>
      </w:r>
    </w:p>
    <w:p w:rsidR="007B638E" w:rsidRPr="00680402" w:rsidRDefault="00D76401" w:rsidP="00680402">
      <w:pPr>
        <w:pStyle w:val="ListParagraph"/>
        <w:spacing w:line="480" w:lineRule="auto"/>
        <w:ind w:left="0" w:firstLine="720"/>
        <w:rPr>
          <w:szCs w:val="24"/>
        </w:rPr>
      </w:pPr>
      <w:r>
        <w:rPr>
          <w:szCs w:val="24"/>
        </w:rPr>
        <w:t xml:space="preserve">Interest groups </w:t>
      </w:r>
      <w:r w:rsidR="007B638E">
        <w:rPr>
          <w:szCs w:val="24"/>
        </w:rPr>
        <w:t>are active as litigation participants, by either sponsoring “test cases” brought in the name of private parties</w:t>
      </w:r>
      <w:r w:rsidR="00923E59">
        <w:rPr>
          <w:szCs w:val="24"/>
        </w:rPr>
        <w:t>,</w:t>
      </w:r>
      <w:r w:rsidR="007B638E">
        <w:rPr>
          <w:szCs w:val="24"/>
        </w:rPr>
        <w:t xml:space="preserve"> or by filing amicus curiae briefs (</w:t>
      </w:r>
      <w:proofErr w:type="spellStart"/>
      <w:r w:rsidR="007B638E">
        <w:rPr>
          <w:szCs w:val="24"/>
        </w:rPr>
        <w:t>Vose</w:t>
      </w:r>
      <w:proofErr w:type="spellEnd"/>
      <w:r w:rsidR="007B638E">
        <w:rPr>
          <w:szCs w:val="24"/>
        </w:rPr>
        <w:t xml:space="preserve"> 1958; Barker 1967; </w:t>
      </w:r>
      <w:proofErr w:type="spellStart"/>
      <w:r w:rsidR="007B638E">
        <w:rPr>
          <w:szCs w:val="24"/>
        </w:rPr>
        <w:t>Rushin</w:t>
      </w:r>
      <w:proofErr w:type="spellEnd"/>
      <w:r w:rsidR="007B638E">
        <w:rPr>
          <w:szCs w:val="24"/>
        </w:rPr>
        <w:t xml:space="preserve"> </w:t>
      </w:r>
      <w:r w:rsidR="000D6839">
        <w:rPr>
          <w:szCs w:val="24"/>
        </w:rPr>
        <w:t>and</w:t>
      </w:r>
      <w:r w:rsidR="007B638E">
        <w:rPr>
          <w:szCs w:val="24"/>
        </w:rPr>
        <w:t xml:space="preserve"> O’Connor 1987). </w:t>
      </w:r>
      <w:r>
        <w:rPr>
          <w:szCs w:val="24"/>
        </w:rPr>
        <w:t xml:space="preserve"> </w:t>
      </w:r>
      <w:proofErr w:type="spellStart"/>
      <w:r w:rsidR="007B638E">
        <w:rPr>
          <w:szCs w:val="24"/>
        </w:rPr>
        <w:t>Vose</w:t>
      </w:r>
      <w:proofErr w:type="spellEnd"/>
      <w:r w:rsidR="007B638E">
        <w:rPr>
          <w:szCs w:val="24"/>
        </w:rPr>
        <w:t xml:space="preserve"> (1958), who undertook the first systematic study of interest groups’ use of the courts, contends that organizations or “pressure groups” support legal action because individuals lack the necessary, time, money, and skill to influence cases.  </w:t>
      </w:r>
      <w:proofErr w:type="spellStart"/>
      <w:r w:rsidR="007B638E">
        <w:t>Krislov</w:t>
      </w:r>
      <w:proofErr w:type="spellEnd"/>
      <w:r w:rsidR="007B638E">
        <w:t xml:space="preserve"> (1963, 711) argues that amicus briefs can become very important “when there is evidence of some weakness in the legal talent arrayed by the principal party,”</w:t>
      </w:r>
      <w:r w:rsidR="002B441B">
        <w:t xml:space="preserve"> but also acknowledges that amicus briefs</w:t>
      </w:r>
      <w:r w:rsidR="007B638E">
        <w:t xml:space="preserve"> can play an important “subsidiary role” by drawing the USSC’s attention to the wider interests implicated in the case and by providing useful</w:t>
      </w:r>
      <w:r w:rsidR="002B441B">
        <w:t xml:space="preserve"> social science data</w:t>
      </w:r>
      <w:r w:rsidR="007B638E">
        <w:t xml:space="preserve">.   </w:t>
      </w:r>
      <w:r w:rsidR="007B638E" w:rsidRPr="00340328">
        <w:rPr>
          <w:rFonts w:cs="Times New Roman"/>
          <w:szCs w:val="24"/>
        </w:rPr>
        <w:t xml:space="preserve">As Barker </w:t>
      </w:r>
      <w:r w:rsidR="007B638E">
        <w:rPr>
          <w:rFonts w:cs="Times New Roman"/>
          <w:szCs w:val="24"/>
        </w:rPr>
        <w:t>(1967, 60) suggests, “[t]</w:t>
      </w:r>
      <w:r w:rsidR="007B638E" w:rsidRPr="00340328">
        <w:rPr>
          <w:rFonts w:cs="Times New Roman"/>
          <w:szCs w:val="24"/>
        </w:rPr>
        <w:t>he amicus brief, in a sense, also</w:t>
      </w:r>
      <w:r w:rsidR="007B638E">
        <w:rPr>
          <w:rFonts w:cs="Times New Roman"/>
          <w:szCs w:val="24"/>
        </w:rPr>
        <w:t xml:space="preserve"> </w:t>
      </w:r>
      <w:r w:rsidR="007B638E" w:rsidRPr="00340328">
        <w:rPr>
          <w:rFonts w:cs="Times New Roman"/>
          <w:szCs w:val="24"/>
        </w:rPr>
        <w:t>allows the Court to weigh ‘political’</w:t>
      </w:r>
      <w:r w:rsidR="007B638E">
        <w:rPr>
          <w:rFonts w:cs="Times New Roman"/>
          <w:szCs w:val="24"/>
        </w:rPr>
        <w:t xml:space="preserve"> </w:t>
      </w:r>
      <w:r w:rsidR="007B638E">
        <w:rPr>
          <w:rFonts w:cs="Times New Roman"/>
          <w:szCs w:val="24"/>
        </w:rPr>
        <w:lastRenderedPageBreak/>
        <w:t xml:space="preserve">information in a judicial way.”  </w:t>
      </w:r>
      <w:r w:rsidR="007B638E">
        <w:rPr>
          <w:szCs w:val="24"/>
        </w:rPr>
        <w:t>Judges make policy choices just as legislators do, and these choices involve more than strictly legal considerations. Thus, the involvement of third parties in litigation is an example of the blurring of the separation of powers doctrine.</w:t>
      </w:r>
    </w:p>
    <w:p w:rsidR="00AE218C" w:rsidRPr="007B638E" w:rsidRDefault="00D50941" w:rsidP="007B638E">
      <w:pPr>
        <w:pStyle w:val="ListParagraph"/>
        <w:spacing w:line="480" w:lineRule="auto"/>
        <w:ind w:left="0" w:firstLine="720"/>
        <w:rPr>
          <w:szCs w:val="24"/>
        </w:rPr>
      </w:pPr>
      <w:r>
        <w:rPr>
          <w:szCs w:val="24"/>
        </w:rPr>
        <w:t xml:space="preserve"> Amicus participation goes as far back as Ancient Rome (Simmons 2009, 192; </w:t>
      </w:r>
      <w:proofErr w:type="spellStart"/>
      <w:r>
        <w:rPr>
          <w:szCs w:val="24"/>
        </w:rPr>
        <w:t>Krislov</w:t>
      </w:r>
      <w:proofErr w:type="spellEnd"/>
      <w:r>
        <w:rPr>
          <w:szCs w:val="24"/>
        </w:rPr>
        <w:t xml:space="preserve"> 1963, 694</w:t>
      </w:r>
      <w:r w:rsidR="001553E3">
        <w:rPr>
          <w:szCs w:val="24"/>
        </w:rPr>
        <w:t xml:space="preserve">; Harper </w:t>
      </w:r>
      <w:r w:rsidR="000D6839">
        <w:rPr>
          <w:szCs w:val="24"/>
        </w:rPr>
        <w:t>and</w:t>
      </w:r>
      <w:r w:rsidR="001553E3">
        <w:rPr>
          <w:szCs w:val="24"/>
        </w:rPr>
        <w:t xml:space="preserve"> </w:t>
      </w:r>
      <w:proofErr w:type="spellStart"/>
      <w:r w:rsidR="001553E3">
        <w:rPr>
          <w:szCs w:val="24"/>
        </w:rPr>
        <w:t>Etherington</w:t>
      </w:r>
      <w:proofErr w:type="spellEnd"/>
      <w:r w:rsidR="001553E3">
        <w:rPr>
          <w:szCs w:val="24"/>
        </w:rPr>
        <w:t xml:space="preserve"> 1953</w:t>
      </w:r>
      <w:r>
        <w:rPr>
          <w:szCs w:val="24"/>
        </w:rPr>
        <w:t>).   Originally, amicus curiae briefs were de</w:t>
      </w:r>
      <w:r w:rsidR="0016613E">
        <w:rPr>
          <w:szCs w:val="24"/>
        </w:rPr>
        <w:t>signed to aid judicial decision-</w:t>
      </w:r>
      <w:r>
        <w:rPr>
          <w:szCs w:val="24"/>
        </w:rPr>
        <w:t>making by providing</w:t>
      </w:r>
      <w:r w:rsidR="00923E59">
        <w:rPr>
          <w:szCs w:val="24"/>
        </w:rPr>
        <w:t xml:space="preserve"> a court</w:t>
      </w:r>
      <w:r>
        <w:rPr>
          <w:szCs w:val="24"/>
        </w:rPr>
        <w:t xml:space="preserve"> with impartial legal information outside of its knowledge or expertise</w:t>
      </w:r>
      <w:r>
        <w:rPr>
          <w:color w:val="FF0000"/>
          <w:szCs w:val="24"/>
        </w:rPr>
        <w:t xml:space="preserve"> </w:t>
      </w:r>
      <w:r>
        <w:rPr>
          <w:szCs w:val="24"/>
        </w:rPr>
        <w:t>(Simmons 2009, 192</w:t>
      </w:r>
      <w:r w:rsidR="00B46544">
        <w:rPr>
          <w:szCs w:val="24"/>
        </w:rPr>
        <w:t xml:space="preserve">; </w:t>
      </w:r>
      <w:proofErr w:type="spellStart"/>
      <w:r w:rsidR="00B46544">
        <w:rPr>
          <w:szCs w:val="24"/>
        </w:rPr>
        <w:t>Krislov</w:t>
      </w:r>
      <w:proofErr w:type="spellEnd"/>
      <w:r w:rsidR="00B46544">
        <w:rPr>
          <w:szCs w:val="24"/>
        </w:rPr>
        <w:t xml:space="preserve"> 1963</w:t>
      </w:r>
      <w:r>
        <w:rPr>
          <w:szCs w:val="24"/>
        </w:rPr>
        <w:t xml:space="preserve">).  </w:t>
      </w:r>
      <w:r w:rsidR="006C0ED9">
        <w:rPr>
          <w:szCs w:val="24"/>
        </w:rPr>
        <w:t>In the fourteenth century, judges</w:t>
      </w:r>
      <w:r w:rsidR="00923E59">
        <w:rPr>
          <w:szCs w:val="24"/>
        </w:rPr>
        <w:t xml:space="preserve"> began to use amicus briefs as</w:t>
      </w:r>
      <w:r w:rsidR="006C0ED9">
        <w:rPr>
          <w:szCs w:val="24"/>
        </w:rPr>
        <w:t xml:space="preserve"> mechanism</w:t>
      </w:r>
      <w:r w:rsidR="00923E59">
        <w:rPr>
          <w:szCs w:val="24"/>
        </w:rPr>
        <w:t>s</w:t>
      </w:r>
      <w:r w:rsidR="006C0ED9">
        <w:rPr>
          <w:szCs w:val="24"/>
        </w:rPr>
        <w:t xml:space="preserve"> to give voice to those interests that were left unrepresented in </w:t>
      </w:r>
      <w:r w:rsidR="00AE218C">
        <w:rPr>
          <w:szCs w:val="24"/>
        </w:rPr>
        <w:t xml:space="preserve">the adversarial system.  </w:t>
      </w:r>
      <w:r w:rsidR="00111F16">
        <w:rPr>
          <w:szCs w:val="24"/>
        </w:rPr>
        <w:t>English common law viewed amicus curiae as a “selfless servant o</w:t>
      </w:r>
      <w:r w:rsidR="0016613E">
        <w:rPr>
          <w:szCs w:val="24"/>
        </w:rPr>
        <w:t xml:space="preserve">f the court” (Kaye 1989, 10).  </w:t>
      </w:r>
      <w:r w:rsidR="00AE218C">
        <w:rPr>
          <w:szCs w:val="24"/>
        </w:rPr>
        <w:t>T</w:t>
      </w:r>
      <w:r w:rsidR="006C0ED9">
        <w:rPr>
          <w:szCs w:val="24"/>
        </w:rPr>
        <w:t xml:space="preserve">he amicus played the role of the impartial informant: often amici would serve the function of “oral </w:t>
      </w:r>
      <w:proofErr w:type="spellStart"/>
      <w:r w:rsidR="006C0ED9">
        <w:rPr>
          <w:szCs w:val="24"/>
        </w:rPr>
        <w:t>shepardizing</w:t>
      </w:r>
      <w:proofErr w:type="spellEnd"/>
      <w:r w:rsidR="006C0ED9">
        <w:rPr>
          <w:szCs w:val="24"/>
        </w:rPr>
        <w:t xml:space="preserve">” – </w:t>
      </w:r>
      <w:r w:rsidR="00AE218C">
        <w:rPr>
          <w:szCs w:val="24"/>
        </w:rPr>
        <w:t>informing the judges of case</w:t>
      </w:r>
      <w:r w:rsidR="006C0ED9">
        <w:rPr>
          <w:szCs w:val="24"/>
        </w:rPr>
        <w:t xml:space="preserve"> law that the parties ignored or overlooked</w:t>
      </w:r>
      <w:r w:rsidR="00AE218C">
        <w:rPr>
          <w:szCs w:val="24"/>
        </w:rPr>
        <w:t>; pointing out “manifest error” in the cases; informing the court of legislative intent; and remedying defects in the adversarial process</w:t>
      </w:r>
      <w:r w:rsidR="006C0ED9">
        <w:rPr>
          <w:szCs w:val="24"/>
        </w:rPr>
        <w:t xml:space="preserve"> (</w:t>
      </w:r>
      <w:proofErr w:type="spellStart"/>
      <w:r w:rsidR="002E060D">
        <w:rPr>
          <w:szCs w:val="24"/>
        </w:rPr>
        <w:t>Krislov</w:t>
      </w:r>
      <w:proofErr w:type="spellEnd"/>
      <w:r w:rsidR="002E060D">
        <w:rPr>
          <w:szCs w:val="24"/>
        </w:rPr>
        <w:t xml:space="preserve"> 1963, 69</w:t>
      </w:r>
      <w:r w:rsidR="00AE218C">
        <w:rPr>
          <w:szCs w:val="24"/>
        </w:rPr>
        <w:t>5-697</w:t>
      </w:r>
      <w:r w:rsidR="002E060D">
        <w:rPr>
          <w:szCs w:val="24"/>
        </w:rPr>
        <w:t xml:space="preserve">; </w:t>
      </w:r>
      <w:r w:rsidR="006C0ED9">
        <w:rPr>
          <w:szCs w:val="24"/>
        </w:rPr>
        <w:t>Samuels 2004, 7</w:t>
      </w:r>
      <w:r w:rsidR="00AE218C">
        <w:rPr>
          <w:szCs w:val="24"/>
        </w:rPr>
        <w:t>; Roberts 2009, 9</w:t>
      </w:r>
      <w:r w:rsidR="006C0ED9">
        <w:rPr>
          <w:szCs w:val="24"/>
        </w:rPr>
        <w:t xml:space="preserve">).  </w:t>
      </w:r>
      <w:r w:rsidR="00AE218C" w:rsidRPr="00AE218C">
        <w:rPr>
          <w:rFonts w:cs="Times New Roman"/>
          <w:szCs w:val="24"/>
        </w:rPr>
        <w:t>Such assistance was welcomed because of the presumption that “it is for the honor of a court of ju</w:t>
      </w:r>
      <w:r w:rsidR="00111F16">
        <w:rPr>
          <w:rFonts w:cs="Times New Roman"/>
          <w:szCs w:val="24"/>
        </w:rPr>
        <w:t>stice to avoid error” (</w:t>
      </w:r>
      <w:proofErr w:type="spellStart"/>
      <w:r w:rsidR="00AE218C" w:rsidRPr="00AE218C">
        <w:rPr>
          <w:rFonts w:cs="Times New Roman"/>
          <w:szCs w:val="24"/>
        </w:rPr>
        <w:t>Krislov</w:t>
      </w:r>
      <w:proofErr w:type="spellEnd"/>
      <w:r w:rsidR="00AE218C" w:rsidRPr="00AE218C">
        <w:rPr>
          <w:rFonts w:cs="Times New Roman"/>
          <w:szCs w:val="24"/>
        </w:rPr>
        <w:t xml:space="preserve"> 1963, 695</w:t>
      </w:r>
      <w:r w:rsidR="00111F16">
        <w:rPr>
          <w:rFonts w:cs="Times New Roman"/>
          <w:szCs w:val="24"/>
        </w:rPr>
        <w:t>).</w:t>
      </w:r>
    </w:p>
    <w:p w:rsidR="00CD5189" w:rsidRPr="00CD5189" w:rsidRDefault="006C0ED9" w:rsidP="007B638E">
      <w:pPr>
        <w:pStyle w:val="ListParagraph"/>
        <w:spacing w:line="480" w:lineRule="auto"/>
        <w:ind w:left="0" w:firstLine="720"/>
        <w:rPr>
          <w:szCs w:val="24"/>
        </w:rPr>
      </w:pPr>
      <w:r>
        <w:rPr>
          <w:szCs w:val="24"/>
        </w:rPr>
        <w:t>The first amicus curiae to participate in a case before the USSC was Henry Clay, who represented the state of Kentucky in a case involving</w:t>
      </w:r>
      <w:r w:rsidR="00111F16">
        <w:rPr>
          <w:szCs w:val="24"/>
        </w:rPr>
        <w:t xml:space="preserve"> federal supremacy and</w:t>
      </w:r>
      <w:r>
        <w:rPr>
          <w:szCs w:val="24"/>
        </w:rPr>
        <w:t xml:space="preserve"> Kentucky land titles – </w:t>
      </w:r>
      <w:r>
        <w:rPr>
          <w:i/>
          <w:szCs w:val="24"/>
        </w:rPr>
        <w:t>Green v. Biddle</w:t>
      </w:r>
      <w:r w:rsidR="00111F16">
        <w:rPr>
          <w:szCs w:val="24"/>
        </w:rPr>
        <w:t xml:space="preserve"> (1823</w:t>
      </w:r>
      <w:r>
        <w:rPr>
          <w:szCs w:val="24"/>
        </w:rPr>
        <w:t>)</w:t>
      </w:r>
      <w:r w:rsidR="0017693D">
        <w:rPr>
          <w:szCs w:val="24"/>
        </w:rPr>
        <w:t xml:space="preserve"> (</w:t>
      </w:r>
      <w:proofErr w:type="spellStart"/>
      <w:r w:rsidR="0017693D">
        <w:rPr>
          <w:szCs w:val="24"/>
        </w:rPr>
        <w:t>Krislov</w:t>
      </w:r>
      <w:proofErr w:type="spellEnd"/>
      <w:r w:rsidR="0017693D">
        <w:rPr>
          <w:szCs w:val="24"/>
        </w:rPr>
        <w:t xml:space="preserve"> 1963</w:t>
      </w:r>
      <w:r w:rsidR="00111F16">
        <w:rPr>
          <w:szCs w:val="24"/>
        </w:rPr>
        <w:t>, 700</w:t>
      </w:r>
      <w:r w:rsidR="0017693D">
        <w:rPr>
          <w:szCs w:val="24"/>
        </w:rPr>
        <w:t>)</w:t>
      </w:r>
      <w:r>
        <w:rPr>
          <w:szCs w:val="24"/>
        </w:rPr>
        <w:t xml:space="preserve">. </w:t>
      </w:r>
      <w:r w:rsidR="00111F16">
        <w:rPr>
          <w:szCs w:val="24"/>
        </w:rPr>
        <w:t xml:space="preserve"> Initially, the state of Kentucky was without representation in the case, and Clay, acting on behalf of Kentucky, successfully petitioned for rehearing and was allowed to argue as amicus.</w:t>
      </w:r>
      <w:r w:rsidR="0017693D">
        <w:rPr>
          <w:szCs w:val="24"/>
        </w:rPr>
        <w:t xml:space="preserve"> </w:t>
      </w:r>
      <w:r w:rsidR="0016613E">
        <w:rPr>
          <w:szCs w:val="24"/>
        </w:rPr>
        <w:t>Notably, Clay’s appearance as amicus</w:t>
      </w:r>
      <w:r w:rsidR="0017693D">
        <w:rPr>
          <w:szCs w:val="24"/>
        </w:rPr>
        <w:t xml:space="preserve"> was in a dual role:  both adv</w:t>
      </w:r>
      <w:r w:rsidR="00111F16">
        <w:rPr>
          <w:szCs w:val="24"/>
        </w:rPr>
        <w:t xml:space="preserve">isor to the USSC and advocate. </w:t>
      </w:r>
      <w:r>
        <w:rPr>
          <w:szCs w:val="24"/>
        </w:rPr>
        <w:t xml:space="preserve"> Throughout the 1800s, amici curiae were virtually always lawyers representing government</w:t>
      </w:r>
      <w:r w:rsidR="00111F16">
        <w:rPr>
          <w:szCs w:val="24"/>
        </w:rPr>
        <w:t xml:space="preserve"> (federal or state)</w:t>
      </w:r>
      <w:r>
        <w:rPr>
          <w:szCs w:val="24"/>
        </w:rPr>
        <w:t xml:space="preserve"> interests.  It was not until the </w:t>
      </w:r>
      <w:r>
        <w:rPr>
          <w:szCs w:val="24"/>
        </w:rPr>
        <w:lastRenderedPageBreak/>
        <w:t>1900s that the USSC allowed private litigants to participate as amici</w:t>
      </w:r>
      <w:r w:rsidR="00B5709B">
        <w:rPr>
          <w:szCs w:val="24"/>
        </w:rPr>
        <w:t xml:space="preserve"> (Samuels 2004, 7-8)</w:t>
      </w:r>
      <w:r>
        <w:rPr>
          <w:szCs w:val="24"/>
        </w:rPr>
        <w:t>.</w:t>
      </w:r>
      <w:r w:rsidR="00CD5189">
        <w:rPr>
          <w:szCs w:val="24"/>
        </w:rPr>
        <w:t xml:space="preserve">  The case of </w:t>
      </w:r>
      <w:r w:rsidR="00CD5189">
        <w:rPr>
          <w:i/>
          <w:szCs w:val="24"/>
        </w:rPr>
        <w:t xml:space="preserve">Ah How (alias Louie Ah How) v. United States </w:t>
      </w:r>
      <w:r w:rsidR="00CD5189">
        <w:rPr>
          <w:szCs w:val="24"/>
        </w:rPr>
        <w:t>(1904) presented the first instance of the appearance of an amicus curiae brief filed by a nongovernmental interest group in the USSC. The Chinese Charitable and Benevolent Association of New York filed the brief, urging the USSC to reverse the lower court’s decision ordering removal of the appellants from the United States back to their Chinese homeland.  In its amicus brief, the group highlighted alleged abuses of Chinese immigrants in New York City by the government (Collins 2008, 40-41).  However, the filing of this brief did not have the intended effect, as the USSC affirmed the lower court ruling.</w:t>
      </w:r>
    </w:p>
    <w:p w:rsidR="007B638E" w:rsidRDefault="007B638E" w:rsidP="008A3D10">
      <w:pPr>
        <w:pStyle w:val="ListParagraph"/>
        <w:spacing w:line="480" w:lineRule="auto"/>
        <w:ind w:left="0" w:firstLine="720"/>
        <w:rPr>
          <w:szCs w:val="24"/>
        </w:rPr>
      </w:pPr>
      <w:r>
        <w:rPr>
          <w:szCs w:val="24"/>
        </w:rPr>
        <w:t>Another shift in the amicus role also occurred during the early 1900s: traditionally, the authoring attorney was viewed as the amicus, not the organization he represented; however, by the 1930s the emphasis on the professional role of the amicus dissipated and briefs came to be openly identified with the sponso</w:t>
      </w:r>
      <w:r w:rsidR="008A3D10">
        <w:rPr>
          <w:szCs w:val="24"/>
        </w:rPr>
        <w:t xml:space="preserve">ring group (Roberts 2009, 10).  </w:t>
      </w:r>
      <w:r>
        <w:rPr>
          <w:szCs w:val="24"/>
        </w:rPr>
        <w:t>Throughout</w:t>
      </w:r>
      <w:r w:rsidR="00923E59">
        <w:rPr>
          <w:szCs w:val="24"/>
        </w:rPr>
        <w:t xml:space="preserve"> the</w:t>
      </w:r>
      <w:r>
        <w:rPr>
          <w:szCs w:val="24"/>
        </w:rPr>
        <w:t xml:space="preserve"> first half of the twentieth century, widespread involvement by private interest</w:t>
      </w:r>
      <w:r w:rsidR="00B5709B">
        <w:rPr>
          <w:szCs w:val="24"/>
        </w:rPr>
        <w:t xml:space="preserve"> groups </w:t>
      </w:r>
      <w:r>
        <w:rPr>
          <w:szCs w:val="24"/>
        </w:rPr>
        <w:t xml:space="preserve">in litigation </w:t>
      </w:r>
      <w:r w:rsidR="004D01FB">
        <w:rPr>
          <w:szCs w:val="24"/>
        </w:rPr>
        <w:t>or</w:t>
      </w:r>
      <w:r w:rsidR="00B5709B">
        <w:rPr>
          <w:szCs w:val="24"/>
        </w:rPr>
        <w:t xml:space="preserve"> amicus activity</w:t>
      </w:r>
      <w:r>
        <w:rPr>
          <w:szCs w:val="24"/>
        </w:rPr>
        <w:t xml:space="preserve"> was not typical</w:t>
      </w:r>
      <w:r w:rsidR="00B5709B">
        <w:rPr>
          <w:szCs w:val="24"/>
        </w:rPr>
        <w:t>, with the notable exceptions of church-state litigation (</w:t>
      </w:r>
      <w:proofErr w:type="spellStart"/>
      <w:r w:rsidR="004D01FB">
        <w:rPr>
          <w:szCs w:val="24"/>
        </w:rPr>
        <w:t>Pfeffer</w:t>
      </w:r>
      <w:proofErr w:type="spellEnd"/>
      <w:r w:rsidR="004D01FB">
        <w:rPr>
          <w:szCs w:val="24"/>
        </w:rPr>
        <w:t xml:space="preserve"> 1981), racial minority groups (most notably the National Association for the Advancement of Colored People (NAACP)), some prominent civil rights groups (most notably the American Civil Liberties Union</w:t>
      </w:r>
      <w:r w:rsidR="00D76401">
        <w:rPr>
          <w:szCs w:val="24"/>
        </w:rPr>
        <w:t xml:space="preserve"> (ACLU)</w:t>
      </w:r>
      <w:r w:rsidR="004D01FB">
        <w:rPr>
          <w:szCs w:val="24"/>
        </w:rPr>
        <w:t xml:space="preserve"> and the American Jewish Congress), railroad interests, </w:t>
      </w:r>
      <w:r w:rsidR="00CD54CB">
        <w:rPr>
          <w:szCs w:val="24"/>
        </w:rPr>
        <w:t xml:space="preserve">labor groups, </w:t>
      </w:r>
      <w:r w:rsidR="004D01FB">
        <w:rPr>
          <w:szCs w:val="24"/>
        </w:rPr>
        <w:t>and securities and insurance interests (</w:t>
      </w:r>
      <w:proofErr w:type="spellStart"/>
      <w:r w:rsidR="004D01FB">
        <w:rPr>
          <w:szCs w:val="24"/>
        </w:rPr>
        <w:t>Krislov</w:t>
      </w:r>
      <w:proofErr w:type="spellEnd"/>
      <w:r w:rsidR="004D01FB">
        <w:rPr>
          <w:szCs w:val="24"/>
        </w:rPr>
        <w:t xml:space="preserve"> 1963)</w:t>
      </w:r>
      <w:r w:rsidR="00B5709B">
        <w:rPr>
          <w:szCs w:val="24"/>
        </w:rPr>
        <w:t>.   It was not until the 1</w:t>
      </w:r>
      <w:r w:rsidR="004D01FB">
        <w:rPr>
          <w:szCs w:val="24"/>
        </w:rPr>
        <w:t>950s and 1960s</w:t>
      </w:r>
      <w:r w:rsidR="00B5709B">
        <w:rPr>
          <w:szCs w:val="24"/>
        </w:rPr>
        <w:t xml:space="preserve"> that amicus activity became </w:t>
      </w:r>
      <w:r w:rsidR="002E060D">
        <w:rPr>
          <w:szCs w:val="24"/>
        </w:rPr>
        <w:t xml:space="preserve">truly </w:t>
      </w:r>
      <w:r w:rsidR="00B5709B">
        <w:rPr>
          <w:szCs w:val="24"/>
        </w:rPr>
        <w:t>prevalent.</w:t>
      </w:r>
      <w:r w:rsidR="0017693D">
        <w:rPr>
          <w:szCs w:val="24"/>
        </w:rPr>
        <w:t xml:space="preserve">  </w:t>
      </w:r>
    </w:p>
    <w:p w:rsidR="00047491" w:rsidRPr="00D25F44" w:rsidRDefault="006C0ED9" w:rsidP="00047491">
      <w:pPr>
        <w:pStyle w:val="ListParagraph"/>
        <w:spacing w:line="480" w:lineRule="auto"/>
        <w:ind w:left="0" w:firstLine="720"/>
        <w:rPr>
          <w:color w:val="FF0000"/>
          <w:szCs w:val="24"/>
        </w:rPr>
      </w:pPr>
      <w:r>
        <w:rPr>
          <w:szCs w:val="24"/>
        </w:rPr>
        <w:t xml:space="preserve">The </w:t>
      </w:r>
      <w:r w:rsidR="00B5709B">
        <w:rPr>
          <w:szCs w:val="24"/>
        </w:rPr>
        <w:t>entrance of private parties as amici inaugurated a dramatic evolution in the amicus role over time</w:t>
      </w:r>
      <w:r w:rsidR="00D50941">
        <w:rPr>
          <w:szCs w:val="24"/>
        </w:rPr>
        <w:t xml:space="preserve">. </w:t>
      </w:r>
      <w:r w:rsidR="00B5709B">
        <w:rPr>
          <w:szCs w:val="24"/>
        </w:rPr>
        <w:t xml:space="preserve"> </w:t>
      </w:r>
      <w:r w:rsidR="00D50941">
        <w:rPr>
          <w:szCs w:val="24"/>
        </w:rPr>
        <w:t xml:space="preserve">As noted by Barker (1967) and </w:t>
      </w:r>
      <w:proofErr w:type="spellStart"/>
      <w:r w:rsidR="00D50941">
        <w:rPr>
          <w:szCs w:val="24"/>
        </w:rPr>
        <w:t>Krislov</w:t>
      </w:r>
      <w:proofErr w:type="spellEnd"/>
      <w:r w:rsidR="00D50941">
        <w:rPr>
          <w:szCs w:val="24"/>
        </w:rPr>
        <w:t xml:space="preserve"> (1963), the amicus role has evolved from a neutral friendship to a partisan advocacy of specific positions, and amicus participation has </w:t>
      </w:r>
      <w:r w:rsidR="00D50941">
        <w:rPr>
          <w:szCs w:val="24"/>
        </w:rPr>
        <w:lastRenderedPageBreak/>
        <w:t>made our adversarial system of justice “multi-sided.”  In recent decades, litigation at the USSC has taken</w:t>
      </w:r>
      <w:r w:rsidR="00D50941" w:rsidRPr="00E36BBB">
        <w:rPr>
          <w:szCs w:val="24"/>
        </w:rPr>
        <w:t xml:space="preserve"> on </w:t>
      </w:r>
      <w:r w:rsidR="00D50941">
        <w:rPr>
          <w:szCs w:val="24"/>
        </w:rPr>
        <w:t>an appearance of group warfare as organized interests lobby the Court to support the</w:t>
      </w:r>
      <w:r w:rsidR="00AB65E5">
        <w:rPr>
          <w:szCs w:val="24"/>
        </w:rPr>
        <w:t>ir preferred policy positions.</w:t>
      </w:r>
      <w:r w:rsidR="00D50941">
        <w:rPr>
          <w:szCs w:val="24"/>
        </w:rPr>
        <w:t xml:space="preserve"> </w:t>
      </w:r>
      <w:r w:rsidR="00AB65E5">
        <w:rPr>
          <w:szCs w:val="24"/>
        </w:rPr>
        <w:t xml:space="preserve"> </w:t>
      </w:r>
      <w:r w:rsidR="00D50941">
        <w:rPr>
          <w:szCs w:val="24"/>
        </w:rPr>
        <w:t xml:space="preserve">Epstein (1985, 156) describes a situation in which the USSC now effectively serves as a mediator between competing interest groups due to the proliferation of amicus activity. In fact, some scholars now contend that “friend of a party” is a more accurate term than “friend of the court” to describe amicus activity. </w:t>
      </w:r>
      <w:proofErr w:type="gramStart"/>
      <w:r w:rsidR="00D50941">
        <w:rPr>
          <w:szCs w:val="24"/>
        </w:rPr>
        <w:t xml:space="preserve">(Simmons 2009, 192; Munford 1999; </w:t>
      </w:r>
      <w:proofErr w:type="spellStart"/>
      <w:r w:rsidR="00D50941">
        <w:rPr>
          <w:szCs w:val="24"/>
        </w:rPr>
        <w:t>Calderia</w:t>
      </w:r>
      <w:proofErr w:type="spellEnd"/>
      <w:r w:rsidR="00D50941">
        <w:rPr>
          <w:szCs w:val="24"/>
        </w:rPr>
        <w:t xml:space="preserve"> </w:t>
      </w:r>
      <w:r w:rsidR="000D6839">
        <w:rPr>
          <w:szCs w:val="24"/>
        </w:rPr>
        <w:t>and</w:t>
      </w:r>
      <w:r w:rsidR="00D50941">
        <w:rPr>
          <w:szCs w:val="24"/>
        </w:rPr>
        <w:t xml:space="preserve"> Wright 1990).</w:t>
      </w:r>
      <w:proofErr w:type="gramEnd"/>
      <w:r w:rsidR="00D50941">
        <w:rPr>
          <w:szCs w:val="24"/>
        </w:rPr>
        <w:t xml:space="preserve"> </w:t>
      </w:r>
      <w:r w:rsidR="00D50941" w:rsidRPr="00E36BBB">
        <w:rPr>
          <w:szCs w:val="24"/>
        </w:rPr>
        <w:t xml:space="preserve"> </w:t>
      </w:r>
      <w:r w:rsidR="00D50941">
        <w:rPr>
          <w:szCs w:val="24"/>
        </w:rPr>
        <w:t xml:space="preserve"> No l</w:t>
      </w:r>
      <w:r w:rsidR="00FF6088">
        <w:rPr>
          <w:szCs w:val="24"/>
        </w:rPr>
        <w:t xml:space="preserve">onger </w:t>
      </w:r>
      <w:proofErr w:type="gramStart"/>
      <w:r w:rsidR="00FF6088">
        <w:rPr>
          <w:szCs w:val="24"/>
        </w:rPr>
        <w:t xml:space="preserve">neutral informants, amici </w:t>
      </w:r>
      <w:r w:rsidR="00D50941">
        <w:rPr>
          <w:szCs w:val="24"/>
        </w:rPr>
        <w:t>are</w:t>
      </w:r>
      <w:proofErr w:type="gramEnd"/>
      <w:r w:rsidR="00D50941">
        <w:rPr>
          <w:szCs w:val="24"/>
        </w:rPr>
        <w:t xml:space="preserve"> now seen as defenders of third party rights and interests (</w:t>
      </w:r>
      <w:proofErr w:type="spellStart"/>
      <w:r w:rsidR="00D50941">
        <w:rPr>
          <w:szCs w:val="24"/>
        </w:rPr>
        <w:t>Simard</w:t>
      </w:r>
      <w:proofErr w:type="spellEnd"/>
      <w:r w:rsidR="00D50941">
        <w:rPr>
          <w:szCs w:val="24"/>
        </w:rPr>
        <w:t xml:space="preserve"> 2007-08, 676; </w:t>
      </w:r>
      <w:proofErr w:type="spellStart"/>
      <w:r w:rsidR="00D50941">
        <w:rPr>
          <w:szCs w:val="24"/>
        </w:rPr>
        <w:t>Krislov</w:t>
      </w:r>
      <w:proofErr w:type="spellEnd"/>
      <w:r w:rsidR="00D50941">
        <w:rPr>
          <w:szCs w:val="24"/>
        </w:rPr>
        <w:t xml:space="preserve"> 1963).</w:t>
      </w:r>
      <w:r w:rsidR="0017693D">
        <w:rPr>
          <w:rStyle w:val="FootnoteReference"/>
          <w:szCs w:val="24"/>
        </w:rPr>
        <w:footnoteReference w:id="5"/>
      </w:r>
      <w:r w:rsidR="00D50941">
        <w:rPr>
          <w:szCs w:val="24"/>
        </w:rPr>
        <w:t xml:space="preserve"> </w:t>
      </w:r>
      <w:r w:rsidR="00BD24A9">
        <w:rPr>
          <w:szCs w:val="24"/>
        </w:rPr>
        <w:t xml:space="preserve"> Justice Antonin Scalia lent credence to this viewpoint when, in his dissenting opinion in </w:t>
      </w:r>
      <w:proofErr w:type="spellStart"/>
      <w:r w:rsidR="00BD24A9">
        <w:rPr>
          <w:i/>
          <w:szCs w:val="24"/>
        </w:rPr>
        <w:t>Jaffee</w:t>
      </w:r>
      <w:proofErr w:type="spellEnd"/>
      <w:r w:rsidR="00BD24A9">
        <w:rPr>
          <w:i/>
          <w:szCs w:val="24"/>
        </w:rPr>
        <w:t xml:space="preserve"> v. Redmond</w:t>
      </w:r>
      <w:r w:rsidR="00BD24A9">
        <w:rPr>
          <w:szCs w:val="24"/>
        </w:rPr>
        <w:t xml:space="preserve"> (1996</w:t>
      </w:r>
      <w:r w:rsidR="00241780">
        <w:rPr>
          <w:szCs w:val="24"/>
        </w:rPr>
        <w:t>, 35-36</w:t>
      </w:r>
      <w:r w:rsidR="00BD24A9">
        <w:rPr>
          <w:szCs w:val="24"/>
        </w:rPr>
        <w:t>)</w:t>
      </w:r>
      <w:r w:rsidR="00BD24A9">
        <w:rPr>
          <w:rStyle w:val="FootnoteReference"/>
          <w:szCs w:val="24"/>
        </w:rPr>
        <w:footnoteReference w:id="6"/>
      </w:r>
      <w:r w:rsidR="00BD24A9">
        <w:rPr>
          <w:szCs w:val="24"/>
        </w:rPr>
        <w:t xml:space="preserve"> he </w:t>
      </w:r>
      <w:r w:rsidR="00241780">
        <w:rPr>
          <w:szCs w:val="24"/>
        </w:rPr>
        <w:t>wrote that</w:t>
      </w:r>
      <w:r w:rsidR="00BD24A9">
        <w:rPr>
          <w:szCs w:val="24"/>
        </w:rPr>
        <w:t xml:space="preserve"> there is “no self-interested organization out there devoted to the pursuit of truth in the federal courts</w:t>
      </w:r>
      <w:r w:rsidR="00AA7FA2">
        <w:rPr>
          <w:szCs w:val="24"/>
        </w:rPr>
        <w:t>.</w:t>
      </w:r>
      <w:r w:rsidR="00BD24A9">
        <w:rPr>
          <w:szCs w:val="24"/>
        </w:rPr>
        <w:t>”</w:t>
      </w:r>
    </w:p>
    <w:p w:rsidR="00D50941" w:rsidRDefault="00D50941" w:rsidP="00D50941">
      <w:pPr>
        <w:pStyle w:val="ListParagraph"/>
        <w:spacing w:line="480" w:lineRule="auto"/>
        <w:ind w:left="0" w:firstLine="720"/>
        <w:rPr>
          <w:szCs w:val="24"/>
        </w:rPr>
      </w:pPr>
      <w:r>
        <w:rPr>
          <w:szCs w:val="24"/>
        </w:rPr>
        <w:t xml:space="preserve">This evolving function of amicus curiae can be attributed, </w:t>
      </w:r>
      <w:r w:rsidR="008A3D10">
        <w:rPr>
          <w:szCs w:val="24"/>
        </w:rPr>
        <w:t xml:space="preserve">in part, to evolving </w:t>
      </w:r>
      <w:r>
        <w:rPr>
          <w:szCs w:val="24"/>
        </w:rPr>
        <w:t>jurisprudential norms.  As legal realism supplanted legal formalism as the dominant jurisprudential paradigm during in the 20</w:t>
      </w:r>
      <w:r w:rsidRPr="005470C8">
        <w:rPr>
          <w:szCs w:val="24"/>
          <w:vertAlign w:val="superscript"/>
        </w:rPr>
        <w:t>th</w:t>
      </w:r>
      <w:r>
        <w:rPr>
          <w:szCs w:val="24"/>
        </w:rPr>
        <w:t xml:space="preserve"> century, the courts increasingly embraced extra-legal facts and social science evidence provided by progressive amicus participants in politically charged cases (Simmons 2009, 195).</w:t>
      </w:r>
      <w:r w:rsidR="003A2889">
        <w:rPr>
          <w:rStyle w:val="FootnoteReference"/>
          <w:szCs w:val="24"/>
        </w:rPr>
        <w:footnoteReference w:id="7"/>
      </w:r>
      <w:r>
        <w:rPr>
          <w:szCs w:val="24"/>
        </w:rPr>
        <w:t xml:space="preserve">   This trend was inaugurated in </w:t>
      </w:r>
      <w:r>
        <w:rPr>
          <w:i/>
          <w:szCs w:val="24"/>
        </w:rPr>
        <w:t xml:space="preserve">Muller v. Oregon </w:t>
      </w:r>
      <w:r>
        <w:rPr>
          <w:szCs w:val="24"/>
        </w:rPr>
        <w:t>(1908) when Louis Brandeis submitted his famous “Brandeis Brief”</w:t>
      </w:r>
      <w:r w:rsidR="00472AA9">
        <w:rPr>
          <w:szCs w:val="24"/>
        </w:rPr>
        <w:t xml:space="preserve"> on behalf of the state of Oregon</w:t>
      </w:r>
      <w:r>
        <w:rPr>
          <w:szCs w:val="24"/>
        </w:rPr>
        <w:t xml:space="preserve"> presenting the USSC with statistical evidence regarding the detrimental mental and health effects that result from women working long hours (Collins 2008, 41).  </w:t>
      </w:r>
      <w:r w:rsidR="00CD54CB">
        <w:rPr>
          <w:szCs w:val="24"/>
        </w:rPr>
        <w:t xml:space="preserve"> The growth of amicus </w:t>
      </w:r>
      <w:r w:rsidR="00F31D3B">
        <w:rPr>
          <w:szCs w:val="24"/>
        </w:rPr>
        <w:lastRenderedPageBreak/>
        <w:t xml:space="preserve">participation </w:t>
      </w:r>
      <w:r w:rsidR="00CD54CB">
        <w:rPr>
          <w:szCs w:val="24"/>
        </w:rPr>
        <w:t>can also be attributed to the proliferation of the bureaucracy and the emergence of the modern welfare state, serving as a catalyst for group organization as governmental policies increasingly affected various stakeholders</w:t>
      </w:r>
      <w:r w:rsidR="00103F91">
        <w:rPr>
          <w:szCs w:val="24"/>
        </w:rPr>
        <w:t xml:space="preserve"> (</w:t>
      </w:r>
      <w:proofErr w:type="spellStart"/>
      <w:r w:rsidR="00103F91">
        <w:rPr>
          <w:szCs w:val="24"/>
        </w:rPr>
        <w:t>Krislov</w:t>
      </w:r>
      <w:proofErr w:type="spellEnd"/>
      <w:r w:rsidR="00103F91">
        <w:rPr>
          <w:szCs w:val="24"/>
        </w:rPr>
        <w:t xml:space="preserve"> 1963)</w:t>
      </w:r>
      <w:r w:rsidR="00CD54CB">
        <w:rPr>
          <w:szCs w:val="24"/>
        </w:rPr>
        <w:t>.  Lastly</w:t>
      </w:r>
      <w:r w:rsidR="004D0939">
        <w:rPr>
          <w:szCs w:val="24"/>
        </w:rPr>
        <w:t xml:space="preserve">, the relatively recent emergence of the public law model of litigation, first described by </w:t>
      </w:r>
      <w:proofErr w:type="spellStart"/>
      <w:r w:rsidR="004D0939">
        <w:rPr>
          <w:szCs w:val="24"/>
        </w:rPr>
        <w:t>Chayes</w:t>
      </w:r>
      <w:proofErr w:type="spellEnd"/>
      <w:r w:rsidR="004D0939">
        <w:rPr>
          <w:szCs w:val="24"/>
        </w:rPr>
        <w:t xml:space="preserve"> (1976), which focuses on the vindication of constitutional and statutory policies rather than private disputes, has created an environment ripe for interest group participation and influence in the judicial process.</w:t>
      </w:r>
    </w:p>
    <w:p w:rsidR="00036710" w:rsidRPr="00B02414" w:rsidRDefault="00D50941" w:rsidP="00B02414">
      <w:pPr>
        <w:pStyle w:val="ListParagraph"/>
        <w:spacing w:line="480" w:lineRule="auto"/>
        <w:ind w:left="0" w:firstLine="720"/>
        <w:rPr>
          <w:color w:val="FF0000"/>
          <w:szCs w:val="24"/>
        </w:rPr>
      </w:pPr>
      <w:r>
        <w:rPr>
          <w:szCs w:val="24"/>
        </w:rPr>
        <w:t>By the 1950s, the use of amicus briefs became so prevalent at the USSC that some scholars perceived them to be a “genuine problem” for the USSC, characterizin</w:t>
      </w:r>
      <w:r w:rsidR="00F31D3B">
        <w:rPr>
          <w:szCs w:val="24"/>
        </w:rPr>
        <w:t>g the briefs as “repetitious at</w:t>
      </w:r>
      <w:r>
        <w:rPr>
          <w:szCs w:val="24"/>
        </w:rPr>
        <w:t xml:space="preserve"> best and emotional explosions at worst” (Harper </w:t>
      </w:r>
      <w:r w:rsidR="000D6839">
        <w:rPr>
          <w:szCs w:val="24"/>
        </w:rPr>
        <w:t>and</w:t>
      </w:r>
      <w:r>
        <w:rPr>
          <w:szCs w:val="24"/>
        </w:rPr>
        <w:t xml:space="preserve"> </w:t>
      </w:r>
      <w:proofErr w:type="spellStart"/>
      <w:r>
        <w:rPr>
          <w:szCs w:val="24"/>
        </w:rPr>
        <w:t>Etherington</w:t>
      </w:r>
      <w:proofErr w:type="spellEnd"/>
      <w:r>
        <w:rPr>
          <w:szCs w:val="24"/>
        </w:rPr>
        <w:t xml:space="preserve"> 1953, 1172).  To these scholars, amicus participation created the impression that the USSC was a “political legislative body, amenable and responsive to mass pressures from any source” (Harper </w:t>
      </w:r>
      <w:r w:rsidR="000D6839">
        <w:rPr>
          <w:szCs w:val="24"/>
        </w:rPr>
        <w:t>and</w:t>
      </w:r>
      <w:r>
        <w:rPr>
          <w:szCs w:val="24"/>
        </w:rPr>
        <w:t xml:space="preserve"> </w:t>
      </w:r>
      <w:proofErr w:type="spellStart"/>
      <w:r>
        <w:rPr>
          <w:szCs w:val="24"/>
        </w:rPr>
        <w:t>Etherington</w:t>
      </w:r>
      <w:proofErr w:type="spellEnd"/>
      <w:r>
        <w:rPr>
          <w:szCs w:val="24"/>
        </w:rPr>
        <w:t xml:space="preserve"> 1173).   </w:t>
      </w:r>
      <w:r w:rsidR="00B02414">
        <w:rPr>
          <w:szCs w:val="24"/>
        </w:rPr>
        <w:t xml:space="preserve">It is no surprise then that many observers view amicus participation with suspicion, often characterizing </w:t>
      </w:r>
      <w:r w:rsidR="00F31D3B">
        <w:rPr>
          <w:szCs w:val="24"/>
        </w:rPr>
        <w:t xml:space="preserve">it </w:t>
      </w:r>
      <w:r w:rsidR="00B02414">
        <w:rPr>
          <w:szCs w:val="24"/>
        </w:rPr>
        <w:t xml:space="preserve">as “judicial lobbying” </w:t>
      </w:r>
      <w:r w:rsidR="00B02414" w:rsidRPr="00B02414">
        <w:rPr>
          <w:szCs w:val="24"/>
        </w:rPr>
        <w:t xml:space="preserve">(e.g., Harper </w:t>
      </w:r>
      <w:r w:rsidR="000D6839">
        <w:rPr>
          <w:szCs w:val="24"/>
        </w:rPr>
        <w:t>and</w:t>
      </w:r>
      <w:r w:rsidR="00B02414" w:rsidRPr="00B02414">
        <w:rPr>
          <w:szCs w:val="24"/>
        </w:rPr>
        <w:t xml:space="preserve"> </w:t>
      </w:r>
      <w:proofErr w:type="spellStart"/>
      <w:r w:rsidR="00B02414" w:rsidRPr="00B02414">
        <w:rPr>
          <w:szCs w:val="24"/>
        </w:rPr>
        <w:t>E</w:t>
      </w:r>
      <w:r w:rsidR="00B02414">
        <w:rPr>
          <w:szCs w:val="24"/>
        </w:rPr>
        <w:t>therington</w:t>
      </w:r>
      <w:proofErr w:type="spellEnd"/>
      <w:r w:rsidR="00B02414">
        <w:rPr>
          <w:szCs w:val="24"/>
        </w:rPr>
        <w:t xml:space="preserve"> 1953;</w:t>
      </w:r>
      <w:r w:rsidR="00B02414" w:rsidRPr="00B02414">
        <w:rPr>
          <w:szCs w:val="24"/>
        </w:rPr>
        <w:t xml:space="preserve"> </w:t>
      </w:r>
      <w:proofErr w:type="spellStart"/>
      <w:r w:rsidR="00B02414" w:rsidRPr="00B02414">
        <w:rPr>
          <w:szCs w:val="24"/>
        </w:rPr>
        <w:t>Rushin</w:t>
      </w:r>
      <w:proofErr w:type="spellEnd"/>
      <w:r w:rsidR="00B02414" w:rsidRPr="00B02414">
        <w:rPr>
          <w:szCs w:val="24"/>
        </w:rPr>
        <w:t xml:space="preserve"> </w:t>
      </w:r>
      <w:r w:rsidR="000D6839">
        <w:rPr>
          <w:szCs w:val="24"/>
        </w:rPr>
        <w:t>and</w:t>
      </w:r>
      <w:r w:rsidR="00B02414" w:rsidRPr="00B02414">
        <w:rPr>
          <w:szCs w:val="24"/>
        </w:rPr>
        <w:t xml:space="preserve"> O’Connor 1987; Frey 2006).</w:t>
      </w:r>
      <w:r w:rsidR="00B02414">
        <w:rPr>
          <w:color w:val="FF0000"/>
          <w:szCs w:val="24"/>
        </w:rPr>
        <w:t xml:space="preserve">  </w:t>
      </w:r>
      <w:r>
        <w:rPr>
          <w:szCs w:val="24"/>
        </w:rPr>
        <w:t>This concern has persisted among scholars and practitioners over the last sixty years</w:t>
      </w:r>
      <w:r w:rsidR="00F31D3B">
        <w:rPr>
          <w:szCs w:val="24"/>
        </w:rPr>
        <w:t>,</w:t>
      </w:r>
      <w:r w:rsidR="00D86377">
        <w:rPr>
          <w:rStyle w:val="FootnoteReference"/>
          <w:szCs w:val="24"/>
        </w:rPr>
        <w:footnoteReference w:id="8"/>
      </w:r>
      <w:r w:rsidR="00F31D3B">
        <w:rPr>
          <w:szCs w:val="24"/>
        </w:rPr>
        <w:t xml:space="preserve"> </w:t>
      </w:r>
      <w:r w:rsidR="00BE324D">
        <w:rPr>
          <w:szCs w:val="24"/>
        </w:rPr>
        <w:t xml:space="preserve">yet most scholars have now </w:t>
      </w:r>
      <w:r>
        <w:rPr>
          <w:szCs w:val="24"/>
        </w:rPr>
        <w:t>accepted this proliferation and perceived influence as normal and emblematic of the representative and responsive nature of the USSC.</w:t>
      </w:r>
      <w:r w:rsidR="00451B03">
        <w:rPr>
          <w:szCs w:val="24"/>
        </w:rPr>
        <w:t xml:space="preserve">  </w:t>
      </w:r>
    </w:p>
    <w:p w:rsidR="00D86377" w:rsidRDefault="000F0807" w:rsidP="00451B03">
      <w:pPr>
        <w:pStyle w:val="ListParagraph"/>
        <w:spacing w:line="480" w:lineRule="auto"/>
        <w:ind w:left="0" w:firstLine="720"/>
        <w:rPr>
          <w:szCs w:val="24"/>
        </w:rPr>
      </w:pPr>
      <w:r>
        <w:rPr>
          <w:szCs w:val="24"/>
        </w:rPr>
        <w:t>R</w:t>
      </w:r>
      <w:r w:rsidR="003100B0">
        <w:rPr>
          <w:szCs w:val="24"/>
        </w:rPr>
        <w:t xml:space="preserve">ather than viewing amicus activity as a threat to judicial independence and individual rights, </w:t>
      </w:r>
      <w:r w:rsidR="003F443F">
        <w:rPr>
          <w:szCs w:val="24"/>
        </w:rPr>
        <w:t>it can be argued that a strong and varied amici presence before the USSC is quintessentially American in character, as it affords a tangible</w:t>
      </w:r>
      <w:r w:rsidR="00AD4506">
        <w:rPr>
          <w:szCs w:val="24"/>
        </w:rPr>
        <w:t xml:space="preserve"> opportunity for</w:t>
      </w:r>
      <w:r w:rsidR="003F443F">
        <w:rPr>
          <w:szCs w:val="24"/>
        </w:rPr>
        <w:t xml:space="preserve"> </w:t>
      </w:r>
      <w:r w:rsidR="003100B0">
        <w:rPr>
          <w:szCs w:val="24"/>
        </w:rPr>
        <w:t>freely associating individuals to</w:t>
      </w:r>
      <w:r w:rsidR="003F443F">
        <w:rPr>
          <w:szCs w:val="24"/>
        </w:rPr>
        <w:t xml:space="preserve"> </w:t>
      </w:r>
      <w:r w:rsidR="003100B0">
        <w:rPr>
          <w:szCs w:val="24"/>
        </w:rPr>
        <w:t>pet</w:t>
      </w:r>
      <w:r w:rsidR="007D401D">
        <w:rPr>
          <w:szCs w:val="24"/>
        </w:rPr>
        <w:t>ition</w:t>
      </w:r>
      <w:r w:rsidR="003100B0">
        <w:rPr>
          <w:szCs w:val="24"/>
        </w:rPr>
        <w:t xml:space="preserve"> government for the achievement of</w:t>
      </w:r>
      <w:r w:rsidR="003F443F">
        <w:rPr>
          <w:szCs w:val="24"/>
        </w:rPr>
        <w:t xml:space="preserve"> common goals (e.g., </w:t>
      </w:r>
      <w:proofErr w:type="spellStart"/>
      <w:r w:rsidR="003F443F">
        <w:rPr>
          <w:szCs w:val="24"/>
        </w:rPr>
        <w:t>Vose</w:t>
      </w:r>
      <w:proofErr w:type="spellEnd"/>
      <w:r w:rsidR="003F443F">
        <w:rPr>
          <w:szCs w:val="24"/>
        </w:rPr>
        <w:t xml:space="preserve"> 1958, 31). </w:t>
      </w:r>
      <w:r w:rsidR="003100B0">
        <w:rPr>
          <w:szCs w:val="24"/>
        </w:rPr>
        <w:t xml:space="preserve"> </w:t>
      </w:r>
      <w:r w:rsidR="003100B0">
        <w:rPr>
          <w:szCs w:val="24"/>
        </w:rPr>
        <w:lastRenderedPageBreak/>
        <w:t>Viewed in this light, amicus participation is an expression of the values that underlie the First Amendment</w:t>
      </w:r>
      <w:r w:rsidR="00B02414">
        <w:rPr>
          <w:szCs w:val="24"/>
        </w:rPr>
        <w:t xml:space="preserve"> – i.e., freedom of speech, freedom of association; freedom to petition government for redress of grievances</w:t>
      </w:r>
      <w:r>
        <w:rPr>
          <w:szCs w:val="24"/>
        </w:rPr>
        <w:t xml:space="preserve"> (e.g., Garcia</w:t>
      </w:r>
      <w:r w:rsidR="00BE324D">
        <w:rPr>
          <w:szCs w:val="24"/>
        </w:rPr>
        <w:t xml:space="preserve"> 2007</w:t>
      </w:r>
      <w:r w:rsidR="00451B03">
        <w:rPr>
          <w:szCs w:val="24"/>
        </w:rPr>
        <w:t>)</w:t>
      </w:r>
      <w:r w:rsidR="003100B0">
        <w:rPr>
          <w:szCs w:val="24"/>
        </w:rPr>
        <w:t xml:space="preserve">. </w:t>
      </w:r>
      <w:r>
        <w:rPr>
          <w:szCs w:val="24"/>
        </w:rPr>
        <w:t xml:space="preserve"> </w:t>
      </w:r>
      <w:r w:rsidR="00036710">
        <w:rPr>
          <w:szCs w:val="24"/>
        </w:rPr>
        <w:t xml:space="preserve">In a similar vein, Simmons (2009, 190) argues that amicus activity serves an important symbolic role that buttresses the </w:t>
      </w:r>
      <w:r w:rsidR="00D86377">
        <w:rPr>
          <w:szCs w:val="24"/>
        </w:rPr>
        <w:t>democratic nature of the USSC:</w:t>
      </w:r>
    </w:p>
    <w:p w:rsidR="004B089F" w:rsidRDefault="00D86377" w:rsidP="009E6711">
      <w:pPr>
        <w:autoSpaceDE w:val="0"/>
        <w:autoSpaceDN w:val="0"/>
        <w:adjustRightInd w:val="0"/>
        <w:ind w:firstLine="0"/>
        <w:rPr>
          <w:rFonts w:cs="Times New Roman"/>
          <w:szCs w:val="24"/>
        </w:rPr>
      </w:pPr>
      <w:r>
        <w:rPr>
          <w:szCs w:val="24"/>
        </w:rPr>
        <w:t>[A]</w:t>
      </w:r>
      <w:proofErr w:type="spellStart"/>
      <w:r w:rsidR="00036710" w:rsidRPr="00D86377">
        <w:rPr>
          <w:szCs w:val="24"/>
        </w:rPr>
        <w:t>micus</w:t>
      </w:r>
      <w:proofErr w:type="spellEnd"/>
      <w:r w:rsidR="00036710" w:rsidRPr="00D86377">
        <w:rPr>
          <w:szCs w:val="24"/>
        </w:rPr>
        <w:t xml:space="preserve"> curiae participation is a form of political symbolism reflecting the [USSC’s] irreconcilable role in American democracy as a quasi-representative policy making institution. </w:t>
      </w:r>
      <w:r w:rsidRPr="00D86377">
        <w:rPr>
          <w:rFonts w:cs="Times New Roman"/>
          <w:szCs w:val="24"/>
        </w:rPr>
        <w:t>Specifically, the political</w:t>
      </w:r>
      <w:r>
        <w:rPr>
          <w:rFonts w:cs="Times New Roman"/>
          <w:szCs w:val="24"/>
        </w:rPr>
        <w:t xml:space="preserve"> </w:t>
      </w:r>
      <w:r w:rsidRPr="00D86377">
        <w:rPr>
          <w:rFonts w:cs="Times New Roman"/>
          <w:szCs w:val="24"/>
        </w:rPr>
        <w:t>symbolism of amicus curiae participation reassures the public, particularly</w:t>
      </w:r>
      <w:r>
        <w:rPr>
          <w:rFonts w:cs="Times New Roman"/>
          <w:szCs w:val="24"/>
        </w:rPr>
        <w:t xml:space="preserve"> </w:t>
      </w:r>
      <w:r w:rsidRPr="00D86377">
        <w:rPr>
          <w:rFonts w:cs="Times New Roman"/>
          <w:szCs w:val="24"/>
        </w:rPr>
        <w:t>vulnerable groups, of the Court’s democratic character. Amicus</w:t>
      </w:r>
      <w:r>
        <w:rPr>
          <w:rFonts w:cs="Times New Roman"/>
          <w:szCs w:val="24"/>
        </w:rPr>
        <w:t xml:space="preserve"> </w:t>
      </w:r>
      <w:r w:rsidRPr="00D86377">
        <w:rPr>
          <w:rFonts w:cs="Times New Roman"/>
          <w:szCs w:val="24"/>
        </w:rPr>
        <w:t>participation dispels external public criticis</w:t>
      </w:r>
      <w:r>
        <w:rPr>
          <w:rFonts w:cs="Times New Roman"/>
          <w:szCs w:val="24"/>
        </w:rPr>
        <w:t xml:space="preserve">m that the Court is detached and </w:t>
      </w:r>
      <w:r w:rsidRPr="00D86377">
        <w:rPr>
          <w:rFonts w:cs="Times New Roman"/>
          <w:szCs w:val="24"/>
        </w:rPr>
        <w:t>indifferent to the public, without significantly undermining the Court’s</w:t>
      </w:r>
      <w:r>
        <w:rPr>
          <w:rFonts w:cs="Times New Roman"/>
          <w:szCs w:val="24"/>
        </w:rPr>
        <w:t xml:space="preserve"> </w:t>
      </w:r>
      <w:r w:rsidRPr="00D86377">
        <w:rPr>
          <w:rFonts w:cs="Times New Roman"/>
          <w:szCs w:val="24"/>
        </w:rPr>
        <w:t>independence. Ultimately, the Court’s institutional legitimacy rests upon</w:t>
      </w:r>
      <w:r>
        <w:rPr>
          <w:rFonts w:cs="Times New Roman"/>
          <w:szCs w:val="24"/>
        </w:rPr>
        <w:t xml:space="preserve"> </w:t>
      </w:r>
      <w:r w:rsidRPr="00D86377">
        <w:rPr>
          <w:rFonts w:cs="Times New Roman"/>
          <w:szCs w:val="24"/>
        </w:rPr>
        <w:t>the dual pillars of independence and inclusion. Amicus participation</w:t>
      </w:r>
      <w:r>
        <w:rPr>
          <w:rFonts w:cs="Times New Roman"/>
          <w:szCs w:val="24"/>
        </w:rPr>
        <w:t xml:space="preserve"> </w:t>
      </w:r>
      <w:r w:rsidRPr="00D86377">
        <w:rPr>
          <w:rFonts w:cs="Times New Roman"/>
          <w:szCs w:val="24"/>
        </w:rPr>
        <w:t>contributes significantly to the latter.</w:t>
      </w:r>
    </w:p>
    <w:p w:rsidR="009E6711" w:rsidRPr="009E6711" w:rsidRDefault="009E6711" w:rsidP="009E6711">
      <w:pPr>
        <w:autoSpaceDE w:val="0"/>
        <w:autoSpaceDN w:val="0"/>
        <w:adjustRightInd w:val="0"/>
        <w:ind w:firstLine="0"/>
        <w:rPr>
          <w:rFonts w:cs="Times New Roman"/>
          <w:szCs w:val="24"/>
        </w:rPr>
      </w:pPr>
    </w:p>
    <w:p w:rsidR="008A3D10" w:rsidRDefault="00C21209" w:rsidP="00D50941">
      <w:pPr>
        <w:autoSpaceDE w:val="0"/>
        <w:autoSpaceDN w:val="0"/>
        <w:adjustRightInd w:val="0"/>
        <w:spacing w:line="480" w:lineRule="auto"/>
        <w:ind w:left="0" w:firstLine="720"/>
        <w:rPr>
          <w:szCs w:val="24"/>
        </w:rPr>
      </w:pPr>
      <w:r>
        <w:rPr>
          <w:szCs w:val="24"/>
        </w:rPr>
        <w:t>In sum, the history of amicus curiae evolution has shown it to be</w:t>
      </w:r>
      <w:r w:rsidR="00923E59">
        <w:rPr>
          <w:szCs w:val="24"/>
        </w:rPr>
        <w:t xml:space="preserve"> a flexible legal tool</w:t>
      </w:r>
      <w:r>
        <w:rPr>
          <w:szCs w:val="24"/>
        </w:rPr>
        <w:t xml:space="preserve"> to address the shortcomings of the adversarial litigation process.  It has played roles as varied as friend of the court, lobbyist, advocate, and vindicator of the politically powerless (Lowman 1992, 1244).  </w:t>
      </w:r>
    </w:p>
    <w:p w:rsidR="00D50941" w:rsidRPr="00834EB4" w:rsidRDefault="007D401D" w:rsidP="00D50941">
      <w:pPr>
        <w:autoSpaceDE w:val="0"/>
        <w:autoSpaceDN w:val="0"/>
        <w:adjustRightInd w:val="0"/>
        <w:spacing w:line="480" w:lineRule="auto"/>
        <w:ind w:left="0" w:firstLine="720"/>
        <w:rPr>
          <w:rFonts w:cs="Times New Roman"/>
          <w:szCs w:val="24"/>
        </w:rPr>
      </w:pPr>
      <w:r>
        <w:rPr>
          <w:szCs w:val="24"/>
        </w:rPr>
        <w:t>At its</w:t>
      </w:r>
      <w:r w:rsidR="00FF6088">
        <w:rPr>
          <w:szCs w:val="24"/>
        </w:rPr>
        <w:t xml:space="preserve"> </w:t>
      </w:r>
      <w:r w:rsidR="003F443F">
        <w:rPr>
          <w:szCs w:val="24"/>
        </w:rPr>
        <w:t>essence</w:t>
      </w:r>
      <w:r w:rsidR="00FF6088">
        <w:rPr>
          <w:szCs w:val="24"/>
        </w:rPr>
        <w:t xml:space="preserve"> t</w:t>
      </w:r>
      <w:r w:rsidR="00D50941">
        <w:rPr>
          <w:szCs w:val="24"/>
        </w:rPr>
        <w:t>he amicus brief is a mechanism by which various types of information are brought to the attention of the court.  Most agree that this informational aspect lies at the heart of amicus influence (Barker 1967; Hansford 2004a; Collins 2008; Ennis 1984</w:t>
      </w:r>
      <w:r w:rsidR="00653184">
        <w:rPr>
          <w:szCs w:val="24"/>
        </w:rPr>
        <w:t>; Samuels 2004</w:t>
      </w:r>
      <w:r w:rsidR="00D50941">
        <w:rPr>
          <w:szCs w:val="24"/>
        </w:rPr>
        <w:t>).</w:t>
      </w:r>
      <w:r w:rsidR="00D50941">
        <w:t xml:space="preserve">   </w:t>
      </w:r>
      <w:proofErr w:type="spellStart"/>
      <w:r w:rsidR="00D50941">
        <w:rPr>
          <w:rFonts w:cs="Times New Roman"/>
          <w:szCs w:val="24"/>
        </w:rPr>
        <w:t>Comparato</w:t>
      </w:r>
      <w:proofErr w:type="spellEnd"/>
      <w:r w:rsidR="00D50941">
        <w:rPr>
          <w:rFonts w:cs="Times New Roman"/>
          <w:szCs w:val="24"/>
        </w:rPr>
        <w:t xml:space="preserve"> (2003, </w:t>
      </w:r>
      <w:r w:rsidR="00D50941" w:rsidRPr="00EE3340">
        <w:rPr>
          <w:rFonts w:cs="Times New Roman"/>
          <w:szCs w:val="24"/>
        </w:rPr>
        <w:t>40) argues that the two most important sources of information available to justices making a decision are information received directly from litigant briefs and information from amicus briefs.</w:t>
      </w:r>
      <w:r w:rsidR="00D50941">
        <w:rPr>
          <w:rFonts w:cs="Times New Roman"/>
          <w:szCs w:val="24"/>
        </w:rPr>
        <w:t xml:space="preserve">  </w:t>
      </w:r>
      <w:r w:rsidR="00D50941">
        <w:t>Organized groups seek o</w:t>
      </w:r>
      <w:r w:rsidR="00BE324D">
        <w:t xml:space="preserve">ut situations in which the USSC has less than </w:t>
      </w:r>
      <w:r w:rsidR="00D50941">
        <w:t>optimal information when deciding whether o</w:t>
      </w:r>
      <w:r w:rsidR="00BE324D">
        <w:t xml:space="preserve">r not to file an amicus brief, </w:t>
      </w:r>
      <w:r w:rsidR="00D50941">
        <w:t>because it is in these l</w:t>
      </w:r>
      <w:r w:rsidR="00BE324D">
        <w:t>ow-information settings that</w:t>
      </w:r>
      <w:r w:rsidR="00D50941">
        <w:t xml:space="preserve"> group</w:t>
      </w:r>
      <w:r w:rsidR="00BE324D">
        <w:t>s are</w:t>
      </w:r>
      <w:r w:rsidR="00D50941">
        <w:t xml:space="preserve"> most likely to exert some influence ov</w:t>
      </w:r>
      <w:r w:rsidR="00BE324D">
        <w:t>er policy decisions of the USSC</w:t>
      </w:r>
      <w:r w:rsidR="00D50941">
        <w:t xml:space="preserve"> (Hansford 200</w:t>
      </w:r>
      <w:r>
        <w:t xml:space="preserve">4a). </w:t>
      </w:r>
      <w:r w:rsidR="00AC7A20">
        <w:t>B</w:t>
      </w:r>
      <w:r>
        <w:t>y participating as amici</w:t>
      </w:r>
      <w:r w:rsidR="00D50941">
        <w:t xml:space="preserve"> curiae, interest groups can assist courts with their fact-finding and legal interpretation roles by raising issues not addressed </w:t>
      </w:r>
      <w:r w:rsidR="00D50941">
        <w:lastRenderedPageBreak/>
        <w:t xml:space="preserve">by the direct parties to the litigation, and by presenting broad political, social, </w:t>
      </w:r>
      <w:r w:rsidR="00EC5A54">
        <w:t xml:space="preserve">historical, </w:t>
      </w:r>
      <w:r w:rsidR="00D50941">
        <w:t>and sci</w:t>
      </w:r>
      <w:r w:rsidR="00BE324D">
        <w:t>entific information to the USSC</w:t>
      </w:r>
      <w:r w:rsidR="00D50941">
        <w:t>.  Thus, amici inform the courts of the broader policy implications of their decisions (Barker 1967; Collins 2008).</w:t>
      </w:r>
      <w:r w:rsidR="00AC7A20">
        <w:t xml:space="preserve">  </w:t>
      </w:r>
    </w:p>
    <w:p w:rsidR="00D50941" w:rsidRDefault="00D50941" w:rsidP="00D50941">
      <w:pPr>
        <w:pStyle w:val="ListParagraph"/>
        <w:spacing w:line="480" w:lineRule="auto"/>
        <w:ind w:left="0" w:firstLine="720"/>
      </w:pPr>
      <w:r w:rsidRPr="00850B34">
        <w:rPr>
          <w:szCs w:val="24"/>
        </w:rPr>
        <w:t xml:space="preserve">Amici </w:t>
      </w:r>
      <w:r>
        <w:rPr>
          <w:szCs w:val="24"/>
        </w:rPr>
        <w:t>provide information to courts by</w:t>
      </w:r>
      <w:r w:rsidR="001921F6">
        <w:rPr>
          <w:szCs w:val="24"/>
        </w:rPr>
        <w:t xml:space="preserve"> supplementing legal arguments, </w:t>
      </w:r>
      <w:r>
        <w:rPr>
          <w:szCs w:val="24"/>
        </w:rPr>
        <w:t xml:space="preserve">by signaling the </w:t>
      </w:r>
      <w:r w:rsidR="001921F6">
        <w:rPr>
          <w:szCs w:val="24"/>
        </w:rPr>
        <w:t>preferences of external actors, and by informing courts of the likely impact of their</w:t>
      </w:r>
      <w:r>
        <w:rPr>
          <w:szCs w:val="24"/>
        </w:rPr>
        <w:t xml:space="preserve"> decision</w:t>
      </w:r>
      <w:r w:rsidR="001921F6">
        <w:rPr>
          <w:szCs w:val="24"/>
        </w:rPr>
        <w:t>s</w:t>
      </w:r>
      <w:r>
        <w:rPr>
          <w:szCs w:val="24"/>
        </w:rPr>
        <w:t xml:space="preserve"> (Barker 1967; </w:t>
      </w:r>
      <w:proofErr w:type="spellStart"/>
      <w:r>
        <w:rPr>
          <w:szCs w:val="24"/>
        </w:rPr>
        <w:t>Pfeffer</w:t>
      </w:r>
      <w:proofErr w:type="spellEnd"/>
      <w:r>
        <w:rPr>
          <w:szCs w:val="24"/>
        </w:rPr>
        <w:t xml:space="preserve"> 1981; Ennis 1984; </w:t>
      </w:r>
      <w:proofErr w:type="spellStart"/>
      <w:r>
        <w:rPr>
          <w:szCs w:val="24"/>
        </w:rPr>
        <w:t>Caldeira</w:t>
      </w:r>
      <w:proofErr w:type="spellEnd"/>
      <w:r>
        <w:rPr>
          <w:szCs w:val="24"/>
        </w:rPr>
        <w:t xml:space="preserve"> </w:t>
      </w:r>
      <w:r w:rsidR="000D6839">
        <w:rPr>
          <w:szCs w:val="24"/>
        </w:rPr>
        <w:t>and</w:t>
      </w:r>
      <w:r>
        <w:rPr>
          <w:szCs w:val="24"/>
        </w:rPr>
        <w:t xml:space="preserve"> Wright 1988; </w:t>
      </w:r>
      <w:proofErr w:type="spellStart"/>
      <w:r>
        <w:rPr>
          <w:szCs w:val="24"/>
        </w:rPr>
        <w:t>Spriggs</w:t>
      </w:r>
      <w:proofErr w:type="spellEnd"/>
      <w:r>
        <w:rPr>
          <w:szCs w:val="24"/>
        </w:rPr>
        <w:t xml:space="preserve"> </w:t>
      </w:r>
      <w:r w:rsidR="000D6839">
        <w:rPr>
          <w:szCs w:val="24"/>
        </w:rPr>
        <w:t>and</w:t>
      </w:r>
      <w:r>
        <w:rPr>
          <w:szCs w:val="24"/>
        </w:rPr>
        <w:t xml:space="preserve"> </w:t>
      </w:r>
      <w:proofErr w:type="spellStart"/>
      <w:r>
        <w:rPr>
          <w:szCs w:val="24"/>
        </w:rPr>
        <w:t>Wahlbeck</w:t>
      </w:r>
      <w:proofErr w:type="spellEnd"/>
      <w:r>
        <w:rPr>
          <w:szCs w:val="24"/>
        </w:rPr>
        <w:t xml:space="preserve"> 1997; Epstein </w:t>
      </w:r>
      <w:r w:rsidR="000D6839">
        <w:rPr>
          <w:szCs w:val="24"/>
        </w:rPr>
        <w:t>and</w:t>
      </w:r>
      <w:r>
        <w:rPr>
          <w:szCs w:val="24"/>
        </w:rPr>
        <w:t xml:space="preserve"> Knight 1999; Collins 2004; Collins 2008).</w:t>
      </w:r>
      <w:r w:rsidR="00927137">
        <w:rPr>
          <w:rStyle w:val="FootnoteReference"/>
          <w:szCs w:val="24"/>
        </w:rPr>
        <w:footnoteReference w:id="9"/>
      </w:r>
      <w:r>
        <w:rPr>
          <w:szCs w:val="24"/>
        </w:rPr>
        <w:t xml:space="preserve">   Amici usually provide new legal authorities beyond those cited in party</w:t>
      </w:r>
      <w:r w:rsidR="00F67DA3">
        <w:rPr>
          <w:szCs w:val="24"/>
        </w:rPr>
        <w:t xml:space="preserve"> briefs (Collins 2008, 66).  </w:t>
      </w:r>
      <w:r w:rsidR="00F67DA3">
        <w:t>A</w:t>
      </w:r>
      <w:r w:rsidR="001921F6">
        <w:t>bout 70 percent</w:t>
      </w:r>
      <w:r>
        <w:t xml:space="preserve"> of amicus briefs offer justices information that is not found in the party briefs (Collins 2008, 66; </w:t>
      </w:r>
      <w:proofErr w:type="spellStart"/>
      <w:r>
        <w:t>Spriggs</w:t>
      </w:r>
      <w:proofErr w:type="spellEnd"/>
      <w:r>
        <w:t xml:space="preserve"> </w:t>
      </w:r>
      <w:r w:rsidR="000D6839">
        <w:t>and</w:t>
      </w:r>
      <w:r>
        <w:t xml:space="preserve"> </w:t>
      </w:r>
      <w:proofErr w:type="spellStart"/>
      <w:r>
        <w:t>Wahlbeck</w:t>
      </w:r>
      <w:proofErr w:type="spellEnd"/>
      <w:r>
        <w:t xml:space="preserve"> 1997).  Amicus briefs may also present alternative legal arguments or suggest alternative dispositions that the parties may have failed to consider or are constrained from addressing (</w:t>
      </w:r>
      <w:proofErr w:type="spellStart"/>
      <w:r>
        <w:t>Flango</w:t>
      </w:r>
      <w:proofErr w:type="spellEnd"/>
      <w:r>
        <w:t xml:space="preserve">, </w:t>
      </w:r>
      <w:proofErr w:type="spellStart"/>
      <w:r>
        <w:t>Bross</w:t>
      </w:r>
      <w:proofErr w:type="spellEnd"/>
      <w:r>
        <w:t xml:space="preserve">, </w:t>
      </w:r>
      <w:proofErr w:type="spellStart"/>
      <w:r>
        <w:t>Corbally</w:t>
      </w:r>
      <w:proofErr w:type="spellEnd"/>
      <w:r>
        <w:t xml:space="preserve"> 2006, 182</w:t>
      </w:r>
      <w:r w:rsidR="00927137">
        <w:t xml:space="preserve">; </w:t>
      </w:r>
      <w:proofErr w:type="spellStart"/>
      <w:r w:rsidR="00927137">
        <w:t>Puro</w:t>
      </w:r>
      <w:proofErr w:type="spellEnd"/>
      <w:r w:rsidR="00927137">
        <w:t xml:space="preserve"> 1971</w:t>
      </w:r>
      <w:r>
        <w:t xml:space="preserve">).  </w:t>
      </w:r>
    </w:p>
    <w:p w:rsidR="00D50941" w:rsidRDefault="00D50941" w:rsidP="00D50941">
      <w:pPr>
        <w:pStyle w:val="ListParagraph"/>
        <w:spacing w:line="480" w:lineRule="auto"/>
        <w:ind w:left="0" w:firstLine="720"/>
        <w:rPr>
          <w:szCs w:val="24"/>
        </w:rPr>
      </w:pPr>
      <w:r>
        <w:rPr>
          <w:szCs w:val="24"/>
        </w:rPr>
        <w:t>Apart from the quality or persuasiveness of the arguments presented, the simple act of filing an amicus brief provides the justices with an indication of the array of social forces at play in the litigation (</w:t>
      </w:r>
      <w:proofErr w:type="spellStart"/>
      <w:r>
        <w:rPr>
          <w:szCs w:val="24"/>
        </w:rPr>
        <w:t>Calderia</w:t>
      </w:r>
      <w:proofErr w:type="spellEnd"/>
      <w:r>
        <w:rPr>
          <w:szCs w:val="24"/>
        </w:rPr>
        <w:t xml:space="preserve"> </w:t>
      </w:r>
      <w:r w:rsidR="000D6839">
        <w:rPr>
          <w:szCs w:val="24"/>
        </w:rPr>
        <w:t>and</w:t>
      </w:r>
      <w:r>
        <w:rPr>
          <w:szCs w:val="24"/>
        </w:rPr>
        <w:t xml:space="preserve"> Wright 1988; </w:t>
      </w:r>
      <w:proofErr w:type="spellStart"/>
      <w:r>
        <w:rPr>
          <w:szCs w:val="24"/>
        </w:rPr>
        <w:t>Flango</w:t>
      </w:r>
      <w:proofErr w:type="spellEnd"/>
      <w:r>
        <w:rPr>
          <w:szCs w:val="24"/>
        </w:rPr>
        <w:t xml:space="preserve">, </w:t>
      </w:r>
      <w:proofErr w:type="spellStart"/>
      <w:r>
        <w:rPr>
          <w:szCs w:val="24"/>
        </w:rPr>
        <w:t>Bross</w:t>
      </w:r>
      <w:proofErr w:type="spellEnd"/>
      <w:r>
        <w:rPr>
          <w:szCs w:val="24"/>
        </w:rPr>
        <w:t xml:space="preserve">, </w:t>
      </w:r>
      <w:proofErr w:type="spellStart"/>
      <w:r>
        <w:rPr>
          <w:szCs w:val="24"/>
        </w:rPr>
        <w:t>Corbally</w:t>
      </w:r>
      <w:proofErr w:type="spellEnd"/>
      <w:r>
        <w:rPr>
          <w:szCs w:val="24"/>
        </w:rPr>
        <w:t xml:space="preserve"> 2006)</w:t>
      </w:r>
      <w:r>
        <w:t xml:space="preserve">.  </w:t>
      </w:r>
      <w:r>
        <w:rPr>
          <w:szCs w:val="24"/>
        </w:rPr>
        <w:t>The simple presence of a number of amici groups can focus the Court’s attention by highlighting case salience or broader public opinion (</w:t>
      </w:r>
      <w:proofErr w:type="spellStart"/>
      <w:r>
        <w:rPr>
          <w:szCs w:val="24"/>
        </w:rPr>
        <w:t>Spriggs</w:t>
      </w:r>
      <w:proofErr w:type="spellEnd"/>
      <w:r>
        <w:rPr>
          <w:szCs w:val="24"/>
        </w:rPr>
        <w:t xml:space="preserve"> </w:t>
      </w:r>
      <w:r w:rsidR="000D6839">
        <w:rPr>
          <w:szCs w:val="24"/>
        </w:rPr>
        <w:t>and</w:t>
      </w:r>
      <w:r>
        <w:rPr>
          <w:szCs w:val="24"/>
        </w:rPr>
        <w:t xml:space="preserve"> </w:t>
      </w:r>
      <w:proofErr w:type="spellStart"/>
      <w:r>
        <w:rPr>
          <w:szCs w:val="24"/>
        </w:rPr>
        <w:t>Wahlbeck</w:t>
      </w:r>
      <w:proofErr w:type="spellEnd"/>
      <w:r>
        <w:rPr>
          <w:szCs w:val="24"/>
        </w:rPr>
        <w:t xml:space="preserve"> 1997; </w:t>
      </w:r>
      <w:proofErr w:type="spellStart"/>
      <w:r>
        <w:rPr>
          <w:szCs w:val="24"/>
        </w:rPr>
        <w:t>Caldeira</w:t>
      </w:r>
      <w:proofErr w:type="spellEnd"/>
      <w:r>
        <w:rPr>
          <w:szCs w:val="24"/>
        </w:rPr>
        <w:t xml:space="preserve"> </w:t>
      </w:r>
      <w:r w:rsidR="000D6839">
        <w:rPr>
          <w:szCs w:val="24"/>
        </w:rPr>
        <w:t>and</w:t>
      </w:r>
      <w:r>
        <w:rPr>
          <w:szCs w:val="24"/>
        </w:rPr>
        <w:t xml:space="preserve"> Wright 1988; Kearney </w:t>
      </w:r>
      <w:r w:rsidR="000D6839">
        <w:rPr>
          <w:szCs w:val="24"/>
        </w:rPr>
        <w:t>and</w:t>
      </w:r>
      <w:r>
        <w:rPr>
          <w:szCs w:val="24"/>
        </w:rPr>
        <w:t xml:space="preserve"> Merrill 2000).  </w:t>
      </w:r>
    </w:p>
    <w:p w:rsidR="00CD0138" w:rsidRDefault="00CD0138" w:rsidP="00D50941">
      <w:pPr>
        <w:pStyle w:val="ListParagraph"/>
        <w:spacing w:line="480" w:lineRule="auto"/>
        <w:ind w:left="0" w:firstLine="720"/>
        <w:rPr>
          <w:szCs w:val="24"/>
        </w:rPr>
      </w:pPr>
    </w:p>
    <w:p w:rsidR="00BE324D" w:rsidRPr="00607A13" w:rsidRDefault="00BE324D" w:rsidP="00D50941">
      <w:pPr>
        <w:pStyle w:val="ListParagraph"/>
        <w:spacing w:line="480" w:lineRule="auto"/>
        <w:ind w:left="0" w:firstLine="720"/>
        <w:rPr>
          <w:szCs w:val="24"/>
        </w:rPr>
      </w:pPr>
    </w:p>
    <w:p w:rsidR="00D50941" w:rsidRPr="00E312DD" w:rsidRDefault="00CD0138" w:rsidP="00D50941">
      <w:pPr>
        <w:pStyle w:val="ListParagraph"/>
        <w:numPr>
          <w:ilvl w:val="0"/>
          <w:numId w:val="7"/>
        </w:numPr>
        <w:spacing w:line="480" w:lineRule="auto"/>
        <w:rPr>
          <w:b/>
          <w:szCs w:val="24"/>
        </w:rPr>
      </w:pPr>
      <w:r w:rsidRPr="00E312DD">
        <w:rPr>
          <w:b/>
        </w:rPr>
        <w:lastRenderedPageBreak/>
        <w:t>Who Participates and</w:t>
      </w:r>
      <w:r w:rsidR="00FD1DA1" w:rsidRPr="00E312DD">
        <w:rPr>
          <w:b/>
        </w:rPr>
        <w:t xml:space="preserve"> How Often</w:t>
      </w:r>
      <w:r w:rsidR="00D50941" w:rsidRPr="00E312DD">
        <w:rPr>
          <w:b/>
        </w:rPr>
        <w:t>?</w:t>
      </w:r>
    </w:p>
    <w:p w:rsidR="004B089F" w:rsidRDefault="00D50941" w:rsidP="00F43DE3">
      <w:pPr>
        <w:spacing w:line="480" w:lineRule="auto"/>
        <w:ind w:left="0" w:firstLine="720"/>
      </w:pPr>
      <w:r>
        <w:t>At the USSC, interest groups can participate as litigants, litigant sponsors, or amicus curiae (this latter form is most common)</w:t>
      </w:r>
      <w:r w:rsidR="00AC7A20">
        <w:t xml:space="preserve"> (</w:t>
      </w:r>
      <w:proofErr w:type="spellStart"/>
      <w:r w:rsidR="00AC7A20">
        <w:t>Vose</w:t>
      </w:r>
      <w:proofErr w:type="spellEnd"/>
      <w:r w:rsidR="00AC7A20">
        <w:t xml:space="preserve"> 1958; </w:t>
      </w:r>
      <w:proofErr w:type="spellStart"/>
      <w:r w:rsidR="00AC7A20">
        <w:t>Rushin</w:t>
      </w:r>
      <w:proofErr w:type="spellEnd"/>
      <w:r w:rsidR="00AC7A20">
        <w:t xml:space="preserve"> </w:t>
      </w:r>
      <w:r w:rsidR="000D6839">
        <w:t>and</w:t>
      </w:r>
      <w:r w:rsidR="00AC7A20">
        <w:t xml:space="preserve"> O’Connor 1987</w:t>
      </w:r>
      <w:r w:rsidR="00EC5A54">
        <w:t>; Samuels 2004</w:t>
      </w:r>
      <w:r w:rsidR="00AC7A20">
        <w:t>)</w:t>
      </w:r>
      <w:r>
        <w:t xml:space="preserve">. </w:t>
      </w:r>
      <w:r w:rsidR="004B089F">
        <w:t xml:space="preserve"> </w:t>
      </w:r>
      <w:r w:rsidR="00EC5A54">
        <w:t>Very few groups act as litigant sponsors because of the costs and procedural obstacles inherent in this course of action (Samuels 2004, 7).</w:t>
      </w:r>
      <w:r w:rsidR="0025553C">
        <w:rPr>
          <w:rStyle w:val="FootnoteReference"/>
        </w:rPr>
        <w:footnoteReference w:id="10"/>
      </w:r>
      <w:r w:rsidR="00EC5A54">
        <w:t xml:space="preserve"> </w:t>
      </w:r>
      <w:r w:rsidR="0080109A">
        <w:t xml:space="preserve"> </w:t>
      </w:r>
      <w:r w:rsidR="004B089F">
        <w:t>Further, amicus curiae par</w:t>
      </w:r>
      <w:r w:rsidR="00F67DA3">
        <w:t>ticipation can take place at three</w:t>
      </w:r>
      <w:r w:rsidR="004B089F">
        <w:t xml:space="preserve"> stages before the USSC: (1) </w:t>
      </w:r>
      <w:r w:rsidR="00F67DA3">
        <w:t xml:space="preserve">at </w:t>
      </w:r>
      <w:r w:rsidR="004B089F">
        <w:t>the agenda-setting stage (i.e., petitio</w:t>
      </w:r>
      <w:r w:rsidR="00DE4181">
        <w:t>ns for writ</w:t>
      </w:r>
      <w:r w:rsidR="00F67DA3">
        <w:t xml:space="preserve"> of certiorari);</w:t>
      </w:r>
      <w:r w:rsidR="004B089F">
        <w:t xml:space="preserve"> (2)</w:t>
      </w:r>
      <w:r w:rsidR="00F67DA3">
        <w:t xml:space="preserve"> at</w:t>
      </w:r>
      <w:r w:rsidR="004B089F">
        <w:t xml:space="preserve"> the merits stage</w:t>
      </w:r>
      <w:r w:rsidR="00F67DA3">
        <w:t>; and (3) at oral argument.  Amicus participation is most common on the merits, less so during agenda-setting,</w:t>
      </w:r>
      <w:r w:rsidR="0008708D">
        <w:rPr>
          <w:rStyle w:val="FootnoteReference"/>
        </w:rPr>
        <w:footnoteReference w:id="11"/>
      </w:r>
      <w:r w:rsidR="00F67DA3">
        <w:t xml:space="preserve"> and rarest at oral argument</w:t>
      </w:r>
      <w:r w:rsidR="004B089F">
        <w:t>.</w:t>
      </w:r>
      <w:r w:rsidR="00F67DA3">
        <w:rPr>
          <w:rStyle w:val="FootnoteReference"/>
        </w:rPr>
        <w:footnoteReference w:id="12"/>
      </w:r>
      <w:r w:rsidR="004B089F">
        <w:t xml:space="preserve"> </w:t>
      </w:r>
      <w:r w:rsidR="00281A32">
        <w:t xml:space="preserve"> </w:t>
      </w:r>
    </w:p>
    <w:p w:rsidR="00095B01" w:rsidRDefault="00DE4181" w:rsidP="00095B01">
      <w:pPr>
        <w:spacing w:line="480" w:lineRule="auto"/>
        <w:ind w:left="0" w:firstLine="720"/>
      </w:pPr>
      <w:r>
        <w:t xml:space="preserve">The USSC’s </w:t>
      </w:r>
      <w:r w:rsidR="00D50941" w:rsidRPr="00914D33">
        <w:t>liberal rules governing amicus participation (Simmons 2009; Kearney and Merrill 2000, 761-65) encourage such participation.</w:t>
      </w:r>
      <w:r w:rsidR="00D50941" w:rsidRPr="00315CDF">
        <w:rPr>
          <w:color w:val="FF0000"/>
        </w:rPr>
        <w:t xml:space="preserve">  </w:t>
      </w:r>
      <w:r w:rsidR="00281A32">
        <w:t>It is</w:t>
      </w:r>
      <w:r w:rsidR="000F0807" w:rsidRPr="00F43DE3">
        <w:t xml:space="preserve"> rare for the USSC to reject a petition to file an amicus brief.</w:t>
      </w:r>
      <w:r w:rsidR="00281A32">
        <w:rPr>
          <w:rStyle w:val="FootnoteReference"/>
        </w:rPr>
        <w:footnoteReference w:id="13"/>
      </w:r>
      <w:r w:rsidR="000F0807" w:rsidRPr="00F43DE3">
        <w:t xml:space="preserve">  The USSC promulgated its first rule gover</w:t>
      </w:r>
      <w:r w:rsidR="0080109A">
        <w:t>ning amicus</w:t>
      </w:r>
      <w:r w:rsidR="00860BC3">
        <w:t xml:space="preserve"> participation in 1938</w:t>
      </w:r>
      <w:r w:rsidR="000F0807" w:rsidRPr="00F43DE3">
        <w:t>.</w:t>
      </w:r>
      <w:r w:rsidR="000F0807">
        <w:rPr>
          <w:color w:val="FF0000"/>
        </w:rPr>
        <w:t xml:space="preserve">  </w:t>
      </w:r>
      <w:r w:rsidR="00F43DE3">
        <w:t>USSC Rule 37 requires groups an</w:t>
      </w:r>
      <w:r w:rsidR="00FD1DA1">
        <w:t>d individuals</w:t>
      </w:r>
      <w:r w:rsidR="00F43DE3">
        <w:t xml:space="preserve"> that want to be amici to obtain permission from both parties involved in the litigation</w:t>
      </w:r>
      <w:r w:rsidR="00281A32">
        <w:t>, and this permission is typically granted</w:t>
      </w:r>
      <w:r w:rsidR="00F43DE3">
        <w:t xml:space="preserve">.  </w:t>
      </w:r>
      <w:r w:rsidR="00095B01">
        <w:t>I</w:t>
      </w:r>
      <w:r w:rsidR="0008708D">
        <w:t>f either party refuse</w:t>
      </w:r>
      <w:r w:rsidR="00095B01">
        <w:t>s</w:t>
      </w:r>
      <w:r w:rsidR="0008708D">
        <w:t xml:space="preserve"> permission</w:t>
      </w:r>
      <w:r w:rsidR="00FD1DA1">
        <w:t>, the entity wishing</w:t>
      </w:r>
      <w:r w:rsidR="00F43DE3">
        <w:t xml:space="preserve"> to participate must file a motion for leave to file </w:t>
      </w:r>
      <w:proofErr w:type="gramStart"/>
      <w:r w:rsidR="00F43DE3">
        <w:t>an amicus</w:t>
      </w:r>
      <w:proofErr w:type="gramEnd"/>
      <w:r w:rsidR="00F43DE3">
        <w:t xml:space="preserve"> curiae brief</w:t>
      </w:r>
      <w:r w:rsidR="00281A32">
        <w:t>.</w:t>
      </w:r>
      <w:r w:rsidR="0008708D">
        <w:t xml:space="preserve"> </w:t>
      </w:r>
      <w:r w:rsidR="00281A32">
        <w:t xml:space="preserve"> Despite its discretionary power to do so, the USSC rarely denies a motion for</w:t>
      </w:r>
      <w:r w:rsidR="0080109A">
        <w:t xml:space="preserve"> leave to file an amicus brief </w:t>
      </w:r>
      <w:r w:rsidR="00281A32">
        <w:t xml:space="preserve">(Simmons 2009, 196; O’Connor </w:t>
      </w:r>
      <w:r w:rsidR="000D6839">
        <w:t>and</w:t>
      </w:r>
      <w:r w:rsidR="00281A32">
        <w:t xml:space="preserve"> Epstein 1983).  Unlike private entities, governmental entities (e.g., Solicitor General, </w:t>
      </w:r>
      <w:r w:rsidR="00F43DE3">
        <w:t>states</w:t>
      </w:r>
      <w:r w:rsidR="00281A32">
        <w:t xml:space="preserve">, </w:t>
      </w:r>
      <w:proofErr w:type="gramStart"/>
      <w:r w:rsidR="00281A32">
        <w:t>local</w:t>
      </w:r>
      <w:proofErr w:type="gramEnd"/>
      <w:r w:rsidR="00281A32">
        <w:t xml:space="preserve"> governments)</w:t>
      </w:r>
      <w:r w:rsidR="00F43DE3">
        <w:t xml:space="preserve"> do not </w:t>
      </w:r>
      <w:r w:rsidR="00F43DE3">
        <w:lastRenderedPageBreak/>
        <w:t>need either parties’ permission</w:t>
      </w:r>
      <w:r w:rsidR="00281A32">
        <w:t xml:space="preserve"> to file an amicus brief</w:t>
      </w:r>
      <w:r w:rsidR="00095B01">
        <w:t xml:space="preserve">.  </w:t>
      </w:r>
      <w:r w:rsidR="009E3BA7">
        <w:t xml:space="preserve">Further, the USSC does not permit amicus briefs to be filed by non-lawyers or those lawyers who are not members of the Supreme Court Bar (Simpson </w:t>
      </w:r>
      <w:r w:rsidR="000D6839">
        <w:t>and</w:t>
      </w:r>
      <w:r w:rsidR="009E3BA7">
        <w:t xml:space="preserve"> </w:t>
      </w:r>
      <w:proofErr w:type="spellStart"/>
      <w:r w:rsidR="009E3BA7">
        <w:t>Vasaly</w:t>
      </w:r>
      <w:proofErr w:type="spellEnd"/>
      <w:r w:rsidR="009E3BA7">
        <w:t xml:space="preserve"> 2004, 17).</w:t>
      </w:r>
    </w:p>
    <w:p w:rsidR="000F0807" w:rsidRDefault="00972801" w:rsidP="00095B01">
      <w:pPr>
        <w:spacing w:line="480" w:lineRule="auto"/>
        <w:ind w:left="0" w:firstLine="720"/>
        <w:rPr>
          <w:rFonts w:cs="Times New Roman"/>
          <w:szCs w:val="24"/>
        </w:rPr>
      </w:pPr>
      <w:r>
        <w:rPr>
          <w:rFonts w:cs="Times New Roman"/>
          <w:szCs w:val="24"/>
        </w:rPr>
        <w:t xml:space="preserve"> </w:t>
      </w:r>
      <w:r w:rsidR="00095B01">
        <w:rPr>
          <w:rFonts w:cs="Times New Roman"/>
          <w:szCs w:val="24"/>
        </w:rPr>
        <w:t xml:space="preserve">After the adoption of its 1938 rule governing amicus participation, the USSC often received </w:t>
      </w:r>
      <w:r w:rsidR="00860BC3">
        <w:rPr>
          <w:rFonts w:cs="Times New Roman"/>
          <w:szCs w:val="24"/>
        </w:rPr>
        <w:t>briefs that did not follow the simple rules of the USSC, that were perceived as being of low quality and containing mer</w:t>
      </w:r>
      <w:r w:rsidR="0080109A">
        <w:rPr>
          <w:rFonts w:cs="Times New Roman"/>
          <w:szCs w:val="24"/>
        </w:rPr>
        <w:t>itless propaganda, and that burdened</w:t>
      </w:r>
      <w:r w:rsidR="00860BC3">
        <w:rPr>
          <w:rFonts w:cs="Times New Roman"/>
          <w:szCs w:val="24"/>
        </w:rPr>
        <w:t xml:space="preserve"> the USSC.  Therefore, in 1949, the USSC amended its formal rules governing amicus curiae filings to emphasize that the consent of all parties was required for a private amicus to file and reasserting the proper procedures for filing a motion for leave to file if consent was denied (Kearney </w:t>
      </w:r>
      <w:r w:rsidR="000D6839">
        <w:rPr>
          <w:rFonts w:cs="Times New Roman"/>
          <w:szCs w:val="24"/>
        </w:rPr>
        <w:t>and</w:t>
      </w:r>
      <w:r w:rsidR="00860BC3">
        <w:rPr>
          <w:rFonts w:cs="Times New Roman"/>
          <w:szCs w:val="24"/>
        </w:rPr>
        <w:t xml:space="preserve"> Merrill 2000, 763).  Further, the USSC adopted an unwritten policy of denying virtually all motion for leave to file when party consent was</w:t>
      </w:r>
      <w:r w:rsidR="0080109A">
        <w:rPr>
          <w:rFonts w:cs="Times New Roman"/>
          <w:szCs w:val="24"/>
        </w:rPr>
        <w:t xml:space="preserve"> withheld (Collins 2008, 43).  </w:t>
      </w:r>
      <w:r w:rsidR="00860BC3">
        <w:rPr>
          <w:rFonts w:cs="Times New Roman"/>
          <w:szCs w:val="24"/>
        </w:rPr>
        <w:t xml:space="preserve">However, comments made by Justices Felix Frankfurter and Hugo Black in their opinions in </w:t>
      </w:r>
      <w:r w:rsidR="00860BC3">
        <w:rPr>
          <w:rFonts w:cs="Times New Roman"/>
          <w:i/>
          <w:szCs w:val="24"/>
        </w:rPr>
        <w:t xml:space="preserve">On Lee v. United States </w:t>
      </w:r>
      <w:r w:rsidR="00860BC3">
        <w:rPr>
          <w:rFonts w:cs="Times New Roman"/>
          <w:szCs w:val="24"/>
        </w:rPr>
        <w:t>(1952) ultimately caused the USSC to reverse course and jettison this unwritten policy.</w:t>
      </w:r>
      <w:r w:rsidR="00860BC3">
        <w:rPr>
          <w:rStyle w:val="FootnoteReference"/>
          <w:rFonts w:cs="Times New Roman"/>
          <w:szCs w:val="24"/>
        </w:rPr>
        <w:footnoteReference w:id="14"/>
      </w:r>
      <w:r w:rsidR="00860BC3">
        <w:rPr>
          <w:rFonts w:cs="Times New Roman"/>
          <w:szCs w:val="24"/>
        </w:rPr>
        <w:t xml:space="preserve">  By the early 1960s, the USSC was granting motions for leave to file amicus briefs in the vast majority of cases onc</w:t>
      </w:r>
      <w:r w:rsidR="0080109A">
        <w:rPr>
          <w:rFonts w:cs="Times New Roman"/>
          <w:szCs w:val="24"/>
        </w:rPr>
        <w:t xml:space="preserve">e again (Collins 2008 44-45; </w:t>
      </w:r>
      <w:proofErr w:type="spellStart"/>
      <w:r w:rsidR="00860BC3">
        <w:rPr>
          <w:rFonts w:cs="Times New Roman"/>
          <w:szCs w:val="24"/>
        </w:rPr>
        <w:t>Krislov</w:t>
      </w:r>
      <w:proofErr w:type="spellEnd"/>
      <w:r w:rsidR="00860BC3">
        <w:rPr>
          <w:rFonts w:cs="Times New Roman"/>
          <w:szCs w:val="24"/>
        </w:rPr>
        <w:t xml:space="preserve"> 1963, 715-16).</w:t>
      </w:r>
    </w:p>
    <w:p w:rsidR="00972801" w:rsidRPr="00860BC3" w:rsidRDefault="00972801" w:rsidP="00095B01">
      <w:pPr>
        <w:spacing w:line="480" w:lineRule="auto"/>
        <w:ind w:left="0" w:firstLine="720"/>
        <w:rPr>
          <w:rFonts w:cs="Times New Roman"/>
          <w:szCs w:val="24"/>
        </w:rPr>
      </w:pPr>
      <w:r>
        <w:rPr>
          <w:rFonts w:cs="Times New Roman"/>
          <w:szCs w:val="24"/>
        </w:rPr>
        <w:t>Nevertheless, in 1990 the USSC issued a rule discouraging the gratuitous filing of amicus briefs after it was inundated with eighty amicus briefs in an abortio</w:t>
      </w:r>
      <w:r w:rsidR="0080109A">
        <w:rPr>
          <w:rFonts w:cs="Times New Roman"/>
          <w:szCs w:val="24"/>
        </w:rPr>
        <w:t>n case (</w:t>
      </w:r>
      <w:proofErr w:type="spellStart"/>
      <w:r w:rsidR="0080109A">
        <w:rPr>
          <w:rFonts w:cs="Times New Roman"/>
          <w:szCs w:val="24"/>
        </w:rPr>
        <w:t>Simpon</w:t>
      </w:r>
      <w:proofErr w:type="spellEnd"/>
      <w:r w:rsidR="0080109A">
        <w:rPr>
          <w:rFonts w:cs="Times New Roman"/>
          <w:szCs w:val="24"/>
        </w:rPr>
        <w:t xml:space="preserve"> and </w:t>
      </w:r>
      <w:proofErr w:type="spellStart"/>
      <w:r w:rsidR="0080109A">
        <w:rPr>
          <w:rFonts w:cs="Times New Roman"/>
          <w:szCs w:val="24"/>
        </w:rPr>
        <w:t>Vasaly</w:t>
      </w:r>
      <w:proofErr w:type="spellEnd"/>
      <w:r w:rsidR="0080109A">
        <w:rPr>
          <w:rFonts w:cs="Times New Roman"/>
          <w:szCs w:val="24"/>
        </w:rPr>
        <w:t xml:space="preserve"> 2004). </w:t>
      </w:r>
      <w:r>
        <w:rPr>
          <w:rFonts w:cs="Times New Roman"/>
          <w:szCs w:val="24"/>
        </w:rPr>
        <w:t xml:space="preserve"> Supreme Cour</w:t>
      </w:r>
      <w:r w:rsidR="0080109A">
        <w:rPr>
          <w:rFonts w:cs="Times New Roman"/>
          <w:szCs w:val="24"/>
        </w:rPr>
        <w:t xml:space="preserve">t </w:t>
      </w:r>
      <w:r>
        <w:rPr>
          <w:rFonts w:cs="Times New Roman"/>
          <w:szCs w:val="24"/>
        </w:rPr>
        <w:t xml:space="preserve">Rule </w:t>
      </w:r>
      <w:r w:rsidRPr="000F0807">
        <w:rPr>
          <w:rFonts w:cs="Times New Roman"/>
          <w:szCs w:val="24"/>
        </w:rPr>
        <w:t>37</w:t>
      </w:r>
      <w:r>
        <w:rPr>
          <w:rFonts w:cs="Times New Roman"/>
          <w:szCs w:val="24"/>
        </w:rPr>
        <w:t>(1)</w:t>
      </w:r>
      <w:r w:rsidRPr="000F0807">
        <w:rPr>
          <w:rFonts w:cs="Times New Roman"/>
          <w:szCs w:val="24"/>
        </w:rPr>
        <w:t xml:space="preserve"> states: "An amicus curiae brief that brings</w:t>
      </w:r>
      <w:r>
        <w:rPr>
          <w:rFonts w:cs="Times New Roman"/>
          <w:szCs w:val="24"/>
        </w:rPr>
        <w:t xml:space="preserve"> </w:t>
      </w:r>
      <w:r w:rsidRPr="000F0807">
        <w:rPr>
          <w:rFonts w:cs="Times New Roman"/>
          <w:szCs w:val="24"/>
        </w:rPr>
        <w:t xml:space="preserve">to the attention of the Court relevant matter not already </w:t>
      </w:r>
      <w:r>
        <w:rPr>
          <w:rFonts w:cs="Times New Roman"/>
          <w:szCs w:val="24"/>
        </w:rPr>
        <w:t xml:space="preserve">brought to its attention by the </w:t>
      </w:r>
      <w:r w:rsidRPr="000F0807">
        <w:rPr>
          <w:rFonts w:cs="Times New Roman"/>
          <w:szCs w:val="24"/>
        </w:rPr>
        <w:t>parties may be of considerable help to the Court. An am</w:t>
      </w:r>
      <w:r>
        <w:rPr>
          <w:rFonts w:cs="Times New Roman"/>
          <w:szCs w:val="24"/>
        </w:rPr>
        <w:t xml:space="preserve">icus curiae brief that does not </w:t>
      </w:r>
      <w:r w:rsidRPr="000F0807">
        <w:rPr>
          <w:rFonts w:cs="Times New Roman"/>
          <w:szCs w:val="24"/>
        </w:rPr>
        <w:t>serve this purpose burdens the Court, and</w:t>
      </w:r>
      <w:r>
        <w:rPr>
          <w:rFonts w:cs="Times New Roman"/>
          <w:szCs w:val="24"/>
        </w:rPr>
        <w:t xml:space="preserve"> its filing is not favored." </w:t>
      </w:r>
    </w:p>
    <w:p w:rsidR="00095B01" w:rsidRPr="00844308" w:rsidRDefault="00095B01" w:rsidP="00095B01">
      <w:pPr>
        <w:spacing w:line="480" w:lineRule="auto"/>
        <w:ind w:left="0" w:firstLine="720"/>
        <w:rPr>
          <w:szCs w:val="24"/>
        </w:rPr>
      </w:pPr>
      <w:r>
        <w:rPr>
          <w:szCs w:val="24"/>
        </w:rPr>
        <w:lastRenderedPageBreak/>
        <w:t xml:space="preserve">While </w:t>
      </w:r>
      <w:r w:rsidRPr="00844308">
        <w:rPr>
          <w:szCs w:val="24"/>
        </w:rPr>
        <w:t xml:space="preserve">written advocacy via the submission of </w:t>
      </w:r>
      <w:r>
        <w:rPr>
          <w:szCs w:val="24"/>
        </w:rPr>
        <w:t>amicus briefs is the most common</w:t>
      </w:r>
      <w:r w:rsidRPr="00844308">
        <w:rPr>
          <w:szCs w:val="24"/>
        </w:rPr>
        <w:t xml:space="preserve"> method by which amici participate in the judicial process</w:t>
      </w:r>
      <w:r>
        <w:rPr>
          <w:szCs w:val="24"/>
        </w:rPr>
        <w:t>, it is not the only one</w:t>
      </w:r>
      <w:r w:rsidRPr="00844308">
        <w:rPr>
          <w:szCs w:val="24"/>
        </w:rPr>
        <w:t xml:space="preserve">.  Amici also participate in oral arguments before the USSC.  In order to participate as an amicus at oral argument, the consent of both parties must typically be obtained, or an invitation must </w:t>
      </w:r>
      <w:r w:rsidR="0080109A">
        <w:rPr>
          <w:szCs w:val="24"/>
        </w:rPr>
        <w:t>be extended by the USSC.  While</w:t>
      </w:r>
      <w:r w:rsidRPr="00844308">
        <w:rPr>
          <w:szCs w:val="24"/>
        </w:rPr>
        <w:t xml:space="preserve"> it is relatively rare for amici to participate in this fashion,</w:t>
      </w:r>
      <w:r w:rsidRPr="00844308">
        <w:rPr>
          <w:rStyle w:val="FootnoteReference"/>
          <w:szCs w:val="24"/>
        </w:rPr>
        <w:footnoteReference w:id="15"/>
      </w:r>
      <w:r w:rsidRPr="00844308">
        <w:rPr>
          <w:szCs w:val="24"/>
        </w:rPr>
        <w:t xml:space="preserve"> they can have a statisti</w:t>
      </w:r>
      <w:r w:rsidR="0080109A">
        <w:rPr>
          <w:szCs w:val="24"/>
        </w:rPr>
        <w:t xml:space="preserve">cally significant impact on </w:t>
      </w:r>
      <w:r w:rsidRPr="00844308">
        <w:rPr>
          <w:szCs w:val="24"/>
        </w:rPr>
        <w:t xml:space="preserve">case outcomes and justice votes (Roberts 2009). </w:t>
      </w:r>
    </w:p>
    <w:p w:rsidR="00095B01" w:rsidRPr="00095B01" w:rsidRDefault="00095B01" w:rsidP="00095B01">
      <w:pPr>
        <w:spacing w:line="480" w:lineRule="auto"/>
        <w:ind w:left="0" w:firstLine="720"/>
        <w:rPr>
          <w:szCs w:val="24"/>
        </w:rPr>
      </w:pPr>
      <w:r>
        <w:rPr>
          <w:szCs w:val="24"/>
        </w:rPr>
        <w:t>Additionally</w:t>
      </w:r>
      <w:r w:rsidRPr="00844308">
        <w:rPr>
          <w:szCs w:val="24"/>
        </w:rPr>
        <w:t xml:space="preserve">, one other special category of amicus activity should be noted:  </w:t>
      </w:r>
      <w:r>
        <w:rPr>
          <w:szCs w:val="24"/>
        </w:rPr>
        <w:t>invitation by the USSC.</w:t>
      </w:r>
      <w:r w:rsidRPr="00844308">
        <w:rPr>
          <w:szCs w:val="24"/>
        </w:rPr>
        <w:t xml:space="preserve">  While it is rare for the USSC to invite a private group to participate as amicus curiae, the USSC regularly invites the Solicitor General (SG) to participate in a case in this fashion</w:t>
      </w:r>
      <w:r>
        <w:rPr>
          <w:szCs w:val="24"/>
        </w:rPr>
        <w:t>, and occasionally invites administrative agencies of the federal government as well</w:t>
      </w:r>
      <w:r w:rsidRPr="00844308">
        <w:rPr>
          <w:szCs w:val="24"/>
        </w:rPr>
        <w:t xml:space="preserve">.  </w:t>
      </w:r>
      <w:r>
        <w:rPr>
          <w:szCs w:val="24"/>
        </w:rPr>
        <w:t>Such invitations are viewed more as a summons and are virtually always accepted (</w:t>
      </w:r>
      <w:proofErr w:type="spellStart"/>
      <w:r>
        <w:rPr>
          <w:szCs w:val="24"/>
        </w:rPr>
        <w:t>Salokar</w:t>
      </w:r>
      <w:proofErr w:type="spellEnd"/>
      <w:r>
        <w:rPr>
          <w:szCs w:val="24"/>
        </w:rPr>
        <w:t xml:space="preserve"> 1992, 143). </w:t>
      </w:r>
      <w:r w:rsidRPr="00844308">
        <w:rPr>
          <w:szCs w:val="24"/>
        </w:rPr>
        <w:t xml:space="preserve">According to </w:t>
      </w:r>
      <w:proofErr w:type="spellStart"/>
      <w:r w:rsidRPr="00844308">
        <w:rPr>
          <w:szCs w:val="24"/>
        </w:rPr>
        <w:t>Pacelle</w:t>
      </w:r>
      <w:proofErr w:type="spellEnd"/>
      <w:r w:rsidRPr="00844308">
        <w:rPr>
          <w:szCs w:val="24"/>
        </w:rPr>
        <w:t xml:space="preserve"> (2006, 322), when the SG’s amicus briefs are divided into voluntary and invited briefs, one finds a clear distinction in the arguments of the SG: in cases where the SG was invited, the arguments provide neutral information and are not statistically connected to presidential ideology, while the opposite is true for cases where the SG’s involvement is voluntary (Roberts 2009, 15).</w:t>
      </w:r>
    </w:p>
    <w:p w:rsidR="00D50941" w:rsidRDefault="00D50941" w:rsidP="00D50941">
      <w:pPr>
        <w:spacing w:line="480" w:lineRule="auto"/>
        <w:ind w:left="0" w:firstLine="720"/>
        <w:rPr>
          <w:rFonts w:cs="Times New Roman"/>
          <w:szCs w:val="24"/>
        </w:rPr>
      </w:pPr>
      <w:r>
        <w:t>The USSC has seen a dramatic rise of amicus briefs and also an increase in the number of cosigners</w:t>
      </w:r>
      <w:r w:rsidR="00826EAC">
        <w:rPr>
          <w:rStyle w:val="FootnoteReference"/>
        </w:rPr>
        <w:footnoteReference w:id="16"/>
      </w:r>
      <w:r>
        <w:t xml:space="preserve"> of these briefs since the early 1960s (Kearney </w:t>
      </w:r>
      <w:r w:rsidR="000D6839">
        <w:t>and</w:t>
      </w:r>
      <w:r>
        <w:t xml:space="preserve"> Merrill 2000; Collins 2004; </w:t>
      </w:r>
      <w:proofErr w:type="spellStart"/>
      <w:r>
        <w:t>Spriggs</w:t>
      </w:r>
      <w:proofErr w:type="spellEnd"/>
      <w:r>
        <w:t xml:space="preserve"> </w:t>
      </w:r>
      <w:r w:rsidR="000D6839">
        <w:t>and</w:t>
      </w:r>
      <w:r>
        <w:t xml:space="preserve"> </w:t>
      </w:r>
      <w:proofErr w:type="spellStart"/>
      <w:r>
        <w:t>Wahlbeck</w:t>
      </w:r>
      <w:proofErr w:type="spellEnd"/>
      <w:r>
        <w:t xml:space="preserve"> 1997; Hansford 2004)</w:t>
      </w:r>
      <w:r>
        <w:rPr>
          <w:b/>
          <w:i/>
        </w:rPr>
        <w:t xml:space="preserve">.   </w:t>
      </w:r>
      <w:r w:rsidR="00FB0669">
        <w:t>O’Conno</w:t>
      </w:r>
      <w:r>
        <w:t>r and</w:t>
      </w:r>
      <w:r w:rsidR="00FB0669">
        <w:t xml:space="preserve"> Epstein (19</w:t>
      </w:r>
      <w:r w:rsidR="002A4BFE">
        <w:t>82, 318) declare</w:t>
      </w:r>
      <w:r>
        <w:t xml:space="preserve"> that “amicus curiae participation by private groups is now the norm rather than the exception.”  </w:t>
      </w:r>
      <w:r w:rsidR="00F874CF">
        <w:lastRenderedPageBreak/>
        <w:t xml:space="preserve">However, this has not always been the case.  </w:t>
      </w:r>
      <w:r w:rsidR="005959C8">
        <w:t xml:space="preserve">According to Kearney </w:t>
      </w:r>
      <w:r w:rsidR="000D6839">
        <w:t>and</w:t>
      </w:r>
      <w:r w:rsidR="005959C8">
        <w:t xml:space="preserve"> Merrill (2000</w:t>
      </w:r>
      <w:r w:rsidR="00F874CF">
        <w:t>, 753</w:t>
      </w:r>
      <w:r w:rsidR="005959C8">
        <w:t>), amici curiae participated in</w:t>
      </w:r>
      <w:r w:rsidR="00F874CF">
        <w:t xml:space="preserve"> only about 23 percent of cases from 1945 to 1956. </w:t>
      </w:r>
      <w:r w:rsidR="005959C8">
        <w:t xml:space="preserve"> </w:t>
      </w:r>
      <w:r>
        <w:t>At the genesis of the Burger Court (1969), amici participated in few</w:t>
      </w:r>
      <w:r w:rsidR="00F874CF">
        <w:t xml:space="preserve">er than four in every ten cases, </w:t>
      </w:r>
      <w:r>
        <w:t>but by 1985 participation had almos</w:t>
      </w:r>
      <w:r w:rsidR="00F874CF">
        <w:t>t doubled to seven in ten cases.  Between 1986 and 1995, this number rose even higher to 85 percent participation</w:t>
      </w:r>
      <w:r w:rsidR="00F874CF" w:rsidRPr="00F874CF">
        <w:t xml:space="preserve"> </w:t>
      </w:r>
      <w:r w:rsidR="00F874CF">
        <w:t>(</w:t>
      </w:r>
      <w:proofErr w:type="spellStart"/>
      <w:r w:rsidR="00F874CF">
        <w:t>Franze</w:t>
      </w:r>
      <w:proofErr w:type="spellEnd"/>
      <w:r w:rsidR="00F874CF">
        <w:t xml:space="preserve"> </w:t>
      </w:r>
      <w:r w:rsidR="000D6839">
        <w:t>and</w:t>
      </w:r>
      <w:r w:rsidR="00F874CF">
        <w:t xml:space="preserve"> Anderson 2012).  B</w:t>
      </w:r>
      <w:r>
        <w:t xml:space="preserve">y 2001, </w:t>
      </w:r>
      <w:r w:rsidR="00F874CF">
        <w:t xml:space="preserve">during the Rehnquist Court, USSC </w:t>
      </w:r>
      <w:r>
        <w:t>amicus participa</w:t>
      </w:r>
      <w:r w:rsidR="00F874CF">
        <w:t>tion rose as high as about</w:t>
      </w:r>
      <w:r>
        <w:t xml:space="preserve"> 95 percent of cases. </w:t>
      </w:r>
      <w:r>
        <w:rPr>
          <w:b/>
          <w:i/>
        </w:rPr>
        <w:t xml:space="preserve"> </w:t>
      </w:r>
      <w:r w:rsidR="00F874CF">
        <w:t>In recent terms this trend has remained steady</w:t>
      </w:r>
      <w:r>
        <w:t>, as amicus briefs have accompan</w:t>
      </w:r>
      <w:r w:rsidR="002A4BFE">
        <w:t xml:space="preserve">ied more than 90 percent of USSC </w:t>
      </w:r>
      <w:r>
        <w:t xml:space="preserve">cases (Owens </w:t>
      </w:r>
      <w:r w:rsidR="000D6839">
        <w:t>and</w:t>
      </w:r>
      <w:r>
        <w:t xml:space="preserve"> Epstein 2005; Kearney </w:t>
      </w:r>
      <w:r w:rsidR="000D6839">
        <w:t>and</w:t>
      </w:r>
      <w:r>
        <w:t xml:space="preserve"> Merrill 2000)</w:t>
      </w:r>
      <w:r>
        <w:rPr>
          <w:b/>
          <w:i/>
        </w:rPr>
        <w:t>.</w:t>
      </w:r>
      <w:r w:rsidR="00F874CF">
        <w:rPr>
          <w:b/>
          <w:i/>
        </w:rPr>
        <w:t xml:space="preserve"> </w:t>
      </w:r>
      <w:r w:rsidR="00F874CF">
        <w:rPr>
          <w:b/>
        </w:rPr>
        <w:t xml:space="preserve"> </w:t>
      </w:r>
      <w:r w:rsidR="00F874CF">
        <w:rPr>
          <w:b/>
          <w:i/>
        </w:rPr>
        <w:t xml:space="preserve"> </w:t>
      </w:r>
      <w:r w:rsidR="00F874CF">
        <w:t xml:space="preserve">In the 2010-2011 term, the USSC had 93 percent participation in </w:t>
      </w:r>
      <w:r w:rsidR="00F874CF" w:rsidRPr="00F8292D">
        <w:rPr>
          <w:rFonts w:cs="Times New Roman"/>
          <w:szCs w:val="24"/>
        </w:rPr>
        <w:t>cases with signed opinions</w:t>
      </w:r>
      <w:r w:rsidR="002A4BFE">
        <w:t>, and during</w:t>
      </w:r>
      <w:r>
        <w:t xml:space="preserve"> </w:t>
      </w:r>
      <w:r w:rsidR="002A4BFE">
        <w:rPr>
          <w:rFonts w:cs="Times New Roman"/>
          <w:szCs w:val="24"/>
        </w:rPr>
        <w:t>the</w:t>
      </w:r>
      <w:r>
        <w:rPr>
          <w:rFonts w:cs="Times New Roman"/>
          <w:szCs w:val="24"/>
        </w:rPr>
        <w:t xml:space="preserve"> </w:t>
      </w:r>
      <w:r w:rsidRPr="00F51B57">
        <w:rPr>
          <w:rFonts w:cs="Times New Roman"/>
          <w:szCs w:val="24"/>
        </w:rPr>
        <w:t xml:space="preserve">2011-12 </w:t>
      </w:r>
      <w:proofErr w:type="gramStart"/>
      <w:r w:rsidRPr="00F51B57">
        <w:rPr>
          <w:rFonts w:cs="Times New Roman"/>
          <w:szCs w:val="24"/>
        </w:rPr>
        <w:t>term</w:t>
      </w:r>
      <w:r>
        <w:rPr>
          <w:rFonts w:cs="Times New Roman"/>
          <w:szCs w:val="24"/>
        </w:rPr>
        <w:t xml:space="preserve"> </w:t>
      </w:r>
      <w:r w:rsidR="00F874CF">
        <w:rPr>
          <w:rFonts w:cs="Times New Roman"/>
          <w:szCs w:val="24"/>
        </w:rPr>
        <w:t xml:space="preserve"> 95</w:t>
      </w:r>
      <w:proofErr w:type="gramEnd"/>
      <w:r w:rsidR="00F874CF">
        <w:rPr>
          <w:rFonts w:cs="Times New Roman"/>
          <w:szCs w:val="24"/>
        </w:rPr>
        <w:t xml:space="preserve"> percent of cases with signed opinions included at least one amicus brief at the merits stage.</w:t>
      </w:r>
      <w:r w:rsidR="0019156D">
        <w:rPr>
          <w:rFonts w:cs="Times New Roman"/>
          <w:szCs w:val="24"/>
        </w:rPr>
        <w:t xml:space="preserve">  Due to this high level of amicus participation, 2011 has </w:t>
      </w:r>
      <w:r w:rsidR="00C524FA">
        <w:rPr>
          <w:rFonts w:cs="Times New Roman"/>
          <w:szCs w:val="24"/>
        </w:rPr>
        <w:t>been called the</w:t>
      </w:r>
      <w:r>
        <w:rPr>
          <w:rFonts w:cs="Times New Roman"/>
          <w:szCs w:val="24"/>
        </w:rPr>
        <w:t xml:space="preserve"> “year of the amicus” because of</w:t>
      </w:r>
      <w:r w:rsidRPr="00F51B57">
        <w:rPr>
          <w:rFonts w:cs="Times New Roman"/>
          <w:szCs w:val="24"/>
        </w:rPr>
        <w:t xml:space="preserve"> the prominent role </w:t>
      </w:r>
      <w:r>
        <w:rPr>
          <w:rFonts w:cs="Times New Roman"/>
          <w:szCs w:val="24"/>
        </w:rPr>
        <w:t xml:space="preserve">amicus briefs </w:t>
      </w:r>
      <w:r w:rsidRPr="00F51B57">
        <w:rPr>
          <w:rFonts w:cs="Times New Roman"/>
          <w:szCs w:val="24"/>
        </w:rPr>
        <w:t>played</w:t>
      </w:r>
      <w:r w:rsidR="002A4BFE">
        <w:rPr>
          <w:rFonts w:cs="Times New Roman"/>
          <w:szCs w:val="24"/>
        </w:rPr>
        <w:t xml:space="preserve"> during this term</w:t>
      </w:r>
      <w:r>
        <w:rPr>
          <w:rFonts w:cs="Times New Roman"/>
          <w:szCs w:val="24"/>
        </w:rPr>
        <w:t xml:space="preserve"> (</w:t>
      </w:r>
      <w:proofErr w:type="spellStart"/>
      <w:r>
        <w:rPr>
          <w:rFonts w:cs="Times New Roman"/>
          <w:szCs w:val="24"/>
        </w:rPr>
        <w:t>Franze</w:t>
      </w:r>
      <w:proofErr w:type="spellEnd"/>
      <w:r>
        <w:rPr>
          <w:rFonts w:cs="Times New Roman"/>
          <w:szCs w:val="24"/>
        </w:rPr>
        <w:t xml:space="preserve"> </w:t>
      </w:r>
      <w:r w:rsidR="000D6839">
        <w:rPr>
          <w:rFonts w:cs="Times New Roman"/>
          <w:szCs w:val="24"/>
        </w:rPr>
        <w:t>and</w:t>
      </w:r>
      <w:r>
        <w:rPr>
          <w:rFonts w:cs="Times New Roman"/>
          <w:szCs w:val="24"/>
        </w:rPr>
        <w:t xml:space="preserve"> Anderson 2012, 1). </w:t>
      </w:r>
      <w:r w:rsidRPr="00F51B57">
        <w:rPr>
          <w:rFonts w:cs="Times New Roman"/>
          <w:szCs w:val="24"/>
        </w:rPr>
        <w:t xml:space="preserve"> </w:t>
      </w:r>
      <w:r>
        <w:rPr>
          <w:rFonts w:cs="Times New Roman"/>
          <w:szCs w:val="24"/>
        </w:rPr>
        <w:t xml:space="preserve"> </w:t>
      </w:r>
    </w:p>
    <w:p w:rsidR="0019156D" w:rsidRPr="00916E47" w:rsidRDefault="0019156D" w:rsidP="00D50941">
      <w:pPr>
        <w:spacing w:line="480" w:lineRule="auto"/>
        <w:ind w:left="0" w:firstLine="720"/>
        <w:rPr>
          <w:color w:val="FF0000"/>
        </w:rPr>
      </w:pPr>
      <w:r>
        <w:rPr>
          <w:rFonts w:cs="Times New Roman"/>
          <w:szCs w:val="24"/>
        </w:rPr>
        <w:t>Not surprisingly, as the percentage of amicus participation has continued on its upward trajectory over the last 60 years, so have the absolute numbers of briefs filed per case and per term.  Betw</w:t>
      </w:r>
      <w:r w:rsidR="002A4BFE">
        <w:rPr>
          <w:rFonts w:cs="Times New Roman"/>
          <w:szCs w:val="24"/>
        </w:rPr>
        <w:t xml:space="preserve">een 1946 and 1955, the USSC </w:t>
      </w:r>
      <w:r>
        <w:rPr>
          <w:rFonts w:cs="Times New Roman"/>
          <w:szCs w:val="24"/>
        </w:rPr>
        <w:t xml:space="preserve">averaged </w:t>
      </w:r>
      <w:proofErr w:type="gramStart"/>
      <w:r>
        <w:rPr>
          <w:rFonts w:cs="Times New Roman"/>
          <w:szCs w:val="24"/>
        </w:rPr>
        <w:t>few</w:t>
      </w:r>
      <w:r w:rsidR="002A4BFE">
        <w:rPr>
          <w:rFonts w:cs="Times New Roman"/>
          <w:szCs w:val="24"/>
        </w:rPr>
        <w:t>er</w:t>
      </w:r>
      <w:proofErr w:type="gramEnd"/>
      <w:r w:rsidR="002A4BFE">
        <w:rPr>
          <w:rFonts w:cs="Times New Roman"/>
          <w:szCs w:val="24"/>
        </w:rPr>
        <w:t xml:space="preserve"> than one amicus brief </w:t>
      </w:r>
      <w:r>
        <w:rPr>
          <w:rFonts w:cs="Times New Roman"/>
          <w:szCs w:val="24"/>
        </w:rPr>
        <w:t>per case, but by the 1990s the USSC was av</w:t>
      </w:r>
      <w:r w:rsidR="002A4BFE">
        <w:rPr>
          <w:rFonts w:cs="Times New Roman"/>
          <w:szCs w:val="24"/>
        </w:rPr>
        <w:t xml:space="preserve">eraging about five amicus briefs </w:t>
      </w:r>
      <w:r>
        <w:rPr>
          <w:rFonts w:cs="Times New Roman"/>
          <w:szCs w:val="24"/>
        </w:rPr>
        <w:t xml:space="preserve">per case (Kearney </w:t>
      </w:r>
      <w:r w:rsidR="000D6839">
        <w:rPr>
          <w:rFonts w:cs="Times New Roman"/>
          <w:szCs w:val="24"/>
        </w:rPr>
        <w:t>and</w:t>
      </w:r>
      <w:r>
        <w:rPr>
          <w:rFonts w:cs="Times New Roman"/>
          <w:szCs w:val="24"/>
        </w:rPr>
        <w:t xml:space="preserve"> Merrill 2000, 752-54, 765).  This average doubled in the 2011-12 term to about 10 amicus briefs per case (</w:t>
      </w:r>
      <w:proofErr w:type="spellStart"/>
      <w:r>
        <w:rPr>
          <w:rFonts w:cs="Times New Roman"/>
          <w:szCs w:val="24"/>
        </w:rPr>
        <w:t>Franze</w:t>
      </w:r>
      <w:proofErr w:type="spellEnd"/>
      <w:r>
        <w:rPr>
          <w:rFonts w:cs="Times New Roman"/>
          <w:szCs w:val="24"/>
        </w:rPr>
        <w:t xml:space="preserve"> </w:t>
      </w:r>
      <w:r w:rsidR="000D6839">
        <w:rPr>
          <w:rFonts w:cs="Times New Roman"/>
          <w:szCs w:val="24"/>
        </w:rPr>
        <w:t>and</w:t>
      </w:r>
      <w:r>
        <w:rPr>
          <w:rFonts w:cs="Times New Roman"/>
          <w:szCs w:val="24"/>
        </w:rPr>
        <w:t xml:space="preserve"> Anderson 2012, 1).  More detailed information is included below in Chapter 4 regarding levels of amicus participation during the Roberts Court era.</w:t>
      </w:r>
    </w:p>
    <w:p w:rsidR="00D50941" w:rsidRPr="00914D33" w:rsidRDefault="00FC5CB5" w:rsidP="00D50941">
      <w:pPr>
        <w:pStyle w:val="ListParagraph"/>
        <w:spacing w:line="480" w:lineRule="auto"/>
        <w:ind w:left="0" w:firstLine="720"/>
      </w:pPr>
      <w:r>
        <w:t>As one would expect, p</w:t>
      </w:r>
      <w:r w:rsidR="00D50941">
        <w:t xml:space="preserve">olitically salient cases (e.g., cases involving abortion, eminent domain, free speech, capital punishment, and affirmative action) </w:t>
      </w:r>
      <w:r w:rsidR="0019156D">
        <w:t xml:space="preserve">typically </w:t>
      </w:r>
      <w:r w:rsidR="00D50941">
        <w:t xml:space="preserve">attract the highest levels of amicus participation (Simmons 2009, 197; Kearney </w:t>
      </w:r>
      <w:r w:rsidR="000D6839">
        <w:t>and</w:t>
      </w:r>
      <w:r w:rsidR="00D50941">
        <w:t xml:space="preserve"> Merrill 2000, 754-56). During </w:t>
      </w:r>
      <w:r w:rsidR="00D50941">
        <w:lastRenderedPageBreak/>
        <w:t>the Rehnquist Court years, the case that attracted the highest level o</w:t>
      </w:r>
      <w:r w:rsidR="0019156D">
        <w:t>f amicus curiae participation –</w:t>
      </w:r>
      <w:r w:rsidR="00D50941">
        <w:t xml:space="preserve"> and set </w:t>
      </w:r>
      <w:r w:rsidR="009202AD">
        <w:t xml:space="preserve">the all-time USSC record up to that point </w:t>
      </w:r>
      <w:r w:rsidR="0019156D">
        <w:t>–</w:t>
      </w:r>
      <w:r w:rsidR="00D50941">
        <w:t xml:space="preserve"> was </w:t>
      </w:r>
      <w:proofErr w:type="spellStart"/>
      <w:r w:rsidR="00D50941" w:rsidRPr="00311789">
        <w:rPr>
          <w:i/>
        </w:rPr>
        <w:t>Grutter</w:t>
      </w:r>
      <w:proofErr w:type="spellEnd"/>
      <w:r w:rsidR="00D50941" w:rsidRPr="00311789">
        <w:rPr>
          <w:i/>
        </w:rPr>
        <w:t xml:space="preserve"> v. Bollinger</w:t>
      </w:r>
      <w:r w:rsidR="00D50941">
        <w:t xml:space="preserve"> (2003), involving affirmative action in higher education admissions, attracting more than 80 briefs from a wide range of organized interests.  This record was broken most recently in the 2011-12 consolidated health care case over the constitutionality of the Patient Pr</w:t>
      </w:r>
      <w:r w:rsidR="0028659C">
        <w:t>otection and</w:t>
      </w:r>
      <w:r w:rsidR="00D50941">
        <w:t xml:space="preserve"> Affordable Care Act, which saw a record-breaking 136 amicus briefs, plus two court-appointed amici </w:t>
      </w:r>
      <w:r w:rsidR="00D50941">
        <w:rPr>
          <w:rFonts w:cs="Times New Roman"/>
          <w:szCs w:val="24"/>
        </w:rPr>
        <w:t>(</w:t>
      </w:r>
      <w:proofErr w:type="spellStart"/>
      <w:r w:rsidR="00D50941">
        <w:rPr>
          <w:rFonts w:cs="Times New Roman"/>
          <w:szCs w:val="24"/>
        </w:rPr>
        <w:t>Franze</w:t>
      </w:r>
      <w:proofErr w:type="spellEnd"/>
      <w:r w:rsidR="00D50941">
        <w:rPr>
          <w:rFonts w:cs="Times New Roman"/>
          <w:szCs w:val="24"/>
        </w:rPr>
        <w:t xml:space="preserve"> </w:t>
      </w:r>
      <w:r w:rsidR="000D6839">
        <w:rPr>
          <w:rFonts w:cs="Times New Roman"/>
          <w:szCs w:val="24"/>
        </w:rPr>
        <w:t>and</w:t>
      </w:r>
      <w:r w:rsidR="00D50941">
        <w:rPr>
          <w:rFonts w:cs="Times New Roman"/>
          <w:szCs w:val="24"/>
        </w:rPr>
        <w:t xml:space="preserve"> Anderson 2012, 1). </w:t>
      </w:r>
      <w:r w:rsidR="00D50941" w:rsidRPr="00F51B57">
        <w:rPr>
          <w:rFonts w:cs="Times New Roman"/>
          <w:szCs w:val="24"/>
        </w:rPr>
        <w:t xml:space="preserve"> </w:t>
      </w:r>
      <w:r w:rsidR="00D50941">
        <w:rPr>
          <w:rFonts w:cs="Times New Roman"/>
          <w:szCs w:val="24"/>
        </w:rPr>
        <w:t xml:space="preserve">  </w:t>
      </w:r>
    </w:p>
    <w:p w:rsidR="00D50941" w:rsidRDefault="00D50941" w:rsidP="00D50941">
      <w:pPr>
        <w:spacing w:line="480" w:lineRule="auto"/>
        <w:ind w:left="0" w:firstLine="720"/>
        <w:rPr>
          <w:szCs w:val="24"/>
        </w:rPr>
      </w:pPr>
      <w:r>
        <w:rPr>
          <w:szCs w:val="24"/>
        </w:rPr>
        <w:t xml:space="preserve">At one time, the political disadvantage theory of interest group litigation was widely accepted within the discipline (Olson 1990).  This </w:t>
      </w:r>
      <w:r w:rsidR="00E472BE">
        <w:rPr>
          <w:szCs w:val="24"/>
        </w:rPr>
        <w:t xml:space="preserve">theory holds that that interest </w:t>
      </w:r>
      <w:r>
        <w:rPr>
          <w:szCs w:val="24"/>
        </w:rPr>
        <w:t xml:space="preserve">group litigation mainly concerns groups that are disadvantaged in majoritarian politics because of their lack of resources, or unpopular views or behaviors, or their experience of discrimination.  These groups depend, therefore, on the judicial processes to pursue their policy interests, which they cannot achieve in the electoral process.  </w:t>
      </w:r>
      <w:r w:rsidR="002A3546">
        <w:rPr>
          <w:szCs w:val="24"/>
        </w:rPr>
        <w:t xml:space="preserve"> In essence, groups litigate because they lack access to traditional political forums and find a safe haven in the courts (Collins 2008, 20).  Early scholars studying interest group activity in the courts, such as </w:t>
      </w:r>
      <w:proofErr w:type="spellStart"/>
      <w:r w:rsidR="002A3546">
        <w:rPr>
          <w:szCs w:val="24"/>
        </w:rPr>
        <w:t>Vose</w:t>
      </w:r>
      <w:proofErr w:type="spellEnd"/>
      <w:r w:rsidR="002A3546">
        <w:rPr>
          <w:szCs w:val="24"/>
        </w:rPr>
        <w:t xml:space="preserve"> (1955) and Barker (1967)</w:t>
      </w:r>
      <w:r w:rsidR="00E472BE">
        <w:rPr>
          <w:szCs w:val="24"/>
        </w:rPr>
        <w:t>,</w:t>
      </w:r>
      <w:r w:rsidR="002A3546">
        <w:rPr>
          <w:szCs w:val="24"/>
        </w:rPr>
        <w:t xml:space="preserve"> promoted this understanding. </w:t>
      </w:r>
    </w:p>
    <w:p w:rsidR="00C524FA" w:rsidRDefault="00D50941" w:rsidP="00D12160">
      <w:pPr>
        <w:spacing w:line="480" w:lineRule="auto"/>
        <w:ind w:left="0" w:firstLine="720"/>
      </w:pPr>
      <w:r>
        <w:rPr>
          <w:szCs w:val="24"/>
        </w:rPr>
        <w:t xml:space="preserve">However, a number of studies of amicus participation call this theory into question by showing that the USSC </w:t>
      </w:r>
      <w:r w:rsidRPr="00417180">
        <w:rPr>
          <w:szCs w:val="24"/>
        </w:rPr>
        <w:t>is</w:t>
      </w:r>
      <w:r w:rsidR="000D2F36">
        <w:rPr>
          <w:szCs w:val="24"/>
        </w:rPr>
        <w:t xml:space="preserve"> not biased towards any one type</w:t>
      </w:r>
      <w:r w:rsidRPr="00417180">
        <w:rPr>
          <w:szCs w:val="24"/>
        </w:rPr>
        <w:t xml:space="preserve"> of interest. Rather it is remarkably accessible to a diverse array of organized interests at both the certiorari and merits stage of decision (</w:t>
      </w:r>
      <w:proofErr w:type="spellStart"/>
      <w:r w:rsidRPr="00417180">
        <w:rPr>
          <w:szCs w:val="24"/>
        </w:rPr>
        <w:t>Caldeira</w:t>
      </w:r>
      <w:proofErr w:type="spellEnd"/>
      <w:r w:rsidRPr="00417180">
        <w:rPr>
          <w:szCs w:val="24"/>
        </w:rPr>
        <w:t xml:space="preserve"> </w:t>
      </w:r>
      <w:r w:rsidR="000D6839">
        <w:rPr>
          <w:szCs w:val="24"/>
        </w:rPr>
        <w:t>and</w:t>
      </w:r>
      <w:r w:rsidRPr="00417180">
        <w:rPr>
          <w:szCs w:val="24"/>
        </w:rPr>
        <w:t xml:space="preserve"> Wright 1990; Collins 2008; Collins </w:t>
      </w:r>
      <w:r w:rsidR="000D6839">
        <w:rPr>
          <w:szCs w:val="24"/>
        </w:rPr>
        <w:t>and</w:t>
      </w:r>
      <w:r w:rsidRPr="00417180">
        <w:rPr>
          <w:szCs w:val="24"/>
        </w:rPr>
        <w:t xml:space="preserve"> </w:t>
      </w:r>
      <w:proofErr w:type="spellStart"/>
      <w:r w:rsidRPr="00417180">
        <w:rPr>
          <w:szCs w:val="24"/>
        </w:rPr>
        <w:t>Solowiej</w:t>
      </w:r>
      <w:proofErr w:type="spellEnd"/>
      <w:r w:rsidRPr="00417180">
        <w:rPr>
          <w:szCs w:val="24"/>
        </w:rPr>
        <w:t xml:space="preserve"> 2007)</w:t>
      </w:r>
      <w:r>
        <w:rPr>
          <w:szCs w:val="24"/>
        </w:rPr>
        <w:t xml:space="preserve">.  </w:t>
      </w:r>
      <w:r>
        <w:t xml:space="preserve">The levels of conservative and liberal amicus participation have been essentially the same at the </w:t>
      </w:r>
      <w:r w:rsidR="00E472BE">
        <w:t xml:space="preserve">USSC </w:t>
      </w:r>
      <w:proofErr w:type="gramStart"/>
      <w:r>
        <w:t>between 1946 – 2001 (Collins 2008)</w:t>
      </w:r>
      <w:proofErr w:type="gramEnd"/>
      <w:r>
        <w:t>.</w:t>
      </w:r>
      <w:r>
        <w:rPr>
          <w:szCs w:val="24"/>
        </w:rPr>
        <w:t xml:space="preserve">  </w:t>
      </w:r>
      <w:r>
        <w:t xml:space="preserve">Corporations and professional associations do not dominate the Court’s </w:t>
      </w:r>
      <w:r w:rsidR="00E472BE">
        <w:t xml:space="preserve">amicus activity.  </w:t>
      </w:r>
      <w:r>
        <w:t xml:space="preserve">While amicus participation is most frequent in civil rights </w:t>
      </w:r>
      <w:r>
        <w:lastRenderedPageBreak/>
        <w:t>and liberties cases, all issue areas draw considerable amicus attention (Collins 2008).  In terms of amicus participation, state governments, trade associations</w:t>
      </w:r>
      <w:r w:rsidR="00E472BE">
        <w:t>,</w:t>
      </w:r>
      <w:r>
        <w:t xml:space="preserve"> public advocacy organizations, and businesses tend to be the most involved categories of interest groups (Collins </w:t>
      </w:r>
      <w:r w:rsidR="000D6839">
        <w:t>and</w:t>
      </w:r>
      <w:r>
        <w:t xml:space="preserve"> </w:t>
      </w:r>
      <w:proofErr w:type="spellStart"/>
      <w:r>
        <w:t>Solowiej</w:t>
      </w:r>
      <w:proofErr w:type="spellEnd"/>
      <w:r>
        <w:t xml:space="preserve"> 2007; </w:t>
      </w:r>
      <w:proofErr w:type="spellStart"/>
      <w:r>
        <w:t>Calderia</w:t>
      </w:r>
      <w:proofErr w:type="spellEnd"/>
      <w:r>
        <w:t xml:space="preserve"> </w:t>
      </w:r>
      <w:r w:rsidR="000D6839">
        <w:t>and</w:t>
      </w:r>
      <w:r>
        <w:t xml:space="preserve"> Wright 1990).  Thus, amicus participation is pluralistic both in terms of types of organizati</w:t>
      </w:r>
      <w:r w:rsidR="00C1279E">
        <w:t>ons that appear before the USSC</w:t>
      </w:r>
      <w:r>
        <w:t xml:space="preserve">, and in terms of the ideological spectrum of amicus participants (Collins 2008). </w:t>
      </w:r>
      <w:r w:rsidR="00C1279E">
        <w:t xml:space="preserve"> </w:t>
      </w:r>
      <w:r>
        <w:rPr>
          <w:szCs w:val="24"/>
        </w:rPr>
        <w:t xml:space="preserve">This supports the pluralist theory of interest groups, i.e., a diverse array of interest groups find a voice at the </w:t>
      </w:r>
      <w:r w:rsidR="00C1279E">
        <w:rPr>
          <w:szCs w:val="24"/>
        </w:rPr>
        <w:t xml:space="preserve">USSC </w:t>
      </w:r>
      <w:r>
        <w:rPr>
          <w:szCs w:val="24"/>
        </w:rPr>
        <w:t xml:space="preserve">(Collins 2008; </w:t>
      </w:r>
      <w:proofErr w:type="spellStart"/>
      <w:r>
        <w:rPr>
          <w:szCs w:val="24"/>
        </w:rPr>
        <w:t>Calderia</w:t>
      </w:r>
      <w:proofErr w:type="spellEnd"/>
      <w:r>
        <w:rPr>
          <w:szCs w:val="24"/>
        </w:rPr>
        <w:t xml:space="preserve"> </w:t>
      </w:r>
      <w:r w:rsidR="000D6839">
        <w:rPr>
          <w:szCs w:val="24"/>
        </w:rPr>
        <w:t>and</w:t>
      </w:r>
      <w:r>
        <w:rPr>
          <w:szCs w:val="24"/>
        </w:rPr>
        <w:t xml:space="preserve"> Wright 1990).</w:t>
      </w:r>
      <w:r w:rsidR="00490DC5">
        <w:rPr>
          <w:szCs w:val="24"/>
        </w:rPr>
        <w:t xml:space="preserve">  </w:t>
      </w:r>
      <w:r w:rsidR="00C524FA">
        <w:rPr>
          <w:szCs w:val="24"/>
        </w:rPr>
        <w:t xml:space="preserve">In sum, </w:t>
      </w:r>
      <w:proofErr w:type="spellStart"/>
      <w:r w:rsidR="00C524FA">
        <w:rPr>
          <w:szCs w:val="24"/>
        </w:rPr>
        <w:t>Schattschn</w:t>
      </w:r>
      <w:r w:rsidR="00C1279E">
        <w:rPr>
          <w:szCs w:val="24"/>
        </w:rPr>
        <w:t>eider’s</w:t>
      </w:r>
      <w:proofErr w:type="spellEnd"/>
      <w:r w:rsidR="00C1279E">
        <w:rPr>
          <w:szCs w:val="24"/>
        </w:rPr>
        <w:t xml:space="preserve"> (1960) description that</w:t>
      </w:r>
      <w:r w:rsidR="00C524FA">
        <w:t xml:space="preserve"> “the heavenly chorus sings with a strong upper-crust accent,” does not properly apply to a</w:t>
      </w:r>
      <w:r w:rsidR="00C1279E">
        <w:t>micus participation at the USSC</w:t>
      </w:r>
      <w:r w:rsidR="00C524FA">
        <w:rPr>
          <w:szCs w:val="24"/>
        </w:rPr>
        <w:t xml:space="preserve">.  </w:t>
      </w:r>
      <w:proofErr w:type="gramStart"/>
      <w:r w:rsidR="00C524FA">
        <w:t>The interest group system in the USSC “reflects a much more diverse set of interests than Washington lobbying activity more generally” (Collins 2008, 63).</w:t>
      </w:r>
      <w:proofErr w:type="gramEnd"/>
      <w:r w:rsidR="009E6711">
        <w:t xml:space="preserve">  </w:t>
      </w:r>
      <w:r w:rsidR="00894987">
        <w:t>T</w:t>
      </w:r>
      <w:r w:rsidR="009E6711">
        <w:t>his conclusion enhances the institutional legitimacy of the USSC by lending credence to the notion that the USSC is a quasi-representative institution that, at least procedurally, embodies the norm of democratic inclusion (Simmons, 2009).</w:t>
      </w:r>
      <w:r w:rsidR="00894987">
        <w:rPr>
          <w:rStyle w:val="FootnoteReference"/>
        </w:rPr>
        <w:footnoteReference w:id="17"/>
      </w:r>
    </w:p>
    <w:p w:rsidR="00807203" w:rsidRDefault="00C524FA" w:rsidP="00807203">
      <w:pPr>
        <w:spacing w:line="480" w:lineRule="auto"/>
        <w:ind w:left="0" w:firstLine="720"/>
      </w:pPr>
      <w:r>
        <w:t xml:space="preserve">The research of </w:t>
      </w:r>
      <w:proofErr w:type="spellStart"/>
      <w:r>
        <w:t>Dunworth</w:t>
      </w:r>
      <w:proofErr w:type="spellEnd"/>
      <w:r>
        <w:t xml:space="preserve">, </w:t>
      </w:r>
      <w:proofErr w:type="spellStart"/>
      <w:r>
        <w:t>Fischman</w:t>
      </w:r>
      <w:proofErr w:type="spellEnd"/>
      <w:r>
        <w:t xml:space="preserve">, </w:t>
      </w:r>
      <w:r w:rsidR="000D6839">
        <w:t>and</w:t>
      </w:r>
      <w:r>
        <w:t xml:space="preserve"> Ho (2009) provides a detailed picture of the most active amicus groups during the 1979 to 2006 terms of the USSC.  Using semi-automated information extraction software, the authors compile a database of over 14,000 briefs</w:t>
      </w:r>
      <w:r w:rsidR="00D12160">
        <w:t xml:space="preserve"> filed on the merits</w:t>
      </w:r>
      <w:r>
        <w:t xml:space="preserve"> during this time period by over 600 of the most active amicus participants before the USSC.  Unlike most prior studies, </w:t>
      </w:r>
      <w:proofErr w:type="spellStart"/>
      <w:r>
        <w:t>Dunworth</w:t>
      </w:r>
      <w:proofErr w:type="spellEnd"/>
      <w:r>
        <w:t xml:space="preserve"> et al.’s database is able to provide data on the actual amici groups that participate, rather than merely raw brief counts.</w:t>
      </w:r>
      <w:r w:rsidR="00083F07">
        <w:t xml:space="preserve">  Focusing only on amicus </w:t>
      </w:r>
      <w:r w:rsidR="00083F07">
        <w:lastRenderedPageBreak/>
        <w:t xml:space="preserve">briefs filed by interest groups, as opposed to those filed by governments or individuals, </w:t>
      </w:r>
      <w:r w:rsidR="00F76C1B">
        <w:t xml:space="preserve"> </w:t>
      </w:r>
      <w:proofErr w:type="spellStart"/>
      <w:r w:rsidR="00F76C1B">
        <w:t>Dunworth</w:t>
      </w:r>
      <w:proofErr w:type="spellEnd"/>
      <w:r w:rsidR="00F76C1B">
        <w:t xml:space="preserve"> et al. are able to compile a list of the top 100 most active amicus participants</w:t>
      </w:r>
      <w:r w:rsidR="00D12160">
        <w:t xml:space="preserve"> </w:t>
      </w:r>
      <w:r w:rsidR="00F76C1B">
        <w:t>from 197</w:t>
      </w:r>
      <w:r w:rsidR="00D12160">
        <w:t>9</w:t>
      </w:r>
      <w:r w:rsidR="00F76C1B">
        <w:t>-2006 in terms of number of briefs on which they appeared</w:t>
      </w:r>
      <w:r w:rsidR="00D12160">
        <w:t xml:space="preserve"> in cases on the merits</w:t>
      </w:r>
      <w:r w:rsidR="00C1279E">
        <w:t xml:space="preserve">.  </w:t>
      </w:r>
      <w:r w:rsidR="00807203" w:rsidRPr="003F113D">
        <w:t>Table</w:t>
      </w:r>
      <w:r w:rsidR="003F113D">
        <w:t xml:space="preserve"> 1.1 </w:t>
      </w:r>
      <w:r w:rsidR="00C1279E">
        <w:t xml:space="preserve">lists the </w:t>
      </w:r>
      <w:r w:rsidR="00EB4216">
        <w:t>15 most act</w:t>
      </w:r>
      <w:r w:rsidR="00FA0B4B">
        <w:t>ive amici groups from 1976-2006</w:t>
      </w:r>
      <w:r w:rsidR="00EB4216">
        <w:t xml:space="preserve"> according to </w:t>
      </w:r>
      <w:proofErr w:type="spellStart"/>
      <w:r w:rsidR="00EB4216">
        <w:t>Dunworth</w:t>
      </w:r>
      <w:proofErr w:type="spellEnd"/>
      <w:r w:rsidR="00EB4216">
        <w:t xml:space="preserve"> et al.</w:t>
      </w:r>
    </w:p>
    <w:p w:rsidR="003800F4" w:rsidRDefault="00FA0B4B" w:rsidP="00FA0B4B">
      <w:pPr>
        <w:tabs>
          <w:tab w:val="left" w:pos="2160"/>
        </w:tabs>
        <w:spacing w:line="480" w:lineRule="auto"/>
        <w:ind w:left="0" w:firstLine="720"/>
      </w:pPr>
      <w:r>
        <w:tab/>
      </w:r>
    </w:p>
    <w:p w:rsidR="00807203" w:rsidRDefault="003F113D" w:rsidP="00807203">
      <w:pPr>
        <w:spacing w:line="480" w:lineRule="auto"/>
        <w:ind w:left="0" w:firstLine="0"/>
      </w:pPr>
      <w:proofErr w:type="gramStart"/>
      <w:r>
        <w:rPr>
          <w:b/>
        </w:rPr>
        <w:t>Table 1.1</w:t>
      </w:r>
      <w:r w:rsidR="00807203" w:rsidRPr="00807203">
        <w:rPr>
          <w:b/>
        </w:rPr>
        <w:t>.</w:t>
      </w:r>
      <w:proofErr w:type="gramEnd"/>
      <w:r w:rsidR="00807203" w:rsidRPr="00807203">
        <w:rPr>
          <w:b/>
        </w:rPr>
        <w:t xml:space="preserve"> T</w:t>
      </w:r>
      <w:r w:rsidR="00181FB5" w:rsidRPr="00807203">
        <w:rPr>
          <w:b/>
        </w:rPr>
        <w:t>op 15</w:t>
      </w:r>
      <w:r w:rsidR="00F76C1B" w:rsidRPr="00807203">
        <w:rPr>
          <w:b/>
        </w:rPr>
        <w:t xml:space="preserve"> </w:t>
      </w:r>
      <w:r w:rsidR="00C700EB">
        <w:rPr>
          <w:b/>
        </w:rPr>
        <w:t>Amici Groups,</w:t>
      </w:r>
      <w:r w:rsidR="00807203" w:rsidRPr="00807203">
        <w:rPr>
          <w:b/>
        </w:rPr>
        <w:t xml:space="preserve"> 1976-200</w:t>
      </w:r>
      <w:r w:rsidR="00EB4216">
        <w:rPr>
          <w:b/>
        </w:rPr>
        <w:t>6</w:t>
      </w:r>
      <w:r w:rsidR="00FA0B4B">
        <w:rPr>
          <w:b/>
        </w:rPr>
        <w:t xml:space="preserve"> USSC terms</w:t>
      </w:r>
    </w:p>
    <w:tbl>
      <w:tblPr>
        <w:tblW w:w="8100" w:type="dxa"/>
        <w:tblBorders>
          <w:top w:val="single" w:sz="18" w:space="0" w:color="auto"/>
          <w:bottom w:val="single" w:sz="18" w:space="0" w:color="auto"/>
        </w:tblBorders>
        <w:tblLook w:val="04A0" w:firstRow="1" w:lastRow="0" w:firstColumn="1" w:lastColumn="0" w:noHBand="0" w:noVBand="1"/>
      </w:tblPr>
      <w:tblGrid>
        <w:gridCol w:w="960"/>
        <w:gridCol w:w="5460"/>
        <w:gridCol w:w="1680"/>
      </w:tblGrid>
      <w:tr w:rsidR="00807203" w:rsidRPr="00807203" w:rsidTr="00807203">
        <w:trPr>
          <w:trHeight w:val="576"/>
        </w:trPr>
        <w:tc>
          <w:tcPr>
            <w:tcW w:w="960" w:type="dxa"/>
            <w:tcBorders>
              <w:top w:val="single" w:sz="18" w:space="0" w:color="auto"/>
              <w:bottom w:val="single" w:sz="18" w:space="0" w:color="auto"/>
            </w:tcBorders>
            <w:shd w:val="clear" w:color="auto" w:fill="auto"/>
            <w:noWrap/>
            <w:vAlign w:val="center"/>
            <w:hideMark/>
          </w:tcPr>
          <w:p w:rsidR="00807203" w:rsidRPr="00807203" w:rsidRDefault="00807203" w:rsidP="00807203">
            <w:pPr>
              <w:ind w:left="0" w:firstLine="0"/>
              <w:jc w:val="center"/>
              <w:rPr>
                <w:rFonts w:eastAsia="Times New Roman" w:cs="Times New Roman"/>
                <w:b/>
                <w:bCs/>
                <w:color w:val="000000"/>
                <w:sz w:val="22"/>
              </w:rPr>
            </w:pPr>
            <w:r w:rsidRPr="00807203">
              <w:rPr>
                <w:rFonts w:eastAsia="Times New Roman" w:cs="Times New Roman"/>
                <w:b/>
                <w:bCs/>
                <w:color w:val="000000"/>
                <w:sz w:val="22"/>
              </w:rPr>
              <w:t>Rank</w:t>
            </w:r>
          </w:p>
        </w:tc>
        <w:tc>
          <w:tcPr>
            <w:tcW w:w="5460" w:type="dxa"/>
            <w:tcBorders>
              <w:top w:val="single" w:sz="18" w:space="0" w:color="auto"/>
              <w:bottom w:val="single" w:sz="18" w:space="0" w:color="auto"/>
            </w:tcBorders>
            <w:shd w:val="clear" w:color="auto" w:fill="auto"/>
            <w:noWrap/>
            <w:vAlign w:val="center"/>
            <w:hideMark/>
          </w:tcPr>
          <w:p w:rsidR="00807203" w:rsidRPr="00807203" w:rsidRDefault="00807203" w:rsidP="00807203">
            <w:pPr>
              <w:ind w:left="0" w:firstLine="0"/>
              <w:jc w:val="center"/>
              <w:rPr>
                <w:rFonts w:eastAsia="Times New Roman" w:cs="Times New Roman"/>
                <w:b/>
                <w:bCs/>
                <w:color w:val="000000"/>
                <w:sz w:val="22"/>
              </w:rPr>
            </w:pPr>
            <w:r w:rsidRPr="00807203">
              <w:rPr>
                <w:rFonts w:eastAsia="Times New Roman" w:cs="Times New Roman"/>
                <w:b/>
                <w:bCs/>
                <w:color w:val="000000"/>
                <w:sz w:val="22"/>
              </w:rPr>
              <w:t>Amicus Group</w:t>
            </w:r>
          </w:p>
        </w:tc>
        <w:tc>
          <w:tcPr>
            <w:tcW w:w="1680" w:type="dxa"/>
            <w:tcBorders>
              <w:top w:val="single" w:sz="18" w:space="0" w:color="auto"/>
              <w:bottom w:val="single" w:sz="18" w:space="0" w:color="auto"/>
            </w:tcBorders>
            <w:shd w:val="clear" w:color="auto" w:fill="auto"/>
            <w:noWrap/>
            <w:vAlign w:val="center"/>
            <w:hideMark/>
          </w:tcPr>
          <w:p w:rsidR="00807203" w:rsidRPr="00807203" w:rsidRDefault="00807203" w:rsidP="00807203">
            <w:pPr>
              <w:ind w:left="0" w:firstLine="0"/>
              <w:jc w:val="center"/>
              <w:rPr>
                <w:rFonts w:eastAsia="Times New Roman" w:cs="Times New Roman"/>
                <w:b/>
                <w:bCs/>
                <w:color w:val="000000"/>
                <w:sz w:val="22"/>
              </w:rPr>
            </w:pPr>
            <w:r w:rsidRPr="00807203">
              <w:rPr>
                <w:rFonts w:eastAsia="Times New Roman" w:cs="Times New Roman"/>
                <w:b/>
                <w:bCs/>
                <w:color w:val="000000"/>
                <w:sz w:val="22"/>
              </w:rPr>
              <w:t>Number of Briefs</w:t>
            </w:r>
          </w:p>
        </w:tc>
      </w:tr>
      <w:tr w:rsidR="00807203" w:rsidRPr="00807203" w:rsidTr="00807203">
        <w:trPr>
          <w:trHeight w:val="576"/>
        </w:trPr>
        <w:tc>
          <w:tcPr>
            <w:tcW w:w="960" w:type="dxa"/>
            <w:tcBorders>
              <w:top w:val="single" w:sz="18" w:space="0" w:color="auto"/>
            </w:tcBorders>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1</w:t>
            </w:r>
          </w:p>
        </w:tc>
        <w:tc>
          <w:tcPr>
            <w:tcW w:w="5460" w:type="dxa"/>
            <w:tcBorders>
              <w:top w:val="single" w:sz="18" w:space="0" w:color="auto"/>
            </w:tcBorders>
            <w:shd w:val="clear" w:color="auto" w:fill="auto"/>
            <w:noWrap/>
            <w:vAlign w:val="center"/>
            <w:hideMark/>
          </w:tcPr>
          <w:p w:rsidR="00807203" w:rsidRPr="00807203" w:rsidRDefault="00807203" w:rsidP="00807203">
            <w:pPr>
              <w:ind w:left="0" w:firstLine="0"/>
              <w:jc w:val="center"/>
              <w:rPr>
                <w:rFonts w:eastAsia="Times New Roman" w:cs="Times New Roman"/>
                <w:color w:val="000000"/>
                <w:szCs w:val="24"/>
              </w:rPr>
            </w:pPr>
            <w:r w:rsidRPr="00807203">
              <w:rPr>
                <w:rFonts w:eastAsia="Times New Roman" w:cs="Times New Roman"/>
                <w:color w:val="000000"/>
                <w:szCs w:val="24"/>
              </w:rPr>
              <w:t>American Civil Liberties Union (ACLU)</w:t>
            </w:r>
          </w:p>
        </w:tc>
        <w:tc>
          <w:tcPr>
            <w:tcW w:w="1680" w:type="dxa"/>
            <w:tcBorders>
              <w:top w:val="single" w:sz="18" w:space="0" w:color="auto"/>
            </w:tcBorders>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430</w:t>
            </w:r>
          </w:p>
        </w:tc>
      </w:tr>
      <w:tr w:rsidR="00807203" w:rsidRPr="00807203" w:rsidTr="00807203">
        <w:trPr>
          <w:trHeight w:val="576"/>
        </w:trPr>
        <w:tc>
          <w:tcPr>
            <w:tcW w:w="9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2</w:t>
            </w:r>
          </w:p>
        </w:tc>
        <w:tc>
          <w:tcPr>
            <w:tcW w:w="54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Cs w:val="24"/>
              </w:rPr>
            </w:pPr>
            <w:r w:rsidRPr="00807203">
              <w:rPr>
                <w:rFonts w:eastAsia="Times New Roman" w:cs="Times New Roman"/>
                <w:color w:val="000000"/>
                <w:szCs w:val="24"/>
              </w:rPr>
              <w:t>National Association of Criminal Defense Lawyers</w:t>
            </w:r>
            <w:r>
              <w:rPr>
                <w:rFonts w:eastAsia="Times New Roman" w:cs="Times New Roman"/>
                <w:color w:val="000000"/>
                <w:szCs w:val="24"/>
              </w:rPr>
              <w:t xml:space="preserve"> (NACDL)</w:t>
            </w:r>
          </w:p>
        </w:tc>
        <w:tc>
          <w:tcPr>
            <w:tcW w:w="168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262</w:t>
            </w:r>
          </w:p>
        </w:tc>
      </w:tr>
      <w:tr w:rsidR="00807203" w:rsidRPr="00807203" w:rsidTr="00807203">
        <w:trPr>
          <w:trHeight w:val="576"/>
        </w:trPr>
        <w:tc>
          <w:tcPr>
            <w:tcW w:w="9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3</w:t>
            </w:r>
          </w:p>
        </w:tc>
        <w:tc>
          <w:tcPr>
            <w:tcW w:w="54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Cs w:val="24"/>
              </w:rPr>
            </w:pPr>
            <w:r w:rsidRPr="00807203">
              <w:rPr>
                <w:rFonts w:eastAsia="Times New Roman" w:cs="Times New Roman"/>
                <w:color w:val="000000"/>
                <w:szCs w:val="24"/>
              </w:rPr>
              <w:t>National Association of Counties</w:t>
            </w:r>
          </w:p>
        </w:tc>
        <w:tc>
          <w:tcPr>
            <w:tcW w:w="168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242</w:t>
            </w:r>
          </w:p>
        </w:tc>
      </w:tr>
      <w:tr w:rsidR="00807203" w:rsidRPr="00807203" w:rsidTr="00807203">
        <w:trPr>
          <w:trHeight w:val="576"/>
        </w:trPr>
        <w:tc>
          <w:tcPr>
            <w:tcW w:w="9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4</w:t>
            </w:r>
          </w:p>
        </w:tc>
        <w:tc>
          <w:tcPr>
            <w:tcW w:w="54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Cs w:val="24"/>
              </w:rPr>
            </w:pPr>
            <w:r w:rsidRPr="00807203">
              <w:rPr>
                <w:rFonts w:eastAsia="Times New Roman" w:cs="Times New Roman"/>
                <w:color w:val="000000"/>
                <w:szCs w:val="24"/>
              </w:rPr>
              <w:t>National League of Cities</w:t>
            </w:r>
          </w:p>
        </w:tc>
        <w:tc>
          <w:tcPr>
            <w:tcW w:w="168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236</w:t>
            </w:r>
          </w:p>
        </w:tc>
      </w:tr>
      <w:tr w:rsidR="00807203" w:rsidRPr="00807203" w:rsidTr="00807203">
        <w:trPr>
          <w:trHeight w:val="576"/>
        </w:trPr>
        <w:tc>
          <w:tcPr>
            <w:tcW w:w="9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5</w:t>
            </w:r>
          </w:p>
        </w:tc>
        <w:tc>
          <w:tcPr>
            <w:tcW w:w="54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Cs w:val="24"/>
              </w:rPr>
            </w:pPr>
            <w:r w:rsidRPr="00807203">
              <w:rPr>
                <w:rFonts w:eastAsia="Times New Roman" w:cs="Times New Roman"/>
                <w:color w:val="000000"/>
                <w:szCs w:val="24"/>
              </w:rPr>
              <w:t>U.S. Conference of Mayors</w:t>
            </w:r>
          </w:p>
        </w:tc>
        <w:tc>
          <w:tcPr>
            <w:tcW w:w="168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234</w:t>
            </w:r>
          </w:p>
        </w:tc>
      </w:tr>
      <w:tr w:rsidR="00807203" w:rsidRPr="00807203" w:rsidTr="00807203">
        <w:trPr>
          <w:trHeight w:val="576"/>
        </w:trPr>
        <w:tc>
          <w:tcPr>
            <w:tcW w:w="9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6</w:t>
            </w:r>
          </w:p>
        </w:tc>
        <w:tc>
          <w:tcPr>
            <w:tcW w:w="54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Cs w:val="24"/>
              </w:rPr>
            </w:pPr>
            <w:r w:rsidRPr="00807203">
              <w:rPr>
                <w:rFonts w:eastAsia="Times New Roman" w:cs="Times New Roman"/>
                <w:color w:val="000000"/>
                <w:szCs w:val="24"/>
              </w:rPr>
              <w:t>International City Management Association</w:t>
            </w:r>
          </w:p>
        </w:tc>
        <w:tc>
          <w:tcPr>
            <w:tcW w:w="168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227</w:t>
            </w:r>
          </w:p>
        </w:tc>
      </w:tr>
      <w:tr w:rsidR="00807203" w:rsidRPr="00807203" w:rsidTr="00807203">
        <w:trPr>
          <w:trHeight w:val="576"/>
        </w:trPr>
        <w:tc>
          <w:tcPr>
            <w:tcW w:w="9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7</w:t>
            </w:r>
          </w:p>
        </w:tc>
        <w:tc>
          <w:tcPr>
            <w:tcW w:w="54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Cs w:val="24"/>
              </w:rPr>
            </w:pPr>
            <w:r w:rsidRPr="00807203">
              <w:rPr>
                <w:rFonts w:eastAsia="Times New Roman" w:cs="Times New Roman"/>
                <w:color w:val="000000"/>
                <w:szCs w:val="24"/>
              </w:rPr>
              <w:t>Washington Legal Foundation</w:t>
            </w:r>
            <w:r>
              <w:rPr>
                <w:rFonts w:eastAsia="Times New Roman" w:cs="Times New Roman"/>
                <w:color w:val="000000"/>
                <w:szCs w:val="24"/>
              </w:rPr>
              <w:t xml:space="preserve"> (WLF)</w:t>
            </w:r>
          </w:p>
        </w:tc>
        <w:tc>
          <w:tcPr>
            <w:tcW w:w="168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206</w:t>
            </w:r>
          </w:p>
        </w:tc>
      </w:tr>
      <w:tr w:rsidR="00807203" w:rsidRPr="00807203" w:rsidTr="00807203">
        <w:trPr>
          <w:trHeight w:val="576"/>
        </w:trPr>
        <w:tc>
          <w:tcPr>
            <w:tcW w:w="9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8</w:t>
            </w:r>
          </w:p>
        </w:tc>
        <w:tc>
          <w:tcPr>
            <w:tcW w:w="54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Cs w:val="24"/>
              </w:rPr>
            </w:pPr>
            <w:r w:rsidRPr="00807203">
              <w:rPr>
                <w:rFonts w:eastAsia="Times New Roman" w:cs="Times New Roman"/>
                <w:color w:val="000000"/>
                <w:szCs w:val="24"/>
              </w:rPr>
              <w:t>Council of State Governments</w:t>
            </w:r>
          </w:p>
        </w:tc>
        <w:tc>
          <w:tcPr>
            <w:tcW w:w="168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191</w:t>
            </w:r>
          </w:p>
        </w:tc>
      </w:tr>
      <w:tr w:rsidR="00807203" w:rsidRPr="00807203" w:rsidTr="00807203">
        <w:trPr>
          <w:trHeight w:val="576"/>
        </w:trPr>
        <w:tc>
          <w:tcPr>
            <w:tcW w:w="9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9</w:t>
            </w:r>
          </w:p>
        </w:tc>
        <w:tc>
          <w:tcPr>
            <w:tcW w:w="54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Cs w:val="24"/>
              </w:rPr>
            </w:pPr>
            <w:r w:rsidRPr="00807203">
              <w:rPr>
                <w:rFonts w:eastAsia="Times New Roman" w:cs="Times New Roman"/>
                <w:color w:val="000000"/>
                <w:szCs w:val="24"/>
              </w:rPr>
              <w:t>Chamber of Commerce of the United States of America</w:t>
            </w:r>
            <w:r>
              <w:rPr>
                <w:rFonts w:eastAsia="Times New Roman" w:cs="Times New Roman"/>
                <w:color w:val="000000"/>
                <w:szCs w:val="24"/>
              </w:rPr>
              <w:t xml:space="preserve"> (</w:t>
            </w:r>
            <w:proofErr w:type="spellStart"/>
            <w:r>
              <w:rPr>
                <w:rFonts w:eastAsia="Times New Roman" w:cs="Times New Roman"/>
                <w:color w:val="000000"/>
                <w:szCs w:val="24"/>
              </w:rPr>
              <w:t>CofC</w:t>
            </w:r>
            <w:proofErr w:type="spellEnd"/>
            <w:r>
              <w:rPr>
                <w:rFonts w:eastAsia="Times New Roman" w:cs="Times New Roman"/>
                <w:color w:val="000000"/>
                <w:szCs w:val="24"/>
              </w:rPr>
              <w:t>)</w:t>
            </w:r>
          </w:p>
        </w:tc>
        <w:tc>
          <w:tcPr>
            <w:tcW w:w="168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179</w:t>
            </w:r>
          </w:p>
        </w:tc>
      </w:tr>
      <w:tr w:rsidR="00807203" w:rsidRPr="00807203" w:rsidTr="00807203">
        <w:trPr>
          <w:trHeight w:val="576"/>
        </w:trPr>
        <w:tc>
          <w:tcPr>
            <w:tcW w:w="9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10</w:t>
            </w:r>
          </w:p>
        </w:tc>
        <w:tc>
          <w:tcPr>
            <w:tcW w:w="54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Cs w:val="24"/>
              </w:rPr>
            </w:pPr>
            <w:r w:rsidRPr="00807203">
              <w:rPr>
                <w:rFonts w:eastAsia="Times New Roman" w:cs="Times New Roman"/>
                <w:color w:val="000000"/>
                <w:szCs w:val="24"/>
              </w:rPr>
              <w:t>National Conference of State Legislatures</w:t>
            </w:r>
          </w:p>
        </w:tc>
        <w:tc>
          <w:tcPr>
            <w:tcW w:w="168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175</w:t>
            </w:r>
          </w:p>
        </w:tc>
      </w:tr>
      <w:tr w:rsidR="00807203" w:rsidRPr="00807203" w:rsidTr="00807203">
        <w:trPr>
          <w:trHeight w:val="576"/>
        </w:trPr>
        <w:tc>
          <w:tcPr>
            <w:tcW w:w="9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11</w:t>
            </w:r>
          </w:p>
        </w:tc>
        <w:tc>
          <w:tcPr>
            <w:tcW w:w="54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AFL-CIO</w:t>
            </w:r>
          </w:p>
        </w:tc>
        <w:tc>
          <w:tcPr>
            <w:tcW w:w="168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169</w:t>
            </w:r>
          </w:p>
        </w:tc>
      </w:tr>
      <w:tr w:rsidR="00807203" w:rsidRPr="00807203" w:rsidTr="00807203">
        <w:trPr>
          <w:trHeight w:val="576"/>
        </w:trPr>
        <w:tc>
          <w:tcPr>
            <w:tcW w:w="9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12</w:t>
            </w:r>
          </w:p>
        </w:tc>
        <w:tc>
          <w:tcPr>
            <w:tcW w:w="54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National Governors Association</w:t>
            </w:r>
          </w:p>
        </w:tc>
        <w:tc>
          <w:tcPr>
            <w:tcW w:w="168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159</w:t>
            </w:r>
          </w:p>
        </w:tc>
      </w:tr>
      <w:tr w:rsidR="00807203" w:rsidRPr="00807203" w:rsidTr="00807203">
        <w:trPr>
          <w:trHeight w:val="576"/>
        </w:trPr>
        <w:tc>
          <w:tcPr>
            <w:tcW w:w="9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13</w:t>
            </w:r>
          </w:p>
        </w:tc>
        <w:tc>
          <w:tcPr>
            <w:tcW w:w="5460" w:type="dxa"/>
            <w:shd w:val="clear" w:color="auto" w:fill="auto"/>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 xml:space="preserve">National Association for Advancement of Colored People (NAACP) </w:t>
            </w:r>
            <w:r w:rsidR="000D6839">
              <w:rPr>
                <w:rFonts w:eastAsia="Times New Roman" w:cs="Times New Roman"/>
                <w:color w:val="000000"/>
                <w:sz w:val="22"/>
              </w:rPr>
              <w:t>and</w:t>
            </w:r>
            <w:r w:rsidRPr="00807203">
              <w:rPr>
                <w:rFonts w:eastAsia="Times New Roman" w:cs="Times New Roman"/>
                <w:color w:val="000000"/>
                <w:sz w:val="22"/>
              </w:rPr>
              <w:t xml:space="preserve"> NAACP Legal Defense Fund</w:t>
            </w:r>
          </w:p>
        </w:tc>
        <w:tc>
          <w:tcPr>
            <w:tcW w:w="168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156</w:t>
            </w:r>
          </w:p>
        </w:tc>
      </w:tr>
      <w:tr w:rsidR="00807203" w:rsidRPr="00807203" w:rsidTr="00807203">
        <w:trPr>
          <w:trHeight w:val="576"/>
        </w:trPr>
        <w:tc>
          <w:tcPr>
            <w:tcW w:w="9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14</w:t>
            </w:r>
          </w:p>
        </w:tc>
        <w:tc>
          <w:tcPr>
            <w:tcW w:w="54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Criminal Justice Legal Foundation</w:t>
            </w:r>
          </w:p>
        </w:tc>
        <w:tc>
          <w:tcPr>
            <w:tcW w:w="168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139</w:t>
            </w:r>
          </w:p>
        </w:tc>
      </w:tr>
      <w:tr w:rsidR="00807203" w:rsidRPr="00807203" w:rsidTr="00807203">
        <w:trPr>
          <w:trHeight w:val="576"/>
        </w:trPr>
        <w:tc>
          <w:tcPr>
            <w:tcW w:w="9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15</w:t>
            </w:r>
          </w:p>
        </w:tc>
        <w:tc>
          <w:tcPr>
            <w:tcW w:w="546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Pacific Legal Foundation</w:t>
            </w:r>
            <w:r>
              <w:rPr>
                <w:rFonts w:eastAsia="Times New Roman" w:cs="Times New Roman"/>
                <w:color w:val="000000"/>
                <w:sz w:val="22"/>
              </w:rPr>
              <w:t xml:space="preserve"> (PLF)</w:t>
            </w:r>
          </w:p>
        </w:tc>
        <w:tc>
          <w:tcPr>
            <w:tcW w:w="1680" w:type="dxa"/>
            <w:shd w:val="clear" w:color="auto" w:fill="auto"/>
            <w:noWrap/>
            <w:vAlign w:val="center"/>
            <w:hideMark/>
          </w:tcPr>
          <w:p w:rsidR="00807203" w:rsidRPr="00807203" w:rsidRDefault="00807203" w:rsidP="00807203">
            <w:pPr>
              <w:ind w:left="0" w:firstLine="0"/>
              <w:jc w:val="center"/>
              <w:rPr>
                <w:rFonts w:eastAsia="Times New Roman" w:cs="Times New Roman"/>
                <w:color w:val="000000"/>
                <w:sz w:val="22"/>
              </w:rPr>
            </w:pPr>
            <w:r w:rsidRPr="00807203">
              <w:rPr>
                <w:rFonts w:eastAsia="Times New Roman" w:cs="Times New Roman"/>
                <w:color w:val="000000"/>
                <w:sz w:val="22"/>
              </w:rPr>
              <w:t>138</w:t>
            </w:r>
          </w:p>
        </w:tc>
      </w:tr>
    </w:tbl>
    <w:p w:rsidR="00BF11B4" w:rsidRPr="00FA0B4B" w:rsidRDefault="00D12160" w:rsidP="00FA0B4B">
      <w:pPr>
        <w:spacing w:line="480" w:lineRule="auto"/>
        <w:ind w:left="0" w:firstLine="720"/>
      </w:pPr>
      <w:r w:rsidRPr="005D5613">
        <w:rPr>
          <w:szCs w:val="24"/>
        </w:rPr>
        <w:lastRenderedPageBreak/>
        <w:t>Chandler (2013) conducted a</w:t>
      </w:r>
      <w:r w:rsidR="00C700EB">
        <w:rPr>
          <w:szCs w:val="24"/>
        </w:rPr>
        <w:t xml:space="preserve"> recent</w:t>
      </w:r>
      <w:r w:rsidRPr="005D5613">
        <w:rPr>
          <w:szCs w:val="24"/>
        </w:rPr>
        <w:t xml:space="preserve"> study of amicus participation at the certiorari stage from May 2009 to August 2012 at the USSC to determine which interest groups were certiorari-stage amicus “all-stars”(1).  Chandler finds that 1,750 organizations filed amicus briefs at the </w:t>
      </w:r>
      <w:r w:rsidR="00693ABB" w:rsidRPr="005D5613">
        <w:rPr>
          <w:szCs w:val="24"/>
        </w:rPr>
        <w:t>certiorari stage during the three</w:t>
      </w:r>
      <w:r w:rsidRPr="005D5613">
        <w:rPr>
          <w:szCs w:val="24"/>
        </w:rPr>
        <w:t xml:space="preserve"> year time period (up ap</w:t>
      </w:r>
      <w:r w:rsidR="00693ABB" w:rsidRPr="005D5613">
        <w:rPr>
          <w:szCs w:val="24"/>
        </w:rPr>
        <w:t xml:space="preserve">proximately 65 percent from </w:t>
      </w:r>
      <w:r w:rsidR="00AF1C57">
        <w:rPr>
          <w:szCs w:val="24"/>
        </w:rPr>
        <w:t>May 2004 – August 2007</w:t>
      </w:r>
      <w:r w:rsidRPr="005D5613">
        <w:rPr>
          <w:szCs w:val="24"/>
        </w:rPr>
        <w:t>).</w:t>
      </w:r>
      <w:r w:rsidR="008273CB" w:rsidRPr="005D5613">
        <w:rPr>
          <w:rStyle w:val="FootnoteReference"/>
          <w:szCs w:val="24"/>
        </w:rPr>
        <w:footnoteReference w:id="18"/>
      </w:r>
      <w:r w:rsidRPr="005D5613">
        <w:rPr>
          <w:szCs w:val="24"/>
        </w:rPr>
        <w:t xml:space="preserve">  </w:t>
      </w:r>
      <w:r w:rsidR="003F113D">
        <w:rPr>
          <w:szCs w:val="24"/>
        </w:rPr>
        <w:t>Table 1.2</w:t>
      </w:r>
      <w:r w:rsidR="00E956E9">
        <w:rPr>
          <w:szCs w:val="24"/>
        </w:rPr>
        <w:t xml:space="preserve"> </w:t>
      </w:r>
      <w:r w:rsidR="008273CB" w:rsidRPr="005D5613">
        <w:rPr>
          <w:szCs w:val="24"/>
        </w:rPr>
        <w:t>list</w:t>
      </w:r>
      <w:r w:rsidR="00E15A08" w:rsidRPr="005D5613">
        <w:rPr>
          <w:szCs w:val="24"/>
        </w:rPr>
        <w:t>s</w:t>
      </w:r>
      <w:r w:rsidR="008273CB" w:rsidRPr="005D5613">
        <w:rPr>
          <w:szCs w:val="24"/>
        </w:rPr>
        <w:t xml:space="preserve"> Chandler’s results regarding </w:t>
      </w:r>
      <w:r w:rsidR="00C1279E">
        <w:rPr>
          <w:szCs w:val="24"/>
        </w:rPr>
        <w:t>the “Sweet Sixteen” –</w:t>
      </w:r>
      <w:r w:rsidRPr="005D5613">
        <w:rPr>
          <w:szCs w:val="24"/>
        </w:rPr>
        <w:t xml:space="preserve"> i.e., those groups most frequently filing certiorari stage briefs</w:t>
      </w:r>
      <w:r w:rsidR="008273CB" w:rsidRPr="005D5613">
        <w:rPr>
          <w:szCs w:val="24"/>
        </w:rPr>
        <w:t>, along with each of</w:t>
      </w:r>
      <w:r w:rsidR="00E15A08" w:rsidRPr="005D5613">
        <w:rPr>
          <w:szCs w:val="24"/>
        </w:rPr>
        <w:t xml:space="preserve"> their success rates</w:t>
      </w:r>
      <w:r w:rsidR="003800F4">
        <w:rPr>
          <w:szCs w:val="24"/>
        </w:rPr>
        <w:t>.</w:t>
      </w:r>
    </w:p>
    <w:p w:rsidR="003800F4" w:rsidRDefault="003800F4" w:rsidP="00C700EB">
      <w:pPr>
        <w:spacing w:line="480" w:lineRule="auto"/>
        <w:ind w:left="0" w:firstLine="720"/>
        <w:rPr>
          <w:szCs w:val="24"/>
        </w:rPr>
      </w:pPr>
    </w:p>
    <w:p w:rsidR="00BF11B4" w:rsidRPr="00FB77E9" w:rsidRDefault="00BF11B4" w:rsidP="00BF11B4">
      <w:pPr>
        <w:spacing w:line="480" w:lineRule="auto"/>
        <w:ind w:left="0" w:firstLine="0"/>
        <w:rPr>
          <w:b/>
          <w:szCs w:val="24"/>
        </w:rPr>
      </w:pPr>
      <w:proofErr w:type="gramStart"/>
      <w:r w:rsidRPr="00FB77E9">
        <w:rPr>
          <w:b/>
          <w:szCs w:val="24"/>
        </w:rPr>
        <w:t>Tab</w:t>
      </w:r>
      <w:r w:rsidR="003F113D">
        <w:rPr>
          <w:b/>
          <w:szCs w:val="24"/>
        </w:rPr>
        <w:t>le 1</w:t>
      </w:r>
      <w:r w:rsidR="00E956E9">
        <w:rPr>
          <w:b/>
          <w:szCs w:val="24"/>
        </w:rPr>
        <w:t>.</w:t>
      </w:r>
      <w:r w:rsidR="003F113D">
        <w:rPr>
          <w:b/>
          <w:szCs w:val="24"/>
        </w:rPr>
        <w:t>2</w:t>
      </w:r>
      <w:r w:rsidRPr="00FB77E9">
        <w:rPr>
          <w:b/>
          <w:szCs w:val="24"/>
        </w:rPr>
        <w:t>.</w:t>
      </w:r>
      <w:proofErr w:type="gramEnd"/>
      <w:r w:rsidRPr="00FB77E9">
        <w:rPr>
          <w:b/>
          <w:szCs w:val="24"/>
        </w:rPr>
        <w:t xml:space="preserve">  “Sweet Sixteen”:  Cert-Stage Amicus All-Stars</w:t>
      </w:r>
      <w:r w:rsidR="00FB77E9" w:rsidRPr="00FB77E9">
        <w:rPr>
          <w:b/>
          <w:szCs w:val="24"/>
        </w:rPr>
        <w:t xml:space="preserve">, </w:t>
      </w:r>
      <w:r w:rsidR="00AF1C57">
        <w:rPr>
          <w:b/>
          <w:szCs w:val="24"/>
        </w:rPr>
        <w:t xml:space="preserve">May </w:t>
      </w:r>
      <w:r w:rsidR="00FB77E9" w:rsidRPr="00FB77E9">
        <w:rPr>
          <w:b/>
          <w:szCs w:val="24"/>
        </w:rPr>
        <w:t>2009-</w:t>
      </w:r>
      <w:r w:rsidR="00AF1C57">
        <w:rPr>
          <w:b/>
          <w:szCs w:val="24"/>
        </w:rPr>
        <w:t xml:space="preserve"> August </w:t>
      </w:r>
      <w:r w:rsidR="00FB77E9" w:rsidRPr="00FB77E9">
        <w:rPr>
          <w:b/>
          <w:szCs w:val="24"/>
        </w:rPr>
        <w:t>2012</w:t>
      </w:r>
    </w:p>
    <w:tbl>
      <w:tblPr>
        <w:tblW w:w="0" w:type="auto"/>
        <w:tblInd w:w="93"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436"/>
        <w:gridCol w:w="436"/>
        <w:gridCol w:w="5195"/>
        <w:gridCol w:w="436"/>
        <w:gridCol w:w="436"/>
        <w:gridCol w:w="785"/>
        <w:gridCol w:w="785"/>
      </w:tblGrid>
      <w:tr w:rsidR="00BF11B4" w:rsidRPr="00AF1C57" w:rsidTr="00BF11B4">
        <w:trPr>
          <w:trHeight w:val="432"/>
        </w:trPr>
        <w:tc>
          <w:tcPr>
            <w:tcW w:w="0" w:type="auto"/>
            <w:gridSpan w:val="2"/>
            <w:tcBorders>
              <w:top w:val="single" w:sz="18" w:space="0" w:color="auto"/>
              <w:bottom w:val="single" w:sz="18" w:space="0" w:color="auto"/>
            </w:tcBorders>
            <w:shd w:val="clear" w:color="auto" w:fill="FFFFFF" w:themeFill="background1"/>
            <w:noWrap/>
            <w:vAlign w:val="center"/>
            <w:hideMark/>
          </w:tcPr>
          <w:p w:rsidR="00BF11B4" w:rsidRPr="00BF11B4" w:rsidRDefault="00BF11B4" w:rsidP="00BF11B4">
            <w:pPr>
              <w:ind w:left="0" w:firstLine="0"/>
              <w:jc w:val="center"/>
              <w:rPr>
                <w:rFonts w:eastAsia="Times New Roman" w:cs="Times New Roman"/>
                <w:b/>
                <w:bCs/>
                <w:color w:val="000000"/>
                <w:sz w:val="22"/>
              </w:rPr>
            </w:pPr>
            <w:r w:rsidRPr="00BF11B4">
              <w:rPr>
                <w:rFonts w:eastAsia="Times New Roman" w:cs="Times New Roman"/>
                <w:b/>
                <w:bCs/>
                <w:color w:val="000000"/>
                <w:sz w:val="22"/>
              </w:rPr>
              <w:t>Rank</w:t>
            </w:r>
          </w:p>
        </w:tc>
        <w:tc>
          <w:tcPr>
            <w:tcW w:w="0" w:type="auto"/>
            <w:tcBorders>
              <w:top w:val="single" w:sz="18" w:space="0" w:color="auto"/>
              <w:bottom w:val="single" w:sz="18" w:space="0" w:color="auto"/>
            </w:tcBorders>
            <w:shd w:val="clear" w:color="auto" w:fill="FFFFFF" w:themeFill="background1"/>
            <w:noWrap/>
            <w:vAlign w:val="center"/>
            <w:hideMark/>
          </w:tcPr>
          <w:p w:rsidR="00BF11B4" w:rsidRPr="00BF11B4" w:rsidRDefault="00BF11B4" w:rsidP="00BF11B4">
            <w:pPr>
              <w:ind w:left="0" w:firstLine="0"/>
              <w:jc w:val="center"/>
              <w:rPr>
                <w:rFonts w:eastAsia="Times New Roman" w:cs="Times New Roman"/>
                <w:b/>
                <w:bCs/>
                <w:color w:val="000000"/>
                <w:sz w:val="22"/>
              </w:rPr>
            </w:pPr>
            <w:r w:rsidRPr="00BF11B4">
              <w:rPr>
                <w:rFonts w:eastAsia="Times New Roman" w:cs="Times New Roman"/>
                <w:b/>
                <w:bCs/>
                <w:color w:val="000000"/>
                <w:sz w:val="22"/>
              </w:rPr>
              <w:t>Party</w:t>
            </w:r>
          </w:p>
        </w:tc>
        <w:tc>
          <w:tcPr>
            <w:tcW w:w="0" w:type="auto"/>
            <w:gridSpan w:val="2"/>
            <w:tcBorders>
              <w:top w:val="single" w:sz="18" w:space="0" w:color="auto"/>
              <w:bottom w:val="single" w:sz="18" w:space="0" w:color="auto"/>
            </w:tcBorders>
            <w:shd w:val="clear" w:color="auto" w:fill="FFFFFF" w:themeFill="background1"/>
            <w:noWrap/>
            <w:vAlign w:val="center"/>
            <w:hideMark/>
          </w:tcPr>
          <w:p w:rsidR="00BF11B4" w:rsidRPr="00BF11B4" w:rsidRDefault="00BF11B4" w:rsidP="00BF11B4">
            <w:pPr>
              <w:ind w:left="0" w:firstLine="0"/>
              <w:jc w:val="center"/>
              <w:rPr>
                <w:rFonts w:eastAsia="Times New Roman" w:cs="Times New Roman"/>
                <w:b/>
                <w:bCs/>
                <w:color w:val="000000"/>
                <w:sz w:val="22"/>
              </w:rPr>
            </w:pPr>
            <w:r w:rsidRPr="00BF11B4">
              <w:rPr>
                <w:rFonts w:eastAsia="Times New Roman" w:cs="Times New Roman"/>
                <w:b/>
                <w:bCs/>
                <w:color w:val="000000"/>
                <w:sz w:val="22"/>
              </w:rPr>
              <w:t>Briefs</w:t>
            </w:r>
          </w:p>
        </w:tc>
        <w:tc>
          <w:tcPr>
            <w:tcW w:w="0" w:type="auto"/>
            <w:gridSpan w:val="2"/>
            <w:tcBorders>
              <w:top w:val="single" w:sz="18" w:space="0" w:color="auto"/>
              <w:bottom w:val="single" w:sz="18" w:space="0" w:color="auto"/>
            </w:tcBorders>
            <w:shd w:val="clear" w:color="auto" w:fill="FFFFFF" w:themeFill="background1"/>
            <w:noWrap/>
            <w:vAlign w:val="center"/>
            <w:hideMark/>
          </w:tcPr>
          <w:p w:rsidR="00BF11B4" w:rsidRPr="00BF11B4" w:rsidRDefault="00BF11B4" w:rsidP="00BF11B4">
            <w:pPr>
              <w:ind w:left="0" w:firstLine="0"/>
              <w:jc w:val="center"/>
              <w:rPr>
                <w:rFonts w:eastAsia="Times New Roman" w:cs="Times New Roman"/>
                <w:b/>
                <w:bCs/>
                <w:color w:val="000000"/>
                <w:sz w:val="22"/>
              </w:rPr>
            </w:pPr>
            <w:r w:rsidRPr="00BF11B4">
              <w:rPr>
                <w:rFonts w:eastAsia="Times New Roman" w:cs="Times New Roman"/>
                <w:b/>
                <w:bCs/>
                <w:color w:val="000000"/>
                <w:sz w:val="22"/>
              </w:rPr>
              <w:t>Grant %</w:t>
            </w:r>
          </w:p>
        </w:tc>
      </w:tr>
      <w:tr w:rsidR="00BF11B4" w:rsidRPr="00AF1C57" w:rsidTr="00BF11B4">
        <w:trPr>
          <w:trHeight w:val="432"/>
        </w:trPr>
        <w:tc>
          <w:tcPr>
            <w:tcW w:w="0" w:type="auto"/>
            <w:tcBorders>
              <w:top w:val="single" w:sz="18" w:space="0" w:color="auto"/>
            </w:tcBorders>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w:t>
            </w:r>
          </w:p>
        </w:tc>
        <w:tc>
          <w:tcPr>
            <w:tcW w:w="0" w:type="auto"/>
            <w:tcBorders>
              <w:top w:val="single" w:sz="18" w:space="0" w:color="auto"/>
            </w:tcBorders>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w:t>
            </w:r>
          </w:p>
        </w:tc>
        <w:tc>
          <w:tcPr>
            <w:tcW w:w="0" w:type="auto"/>
            <w:tcBorders>
              <w:top w:val="single" w:sz="18" w:space="0" w:color="auto"/>
            </w:tcBorders>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Chamber of Commerce of the United States of America</w:t>
            </w:r>
          </w:p>
        </w:tc>
        <w:tc>
          <w:tcPr>
            <w:tcW w:w="0" w:type="auto"/>
            <w:tcBorders>
              <w:top w:val="single" w:sz="18" w:space="0" w:color="auto"/>
            </w:tcBorders>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54</w:t>
            </w:r>
          </w:p>
        </w:tc>
        <w:tc>
          <w:tcPr>
            <w:tcW w:w="0" w:type="auto"/>
            <w:tcBorders>
              <w:top w:val="single" w:sz="18" w:space="0" w:color="auto"/>
            </w:tcBorders>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55</w:t>
            </w:r>
          </w:p>
        </w:tc>
        <w:tc>
          <w:tcPr>
            <w:tcW w:w="0" w:type="auto"/>
            <w:tcBorders>
              <w:top w:val="single" w:sz="18" w:space="0" w:color="auto"/>
            </w:tcBorders>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32.0%</w:t>
            </w:r>
          </w:p>
        </w:tc>
        <w:tc>
          <w:tcPr>
            <w:tcW w:w="0" w:type="auto"/>
            <w:tcBorders>
              <w:top w:val="single" w:sz="18" w:space="0" w:color="auto"/>
            </w:tcBorders>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26.0%</w:t>
            </w:r>
          </w:p>
        </w:tc>
      </w:tr>
      <w:tr w:rsidR="00BF11B4" w:rsidRPr="00AF1C57" w:rsidTr="00BF11B4">
        <w:trPr>
          <w:trHeight w:val="432"/>
        </w:trPr>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2</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2</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National Association of Criminal Defense Lawyers</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41</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33</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25.6%</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31.3%</w:t>
            </w:r>
          </w:p>
        </w:tc>
      </w:tr>
      <w:tr w:rsidR="00BF11B4" w:rsidRPr="00AF1C57" w:rsidTr="00BF11B4">
        <w:trPr>
          <w:trHeight w:val="432"/>
        </w:trPr>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3</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4</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Pacific Legal Foundation</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37</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25</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20.0%</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28.0%</w:t>
            </w:r>
          </w:p>
        </w:tc>
      </w:tr>
      <w:tr w:rsidR="00BF11B4" w:rsidRPr="00AF1C57" w:rsidTr="00BF11B4">
        <w:trPr>
          <w:trHeight w:val="432"/>
        </w:trPr>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4</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Cato Institute</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30</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2</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22.2%</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w:t>
            </w:r>
          </w:p>
        </w:tc>
      </w:tr>
      <w:tr w:rsidR="00BF11B4" w:rsidRPr="00AF1C57" w:rsidTr="00BF11B4">
        <w:trPr>
          <w:trHeight w:val="432"/>
        </w:trPr>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5</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3</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Washington Legal Foundation</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29</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26</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24.0%</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39.1%</w:t>
            </w:r>
          </w:p>
        </w:tc>
      </w:tr>
      <w:tr w:rsidR="00BF11B4" w:rsidRPr="00AF1C57" w:rsidTr="00BF11B4">
        <w:trPr>
          <w:trHeight w:val="432"/>
        </w:trPr>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6</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Center for Constitutional Jurisprudence</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21</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30.0%</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w:t>
            </w:r>
          </w:p>
        </w:tc>
      </w:tr>
      <w:tr w:rsidR="00BF11B4" w:rsidRPr="00AF1C57" w:rsidTr="00BF11B4">
        <w:trPr>
          <w:trHeight w:val="432"/>
        </w:trPr>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6</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DRI - The Voice of the Defense Bar</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21</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0</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23.8%</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p>
        </w:tc>
      </w:tr>
      <w:tr w:rsidR="00BF11B4" w:rsidRPr="00AF1C57" w:rsidTr="00BF11B4">
        <w:trPr>
          <w:trHeight w:val="432"/>
        </w:trPr>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8</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5</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National Association of Manufacturers</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19</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23</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5.6%</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31.6%</w:t>
            </w:r>
          </w:p>
        </w:tc>
      </w:tr>
      <w:tr w:rsidR="00BF11B4" w:rsidRPr="00AF1C57" w:rsidTr="00BF11B4">
        <w:trPr>
          <w:trHeight w:val="432"/>
        </w:trPr>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9</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National Federation of Independent Business</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16</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4</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26.7%</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w:t>
            </w:r>
          </w:p>
        </w:tc>
      </w:tr>
      <w:tr w:rsidR="00BF11B4" w:rsidRPr="00AF1C57" w:rsidTr="00BF11B4">
        <w:trPr>
          <w:trHeight w:val="432"/>
        </w:trPr>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10</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8</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International Municipal Lawyers Association</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15</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10</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7.7%</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30.0%</w:t>
            </w:r>
          </w:p>
        </w:tc>
      </w:tr>
      <w:tr w:rsidR="00BF11B4" w:rsidRPr="00AF1C57" w:rsidTr="00BF11B4">
        <w:trPr>
          <w:trHeight w:val="432"/>
        </w:trPr>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11</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15</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AARP</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13</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8</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10.0%</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25.0%</w:t>
            </w:r>
          </w:p>
        </w:tc>
      </w:tr>
      <w:tr w:rsidR="00BF11B4" w:rsidRPr="00AF1C57" w:rsidTr="00BF11B4">
        <w:trPr>
          <w:trHeight w:val="432"/>
        </w:trPr>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11</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11</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Pharmaceutical Research and Manufacturers of America</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13</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9</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23.1%</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25.0%</w:t>
            </w:r>
          </w:p>
        </w:tc>
      </w:tr>
      <w:tr w:rsidR="00BF11B4" w:rsidRPr="00AF1C57" w:rsidTr="00BF11B4">
        <w:trPr>
          <w:trHeight w:val="432"/>
        </w:trPr>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13</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Allied Educational Foundation</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10</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6</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28.6%</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w:t>
            </w:r>
          </w:p>
        </w:tc>
      </w:tr>
      <w:tr w:rsidR="00BF11B4" w:rsidRPr="00AF1C57" w:rsidTr="00BF11B4">
        <w:trPr>
          <w:trHeight w:val="432"/>
        </w:trPr>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13</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American Bankers Association</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10</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5</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11.1%</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w:t>
            </w:r>
          </w:p>
        </w:tc>
      </w:tr>
      <w:tr w:rsidR="00BF11B4" w:rsidRPr="00AF1C57" w:rsidTr="00BF11B4">
        <w:trPr>
          <w:trHeight w:val="432"/>
        </w:trPr>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13</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American Center for Law and Justice</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10</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3</w:t>
            </w:r>
          </w:p>
        </w:tc>
        <w:tc>
          <w:tcPr>
            <w:tcW w:w="0" w:type="auto"/>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10.0%</w:t>
            </w:r>
          </w:p>
        </w:tc>
        <w:tc>
          <w:tcPr>
            <w:tcW w:w="0" w:type="auto"/>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w:t>
            </w:r>
          </w:p>
        </w:tc>
      </w:tr>
      <w:tr w:rsidR="00BF11B4" w:rsidRPr="00AF1C57" w:rsidTr="00BF11B4">
        <w:trPr>
          <w:trHeight w:val="432"/>
        </w:trPr>
        <w:tc>
          <w:tcPr>
            <w:tcW w:w="0" w:type="auto"/>
            <w:tcBorders>
              <w:bottom w:val="single" w:sz="18" w:space="0" w:color="auto"/>
            </w:tcBorders>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13</w:t>
            </w:r>
          </w:p>
        </w:tc>
        <w:tc>
          <w:tcPr>
            <w:tcW w:w="0" w:type="auto"/>
            <w:tcBorders>
              <w:bottom w:val="single" w:sz="18" w:space="0" w:color="auto"/>
            </w:tcBorders>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8</w:t>
            </w:r>
          </w:p>
        </w:tc>
        <w:tc>
          <w:tcPr>
            <w:tcW w:w="0" w:type="auto"/>
            <w:tcBorders>
              <w:bottom w:val="single" w:sz="18" w:space="0" w:color="auto"/>
            </w:tcBorders>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Mountain States Legal Foundation</w:t>
            </w:r>
          </w:p>
        </w:tc>
        <w:tc>
          <w:tcPr>
            <w:tcW w:w="0" w:type="auto"/>
            <w:tcBorders>
              <w:bottom w:val="single" w:sz="18" w:space="0" w:color="auto"/>
            </w:tcBorders>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10</w:t>
            </w:r>
          </w:p>
        </w:tc>
        <w:tc>
          <w:tcPr>
            <w:tcW w:w="0" w:type="auto"/>
            <w:tcBorders>
              <w:bottom w:val="single" w:sz="18" w:space="0" w:color="auto"/>
            </w:tcBorders>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10</w:t>
            </w:r>
          </w:p>
        </w:tc>
        <w:tc>
          <w:tcPr>
            <w:tcW w:w="0" w:type="auto"/>
            <w:tcBorders>
              <w:bottom w:val="single" w:sz="18" w:space="0" w:color="auto"/>
            </w:tcBorders>
            <w:shd w:val="clear" w:color="auto" w:fill="FFFFFF" w:themeFill="background1"/>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50.0%</w:t>
            </w:r>
          </w:p>
        </w:tc>
        <w:tc>
          <w:tcPr>
            <w:tcW w:w="0" w:type="auto"/>
            <w:tcBorders>
              <w:bottom w:val="single" w:sz="18" w:space="0" w:color="auto"/>
            </w:tcBorders>
            <w:shd w:val="clear" w:color="auto" w:fill="BFBFBF" w:themeFill="background1" w:themeFillShade="BF"/>
            <w:noWrap/>
            <w:vAlign w:val="center"/>
            <w:hideMark/>
          </w:tcPr>
          <w:p w:rsidR="00BF11B4" w:rsidRPr="00BF11B4" w:rsidRDefault="00BF11B4" w:rsidP="00BF11B4">
            <w:pPr>
              <w:ind w:left="0" w:firstLine="0"/>
              <w:jc w:val="center"/>
              <w:rPr>
                <w:rFonts w:eastAsia="Times New Roman" w:cs="Times New Roman"/>
                <w:color w:val="000000"/>
                <w:sz w:val="22"/>
              </w:rPr>
            </w:pPr>
            <w:r w:rsidRPr="00BF11B4">
              <w:rPr>
                <w:rFonts w:eastAsia="Times New Roman" w:cs="Times New Roman"/>
                <w:color w:val="000000"/>
                <w:sz w:val="22"/>
              </w:rPr>
              <w:t>22.2%</w:t>
            </w:r>
          </w:p>
        </w:tc>
      </w:tr>
    </w:tbl>
    <w:p w:rsidR="00E15A08" w:rsidRPr="00C700EB" w:rsidRDefault="00FB77E9" w:rsidP="00BF11B4">
      <w:pPr>
        <w:spacing w:line="480" w:lineRule="auto"/>
        <w:ind w:left="0" w:firstLine="0"/>
        <w:rPr>
          <w:sz w:val="22"/>
        </w:rPr>
      </w:pPr>
      <w:r w:rsidRPr="00C700EB">
        <w:rPr>
          <w:sz w:val="22"/>
        </w:rPr>
        <w:t>* Table reproduced from Chandler (2013, 1).</w:t>
      </w:r>
      <w:r w:rsidR="00C700EB" w:rsidRPr="00C700EB">
        <w:rPr>
          <w:sz w:val="22"/>
        </w:rPr>
        <w:t xml:space="preserve"> Figures from May 2004 – August 2007 are shaded.</w:t>
      </w:r>
      <w:r w:rsidRPr="00C700EB">
        <w:rPr>
          <w:sz w:val="22"/>
        </w:rPr>
        <w:t xml:space="preserve"> </w:t>
      </w:r>
    </w:p>
    <w:p w:rsidR="00E15A08" w:rsidRDefault="005D5613" w:rsidP="00D50941">
      <w:pPr>
        <w:spacing w:line="480" w:lineRule="auto"/>
        <w:ind w:left="0" w:firstLine="720"/>
        <w:rPr>
          <w:szCs w:val="24"/>
        </w:rPr>
      </w:pPr>
      <w:r>
        <w:rPr>
          <w:szCs w:val="24"/>
        </w:rPr>
        <w:lastRenderedPageBreak/>
        <w:t>Chandler makes a couple of notable</w:t>
      </w:r>
      <w:r w:rsidR="00693ABB" w:rsidRPr="005D5613">
        <w:rPr>
          <w:szCs w:val="24"/>
        </w:rPr>
        <w:t xml:space="preserve"> observations from his findings regarding the “Sweet Sixteen.”  First, the Chamber of Commerce filed the most certiorari stage briefs, and they had the second highest grant rate (highest grant rate was Mountain States Legal Foundation).</w:t>
      </w:r>
      <w:r w:rsidRPr="005D5613">
        <w:rPr>
          <w:szCs w:val="24"/>
        </w:rPr>
        <w:t xml:space="preserve">  </w:t>
      </w:r>
      <w:proofErr w:type="gramStart"/>
      <w:r w:rsidRPr="005D5613">
        <w:rPr>
          <w:szCs w:val="24"/>
        </w:rPr>
        <w:t>Second, the ideological cast of the new entrants on the list from that of five years ago is more conservative, anti-regulatory, and pro-business</w:t>
      </w:r>
      <w:r>
        <w:rPr>
          <w:szCs w:val="24"/>
        </w:rPr>
        <w:t xml:space="preserve"> (2)</w:t>
      </w:r>
      <w:r w:rsidRPr="005D5613">
        <w:rPr>
          <w:szCs w:val="24"/>
        </w:rPr>
        <w:t>.</w:t>
      </w:r>
      <w:proofErr w:type="gramEnd"/>
      <w:r w:rsidRPr="005D5613">
        <w:rPr>
          <w:szCs w:val="24"/>
        </w:rPr>
        <w:t xml:space="preserve"> </w:t>
      </w:r>
    </w:p>
    <w:p w:rsidR="005D5613" w:rsidRDefault="005D5613" w:rsidP="00D50941">
      <w:pPr>
        <w:spacing w:line="480" w:lineRule="auto"/>
        <w:ind w:left="0" w:firstLine="720"/>
        <w:rPr>
          <w:szCs w:val="24"/>
        </w:rPr>
      </w:pPr>
      <w:r>
        <w:rPr>
          <w:szCs w:val="24"/>
        </w:rPr>
        <w:t xml:space="preserve">Even though the top amici participants lists of </w:t>
      </w:r>
      <w:proofErr w:type="spellStart"/>
      <w:r>
        <w:t>Dunworth</w:t>
      </w:r>
      <w:proofErr w:type="spellEnd"/>
      <w:r>
        <w:t xml:space="preserve">, </w:t>
      </w:r>
      <w:proofErr w:type="spellStart"/>
      <w:r>
        <w:t>Fischman</w:t>
      </w:r>
      <w:proofErr w:type="spellEnd"/>
      <w:r>
        <w:t xml:space="preserve">, </w:t>
      </w:r>
      <w:r w:rsidR="000D6839">
        <w:t>and</w:t>
      </w:r>
      <w:r>
        <w:t xml:space="preserve"> Ho (2009) and Chandler (2013) deal with different time frames</w:t>
      </w:r>
      <w:r w:rsidR="00391B29">
        <w:t xml:space="preserve"> (1979 – 2006 vs. 2009-2012)</w:t>
      </w:r>
      <w:r>
        <w:t xml:space="preserve"> and relate to differing stages of USSC litigation</w:t>
      </w:r>
      <w:r w:rsidR="00391B29">
        <w:t xml:space="preserve"> (merits vs. certiorari), it is notable the groups that appear in the top 15 of both lists:  National Association of Criminal Defense Lawyers (NACDL); Chamber of Commerce (</w:t>
      </w:r>
      <w:proofErr w:type="spellStart"/>
      <w:r w:rsidR="00391B29">
        <w:t>CofC</w:t>
      </w:r>
      <w:proofErr w:type="spellEnd"/>
      <w:r w:rsidR="00391B29">
        <w:t>); Was</w:t>
      </w:r>
      <w:r w:rsidR="00865440">
        <w:t>hington Legal Foundation (WLF);</w:t>
      </w:r>
      <w:r w:rsidR="00391B29">
        <w:t xml:space="preserve"> and the Pacific Legal Foundation (PLF).  These four groups in particular fit the category of experienced, repeat amicus players before the USSC.</w:t>
      </w:r>
    </w:p>
    <w:p w:rsidR="00E15A08" w:rsidRPr="00865440" w:rsidRDefault="005D5613" w:rsidP="00095B01">
      <w:pPr>
        <w:spacing w:line="480" w:lineRule="auto"/>
        <w:ind w:left="0" w:firstLine="720"/>
        <w:rPr>
          <w:szCs w:val="24"/>
        </w:rPr>
      </w:pPr>
      <w:r>
        <w:rPr>
          <w:szCs w:val="24"/>
        </w:rPr>
        <w:t>Individuals also participate as amici before the USSC.</w:t>
      </w:r>
      <w:r w:rsidR="00865440">
        <w:rPr>
          <w:szCs w:val="24"/>
        </w:rPr>
        <w:t xml:space="preserve">  While these individuals vary greatly, they are typically academics, attorneys, legislators, former government officials, or scientists. </w:t>
      </w:r>
      <w:r>
        <w:rPr>
          <w:szCs w:val="24"/>
        </w:rPr>
        <w:t xml:space="preserve">While </w:t>
      </w:r>
      <w:proofErr w:type="spellStart"/>
      <w:r>
        <w:rPr>
          <w:szCs w:val="24"/>
        </w:rPr>
        <w:t>Caldeira</w:t>
      </w:r>
      <w:proofErr w:type="spellEnd"/>
      <w:r>
        <w:rPr>
          <w:szCs w:val="24"/>
        </w:rPr>
        <w:t xml:space="preserve"> </w:t>
      </w:r>
      <w:r w:rsidR="000D6839">
        <w:rPr>
          <w:szCs w:val="24"/>
        </w:rPr>
        <w:t>and</w:t>
      </w:r>
      <w:r>
        <w:rPr>
          <w:szCs w:val="24"/>
        </w:rPr>
        <w:t xml:space="preserve"> Wright (1990) find that only six percent of amici during the 1982 term were individuals, Collins </w:t>
      </w:r>
      <w:r w:rsidR="000D6839">
        <w:rPr>
          <w:szCs w:val="24"/>
        </w:rPr>
        <w:t>and</w:t>
      </w:r>
      <w:r>
        <w:rPr>
          <w:szCs w:val="24"/>
        </w:rPr>
        <w:t xml:space="preserve"> </w:t>
      </w:r>
      <w:proofErr w:type="spellStart"/>
      <w:r>
        <w:rPr>
          <w:szCs w:val="24"/>
        </w:rPr>
        <w:t>Solowiej</w:t>
      </w:r>
      <w:proofErr w:type="spellEnd"/>
      <w:r>
        <w:rPr>
          <w:szCs w:val="24"/>
        </w:rPr>
        <w:t xml:space="preserve"> (2007, 967) show that individuals accounted for over 22 percent of amici in the 1995 term.  </w:t>
      </w:r>
      <w:r w:rsidR="00865440">
        <w:rPr>
          <w:szCs w:val="24"/>
        </w:rPr>
        <w:t>Analyzing the 1950, 1968, 1982, and 1995 terms of the USSC, Collins (2008, 61), finds that indiv</w:t>
      </w:r>
      <w:r w:rsidR="00C1279E">
        <w:rPr>
          <w:szCs w:val="24"/>
        </w:rPr>
        <w:t>iduals file 7.4 percent of amicus</w:t>
      </w:r>
      <w:r w:rsidR="00865440">
        <w:rPr>
          <w:szCs w:val="24"/>
        </w:rPr>
        <w:t xml:space="preserve"> briefs, account for 12.1 percent of amicus participants, and appear in 20.9 percent of cases.</w:t>
      </w:r>
    </w:p>
    <w:p w:rsidR="00FC5CB5" w:rsidRDefault="00D50941" w:rsidP="00D50941">
      <w:pPr>
        <w:spacing w:line="480" w:lineRule="auto"/>
        <w:ind w:left="0" w:firstLine="720"/>
        <w:rPr>
          <w:rFonts w:cs="Times New Roman"/>
          <w:szCs w:val="24"/>
        </w:rPr>
      </w:pPr>
      <w:r>
        <w:t xml:space="preserve">Amicus participation is increasingly marked by coalition formation (Collins </w:t>
      </w:r>
      <w:r w:rsidR="000D6839">
        <w:t>and</w:t>
      </w:r>
      <w:r>
        <w:t xml:space="preserve"> </w:t>
      </w:r>
      <w:proofErr w:type="spellStart"/>
      <w:r>
        <w:t>Solowiej</w:t>
      </w:r>
      <w:proofErr w:type="spellEnd"/>
      <w:r>
        <w:t xml:space="preserve"> 2007).  Experienced lawyers often seek to build coalitions of amici (McGuire 1994).  Amici tend to coordinate to reinforce one another’s argumen</w:t>
      </w:r>
      <w:r w:rsidR="00FC48A8">
        <w:t>ts (</w:t>
      </w:r>
      <w:proofErr w:type="spellStart"/>
      <w:r w:rsidR="00FC48A8">
        <w:t>Caldeira</w:t>
      </w:r>
      <w:proofErr w:type="spellEnd"/>
      <w:r w:rsidR="00FC48A8">
        <w:t xml:space="preserve"> </w:t>
      </w:r>
      <w:r w:rsidR="000D6839">
        <w:t>and</w:t>
      </w:r>
      <w:r w:rsidR="00FC48A8">
        <w:t xml:space="preserve"> Wright 1990), </w:t>
      </w:r>
      <w:r>
        <w:t>to stretch thin resources to maximize their effect (</w:t>
      </w:r>
      <w:proofErr w:type="spellStart"/>
      <w:r>
        <w:t>Wasby</w:t>
      </w:r>
      <w:proofErr w:type="spellEnd"/>
      <w:r>
        <w:t xml:space="preserve"> 1983)</w:t>
      </w:r>
      <w:r w:rsidR="00FC48A8">
        <w:t>, and to be efficient (</w:t>
      </w:r>
      <w:proofErr w:type="spellStart"/>
      <w:r w:rsidR="00FC48A8">
        <w:t>Hojnacki</w:t>
      </w:r>
      <w:proofErr w:type="spellEnd"/>
      <w:r w:rsidR="00FC48A8">
        <w:t xml:space="preserve"> 1997)</w:t>
      </w:r>
      <w:r>
        <w:t xml:space="preserve">.   This </w:t>
      </w:r>
      <w:r>
        <w:lastRenderedPageBreak/>
        <w:t xml:space="preserve">collaboration and coordination is most evident </w:t>
      </w:r>
      <w:r>
        <w:rPr>
          <w:rFonts w:cs="Times New Roman"/>
          <w:szCs w:val="24"/>
        </w:rPr>
        <w:t xml:space="preserve">when organizations choose to become amicus participants as amicus brief co-signers.  Collins (2008, 58 fn.59) provides a number of reasons why this is an attractive option:  “groups may do so to lighten the financial burden that accompanies filing an individual brief, to build relations with like-minded organizations, and/or as a low-cost means of pursuing organizational maintenance.”  </w:t>
      </w:r>
    </w:p>
    <w:p w:rsidR="00D50941" w:rsidRDefault="003800F4" w:rsidP="00D50941">
      <w:pPr>
        <w:spacing w:line="480" w:lineRule="auto"/>
        <w:ind w:left="0" w:firstLine="720"/>
        <w:rPr>
          <w:szCs w:val="24"/>
        </w:rPr>
      </w:pPr>
      <w:r>
        <w:t>Given the</w:t>
      </w:r>
      <w:r w:rsidR="00FC5CB5">
        <w:t xml:space="preserve"> advantages of collaboration</w:t>
      </w:r>
      <w:r w:rsidR="00D50941">
        <w:t>,</w:t>
      </w:r>
      <w:r w:rsidR="00FC5CB5">
        <w:t xml:space="preserve"> it is </w:t>
      </w:r>
      <w:r w:rsidR="005D205C">
        <w:t>perplexing</w:t>
      </w:r>
      <w:r w:rsidR="00FC5CB5">
        <w:t xml:space="preserve"> that, based on their study of</w:t>
      </w:r>
      <w:r w:rsidR="00FC5CB5" w:rsidRPr="00FC5CB5">
        <w:t xml:space="preserve"> </w:t>
      </w:r>
      <w:r w:rsidR="00FC5CB5">
        <w:t xml:space="preserve">all amicus briefs filed during the 1982 term of the USSC, </w:t>
      </w:r>
      <w:proofErr w:type="spellStart"/>
      <w:r w:rsidR="00D50941">
        <w:t>Calderia</w:t>
      </w:r>
      <w:proofErr w:type="spellEnd"/>
      <w:r w:rsidR="00D50941">
        <w:t xml:space="preserve"> </w:t>
      </w:r>
      <w:r w:rsidR="000D6839">
        <w:t>and</w:t>
      </w:r>
      <w:r w:rsidR="00D50941">
        <w:t xml:space="preserve"> Wright</w:t>
      </w:r>
      <w:r w:rsidR="00FC5CB5">
        <w:t xml:space="preserve"> </w:t>
      </w:r>
      <w:r w:rsidR="00D50941">
        <w:t>(1990)</w:t>
      </w:r>
      <w:r w:rsidR="00FC5CB5">
        <w:t xml:space="preserve"> conclude </w:t>
      </w:r>
      <w:r w:rsidR="00D50941">
        <w:t xml:space="preserve">that </w:t>
      </w:r>
      <w:r w:rsidR="00D50941">
        <w:rPr>
          <w:szCs w:val="24"/>
        </w:rPr>
        <w:t>patterns of alliance among amici revealed little formal coalition activity.  The dominant pattern</w:t>
      </w:r>
      <w:r w:rsidR="00FC5CB5">
        <w:rPr>
          <w:szCs w:val="24"/>
        </w:rPr>
        <w:t xml:space="preserve"> they found</w:t>
      </w:r>
      <w:r w:rsidR="00D50941">
        <w:rPr>
          <w:szCs w:val="24"/>
        </w:rPr>
        <w:t>, instead, was for organizations to file multiple and separate briefs rather than t</w:t>
      </w:r>
      <w:r w:rsidR="00FC5CB5">
        <w:rPr>
          <w:szCs w:val="24"/>
        </w:rPr>
        <w:t xml:space="preserve">o coalesce on a single brief.  </w:t>
      </w:r>
      <w:proofErr w:type="spellStart"/>
      <w:r w:rsidR="00D50941">
        <w:rPr>
          <w:szCs w:val="24"/>
        </w:rPr>
        <w:t>Calderia</w:t>
      </w:r>
      <w:proofErr w:type="spellEnd"/>
      <w:r w:rsidR="00D50941">
        <w:rPr>
          <w:szCs w:val="24"/>
        </w:rPr>
        <w:t xml:space="preserve"> </w:t>
      </w:r>
      <w:r w:rsidR="000D6839">
        <w:rPr>
          <w:szCs w:val="24"/>
        </w:rPr>
        <w:t>and</w:t>
      </w:r>
      <w:r w:rsidR="00D50941">
        <w:rPr>
          <w:szCs w:val="24"/>
        </w:rPr>
        <w:t xml:space="preserve"> Wright think this tendency supports the theory that amicus briefs must involve costly signaling in order to be useful to the Court.  </w:t>
      </w:r>
      <w:r w:rsidR="00FC5CB5">
        <w:rPr>
          <w:szCs w:val="24"/>
        </w:rPr>
        <w:t xml:space="preserve">This finding also provides </w:t>
      </w:r>
      <w:r w:rsidR="005D205C">
        <w:rPr>
          <w:szCs w:val="24"/>
        </w:rPr>
        <w:t xml:space="preserve">some </w:t>
      </w:r>
      <w:r w:rsidR="00FC5CB5">
        <w:rPr>
          <w:szCs w:val="24"/>
        </w:rPr>
        <w:t xml:space="preserve">support for the informational hypothesis of amici influence, discussed </w:t>
      </w:r>
      <w:r w:rsidR="005D205C">
        <w:rPr>
          <w:szCs w:val="24"/>
        </w:rPr>
        <w:t>in further</w:t>
      </w:r>
      <w:r w:rsidR="00FC5CB5">
        <w:rPr>
          <w:szCs w:val="24"/>
        </w:rPr>
        <w:t xml:space="preserve"> detail </w:t>
      </w:r>
      <w:proofErr w:type="gramStart"/>
      <w:r w:rsidR="00FC5CB5">
        <w:rPr>
          <w:szCs w:val="24"/>
        </w:rPr>
        <w:t>later</w:t>
      </w:r>
      <w:r w:rsidR="005D205C">
        <w:rPr>
          <w:szCs w:val="24"/>
        </w:rPr>
        <w:t>, that</w:t>
      </w:r>
      <w:proofErr w:type="gramEnd"/>
      <w:r w:rsidR="005D205C">
        <w:rPr>
          <w:szCs w:val="24"/>
        </w:rPr>
        <w:t xml:space="preserve"> the influence of amici springs not primarily from their simple presence, but instead from the information that their brief imparts.</w:t>
      </w:r>
      <w:r w:rsidR="00716899">
        <w:rPr>
          <w:szCs w:val="24"/>
        </w:rPr>
        <w:t xml:space="preserve">  </w:t>
      </w:r>
    </w:p>
    <w:p w:rsidR="00CD0138" w:rsidRDefault="00716899" w:rsidP="00910A16">
      <w:pPr>
        <w:spacing w:line="480" w:lineRule="auto"/>
        <w:ind w:left="0" w:firstLine="720"/>
        <w:rPr>
          <w:szCs w:val="24"/>
        </w:rPr>
      </w:pPr>
      <w:r>
        <w:rPr>
          <w:szCs w:val="24"/>
        </w:rPr>
        <w:t xml:space="preserve">Collins and </w:t>
      </w:r>
      <w:proofErr w:type="spellStart"/>
      <w:r>
        <w:rPr>
          <w:szCs w:val="24"/>
        </w:rPr>
        <w:t>Solowiej</w:t>
      </w:r>
      <w:proofErr w:type="spellEnd"/>
      <w:r>
        <w:rPr>
          <w:szCs w:val="24"/>
        </w:rPr>
        <w:t xml:space="preserve"> (2007) reach similar conclusions to </w:t>
      </w:r>
      <w:proofErr w:type="spellStart"/>
      <w:r>
        <w:rPr>
          <w:szCs w:val="24"/>
        </w:rPr>
        <w:t>Calderia</w:t>
      </w:r>
      <w:proofErr w:type="spellEnd"/>
      <w:r>
        <w:rPr>
          <w:szCs w:val="24"/>
        </w:rPr>
        <w:t xml:space="preserve"> </w:t>
      </w:r>
      <w:r w:rsidR="000D6839">
        <w:rPr>
          <w:szCs w:val="24"/>
        </w:rPr>
        <w:t>and</w:t>
      </w:r>
      <w:r>
        <w:rPr>
          <w:szCs w:val="24"/>
        </w:rPr>
        <w:t xml:space="preserve"> Wright (1990) based on their study of the 1995 term of the USSC regarding coalition activity among groups.  However, they show that two particular categories of amici – states and individuals – do evidence strong coalitional activity in compariso</w:t>
      </w:r>
      <w:r w:rsidR="00910A16">
        <w:rPr>
          <w:szCs w:val="24"/>
        </w:rPr>
        <w:t>n to other categories of amici.</w:t>
      </w:r>
    </w:p>
    <w:p w:rsidR="00910A16" w:rsidRDefault="00910A16" w:rsidP="00910A16">
      <w:pPr>
        <w:tabs>
          <w:tab w:val="left" w:pos="2880"/>
        </w:tabs>
        <w:spacing w:line="480" w:lineRule="auto"/>
        <w:ind w:left="0" w:firstLine="720"/>
        <w:rPr>
          <w:szCs w:val="24"/>
        </w:rPr>
      </w:pPr>
    </w:p>
    <w:p w:rsidR="00D50941" w:rsidRPr="00E312DD" w:rsidRDefault="00D50941" w:rsidP="00D50941">
      <w:pPr>
        <w:pStyle w:val="ListParagraph"/>
        <w:numPr>
          <w:ilvl w:val="0"/>
          <w:numId w:val="7"/>
        </w:numPr>
        <w:spacing w:line="480" w:lineRule="auto"/>
        <w:rPr>
          <w:b/>
        </w:rPr>
      </w:pPr>
      <w:r w:rsidRPr="00E312DD">
        <w:rPr>
          <w:b/>
        </w:rPr>
        <w:t>Why</w:t>
      </w:r>
      <w:r w:rsidR="00E312DD">
        <w:rPr>
          <w:b/>
        </w:rPr>
        <w:t xml:space="preserve"> Do Interest Groups File Amicus B</w:t>
      </w:r>
      <w:r w:rsidRPr="00E312DD">
        <w:rPr>
          <w:b/>
        </w:rPr>
        <w:t>riefs?</w:t>
      </w:r>
    </w:p>
    <w:p w:rsidR="00D50941" w:rsidRPr="00D91FF4" w:rsidRDefault="00D50941" w:rsidP="00D50941">
      <w:pPr>
        <w:autoSpaceDE w:val="0"/>
        <w:autoSpaceDN w:val="0"/>
        <w:adjustRightInd w:val="0"/>
        <w:spacing w:line="480" w:lineRule="auto"/>
        <w:ind w:left="0" w:firstLine="720"/>
        <w:rPr>
          <w:rFonts w:cs="Times New Roman"/>
          <w:szCs w:val="24"/>
        </w:rPr>
      </w:pPr>
      <w:r w:rsidRPr="00D91FF4">
        <w:rPr>
          <w:rFonts w:cs="Times New Roman"/>
          <w:szCs w:val="24"/>
        </w:rPr>
        <w:t>Organizations or “pressure groups” support legal action because individuals often lack the necessary, time, money, and skill to influence cases (</w:t>
      </w:r>
      <w:proofErr w:type="spellStart"/>
      <w:r w:rsidRPr="00D91FF4">
        <w:rPr>
          <w:rFonts w:cs="Times New Roman"/>
          <w:szCs w:val="24"/>
        </w:rPr>
        <w:t>Vose</w:t>
      </w:r>
      <w:proofErr w:type="spellEnd"/>
      <w:r w:rsidRPr="00D91FF4">
        <w:rPr>
          <w:rFonts w:cs="Times New Roman"/>
          <w:szCs w:val="24"/>
        </w:rPr>
        <w:t xml:space="preserve"> 1958).</w:t>
      </w:r>
      <w:r w:rsidRPr="00D91FF4">
        <w:rPr>
          <w:rFonts w:cs="Times New Roman"/>
        </w:rPr>
        <w:t xml:space="preserve">  By filing amicus briefs, interest groups “lobby” the Court in an effort to influence legal policy (Barker 1967). The main </w:t>
      </w:r>
      <w:r w:rsidRPr="00D91FF4">
        <w:rPr>
          <w:rFonts w:cs="Times New Roman"/>
        </w:rPr>
        <w:lastRenderedPageBreak/>
        <w:t xml:space="preserve">goal motivating the lobbying choices made by interest groups is the </w:t>
      </w:r>
      <w:proofErr w:type="gramStart"/>
      <w:r w:rsidRPr="00D91FF4">
        <w:rPr>
          <w:rFonts w:cs="Times New Roman"/>
        </w:rPr>
        <w:t>desire to have the justices endorse</w:t>
      </w:r>
      <w:proofErr w:type="gramEnd"/>
      <w:r w:rsidRPr="00D91FF4">
        <w:rPr>
          <w:rFonts w:cs="Times New Roman"/>
        </w:rPr>
        <w:t xml:space="preserve"> policies favorable to those groups’ interests (Collins 2008; Collins 2007; Hansford 2004a; Solberg </w:t>
      </w:r>
      <w:r w:rsidR="000D6839">
        <w:rPr>
          <w:rFonts w:cs="Times New Roman"/>
        </w:rPr>
        <w:t>and</w:t>
      </w:r>
      <w:r w:rsidRPr="00D91FF4">
        <w:rPr>
          <w:rFonts w:cs="Times New Roman"/>
        </w:rPr>
        <w:t xml:space="preserve"> </w:t>
      </w:r>
      <w:proofErr w:type="spellStart"/>
      <w:r w:rsidRPr="00D91FF4">
        <w:rPr>
          <w:rFonts w:cs="Times New Roman"/>
        </w:rPr>
        <w:t>Waltenburg</w:t>
      </w:r>
      <w:proofErr w:type="spellEnd"/>
      <w:r w:rsidRPr="00D91FF4">
        <w:rPr>
          <w:rFonts w:cs="Times New Roman"/>
        </w:rPr>
        <w:t xml:space="preserve"> 2006; </w:t>
      </w:r>
      <w:proofErr w:type="spellStart"/>
      <w:r w:rsidRPr="00D91FF4">
        <w:rPr>
          <w:rFonts w:cs="Times New Roman"/>
        </w:rPr>
        <w:t>Wasby</w:t>
      </w:r>
      <w:proofErr w:type="spellEnd"/>
      <w:r w:rsidRPr="00D91FF4">
        <w:rPr>
          <w:rFonts w:cs="Times New Roman"/>
        </w:rPr>
        <w:t xml:space="preserve"> 1983).</w:t>
      </w:r>
      <w:r w:rsidR="00B50C33">
        <w:rPr>
          <w:rFonts w:cs="Times New Roman"/>
        </w:rPr>
        <w:t xml:space="preserve"> </w:t>
      </w:r>
      <w:r w:rsidRPr="00D91FF4">
        <w:rPr>
          <w:rFonts w:cs="Times New Roman"/>
        </w:rPr>
        <w:t xml:space="preserve"> In order to achieve their goals, interest groups file briefs that inform the justices of the broad legal and policy ramifications of the Court’s decisions (Collins 2008). </w:t>
      </w:r>
      <w:r>
        <w:rPr>
          <w:rFonts w:cs="Times New Roman"/>
        </w:rPr>
        <w:t xml:space="preserve"> </w:t>
      </w:r>
      <w:proofErr w:type="spellStart"/>
      <w:r>
        <w:rPr>
          <w:rFonts w:cs="Times New Roman"/>
          <w:szCs w:val="24"/>
        </w:rPr>
        <w:t>Wasby</w:t>
      </w:r>
      <w:proofErr w:type="spellEnd"/>
      <w:r>
        <w:rPr>
          <w:rFonts w:cs="Times New Roman"/>
          <w:szCs w:val="24"/>
        </w:rPr>
        <w:t xml:space="preserve"> (1984, 114) noted three reasons</w:t>
      </w:r>
      <w:r w:rsidRPr="00D91FF4">
        <w:rPr>
          <w:rFonts w:cs="Times New Roman"/>
          <w:szCs w:val="24"/>
        </w:rPr>
        <w:t xml:space="preserve"> </w:t>
      </w:r>
      <w:r w:rsidRPr="00D91FF4">
        <w:rPr>
          <w:rFonts w:cs="Times New Roman"/>
          <w:iCs/>
          <w:szCs w:val="24"/>
        </w:rPr>
        <w:t>amici</w:t>
      </w:r>
      <w:r w:rsidRPr="00D91FF4">
        <w:rPr>
          <w:rFonts w:cs="Times New Roman"/>
          <w:i/>
          <w:iCs/>
          <w:szCs w:val="24"/>
        </w:rPr>
        <w:t xml:space="preserve"> </w:t>
      </w:r>
      <w:r>
        <w:rPr>
          <w:rFonts w:cs="Times New Roman"/>
          <w:szCs w:val="24"/>
        </w:rPr>
        <w:t xml:space="preserve">typically </w:t>
      </w:r>
      <w:r w:rsidRPr="00D91FF4">
        <w:rPr>
          <w:rFonts w:cs="Times New Roman"/>
          <w:szCs w:val="24"/>
        </w:rPr>
        <w:t xml:space="preserve">seek out a case: </w:t>
      </w:r>
      <w:r>
        <w:rPr>
          <w:rFonts w:cs="Times New Roman"/>
          <w:szCs w:val="24"/>
        </w:rPr>
        <w:t xml:space="preserve">(1) </w:t>
      </w:r>
      <w:r w:rsidRPr="00D91FF4">
        <w:rPr>
          <w:rFonts w:cs="Times New Roman"/>
          <w:szCs w:val="24"/>
        </w:rPr>
        <w:t xml:space="preserve">to reinforce a litigant’s position </w:t>
      </w:r>
      <w:r>
        <w:rPr>
          <w:rFonts w:cs="Times New Roman"/>
          <w:szCs w:val="24"/>
        </w:rPr>
        <w:t>by adding their voice to others;</w:t>
      </w:r>
      <w:r w:rsidRPr="00D91FF4">
        <w:rPr>
          <w:rFonts w:cs="Times New Roman"/>
          <w:szCs w:val="24"/>
        </w:rPr>
        <w:t xml:space="preserve"> </w:t>
      </w:r>
      <w:r>
        <w:rPr>
          <w:rFonts w:cs="Times New Roman"/>
          <w:szCs w:val="24"/>
        </w:rPr>
        <w:t xml:space="preserve">(2) </w:t>
      </w:r>
      <w:r w:rsidRPr="00D91FF4">
        <w:rPr>
          <w:rFonts w:cs="Times New Roman"/>
          <w:szCs w:val="24"/>
        </w:rPr>
        <w:t xml:space="preserve">to reframe a party’s case to better fit the </w:t>
      </w:r>
      <w:r w:rsidRPr="00D91FF4">
        <w:rPr>
          <w:rFonts w:cs="Times New Roman"/>
          <w:iCs/>
          <w:szCs w:val="24"/>
        </w:rPr>
        <w:t>amicus’</w:t>
      </w:r>
      <w:r w:rsidRPr="00D91FF4">
        <w:rPr>
          <w:rFonts w:cs="Times New Roman"/>
          <w:i/>
          <w:iCs/>
          <w:szCs w:val="24"/>
        </w:rPr>
        <w:t xml:space="preserve"> </w:t>
      </w:r>
      <w:r>
        <w:rPr>
          <w:rFonts w:cs="Times New Roman"/>
          <w:szCs w:val="24"/>
        </w:rPr>
        <w:t>needs or preferences;</w:t>
      </w:r>
      <w:r w:rsidRPr="00D91FF4">
        <w:rPr>
          <w:rFonts w:cs="Times New Roman"/>
          <w:szCs w:val="24"/>
        </w:rPr>
        <w:t xml:space="preserve"> and</w:t>
      </w:r>
      <w:r>
        <w:rPr>
          <w:rFonts w:cs="Times New Roman"/>
          <w:szCs w:val="24"/>
        </w:rPr>
        <w:t xml:space="preserve"> (3)</w:t>
      </w:r>
      <w:r w:rsidRPr="00D91FF4">
        <w:rPr>
          <w:rFonts w:cs="Times New Roman"/>
          <w:szCs w:val="24"/>
        </w:rPr>
        <w:t xml:space="preserve"> to offer supplemental information or arguments that go beyond those of</w:t>
      </w:r>
      <w:r>
        <w:rPr>
          <w:rFonts w:cs="Times New Roman"/>
          <w:szCs w:val="24"/>
        </w:rPr>
        <w:t xml:space="preserve"> the party</w:t>
      </w:r>
      <w:r w:rsidRPr="00D91FF4">
        <w:rPr>
          <w:rFonts w:cs="Times New Roman"/>
          <w:szCs w:val="24"/>
        </w:rPr>
        <w:t>.</w:t>
      </w:r>
      <w:r>
        <w:rPr>
          <w:rFonts w:cs="Times New Roman"/>
          <w:szCs w:val="24"/>
        </w:rPr>
        <w:t xml:space="preserve"> </w:t>
      </w:r>
      <w:r w:rsidRPr="00D91FF4">
        <w:rPr>
          <w:rFonts w:cs="Times New Roman"/>
        </w:rPr>
        <w:t>Through repeated use of the courts, interest groups can become “repeat players” who have an advantage in the choice of cases they pursue and the forum in which they pursue them and their ability to manipulate the law to their own advantage (</w:t>
      </w:r>
      <w:proofErr w:type="spellStart"/>
      <w:r w:rsidRPr="00D91FF4">
        <w:rPr>
          <w:rFonts w:cs="Times New Roman"/>
        </w:rPr>
        <w:t>Wasby</w:t>
      </w:r>
      <w:proofErr w:type="spellEnd"/>
      <w:r w:rsidRPr="00D91FF4">
        <w:rPr>
          <w:rFonts w:cs="Times New Roman"/>
        </w:rPr>
        <w:t xml:space="preserve"> 1983; </w:t>
      </w:r>
      <w:proofErr w:type="spellStart"/>
      <w:r w:rsidRPr="00D91FF4">
        <w:rPr>
          <w:rFonts w:cs="Times New Roman"/>
        </w:rPr>
        <w:t>Galanter</w:t>
      </w:r>
      <w:proofErr w:type="spellEnd"/>
      <w:r w:rsidRPr="00D91FF4">
        <w:rPr>
          <w:rFonts w:cs="Times New Roman"/>
        </w:rPr>
        <w:t xml:space="preserve"> 1974).  </w:t>
      </w:r>
    </w:p>
    <w:p w:rsidR="00D50941" w:rsidRDefault="00D50941" w:rsidP="00D50941">
      <w:pPr>
        <w:pStyle w:val="ListParagraph"/>
        <w:spacing w:line="480" w:lineRule="auto"/>
        <w:ind w:left="0" w:firstLine="720"/>
      </w:pPr>
      <w:r w:rsidRPr="00D91FF4">
        <w:rPr>
          <w:rFonts w:cs="Times New Roman"/>
        </w:rPr>
        <w:t>In addition to the desire to influence</w:t>
      </w:r>
      <w:r>
        <w:t xml:space="preserve"> policy, prior literature </w:t>
      </w:r>
      <w:r w:rsidRPr="001A7569">
        <w:t xml:space="preserve">has suggested multiple rationale for interest group involvement in litigation:  </w:t>
      </w:r>
      <w:r>
        <w:t xml:space="preserve">to counteract </w:t>
      </w:r>
      <w:r w:rsidRPr="001A7569">
        <w:t>political disadvantage (political disadvantage theory); because they have resources advantages or want to equalize the litigation playing field (party capability theory)</w:t>
      </w:r>
      <w:r>
        <w:t xml:space="preserve"> (</w:t>
      </w:r>
      <w:proofErr w:type="spellStart"/>
      <w:r>
        <w:t>Solowiej</w:t>
      </w:r>
      <w:proofErr w:type="spellEnd"/>
      <w:r>
        <w:t xml:space="preserve"> </w:t>
      </w:r>
      <w:r w:rsidR="000D6839">
        <w:t>and</w:t>
      </w:r>
      <w:r>
        <w:t xml:space="preserve"> Collins 2009; Solberg </w:t>
      </w:r>
      <w:r w:rsidR="000D6839">
        <w:t>and</w:t>
      </w:r>
      <w:r>
        <w:t xml:space="preserve"> </w:t>
      </w:r>
      <w:proofErr w:type="spellStart"/>
      <w:r>
        <w:t>Waltenburg</w:t>
      </w:r>
      <w:proofErr w:type="spellEnd"/>
      <w:r>
        <w:t xml:space="preserve"> 2006)</w:t>
      </w:r>
      <w:r w:rsidRPr="001A7569">
        <w:t>; to protect gains already won in other venues</w:t>
      </w:r>
      <w:r>
        <w:t xml:space="preserve"> (</w:t>
      </w:r>
      <w:proofErr w:type="spellStart"/>
      <w:r>
        <w:t>Kobylka</w:t>
      </w:r>
      <w:proofErr w:type="spellEnd"/>
      <w:r>
        <w:t xml:space="preserve"> 1987)</w:t>
      </w:r>
      <w:r w:rsidRPr="001A7569">
        <w:t>; because of the peculiar characteristics of the group</w:t>
      </w:r>
      <w:r>
        <w:t xml:space="preserve"> (</w:t>
      </w:r>
      <w:proofErr w:type="spellStart"/>
      <w:r>
        <w:t>Wasby</w:t>
      </w:r>
      <w:proofErr w:type="spellEnd"/>
      <w:r>
        <w:t xml:space="preserve"> 1983)</w:t>
      </w:r>
      <w:r w:rsidRPr="001A7569">
        <w:t>; and for organizational maintenance purposes (to attract and retain membership support)</w:t>
      </w:r>
      <w:r>
        <w:t xml:space="preserve"> (e.g., Solberg </w:t>
      </w:r>
      <w:r w:rsidR="000D6839">
        <w:t>and</w:t>
      </w:r>
      <w:r>
        <w:t xml:space="preserve"> </w:t>
      </w:r>
      <w:proofErr w:type="spellStart"/>
      <w:r>
        <w:t>Waltenburg</w:t>
      </w:r>
      <w:proofErr w:type="spellEnd"/>
      <w:r>
        <w:t xml:space="preserve"> 2006; Hansford 2004a; </w:t>
      </w:r>
      <w:proofErr w:type="spellStart"/>
      <w:r>
        <w:t>Wasby</w:t>
      </w:r>
      <w:proofErr w:type="spellEnd"/>
      <w:r>
        <w:t xml:space="preserve"> 1983).</w:t>
      </w:r>
    </w:p>
    <w:p w:rsidR="00D50941" w:rsidRDefault="00D50941" w:rsidP="00D50941">
      <w:pPr>
        <w:pStyle w:val="ListParagraph"/>
        <w:spacing w:line="480" w:lineRule="auto"/>
        <w:ind w:left="0" w:firstLine="720"/>
      </w:pPr>
      <w:r>
        <w:t xml:space="preserve">Further, other prior studies </w:t>
      </w:r>
      <w:r w:rsidRPr="00F74CE3">
        <w:rPr>
          <w:rFonts w:cs="Times New Roman"/>
          <w:szCs w:val="24"/>
        </w:rPr>
        <w:t>(</w:t>
      </w:r>
      <w:r>
        <w:rPr>
          <w:rFonts w:cs="Times New Roman"/>
          <w:szCs w:val="24"/>
        </w:rPr>
        <w:t xml:space="preserve">e.g., </w:t>
      </w:r>
      <w:r w:rsidRPr="00F74CE3">
        <w:rPr>
          <w:rFonts w:cs="Times New Roman"/>
          <w:szCs w:val="24"/>
        </w:rPr>
        <w:t>Collins</w:t>
      </w:r>
      <w:r>
        <w:rPr>
          <w:rFonts w:cs="Times New Roman"/>
          <w:szCs w:val="24"/>
        </w:rPr>
        <w:t xml:space="preserve"> </w:t>
      </w:r>
      <w:r w:rsidR="000D6839">
        <w:rPr>
          <w:rFonts w:cs="Times New Roman"/>
          <w:szCs w:val="24"/>
        </w:rPr>
        <w:t>and</w:t>
      </w:r>
      <w:r>
        <w:rPr>
          <w:rFonts w:cs="Times New Roman"/>
          <w:szCs w:val="24"/>
        </w:rPr>
        <w:t xml:space="preserve"> </w:t>
      </w:r>
      <w:proofErr w:type="spellStart"/>
      <w:r>
        <w:rPr>
          <w:rFonts w:cs="Times New Roman"/>
          <w:szCs w:val="24"/>
        </w:rPr>
        <w:t>Solowiej</w:t>
      </w:r>
      <w:proofErr w:type="spellEnd"/>
      <w:r w:rsidRPr="00F74CE3">
        <w:rPr>
          <w:rFonts w:cs="Times New Roman"/>
          <w:szCs w:val="24"/>
        </w:rPr>
        <w:t xml:space="preserve"> 2009</w:t>
      </w:r>
      <w:r>
        <w:rPr>
          <w:rFonts w:cs="Times New Roman"/>
          <w:szCs w:val="24"/>
        </w:rPr>
        <w:t xml:space="preserve">; </w:t>
      </w:r>
      <w:proofErr w:type="spellStart"/>
      <w:r>
        <w:rPr>
          <w:rFonts w:cs="Times New Roman"/>
          <w:szCs w:val="24"/>
        </w:rPr>
        <w:t>Wasby</w:t>
      </w:r>
      <w:proofErr w:type="spellEnd"/>
      <w:r>
        <w:rPr>
          <w:rFonts w:cs="Times New Roman"/>
          <w:szCs w:val="24"/>
        </w:rPr>
        <w:t xml:space="preserve"> 1983; Holyoke 2003; Solberg </w:t>
      </w:r>
      <w:r w:rsidR="000D6839">
        <w:rPr>
          <w:rFonts w:cs="Times New Roman"/>
          <w:szCs w:val="24"/>
        </w:rPr>
        <w:t>and</w:t>
      </w:r>
      <w:r>
        <w:rPr>
          <w:rFonts w:cs="Times New Roman"/>
          <w:szCs w:val="24"/>
        </w:rPr>
        <w:t xml:space="preserve"> </w:t>
      </w:r>
      <w:proofErr w:type="spellStart"/>
      <w:r>
        <w:rPr>
          <w:rFonts w:cs="Times New Roman"/>
          <w:szCs w:val="24"/>
        </w:rPr>
        <w:t>Waltenburg</w:t>
      </w:r>
      <w:proofErr w:type="spellEnd"/>
      <w:r>
        <w:rPr>
          <w:rFonts w:cs="Times New Roman"/>
          <w:szCs w:val="24"/>
        </w:rPr>
        <w:t xml:space="preserve"> 2006; Hansford 2004a; 2004b)</w:t>
      </w:r>
      <w:r>
        <w:t xml:space="preserve"> have shown that a </w:t>
      </w:r>
      <w:r>
        <w:rPr>
          <w:rFonts w:cs="Times New Roman"/>
          <w:szCs w:val="24"/>
        </w:rPr>
        <w:t>range of factors influence</w:t>
      </w:r>
      <w:r w:rsidRPr="00F74CE3">
        <w:rPr>
          <w:rFonts w:cs="Times New Roman"/>
          <w:szCs w:val="24"/>
        </w:rPr>
        <w:t xml:space="preserve"> amicus participation</w:t>
      </w:r>
      <w:r>
        <w:rPr>
          <w:rFonts w:cs="Times New Roman"/>
          <w:szCs w:val="24"/>
        </w:rPr>
        <w:t xml:space="preserve"> and strategy:</w:t>
      </w:r>
      <w:r>
        <w:t xml:space="preserve"> </w:t>
      </w:r>
      <w:r>
        <w:rPr>
          <w:rFonts w:cs="Times New Roman"/>
          <w:szCs w:val="24"/>
        </w:rPr>
        <w:t>Solicitor General invitation</w:t>
      </w:r>
      <w:r>
        <w:t xml:space="preserve">; </w:t>
      </w:r>
      <w:r>
        <w:rPr>
          <w:rFonts w:cs="Times New Roman"/>
          <w:szCs w:val="24"/>
        </w:rPr>
        <w:t>political salience</w:t>
      </w:r>
      <w:r>
        <w:t xml:space="preserve">; </w:t>
      </w:r>
      <w:r>
        <w:rPr>
          <w:rFonts w:cs="Times New Roman"/>
          <w:szCs w:val="24"/>
        </w:rPr>
        <w:t xml:space="preserve">political atmosphere (court’s substantive rulings, public opinion, legislative and administrative </w:t>
      </w:r>
      <w:r>
        <w:rPr>
          <w:rFonts w:cs="Times New Roman"/>
          <w:szCs w:val="24"/>
        </w:rPr>
        <w:lastRenderedPageBreak/>
        <w:t>actions)</w:t>
      </w:r>
      <w:r>
        <w:t xml:space="preserve">; </w:t>
      </w:r>
      <w:r>
        <w:rPr>
          <w:rFonts w:cs="Times New Roman"/>
          <w:szCs w:val="24"/>
        </w:rPr>
        <w:t>case complexity</w:t>
      </w:r>
      <w:r>
        <w:t xml:space="preserve">; </w:t>
      </w:r>
      <w:r>
        <w:rPr>
          <w:rFonts w:cs="Times New Roman"/>
          <w:szCs w:val="24"/>
        </w:rPr>
        <w:t>available venue (e.g., federal or state court)</w:t>
      </w:r>
      <w:r>
        <w:t xml:space="preserve">; </w:t>
      </w:r>
      <w:r>
        <w:rPr>
          <w:rFonts w:cs="Times New Roman"/>
          <w:szCs w:val="24"/>
        </w:rPr>
        <w:t>type of case</w:t>
      </w:r>
      <w:r>
        <w:t xml:space="preserve">; </w:t>
      </w:r>
      <w:r>
        <w:rPr>
          <w:rFonts w:cs="Times New Roman"/>
          <w:szCs w:val="24"/>
        </w:rPr>
        <w:t>area of law</w:t>
      </w:r>
      <w:r>
        <w:t xml:space="preserve">; </w:t>
      </w:r>
      <w:r>
        <w:rPr>
          <w:rFonts w:cs="Times New Roman"/>
          <w:szCs w:val="24"/>
        </w:rPr>
        <w:t>ideological proximity of the court to the filing party</w:t>
      </w:r>
      <w:r>
        <w:t xml:space="preserve">; </w:t>
      </w:r>
      <w:r>
        <w:rPr>
          <w:rFonts w:cs="Times New Roman"/>
          <w:szCs w:val="24"/>
        </w:rPr>
        <w:t>attorney experience</w:t>
      </w:r>
      <w:r>
        <w:t xml:space="preserve">; </w:t>
      </w:r>
      <w:r>
        <w:rPr>
          <w:rFonts w:cs="Times New Roman"/>
          <w:szCs w:val="24"/>
        </w:rPr>
        <w:t>media coverage</w:t>
      </w:r>
      <w:r>
        <w:t xml:space="preserve">; </w:t>
      </w:r>
      <w:r>
        <w:rPr>
          <w:rFonts w:cs="Times New Roman"/>
          <w:szCs w:val="24"/>
        </w:rPr>
        <w:t>likelihood of winning</w:t>
      </w:r>
      <w:r>
        <w:t xml:space="preserve">; </w:t>
      </w:r>
      <w:r>
        <w:rPr>
          <w:rFonts w:cs="Times New Roman"/>
          <w:szCs w:val="24"/>
        </w:rPr>
        <w:t xml:space="preserve">litigant resources; group resources (budget, </w:t>
      </w:r>
      <w:r w:rsidRPr="00C322B9">
        <w:rPr>
          <w:rFonts w:cs="Times New Roman"/>
          <w:szCs w:val="24"/>
        </w:rPr>
        <w:t>funds, attorneys,</w:t>
      </w:r>
      <w:r>
        <w:rPr>
          <w:rFonts w:cs="Times New Roman"/>
          <w:szCs w:val="24"/>
        </w:rPr>
        <w:t xml:space="preserve"> size of membership,</w:t>
      </w:r>
      <w:r w:rsidRPr="00C322B9">
        <w:rPr>
          <w:rFonts w:cs="Times New Roman"/>
          <w:szCs w:val="24"/>
        </w:rPr>
        <w:t xml:space="preserve"> etc.)</w:t>
      </w:r>
      <w:r>
        <w:t xml:space="preserve">; </w:t>
      </w:r>
      <w:proofErr w:type="spellStart"/>
      <w:r>
        <w:rPr>
          <w:rFonts w:cs="Times New Roman"/>
          <w:szCs w:val="24"/>
        </w:rPr>
        <w:t>intraorganizational</w:t>
      </w:r>
      <w:proofErr w:type="spellEnd"/>
      <w:r>
        <w:rPr>
          <w:rFonts w:cs="Times New Roman"/>
          <w:szCs w:val="24"/>
        </w:rPr>
        <w:t xml:space="preserve"> factors</w:t>
      </w:r>
      <w:r>
        <w:t xml:space="preserve">; </w:t>
      </w:r>
      <w:r>
        <w:rPr>
          <w:rFonts w:cs="Times New Roman"/>
          <w:szCs w:val="24"/>
        </w:rPr>
        <w:t>timing of a group’s involvement (e.g., earlier the participation, the greater the control)</w:t>
      </w:r>
      <w:r>
        <w:t xml:space="preserve">; </w:t>
      </w:r>
      <w:r>
        <w:rPr>
          <w:rFonts w:cs="Times New Roman"/>
          <w:szCs w:val="24"/>
        </w:rPr>
        <w:t>group’s longevity and continuity</w:t>
      </w:r>
      <w:r>
        <w:t xml:space="preserve">; </w:t>
      </w:r>
      <w:r>
        <w:rPr>
          <w:rFonts w:cs="Times New Roman"/>
          <w:szCs w:val="24"/>
        </w:rPr>
        <w:t>group’s ideological commitment</w:t>
      </w:r>
      <w:r>
        <w:t xml:space="preserve">; </w:t>
      </w:r>
      <w:r>
        <w:rPr>
          <w:rFonts w:cs="Times New Roman"/>
          <w:szCs w:val="24"/>
        </w:rPr>
        <w:t>size of group’s legal staff</w:t>
      </w:r>
      <w:r>
        <w:t xml:space="preserve">; </w:t>
      </w:r>
      <w:r>
        <w:rPr>
          <w:rFonts w:cs="Times New Roman"/>
          <w:szCs w:val="24"/>
        </w:rPr>
        <w:t xml:space="preserve">organizational structure (membership vs. </w:t>
      </w:r>
      <w:proofErr w:type="spellStart"/>
      <w:r>
        <w:rPr>
          <w:rFonts w:cs="Times New Roman"/>
          <w:szCs w:val="24"/>
        </w:rPr>
        <w:t>nonmembership</w:t>
      </w:r>
      <w:proofErr w:type="spellEnd"/>
      <w:r>
        <w:rPr>
          <w:rFonts w:cs="Times New Roman"/>
          <w:szCs w:val="24"/>
        </w:rPr>
        <w:t xml:space="preserve"> group)</w:t>
      </w:r>
      <w:r>
        <w:t xml:space="preserve">; </w:t>
      </w:r>
      <w:proofErr w:type="spellStart"/>
      <w:r>
        <w:rPr>
          <w:rFonts w:cs="Times New Roman"/>
          <w:szCs w:val="24"/>
        </w:rPr>
        <w:t>interorganizational</w:t>
      </w:r>
      <w:proofErr w:type="spellEnd"/>
      <w:r>
        <w:rPr>
          <w:rFonts w:cs="Times New Roman"/>
          <w:szCs w:val="24"/>
        </w:rPr>
        <w:t xml:space="preserve"> factors</w:t>
      </w:r>
      <w:r>
        <w:t xml:space="preserve">; </w:t>
      </w:r>
      <w:r>
        <w:rPr>
          <w:rFonts w:cs="Times New Roman"/>
          <w:szCs w:val="24"/>
        </w:rPr>
        <w:t>number of groups litigating in particular policy area</w:t>
      </w:r>
      <w:r>
        <w:t xml:space="preserve">; and </w:t>
      </w:r>
      <w:r>
        <w:rPr>
          <w:rFonts w:cs="Times New Roman"/>
          <w:szCs w:val="24"/>
        </w:rPr>
        <w:t>level/magnitude of cooperation/competition among groups in particular policy areas</w:t>
      </w:r>
      <w:r>
        <w:t xml:space="preserve">. </w:t>
      </w:r>
    </w:p>
    <w:p w:rsidR="00D50941" w:rsidRPr="00462783" w:rsidRDefault="00D50941" w:rsidP="00D50941">
      <w:pPr>
        <w:pStyle w:val="ListParagraph"/>
        <w:spacing w:line="480" w:lineRule="auto"/>
        <w:ind w:left="0" w:firstLine="720"/>
      </w:pPr>
      <w:r>
        <w:t>Studies are mixed regarding whether the probability of litigation success influences the decision to participate as amic</w:t>
      </w:r>
      <w:r w:rsidR="0069520E">
        <w:t>us curiae.  Interest groups</w:t>
      </w:r>
      <w:r>
        <w:t xml:space="preserve"> may appe</w:t>
      </w:r>
      <w:r w:rsidR="00B50C33">
        <w:t>ar to have influenced the USSC’s decision on the merits, when in fact the USSC</w:t>
      </w:r>
      <w:r>
        <w:t xml:space="preserve">’s probable decision direction instead influenced the </w:t>
      </w:r>
      <w:r w:rsidR="00B50C33">
        <w:t xml:space="preserve">interest group’s </w:t>
      </w:r>
      <w:r>
        <w:t xml:space="preserve">choice to participate in the case.  This is the causal challenge of the findings (Hansford 2004a). </w:t>
      </w:r>
      <w:r w:rsidR="00B50C33">
        <w:t xml:space="preserve"> </w:t>
      </w:r>
      <w:r>
        <w:t xml:space="preserve">Participating in cases that have a good chance of success can help with a group’s membership base because it can lead to a demonstrated track record of success (Epstein 1991; Hansford 2004a; Kearney </w:t>
      </w:r>
      <w:r w:rsidR="000D6839">
        <w:t>and</w:t>
      </w:r>
      <w:r>
        <w:t xml:space="preserve"> Merrill 2000; Collins 2004). </w:t>
      </w:r>
    </w:p>
    <w:p w:rsidR="00D50941" w:rsidRDefault="00D50941" w:rsidP="00D50941">
      <w:pPr>
        <w:pStyle w:val="ListParagraph"/>
        <w:spacing w:line="480" w:lineRule="auto"/>
        <w:ind w:left="0" w:firstLine="720"/>
      </w:pPr>
      <w:r>
        <w:t xml:space="preserve">This selective behavior confounds the question of amicus influence. Solberg </w:t>
      </w:r>
      <w:r w:rsidR="000D6839">
        <w:t>and</w:t>
      </w:r>
      <w:r>
        <w:t xml:space="preserve"> </w:t>
      </w:r>
      <w:proofErr w:type="spellStart"/>
      <w:r>
        <w:t>Waltenburg</w:t>
      </w:r>
      <w:proofErr w:type="spellEnd"/>
      <w:r>
        <w:t xml:space="preserve"> (2006) and Hansford (2004a) show that the likelihood of success influences a group’s calculation of whether or not to file briefs and engage the courts.  However, Collins’ (2007; 2004) findings suggest that amicus influence is </w:t>
      </w:r>
      <w:r w:rsidRPr="00220521">
        <w:rPr>
          <w:i/>
        </w:rPr>
        <w:t>not</w:t>
      </w:r>
      <w:r>
        <w:t xml:space="preserve"> a function of selective behavior – i.e., groups do not file briefs in cases they are more likely to “win.”  Rather, groups file amicus briefs on behalf of litigants they genuinely support, regardless of their probability of litigation success (Collins 2004).  </w:t>
      </w:r>
    </w:p>
    <w:p w:rsidR="00D50941" w:rsidRDefault="00D50941" w:rsidP="00D50941">
      <w:pPr>
        <w:pStyle w:val="ListParagraph"/>
        <w:spacing w:line="480" w:lineRule="auto"/>
        <w:ind w:left="0" w:firstLine="720"/>
        <w:rPr>
          <w:rFonts w:cs="Times New Roman"/>
          <w:szCs w:val="24"/>
        </w:rPr>
      </w:pPr>
      <w:r>
        <w:lastRenderedPageBreak/>
        <w:t xml:space="preserve">The presence of </w:t>
      </w:r>
      <w:r>
        <w:rPr>
          <w:rFonts w:cs="Times New Roman"/>
          <w:szCs w:val="24"/>
        </w:rPr>
        <w:t>counteractive lobbying – or</w:t>
      </w:r>
      <w:r w:rsidR="00283506">
        <w:rPr>
          <w:rFonts w:cs="Times New Roman"/>
          <w:szCs w:val="24"/>
        </w:rPr>
        <w:t xml:space="preserve"> the</w:t>
      </w:r>
      <w:r>
        <w:rPr>
          <w:rFonts w:cs="Times New Roman"/>
          <w:szCs w:val="24"/>
        </w:rPr>
        <w:t xml:space="preserve"> arms race phenomenon (</w:t>
      </w:r>
      <w:proofErr w:type="spellStart"/>
      <w:r>
        <w:rPr>
          <w:rFonts w:cs="Times New Roman"/>
          <w:szCs w:val="24"/>
        </w:rPr>
        <w:t>Solowiej</w:t>
      </w:r>
      <w:proofErr w:type="spellEnd"/>
      <w:r>
        <w:rPr>
          <w:rFonts w:cs="Times New Roman"/>
          <w:szCs w:val="24"/>
        </w:rPr>
        <w:t xml:space="preserve"> </w:t>
      </w:r>
      <w:r w:rsidR="000D6839">
        <w:rPr>
          <w:rFonts w:cs="Times New Roman"/>
          <w:szCs w:val="24"/>
        </w:rPr>
        <w:t>and</w:t>
      </w:r>
      <w:r w:rsidR="0069520E">
        <w:rPr>
          <w:rFonts w:cs="Times New Roman"/>
          <w:szCs w:val="24"/>
        </w:rPr>
        <w:t xml:space="preserve"> Collins 2009; Collins </w:t>
      </w:r>
      <w:r w:rsidR="000D6839">
        <w:rPr>
          <w:rFonts w:cs="Times New Roman"/>
          <w:szCs w:val="24"/>
        </w:rPr>
        <w:t>and</w:t>
      </w:r>
      <w:r w:rsidR="0069520E">
        <w:rPr>
          <w:rFonts w:cs="Times New Roman"/>
          <w:szCs w:val="24"/>
        </w:rPr>
        <w:t xml:space="preserve"> </w:t>
      </w:r>
      <w:proofErr w:type="spellStart"/>
      <w:r w:rsidR="0069520E">
        <w:rPr>
          <w:rFonts w:cs="Times New Roman"/>
          <w:szCs w:val="24"/>
        </w:rPr>
        <w:t>Solowie</w:t>
      </w:r>
      <w:r>
        <w:rPr>
          <w:rFonts w:cs="Times New Roman"/>
          <w:szCs w:val="24"/>
        </w:rPr>
        <w:t>j</w:t>
      </w:r>
      <w:proofErr w:type="spellEnd"/>
      <w:r>
        <w:rPr>
          <w:rFonts w:cs="Times New Roman"/>
          <w:szCs w:val="24"/>
        </w:rPr>
        <w:t xml:space="preserve"> 2007; Hansford 2011; Solberg </w:t>
      </w:r>
      <w:r w:rsidR="000D6839">
        <w:rPr>
          <w:rFonts w:cs="Times New Roman"/>
          <w:szCs w:val="24"/>
        </w:rPr>
        <w:t>and</w:t>
      </w:r>
      <w:r>
        <w:rPr>
          <w:rFonts w:cs="Times New Roman"/>
          <w:szCs w:val="24"/>
        </w:rPr>
        <w:t xml:space="preserve"> </w:t>
      </w:r>
      <w:proofErr w:type="spellStart"/>
      <w:r>
        <w:rPr>
          <w:rFonts w:cs="Times New Roman"/>
          <w:szCs w:val="24"/>
        </w:rPr>
        <w:t>Waltenburg</w:t>
      </w:r>
      <w:proofErr w:type="spellEnd"/>
      <w:r>
        <w:rPr>
          <w:rFonts w:cs="Times New Roman"/>
          <w:szCs w:val="24"/>
        </w:rPr>
        <w:t xml:space="preserve"> 2006; Farber 2007) – has been recognized among amici. </w:t>
      </w:r>
      <w:r>
        <w:rPr>
          <w:bCs/>
        </w:rPr>
        <w:t>Amici frequently file on opposite sides of an issue, competing directly with one another</w:t>
      </w:r>
      <w:r>
        <w:t xml:space="preserve">. Collins </w:t>
      </w:r>
      <w:r w:rsidR="000D6839">
        <w:t>and</w:t>
      </w:r>
      <w:r>
        <w:t xml:space="preserve"> </w:t>
      </w:r>
      <w:proofErr w:type="spellStart"/>
      <w:r>
        <w:t>Solowiej</w:t>
      </w:r>
      <w:proofErr w:type="spellEnd"/>
      <w:r>
        <w:t xml:space="preserve"> (2009) show that </w:t>
      </w:r>
      <w:r>
        <w:rPr>
          <w:rFonts w:cs="Times New Roman"/>
          <w:szCs w:val="24"/>
        </w:rPr>
        <w:t>o</w:t>
      </w:r>
      <w:r w:rsidRPr="005531B6">
        <w:rPr>
          <w:rFonts w:cs="Times New Roman"/>
          <w:szCs w:val="24"/>
        </w:rPr>
        <w:t>rganized interests supporting</w:t>
      </w:r>
      <w:r>
        <w:rPr>
          <w:rFonts w:cs="Times New Roman"/>
          <w:szCs w:val="24"/>
        </w:rPr>
        <w:t xml:space="preserve"> </w:t>
      </w:r>
      <w:r w:rsidRPr="005531B6">
        <w:rPr>
          <w:rFonts w:cs="Times New Roman"/>
          <w:szCs w:val="24"/>
        </w:rPr>
        <w:t>the respo</w:t>
      </w:r>
      <w:r>
        <w:rPr>
          <w:rFonts w:cs="Times New Roman"/>
          <w:szCs w:val="24"/>
        </w:rPr>
        <w:t xml:space="preserve">ndent respond to </w:t>
      </w:r>
      <w:r w:rsidRPr="005531B6">
        <w:rPr>
          <w:rFonts w:cs="Times New Roman"/>
          <w:szCs w:val="24"/>
        </w:rPr>
        <w:t>the number of amicus curiae briefs supporting</w:t>
      </w:r>
      <w:r>
        <w:rPr>
          <w:rFonts w:cs="Times New Roman"/>
          <w:szCs w:val="24"/>
        </w:rPr>
        <w:t xml:space="preserve"> </w:t>
      </w:r>
      <w:r w:rsidRPr="005531B6">
        <w:rPr>
          <w:rFonts w:cs="Times New Roman"/>
          <w:szCs w:val="24"/>
        </w:rPr>
        <w:t xml:space="preserve">the petitioning party. </w:t>
      </w:r>
      <w:proofErr w:type="gramStart"/>
      <w:r w:rsidRPr="005531B6">
        <w:rPr>
          <w:rFonts w:cs="Times New Roman"/>
          <w:szCs w:val="24"/>
        </w:rPr>
        <w:t>As the number of amicus briefs filed for the petitioner</w:t>
      </w:r>
      <w:r>
        <w:rPr>
          <w:rFonts w:cs="Times New Roman"/>
          <w:szCs w:val="24"/>
        </w:rPr>
        <w:t xml:space="preserve"> increases, so too does</w:t>
      </w:r>
      <w:r w:rsidRPr="005531B6">
        <w:rPr>
          <w:rFonts w:cs="Times New Roman"/>
          <w:szCs w:val="24"/>
        </w:rPr>
        <w:t xml:space="preserve"> number of amicus </w:t>
      </w:r>
      <w:r>
        <w:rPr>
          <w:rFonts w:cs="Times New Roman"/>
          <w:szCs w:val="24"/>
        </w:rPr>
        <w:t>briefs filed for the respondent (responsive counteractive lobbying hypothesis).</w:t>
      </w:r>
      <w:proofErr w:type="gramEnd"/>
      <w:r>
        <w:rPr>
          <w:rFonts w:cs="Times New Roman"/>
          <w:szCs w:val="24"/>
        </w:rPr>
        <w:t xml:space="preserve"> O</w:t>
      </w:r>
      <w:r w:rsidRPr="004C0980">
        <w:rPr>
          <w:rFonts w:cs="Times New Roman"/>
          <w:szCs w:val="24"/>
        </w:rPr>
        <w:t>rganized interests supporting</w:t>
      </w:r>
      <w:r>
        <w:rPr>
          <w:rFonts w:cs="Times New Roman"/>
          <w:szCs w:val="24"/>
        </w:rPr>
        <w:t xml:space="preserve"> </w:t>
      </w:r>
      <w:r w:rsidRPr="004C0980">
        <w:rPr>
          <w:rFonts w:cs="Times New Roman"/>
          <w:szCs w:val="24"/>
        </w:rPr>
        <w:t>the petiti</w:t>
      </w:r>
      <w:r>
        <w:rPr>
          <w:rFonts w:cs="Times New Roman"/>
          <w:szCs w:val="24"/>
        </w:rPr>
        <w:t xml:space="preserve">oner will anticipate the number </w:t>
      </w:r>
      <w:r w:rsidRPr="004C0980">
        <w:rPr>
          <w:rFonts w:cs="Times New Roman"/>
          <w:szCs w:val="24"/>
        </w:rPr>
        <w:t>of amicus curiae briefs supporting</w:t>
      </w:r>
      <w:r>
        <w:rPr>
          <w:rFonts w:cs="Times New Roman"/>
          <w:szCs w:val="24"/>
        </w:rPr>
        <w:t xml:space="preserve"> </w:t>
      </w:r>
      <w:r w:rsidRPr="004C0980">
        <w:rPr>
          <w:rFonts w:cs="Times New Roman"/>
          <w:szCs w:val="24"/>
        </w:rPr>
        <w:t>the respondent party. As the number of amicus briefs filed for the respondent</w:t>
      </w:r>
      <w:r>
        <w:rPr>
          <w:rFonts w:cs="Times New Roman"/>
          <w:szCs w:val="24"/>
        </w:rPr>
        <w:t xml:space="preserve"> increases, so too does</w:t>
      </w:r>
      <w:r w:rsidRPr="004C0980">
        <w:rPr>
          <w:rFonts w:cs="Times New Roman"/>
          <w:szCs w:val="24"/>
        </w:rPr>
        <w:t xml:space="preserve"> the number of amicus briefs filed for the petitioner</w:t>
      </w:r>
      <w:r>
        <w:rPr>
          <w:rFonts w:cs="Times New Roman"/>
          <w:szCs w:val="24"/>
        </w:rPr>
        <w:t xml:space="preserve"> (anticipatory counteractive lobbying hypothesis).  This counteractive lobbying phenomenon can confound those who seek to determine amicus influence on judicial decision making</w:t>
      </w:r>
      <w:r w:rsidR="000E3BEF">
        <w:rPr>
          <w:rFonts w:cs="Times New Roman"/>
          <w:szCs w:val="24"/>
        </w:rPr>
        <w:t>, as the relative advantage of amicus participants on one side versus another dissipates</w:t>
      </w:r>
      <w:r>
        <w:rPr>
          <w:rFonts w:cs="Times New Roman"/>
          <w:szCs w:val="24"/>
        </w:rPr>
        <w:t>.</w:t>
      </w:r>
    </w:p>
    <w:p w:rsidR="00D50941" w:rsidRPr="00E26A87" w:rsidRDefault="000E3BEF" w:rsidP="00D50941">
      <w:pPr>
        <w:pStyle w:val="ListParagraph"/>
        <w:spacing w:line="480" w:lineRule="auto"/>
        <w:ind w:left="0" w:firstLine="720"/>
        <w:rPr>
          <w:rFonts w:cs="Times New Roman"/>
          <w:szCs w:val="24"/>
        </w:rPr>
      </w:pPr>
      <w:r>
        <w:rPr>
          <w:rFonts w:cs="Times New Roman"/>
          <w:szCs w:val="24"/>
        </w:rPr>
        <w:t xml:space="preserve">Litigant resources are another factor influencing amici participation. </w:t>
      </w:r>
      <w:proofErr w:type="spellStart"/>
      <w:r w:rsidR="00D50941">
        <w:rPr>
          <w:rFonts w:cs="Times New Roman"/>
          <w:szCs w:val="24"/>
        </w:rPr>
        <w:t>Solowiej</w:t>
      </w:r>
      <w:proofErr w:type="spellEnd"/>
      <w:r w:rsidR="00D50941">
        <w:rPr>
          <w:rFonts w:cs="Times New Roman"/>
          <w:szCs w:val="24"/>
        </w:rPr>
        <w:t xml:space="preserve"> and </w:t>
      </w:r>
      <w:r w:rsidR="00D50941" w:rsidRPr="00B973F1">
        <w:rPr>
          <w:rFonts w:cs="Times New Roman"/>
          <w:szCs w:val="24"/>
        </w:rPr>
        <w:t>Collins (2009)</w:t>
      </w:r>
      <w:r w:rsidR="00D50941">
        <w:rPr>
          <w:rFonts w:cs="Times New Roman"/>
          <w:szCs w:val="24"/>
        </w:rPr>
        <w:t xml:space="preserve"> also</w:t>
      </w:r>
      <w:r w:rsidR="00D50941" w:rsidRPr="00B973F1">
        <w:rPr>
          <w:rFonts w:cs="Times New Roman"/>
          <w:szCs w:val="24"/>
        </w:rPr>
        <w:t xml:space="preserve"> f</w:t>
      </w:r>
      <w:r w:rsidR="00D50941">
        <w:rPr>
          <w:rFonts w:cs="Times New Roman"/>
          <w:szCs w:val="24"/>
        </w:rPr>
        <w:t>ind</w:t>
      </w:r>
      <w:r w:rsidR="00D50941" w:rsidRPr="00B973F1">
        <w:rPr>
          <w:rFonts w:cs="Times New Roman"/>
          <w:szCs w:val="24"/>
        </w:rPr>
        <w:t xml:space="preserve"> that as the resource status of the respondent party decreases, the number of amicus briefs supporting that party increases.</w:t>
      </w:r>
      <w:r w:rsidR="00D50941">
        <w:rPr>
          <w:rFonts w:cs="Times New Roman"/>
          <w:color w:val="000000"/>
          <w:szCs w:val="24"/>
        </w:rPr>
        <w:t xml:space="preserve"> This </w:t>
      </w:r>
      <w:r w:rsidR="00D50941" w:rsidRPr="00B973F1">
        <w:rPr>
          <w:rFonts w:cs="Times New Roman"/>
          <w:color w:val="000000"/>
          <w:szCs w:val="24"/>
        </w:rPr>
        <w:t xml:space="preserve">finding </w:t>
      </w:r>
      <w:r w:rsidR="00D50941">
        <w:rPr>
          <w:rFonts w:cs="Times New Roman"/>
          <w:color w:val="000000"/>
          <w:szCs w:val="24"/>
        </w:rPr>
        <w:t>explains</w:t>
      </w:r>
      <w:r w:rsidR="00D50941" w:rsidRPr="00B973F1">
        <w:rPr>
          <w:rFonts w:cs="Times New Roman"/>
          <w:color w:val="000000"/>
          <w:szCs w:val="24"/>
        </w:rPr>
        <w:t xml:space="preserve"> organizations’ willingness to file amicus briefs when they perceive that the respondent party might be incapable of marshaling the best arguments as a result of a lack of resourc</w:t>
      </w:r>
      <w:r w:rsidR="00D50941">
        <w:rPr>
          <w:rFonts w:cs="Times New Roman"/>
          <w:color w:val="000000"/>
          <w:szCs w:val="24"/>
        </w:rPr>
        <w:t xml:space="preserve">es and/or expertise.  In addition, </w:t>
      </w:r>
      <w:r w:rsidR="00D50941" w:rsidRPr="00B973F1">
        <w:rPr>
          <w:szCs w:val="24"/>
        </w:rPr>
        <w:t xml:space="preserve">the </w:t>
      </w:r>
      <w:r w:rsidR="00D50941" w:rsidRPr="00B973F1">
        <w:rPr>
          <w:rFonts w:ascii="Times-Roman" w:hAnsi="Times-Roman" w:cs="Times-Roman"/>
          <w:szCs w:val="24"/>
        </w:rPr>
        <w:t xml:space="preserve">number of </w:t>
      </w:r>
      <w:r w:rsidR="00D50941" w:rsidRPr="00B973F1">
        <w:rPr>
          <w:rFonts w:cs="Times New Roman"/>
          <w:szCs w:val="24"/>
        </w:rPr>
        <w:t xml:space="preserve">amicus briefs supporting the respondent increases in tandem with the resources available to the opposing party. This suggests that rather than target cases based on their perceptions of a case’s </w:t>
      </w:r>
      <w:r w:rsidR="00D50941">
        <w:rPr>
          <w:rFonts w:cs="Times New Roman"/>
          <w:szCs w:val="24"/>
        </w:rPr>
        <w:t>“</w:t>
      </w:r>
      <w:proofErr w:type="spellStart"/>
      <w:r w:rsidR="00D50941" w:rsidRPr="00B973F1">
        <w:rPr>
          <w:rFonts w:cs="Times New Roman"/>
          <w:szCs w:val="24"/>
        </w:rPr>
        <w:t>winnability</w:t>
      </w:r>
      <w:proofErr w:type="spellEnd"/>
      <w:r w:rsidR="00D50941">
        <w:rPr>
          <w:rFonts w:cs="Times New Roman"/>
          <w:szCs w:val="24"/>
        </w:rPr>
        <w:t>,”</w:t>
      </w:r>
      <w:r w:rsidR="00D50941" w:rsidRPr="00B973F1">
        <w:rPr>
          <w:rFonts w:cs="Times New Roman"/>
          <w:szCs w:val="24"/>
        </w:rPr>
        <w:t xml:space="preserve"> respondent amici are more likely to challenge high-resource litigants, presumably in an attempt to negate the persuasion attempts forwarded by high-status litigants, thus leveling the playing field (e.g., </w:t>
      </w:r>
      <w:proofErr w:type="spellStart"/>
      <w:r w:rsidR="00D50941" w:rsidRPr="00B973F1">
        <w:rPr>
          <w:rFonts w:cs="Times New Roman"/>
          <w:szCs w:val="24"/>
        </w:rPr>
        <w:t>Songer</w:t>
      </w:r>
      <w:proofErr w:type="spellEnd"/>
      <w:r w:rsidR="00D50941" w:rsidRPr="00B973F1">
        <w:rPr>
          <w:rFonts w:cs="Times New Roman"/>
          <w:szCs w:val="24"/>
        </w:rPr>
        <w:t xml:space="preserve">, </w:t>
      </w:r>
      <w:proofErr w:type="spellStart"/>
      <w:r w:rsidR="00D50941" w:rsidRPr="00B973F1">
        <w:rPr>
          <w:rFonts w:cs="Times New Roman"/>
          <w:szCs w:val="24"/>
        </w:rPr>
        <w:t>Kuersten</w:t>
      </w:r>
      <w:proofErr w:type="spellEnd"/>
      <w:r w:rsidR="00D50941" w:rsidRPr="00B973F1">
        <w:rPr>
          <w:rFonts w:cs="Times New Roman"/>
          <w:szCs w:val="24"/>
        </w:rPr>
        <w:t xml:space="preserve">, </w:t>
      </w:r>
      <w:r w:rsidR="000D6839">
        <w:rPr>
          <w:rFonts w:cs="Times New Roman"/>
          <w:szCs w:val="24"/>
        </w:rPr>
        <w:t>and</w:t>
      </w:r>
      <w:r w:rsidR="00342BB4">
        <w:rPr>
          <w:rFonts w:cs="Times New Roman"/>
          <w:szCs w:val="24"/>
        </w:rPr>
        <w:t xml:space="preserve"> </w:t>
      </w:r>
      <w:proofErr w:type="spellStart"/>
      <w:r w:rsidR="00342BB4">
        <w:rPr>
          <w:rFonts w:cs="Times New Roman"/>
          <w:szCs w:val="24"/>
        </w:rPr>
        <w:t>Kaheny</w:t>
      </w:r>
      <w:proofErr w:type="spellEnd"/>
      <w:r w:rsidR="00D50941" w:rsidRPr="00B973F1">
        <w:rPr>
          <w:rFonts w:cs="Times New Roman"/>
          <w:szCs w:val="24"/>
        </w:rPr>
        <w:t xml:space="preserve"> 2000).  The implication is that the theory </w:t>
      </w:r>
      <w:r w:rsidR="00D50941" w:rsidRPr="00B973F1">
        <w:rPr>
          <w:rFonts w:cs="Times New Roman"/>
          <w:szCs w:val="24"/>
        </w:rPr>
        <w:lastRenderedPageBreak/>
        <w:t>of friendly lobbying found in the liter</w:t>
      </w:r>
      <w:r w:rsidR="00D50941">
        <w:rPr>
          <w:rFonts w:cs="Times New Roman"/>
          <w:szCs w:val="24"/>
        </w:rPr>
        <w:t>ature regarding interest groups’</w:t>
      </w:r>
      <w:r w:rsidR="00D50941" w:rsidRPr="00B973F1">
        <w:rPr>
          <w:rFonts w:cs="Times New Roman"/>
          <w:szCs w:val="24"/>
        </w:rPr>
        <w:t xml:space="preserve"> Congressional lobbying – i.e., interest groups are more l</w:t>
      </w:r>
      <w:r w:rsidR="00D50941">
        <w:rPr>
          <w:rFonts w:cs="Times New Roman"/>
          <w:szCs w:val="24"/>
        </w:rPr>
        <w:t xml:space="preserve">ikely to lobby their friends – </w:t>
      </w:r>
      <w:r w:rsidR="00D50941" w:rsidRPr="00B973F1">
        <w:rPr>
          <w:rFonts w:cs="Times New Roman"/>
          <w:szCs w:val="24"/>
        </w:rPr>
        <w:t xml:space="preserve">may not apply in </w:t>
      </w:r>
      <w:r w:rsidR="00342BB4">
        <w:rPr>
          <w:rFonts w:cs="Times New Roman"/>
          <w:szCs w:val="24"/>
        </w:rPr>
        <w:t>the context of the USSC</w:t>
      </w:r>
      <w:r w:rsidR="00D50941" w:rsidRPr="00B973F1">
        <w:rPr>
          <w:rFonts w:cs="Times New Roman"/>
          <w:szCs w:val="24"/>
        </w:rPr>
        <w:t>.</w:t>
      </w:r>
      <w:r w:rsidR="00342BB4">
        <w:rPr>
          <w:rFonts w:cs="Times New Roman"/>
          <w:szCs w:val="24"/>
        </w:rPr>
        <w:t xml:space="preserve">  A theory of counter</w:t>
      </w:r>
      <w:r w:rsidR="00D50941">
        <w:rPr>
          <w:rFonts w:cs="Times New Roman"/>
          <w:szCs w:val="24"/>
        </w:rPr>
        <w:t>active lobbying – in which interest groups lobby for the purpose of negating the advocacy effects of their op</w:t>
      </w:r>
      <w:r w:rsidR="00342BB4">
        <w:rPr>
          <w:rFonts w:cs="Times New Roman"/>
          <w:szCs w:val="24"/>
        </w:rPr>
        <w:t>ponents – seems more accurate</w:t>
      </w:r>
      <w:r w:rsidR="00D50941">
        <w:rPr>
          <w:rFonts w:cs="Times New Roman"/>
          <w:szCs w:val="24"/>
        </w:rPr>
        <w:t xml:space="preserve"> in the context of interest groups’ activity in the litigation area (</w:t>
      </w:r>
      <w:proofErr w:type="spellStart"/>
      <w:r w:rsidR="00D50941">
        <w:rPr>
          <w:rFonts w:cs="Times New Roman"/>
          <w:szCs w:val="24"/>
        </w:rPr>
        <w:t>Solowiej</w:t>
      </w:r>
      <w:proofErr w:type="spellEnd"/>
      <w:r w:rsidR="00D50941">
        <w:rPr>
          <w:rFonts w:cs="Times New Roman"/>
          <w:szCs w:val="24"/>
        </w:rPr>
        <w:t xml:space="preserve"> </w:t>
      </w:r>
      <w:r w:rsidR="000D6839">
        <w:rPr>
          <w:rFonts w:cs="Times New Roman"/>
          <w:szCs w:val="24"/>
        </w:rPr>
        <w:t>and</w:t>
      </w:r>
      <w:r w:rsidR="00D50941">
        <w:rPr>
          <w:rFonts w:cs="Times New Roman"/>
          <w:szCs w:val="24"/>
        </w:rPr>
        <w:t xml:space="preserve"> Collins 2009).</w:t>
      </w:r>
    </w:p>
    <w:p w:rsidR="00D50941" w:rsidRDefault="00D50941" w:rsidP="00D50941">
      <w:pPr>
        <w:spacing w:line="480" w:lineRule="auto"/>
        <w:ind w:left="0" w:firstLine="720"/>
        <w:rPr>
          <w:rFonts w:cs="Times New Roman"/>
          <w:szCs w:val="24"/>
        </w:rPr>
      </w:pPr>
      <w:r>
        <w:rPr>
          <w:rFonts w:cs="Times New Roman"/>
          <w:szCs w:val="24"/>
        </w:rPr>
        <w:t xml:space="preserve">Thus, the decision to file an amicus </w:t>
      </w:r>
      <w:r w:rsidRPr="00511CEB">
        <w:rPr>
          <w:rFonts w:cs="Times New Roman"/>
          <w:szCs w:val="24"/>
        </w:rPr>
        <w:t>brief is a function of the</w:t>
      </w:r>
      <w:r>
        <w:rPr>
          <w:rFonts w:cs="Times New Roman"/>
          <w:szCs w:val="24"/>
        </w:rPr>
        <w:t xml:space="preserve"> presence of other opposing amici, the</w:t>
      </w:r>
      <w:r w:rsidRPr="00511CEB">
        <w:rPr>
          <w:rFonts w:cs="Times New Roman"/>
          <w:szCs w:val="24"/>
        </w:rPr>
        <w:t xml:space="preserve"> antici</w:t>
      </w:r>
      <w:r w:rsidR="00342BB4">
        <w:rPr>
          <w:rFonts w:cs="Times New Roman"/>
          <w:szCs w:val="24"/>
        </w:rPr>
        <w:t>pated receptiveness of the USSC, the USSC</w:t>
      </w:r>
      <w:r w:rsidRPr="00511CEB">
        <w:rPr>
          <w:rFonts w:cs="Times New Roman"/>
          <w:szCs w:val="24"/>
        </w:rPr>
        <w:t xml:space="preserve">’s need for information, and the potential for this form of advocacy to allow membership-based groups to attract support (Hansford 2004a </w:t>
      </w:r>
      <w:r w:rsidR="00B50C33">
        <w:rPr>
          <w:rFonts w:cs="Times New Roman"/>
          <w:szCs w:val="24"/>
        </w:rPr>
        <w:t xml:space="preserve">and </w:t>
      </w:r>
      <w:r w:rsidRPr="00511CEB">
        <w:rPr>
          <w:rFonts w:cs="Times New Roman"/>
          <w:szCs w:val="24"/>
        </w:rPr>
        <w:t>b).  An interest group is more likely to submit a</w:t>
      </w:r>
      <w:r w:rsidR="00342BB4">
        <w:rPr>
          <w:rFonts w:cs="Times New Roman"/>
          <w:szCs w:val="24"/>
        </w:rPr>
        <w:t>micus curiae briefs to the USSC if the USSC</w:t>
      </w:r>
      <w:r w:rsidRPr="00511CEB">
        <w:rPr>
          <w:rFonts w:cs="Times New Roman"/>
          <w:szCs w:val="24"/>
        </w:rPr>
        <w:t xml:space="preserve"> is receptive and if the interest</w:t>
      </w:r>
      <w:r w:rsidR="00342BB4">
        <w:rPr>
          <w:rFonts w:cs="Times New Roman"/>
          <w:szCs w:val="24"/>
        </w:rPr>
        <w:t xml:space="preserve"> group</w:t>
      </w:r>
      <w:r w:rsidRPr="00511CEB">
        <w:rPr>
          <w:rFonts w:cs="Times New Roman"/>
          <w:szCs w:val="24"/>
        </w:rPr>
        <w:t xml:space="preserve"> has</w:t>
      </w:r>
      <w:r w:rsidR="00342BB4">
        <w:rPr>
          <w:rFonts w:cs="Times New Roman"/>
          <w:szCs w:val="24"/>
        </w:rPr>
        <w:t xml:space="preserve"> had</w:t>
      </w:r>
      <w:r w:rsidRPr="00511CEB">
        <w:rPr>
          <w:rFonts w:cs="Times New Roman"/>
          <w:szCs w:val="24"/>
        </w:rPr>
        <w:t xml:space="preserve"> prev</w:t>
      </w:r>
      <w:r w:rsidR="00342BB4">
        <w:rPr>
          <w:rFonts w:cs="Times New Roman"/>
          <w:szCs w:val="24"/>
        </w:rPr>
        <w:t>ious interactions with the USSC</w:t>
      </w:r>
      <w:r w:rsidRPr="00511CEB">
        <w:rPr>
          <w:rFonts w:cs="Times New Roman"/>
          <w:szCs w:val="24"/>
        </w:rPr>
        <w:t xml:space="preserve"> (Hansford 2004b).  Interest groups are less likely to submit briefs when the parties in a case are represented by experienced attorneys (Hansford 2004a). </w:t>
      </w:r>
      <w:r w:rsidR="00342BB4">
        <w:rPr>
          <w:rFonts w:cs="Times New Roman"/>
          <w:szCs w:val="24"/>
        </w:rPr>
        <w:t xml:space="preserve"> </w:t>
      </w:r>
      <w:r w:rsidR="000E3BEF">
        <w:rPr>
          <w:rFonts w:cs="Times New Roman"/>
          <w:szCs w:val="24"/>
        </w:rPr>
        <w:t>Likelihood of media coverage has been shown to have</w:t>
      </w:r>
      <w:r w:rsidRPr="00511CEB">
        <w:rPr>
          <w:rFonts w:cs="Times New Roman"/>
          <w:szCs w:val="24"/>
        </w:rPr>
        <w:t xml:space="preserve"> the largest substantive effect on the probability o</w:t>
      </w:r>
      <w:r w:rsidR="000E3BEF">
        <w:rPr>
          <w:rFonts w:cs="Times New Roman"/>
          <w:szCs w:val="24"/>
        </w:rPr>
        <w:t>f a membership-based interest</w:t>
      </w:r>
      <w:r w:rsidRPr="00511CEB">
        <w:rPr>
          <w:rFonts w:cs="Times New Roman"/>
          <w:szCs w:val="24"/>
        </w:rPr>
        <w:t xml:space="preserve"> filing an amicus brief (Hansford 2004b).</w:t>
      </w:r>
      <w:r>
        <w:rPr>
          <w:rFonts w:cs="Times New Roman"/>
          <w:szCs w:val="24"/>
        </w:rPr>
        <w:t xml:space="preserve"> </w:t>
      </w:r>
      <w:r w:rsidR="00B50C33">
        <w:rPr>
          <w:rFonts w:cs="Times New Roman"/>
          <w:szCs w:val="24"/>
        </w:rPr>
        <w:t xml:space="preserve"> Hansford’s (2004a and </w:t>
      </w:r>
      <w:r w:rsidRPr="00511CEB">
        <w:rPr>
          <w:rFonts w:cs="Times New Roman"/>
          <w:szCs w:val="24"/>
        </w:rPr>
        <w:t>b) studies suggest that</w:t>
      </w:r>
      <w:r>
        <w:rPr>
          <w:rFonts w:cs="Times New Roman"/>
          <w:szCs w:val="24"/>
        </w:rPr>
        <w:t xml:space="preserve"> the information function is </w:t>
      </w:r>
      <w:r w:rsidRPr="00511CEB">
        <w:rPr>
          <w:rFonts w:cs="Times New Roman"/>
          <w:szCs w:val="24"/>
        </w:rPr>
        <w:t>p</w:t>
      </w:r>
      <w:r>
        <w:rPr>
          <w:rFonts w:cs="Times New Roman"/>
          <w:szCs w:val="24"/>
        </w:rPr>
        <w:t xml:space="preserve">robably the most significant </w:t>
      </w:r>
      <w:r w:rsidRPr="00511CEB">
        <w:rPr>
          <w:rFonts w:cs="Times New Roman"/>
          <w:szCs w:val="24"/>
        </w:rPr>
        <w:t>factor</w:t>
      </w:r>
      <w:r w:rsidR="000E3BEF">
        <w:rPr>
          <w:rFonts w:cs="Times New Roman"/>
          <w:szCs w:val="24"/>
        </w:rPr>
        <w:t xml:space="preserve"> underlying a group’s decision of whether or not to participate as an amicus curiae</w:t>
      </w:r>
      <w:r>
        <w:rPr>
          <w:rFonts w:cs="Times New Roman"/>
          <w:szCs w:val="24"/>
        </w:rPr>
        <w:t xml:space="preserve">: </w:t>
      </w:r>
      <w:r w:rsidRPr="00511CEB">
        <w:rPr>
          <w:rFonts w:cs="Times New Roman"/>
          <w:szCs w:val="24"/>
        </w:rPr>
        <w:t xml:space="preserve"> organized groups seek o</w:t>
      </w:r>
      <w:r w:rsidR="00342BB4">
        <w:rPr>
          <w:rFonts w:cs="Times New Roman"/>
          <w:szCs w:val="24"/>
        </w:rPr>
        <w:t>ut situations in which the USSC has less than</w:t>
      </w:r>
      <w:r w:rsidRPr="00511CEB">
        <w:rPr>
          <w:rFonts w:cs="Times New Roman"/>
          <w:szCs w:val="24"/>
        </w:rPr>
        <w:t xml:space="preserve"> optimal information when deciding whether or</w:t>
      </w:r>
      <w:r w:rsidR="00342BB4">
        <w:rPr>
          <w:rFonts w:cs="Times New Roman"/>
          <w:szCs w:val="24"/>
        </w:rPr>
        <w:t xml:space="preserve"> not to file an amicus brief, </w:t>
      </w:r>
      <w:r w:rsidRPr="00511CEB">
        <w:rPr>
          <w:rFonts w:cs="Times New Roman"/>
          <w:szCs w:val="24"/>
        </w:rPr>
        <w:t>because it is in these low-information settings that the group is most likely to exert some influence ov</w:t>
      </w:r>
      <w:r>
        <w:rPr>
          <w:rFonts w:cs="Times New Roman"/>
          <w:szCs w:val="24"/>
        </w:rPr>
        <w:t>er policy decisions of the USSC</w:t>
      </w:r>
      <w:r w:rsidRPr="00511CEB">
        <w:rPr>
          <w:rFonts w:cs="Times New Roman"/>
          <w:szCs w:val="24"/>
        </w:rPr>
        <w:t xml:space="preserve">.  </w:t>
      </w:r>
    </w:p>
    <w:p w:rsidR="00CD0138" w:rsidRPr="006C624A" w:rsidRDefault="00CD0138" w:rsidP="008F48F3">
      <w:pPr>
        <w:spacing w:line="480" w:lineRule="auto"/>
        <w:ind w:left="0" w:firstLine="0"/>
        <w:rPr>
          <w:rFonts w:cs="Times New Roman"/>
          <w:szCs w:val="24"/>
        </w:rPr>
      </w:pPr>
    </w:p>
    <w:p w:rsidR="00D50941" w:rsidRPr="00E312DD" w:rsidRDefault="00D50941" w:rsidP="00D50941">
      <w:pPr>
        <w:pStyle w:val="ListParagraph"/>
        <w:numPr>
          <w:ilvl w:val="0"/>
          <w:numId w:val="7"/>
        </w:numPr>
        <w:spacing w:line="480" w:lineRule="auto"/>
        <w:rPr>
          <w:b/>
          <w:szCs w:val="24"/>
        </w:rPr>
      </w:pPr>
      <w:r w:rsidRPr="00E312DD">
        <w:rPr>
          <w:b/>
          <w:szCs w:val="24"/>
        </w:rPr>
        <w:t xml:space="preserve">Do Amicus Participants </w:t>
      </w:r>
      <w:r w:rsidR="00ED1DE2" w:rsidRPr="00E312DD">
        <w:rPr>
          <w:b/>
          <w:szCs w:val="24"/>
        </w:rPr>
        <w:t xml:space="preserve">Influence </w:t>
      </w:r>
      <w:r w:rsidR="008F48F3" w:rsidRPr="00E312DD">
        <w:rPr>
          <w:b/>
          <w:szCs w:val="24"/>
        </w:rPr>
        <w:t>Judicial Decision-</w:t>
      </w:r>
      <w:r w:rsidRPr="00E312DD">
        <w:rPr>
          <w:b/>
          <w:szCs w:val="24"/>
        </w:rPr>
        <w:t>Making</w:t>
      </w:r>
      <w:r w:rsidR="000778D1">
        <w:rPr>
          <w:b/>
          <w:szCs w:val="24"/>
        </w:rPr>
        <w:t xml:space="preserve"> at the USSC</w:t>
      </w:r>
      <w:r w:rsidRPr="00E312DD">
        <w:rPr>
          <w:b/>
          <w:szCs w:val="24"/>
        </w:rPr>
        <w:t xml:space="preserve">? </w:t>
      </w:r>
    </w:p>
    <w:p w:rsidR="00D50941" w:rsidRDefault="00ED1DE2" w:rsidP="00D50941">
      <w:pPr>
        <w:pStyle w:val="ListParagraph"/>
        <w:spacing w:line="480" w:lineRule="auto"/>
        <w:ind w:left="0" w:firstLine="720"/>
      </w:pPr>
      <w:r>
        <w:t>It is thought</w:t>
      </w:r>
      <w:r w:rsidR="00D50941">
        <w:t xml:space="preserve"> that the USSC justices use amicus briefs to aid their efforts to reach the best and most accurate legal conclusions.  Due to the time and resource constraints </w:t>
      </w:r>
      <w:r>
        <w:t xml:space="preserve">USSC </w:t>
      </w:r>
      <w:r w:rsidR="00D50941">
        <w:t xml:space="preserve">justices </w:t>
      </w:r>
      <w:r w:rsidR="00D50941">
        <w:lastRenderedPageBreak/>
        <w:t xml:space="preserve">face, due to the subjective and indeterminate nature </w:t>
      </w:r>
      <w:r>
        <w:t>of the law, and due to the USSC</w:t>
      </w:r>
      <w:r w:rsidR="00D50941">
        <w:t xml:space="preserve">’s permissive attitude towards amicus participation, the environment is ripe for interest </w:t>
      </w:r>
      <w:r>
        <w:t>group influence on the justices’</w:t>
      </w:r>
      <w:r w:rsidR="00D50941">
        <w:t xml:space="preserve"> decisions (Collins 2008). </w:t>
      </w:r>
    </w:p>
    <w:p w:rsidR="00D50941" w:rsidRDefault="00D50941" w:rsidP="00D50941">
      <w:pPr>
        <w:autoSpaceDE w:val="0"/>
        <w:autoSpaceDN w:val="0"/>
        <w:adjustRightInd w:val="0"/>
        <w:spacing w:line="480" w:lineRule="auto"/>
        <w:ind w:left="0" w:firstLine="720"/>
        <w:rPr>
          <w:rFonts w:cs="Times New Roman"/>
          <w:szCs w:val="24"/>
        </w:rPr>
      </w:pPr>
      <w:r w:rsidRPr="00415BD2">
        <w:rPr>
          <w:rFonts w:cs="Times New Roman"/>
          <w:szCs w:val="24"/>
        </w:rPr>
        <w:t xml:space="preserve">However, evidence on amicus impact is inconclusive and sometimes contradictory.   </w:t>
      </w:r>
      <w:r>
        <w:rPr>
          <w:rFonts w:cs="Times New Roman"/>
          <w:szCs w:val="24"/>
        </w:rPr>
        <w:t xml:space="preserve">For example, Ennis (1984, 603) argues that amicus briefs are impactful in shaping case outcomes: sometimes judges decide cases on a grounds suggested by an amicus, not the parties; and sometimes judicial rulings are narrower or broader than the parties urged because of persuasive amicus briefs.  This leads Ennis to conclude that amicus briefs are not simply “icing on the cake,” but instead “are often the cake itself” (603).  </w:t>
      </w:r>
      <w:r w:rsidR="006558B2">
        <w:rPr>
          <w:rFonts w:cs="Times New Roman"/>
          <w:szCs w:val="24"/>
        </w:rPr>
        <w:t xml:space="preserve">And </w:t>
      </w:r>
      <w:proofErr w:type="spellStart"/>
      <w:r w:rsidR="006558B2">
        <w:rPr>
          <w:rFonts w:cs="Times New Roman"/>
          <w:szCs w:val="24"/>
        </w:rPr>
        <w:t>Caldeira</w:t>
      </w:r>
      <w:proofErr w:type="spellEnd"/>
      <w:r w:rsidR="006558B2">
        <w:rPr>
          <w:rFonts w:cs="Times New Roman"/>
          <w:szCs w:val="24"/>
        </w:rPr>
        <w:t xml:space="preserve"> and Wright (1990, 786) point to the fact that the USSC seldom limit</w:t>
      </w:r>
      <w:r w:rsidR="00ED1DE2">
        <w:rPr>
          <w:rFonts w:cs="Times New Roman"/>
          <w:szCs w:val="24"/>
        </w:rPr>
        <w:t>s</w:t>
      </w:r>
      <w:r w:rsidR="006558B2">
        <w:rPr>
          <w:rFonts w:cs="Times New Roman"/>
          <w:szCs w:val="24"/>
        </w:rPr>
        <w:t xml:space="preserve"> amicus participation as a sign that amicus briefs are valuable to the justices.  </w:t>
      </w:r>
      <w:r>
        <w:rPr>
          <w:rFonts w:cs="Times New Roman"/>
          <w:szCs w:val="24"/>
        </w:rPr>
        <w:t>Yet, t</w:t>
      </w:r>
      <w:r w:rsidRPr="00415BD2">
        <w:rPr>
          <w:rFonts w:cs="Times New Roman"/>
          <w:szCs w:val="24"/>
        </w:rPr>
        <w:t>he authors of one of the leading studies regarding amicus participation and influence at the USSC</w:t>
      </w:r>
      <w:r>
        <w:rPr>
          <w:rFonts w:cs="Times New Roman"/>
          <w:szCs w:val="24"/>
        </w:rPr>
        <w:t xml:space="preserve"> concede</w:t>
      </w:r>
      <w:r w:rsidRPr="00415BD2">
        <w:rPr>
          <w:rFonts w:cs="Times New Roman"/>
          <w:szCs w:val="24"/>
        </w:rPr>
        <w:t xml:space="preserve"> that “attitudes within the legal community about the utility and impact of amicus briefs vary widely” and that the existing studies seeking to determine the i</w:t>
      </w:r>
      <w:r w:rsidR="00ED1DE2">
        <w:rPr>
          <w:rFonts w:cs="Times New Roman"/>
          <w:szCs w:val="24"/>
        </w:rPr>
        <w:t>mpact of the briefs on the USSC</w:t>
      </w:r>
      <w:r w:rsidRPr="00415BD2">
        <w:rPr>
          <w:rFonts w:cs="Times New Roman"/>
          <w:szCs w:val="24"/>
        </w:rPr>
        <w:t xml:space="preserve"> “reach strikingly inconsistent </w:t>
      </w:r>
      <w:r>
        <w:rPr>
          <w:rFonts w:cs="Times New Roman"/>
          <w:szCs w:val="24"/>
        </w:rPr>
        <w:t xml:space="preserve">conclusions” (Kearney </w:t>
      </w:r>
      <w:r w:rsidR="000D6839">
        <w:rPr>
          <w:rFonts w:cs="Times New Roman"/>
          <w:szCs w:val="24"/>
        </w:rPr>
        <w:t>and</w:t>
      </w:r>
      <w:r>
        <w:rPr>
          <w:rFonts w:cs="Times New Roman"/>
          <w:szCs w:val="24"/>
        </w:rPr>
        <w:t xml:space="preserve"> Merrill 2000, 745,769). </w:t>
      </w:r>
      <w:r w:rsidRPr="00415BD2">
        <w:rPr>
          <w:rFonts w:cs="Times New Roman"/>
          <w:szCs w:val="24"/>
        </w:rPr>
        <w:t xml:space="preserve"> </w:t>
      </w:r>
      <w:r>
        <w:rPr>
          <w:rFonts w:cs="Times New Roman"/>
          <w:szCs w:val="24"/>
        </w:rPr>
        <w:t>Various</w:t>
      </w:r>
      <w:r w:rsidRPr="00415BD2">
        <w:rPr>
          <w:rFonts w:cs="Times New Roman"/>
          <w:szCs w:val="24"/>
        </w:rPr>
        <w:t xml:space="preserve"> studies acknowledge that it is not entirely clear the causal effect, if any, amicus briefs have on the </w:t>
      </w:r>
      <w:r w:rsidR="00ED1DE2">
        <w:rPr>
          <w:rFonts w:cs="Times New Roman"/>
          <w:szCs w:val="24"/>
        </w:rPr>
        <w:t>USSC</w:t>
      </w:r>
      <w:r>
        <w:rPr>
          <w:rFonts w:cs="Times New Roman"/>
          <w:szCs w:val="24"/>
        </w:rPr>
        <w:t xml:space="preserve">’s decisions </w:t>
      </w:r>
      <w:r w:rsidRPr="00415BD2">
        <w:rPr>
          <w:rFonts w:cs="Times New Roman"/>
          <w:szCs w:val="24"/>
        </w:rPr>
        <w:t xml:space="preserve">(Collins 2007; </w:t>
      </w:r>
      <w:proofErr w:type="spellStart"/>
      <w:r w:rsidRPr="00415BD2">
        <w:rPr>
          <w:rFonts w:cs="Times New Roman"/>
          <w:szCs w:val="24"/>
        </w:rPr>
        <w:t>Songer</w:t>
      </w:r>
      <w:proofErr w:type="spellEnd"/>
      <w:r w:rsidRPr="00415BD2">
        <w:rPr>
          <w:rFonts w:cs="Times New Roman"/>
          <w:szCs w:val="24"/>
        </w:rPr>
        <w:t xml:space="preserve"> </w:t>
      </w:r>
      <w:r w:rsidR="000D6839">
        <w:rPr>
          <w:rFonts w:cs="Times New Roman"/>
          <w:szCs w:val="24"/>
        </w:rPr>
        <w:t>and</w:t>
      </w:r>
      <w:r w:rsidRPr="00415BD2">
        <w:rPr>
          <w:rFonts w:cs="Times New Roman"/>
          <w:szCs w:val="24"/>
        </w:rPr>
        <w:t xml:space="preserve"> Sheehan 1993; </w:t>
      </w:r>
      <w:proofErr w:type="spellStart"/>
      <w:r w:rsidRPr="00415BD2">
        <w:rPr>
          <w:rFonts w:cs="Times New Roman"/>
          <w:szCs w:val="24"/>
        </w:rPr>
        <w:t>Spriggs</w:t>
      </w:r>
      <w:proofErr w:type="spellEnd"/>
      <w:r w:rsidRPr="00415BD2">
        <w:rPr>
          <w:rFonts w:cs="Times New Roman"/>
          <w:szCs w:val="24"/>
        </w:rPr>
        <w:t xml:space="preserve"> </w:t>
      </w:r>
      <w:r w:rsidR="000D6839">
        <w:rPr>
          <w:rFonts w:cs="Times New Roman"/>
          <w:szCs w:val="24"/>
        </w:rPr>
        <w:t>and</w:t>
      </w:r>
      <w:r w:rsidRPr="00415BD2">
        <w:rPr>
          <w:rFonts w:cs="Times New Roman"/>
          <w:szCs w:val="24"/>
        </w:rPr>
        <w:t xml:space="preserve"> </w:t>
      </w:r>
      <w:proofErr w:type="spellStart"/>
      <w:r w:rsidRPr="00415BD2">
        <w:rPr>
          <w:rFonts w:cs="Times New Roman"/>
          <w:szCs w:val="24"/>
        </w:rPr>
        <w:t>Wahlbeck</w:t>
      </w:r>
      <w:proofErr w:type="spellEnd"/>
      <w:r w:rsidRPr="00415BD2">
        <w:rPr>
          <w:rFonts w:cs="Times New Roman"/>
          <w:szCs w:val="24"/>
        </w:rPr>
        <w:t xml:space="preserve"> 1997).</w:t>
      </w:r>
      <w:r>
        <w:rPr>
          <w:rFonts w:cs="Times New Roman"/>
          <w:szCs w:val="24"/>
        </w:rPr>
        <w:t xml:space="preserve">  </w:t>
      </w:r>
      <w:r w:rsidR="00314F8E">
        <w:rPr>
          <w:rFonts w:cs="Times New Roman"/>
          <w:szCs w:val="24"/>
        </w:rPr>
        <w:t>As mentioned previously, t</w:t>
      </w:r>
      <w:r w:rsidRPr="00415BD2">
        <w:rPr>
          <w:rFonts w:cs="Times New Roman"/>
          <w:szCs w:val="24"/>
        </w:rPr>
        <w:t>he tendency of amicus briefs to be evenly distributed on both sides of a case (“arms race phenomenon” or “counteractive lobbying”) may ex</w:t>
      </w:r>
      <w:r w:rsidR="00314F8E">
        <w:rPr>
          <w:rFonts w:cs="Times New Roman"/>
          <w:szCs w:val="24"/>
        </w:rPr>
        <w:t xml:space="preserve">plain, </w:t>
      </w:r>
      <w:r w:rsidRPr="00415BD2">
        <w:rPr>
          <w:rFonts w:cs="Times New Roman"/>
          <w:szCs w:val="24"/>
        </w:rPr>
        <w:t>in part</w:t>
      </w:r>
      <w:r w:rsidR="00314F8E">
        <w:rPr>
          <w:rFonts w:cs="Times New Roman"/>
          <w:szCs w:val="24"/>
        </w:rPr>
        <w:t>,</w:t>
      </w:r>
      <w:r w:rsidRPr="00415BD2">
        <w:rPr>
          <w:rFonts w:cs="Times New Roman"/>
          <w:szCs w:val="24"/>
        </w:rPr>
        <w:t xml:space="preserve"> why it is often difficult to detect the substantive impact of amicus briefs on case outcomes (Kearney </w:t>
      </w:r>
      <w:r w:rsidR="000D6839">
        <w:rPr>
          <w:rFonts w:cs="Times New Roman"/>
          <w:szCs w:val="24"/>
        </w:rPr>
        <w:t>and</w:t>
      </w:r>
      <w:r w:rsidRPr="00415BD2">
        <w:rPr>
          <w:rFonts w:cs="Times New Roman"/>
          <w:szCs w:val="24"/>
        </w:rPr>
        <w:t xml:space="preserve"> Merrill 2000). </w:t>
      </w:r>
      <w:r w:rsidR="000963E8">
        <w:rPr>
          <w:rFonts w:cs="Times New Roman"/>
          <w:szCs w:val="24"/>
        </w:rPr>
        <w:t xml:space="preserve"> Or</w:t>
      </w:r>
      <w:r w:rsidR="00015755">
        <w:rPr>
          <w:rFonts w:cs="Times New Roman"/>
          <w:szCs w:val="24"/>
        </w:rPr>
        <w:t>,</w:t>
      </w:r>
      <w:r w:rsidR="000963E8">
        <w:rPr>
          <w:rFonts w:cs="Times New Roman"/>
          <w:szCs w:val="24"/>
        </w:rPr>
        <w:t xml:space="preserve"> it may be that this amicus proliferation and arms race phenomenon does not merely mask, but instead dilutes, amici’s effectiveness.  This may be related to </w:t>
      </w:r>
      <w:r w:rsidR="00015755">
        <w:rPr>
          <w:rFonts w:cs="Times New Roman"/>
          <w:szCs w:val="24"/>
        </w:rPr>
        <w:t xml:space="preserve">the simple fact that </w:t>
      </w:r>
      <w:r w:rsidR="002304DB">
        <w:rPr>
          <w:rFonts w:cs="Times New Roman"/>
          <w:szCs w:val="24"/>
        </w:rPr>
        <w:t>judges’</w:t>
      </w:r>
      <w:r w:rsidR="00015755">
        <w:rPr>
          <w:rFonts w:cs="Times New Roman"/>
          <w:szCs w:val="24"/>
        </w:rPr>
        <w:t xml:space="preserve"> interest in reading </w:t>
      </w:r>
      <w:r w:rsidR="00015755">
        <w:rPr>
          <w:rFonts w:cs="Times New Roman"/>
          <w:szCs w:val="24"/>
        </w:rPr>
        <w:lastRenderedPageBreak/>
        <w:t>bri</w:t>
      </w:r>
      <w:r w:rsidR="002304DB">
        <w:rPr>
          <w:rFonts w:cs="Times New Roman"/>
          <w:szCs w:val="24"/>
        </w:rPr>
        <w:t>efs is</w:t>
      </w:r>
      <w:r w:rsidR="00015755">
        <w:rPr>
          <w:rFonts w:cs="Times New Roman"/>
          <w:szCs w:val="24"/>
        </w:rPr>
        <w:t xml:space="preserve"> inversely proportional to the</w:t>
      </w:r>
      <w:r w:rsidR="000963E8">
        <w:rPr>
          <w:rFonts w:cs="Times New Roman"/>
          <w:szCs w:val="24"/>
        </w:rPr>
        <w:t xml:space="preserve"> sheer number of briefs filed (Simpson </w:t>
      </w:r>
      <w:r w:rsidR="000D6839">
        <w:rPr>
          <w:rFonts w:cs="Times New Roman"/>
          <w:szCs w:val="24"/>
        </w:rPr>
        <w:t>and</w:t>
      </w:r>
      <w:r w:rsidR="000963E8">
        <w:rPr>
          <w:rFonts w:cs="Times New Roman"/>
          <w:szCs w:val="24"/>
        </w:rPr>
        <w:t xml:space="preserve"> </w:t>
      </w:r>
      <w:proofErr w:type="spellStart"/>
      <w:r w:rsidR="000963E8">
        <w:rPr>
          <w:rFonts w:cs="Times New Roman"/>
          <w:szCs w:val="24"/>
        </w:rPr>
        <w:t>Vasaly</w:t>
      </w:r>
      <w:proofErr w:type="spellEnd"/>
      <w:r w:rsidR="000963E8">
        <w:rPr>
          <w:rFonts w:cs="Times New Roman"/>
          <w:szCs w:val="24"/>
        </w:rPr>
        <w:t xml:space="preserve"> 2004, 15).</w:t>
      </w:r>
    </w:p>
    <w:p w:rsidR="00D50941" w:rsidRDefault="00D50941" w:rsidP="00D50941">
      <w:pPr>
        <w:autoSpaceDE w:val="0"/>
        <w:autoSpaceDN w:val="0"/>
        <w:adjustRightInd w:val="0"/>
        <w:spacing w:line="480" w:lineRule="auto"/>
        <w:ind w:left="0" w:firstLine="720"/>
        <w:rPr>
          <w:rFonts w:cs="Times New Roman"/>
          <w:color w:val="FF0000"/>
          <w:szCs w:val="24"/>
        </w:rPr>
      </w:pPr>
      <w:r>
        <w:rPr>
          <w:rFonts w:cs="Times New Roman"/>
          <w:szCs w:val="24"/>
        </w:rPr>
        <w:t>Individual amicus briefs may be influential in particular cases, even if aggregate studies of amici determine that, on balance, they are not.</w:t>
      </w:r>
      <w:r>
        <w:rPr>
          <w:rFonts w:cs="Times New Roman"/>
          <w:color w:val="FF0000"/>
          <w:szCs w:val="24"/>
        </w:rPr>
        <w:t xml:space="preserve">  </w:t>
      </w:r>
      <w:r w:rsidR="00314F8E">
        <w:rPr>
          <w:rFonts w:cs="Times New Roman"/>
          <w:szCs w:val="24"/>
        </w:rPr>
        <w:t>Much a</w:t>
      </w:r>
      <w:r>
        <w:rPr>
          <w:rFonts w:cs="Times New Roman"/>
          <w:szCs w:val="24"/>
        </w:rPr>
        <w:t xml:space="preserve">necdotal evidence of amicus brief influence in particular cases certainly exists.  For example, scholars have noted the impact of amici in such landmark USSC cases as </w:t>
      </w:r>
      <w:r w:rsidR="00C81095">
        <w:rPr>
          <w:rFonts w:cs="Times New Roman"/>
          <w:szCs w:val="24"/>
        </w:rPr>
        <w:t xml:space="preserve">the following:  </w:t>
      </w:r>
      <w:r w:rsidRPr="00765F52">
        <w:rPr>
          <w:rFonts w:cs="Times New Roman"/>
          <w:i/>
          <w:szCs w:val="24"/>
        </w:rPr>
        <w:t>Brown v. Board of Education</w:t>
      </w:r>
      <w:r>
        <w:rPr>
          <w:rFonts w:cs="Times New Roman"/>
          <w:szCs w:val="24"/>
        </w:rPr>
        <w:t xml:space="preserve"> (1954) – in which the USSC cited information provided by amici that </w:t>
      </w:r>
      <w:r w:rsidR="002304DB">
        <w:rPr>
          <w:rFonts w:cs="Times New Roman"/>
          <w:szCs w:val="24"/>
        </w:rPr>
        <w:t xml:space="preserve">segregation </w:t>
      </w:r>
      <w:r>
        <w:rPr>
          <w:rFonts w:cs="Times New Roman"/>
          <w:szCs w:val="24"/>
        </w:rPr>
        <w:t>generates a feeling of inf</w:t>
      </w:r>
      <w:r w:rsidR="00314F8E">
        <w:rPr>
          <w:rFonts w:cs="Times New Roman"/>
          <w:szCs w:val="24"/>
        </w:rPr>
        <w:t>eriority among persons of color;</w:t>
      </w:r>
      <w:r>
        <w:rPr>
          <w:rFonts w:cs="Times New Roman"/>
          <w:szCs w:val="24"/>
        </w:rPr>
        <w:t xml:space="preserve"> </w:t>
      </w:r>
      <w:proofErr w:type="spellStart"/>
      <w:r>
        <w:rPr>
          <w:rFonts w:cs="Times New Roman"/>
          <w:i/>
          <w:szCs w:val="24"/>
        </w:rPr>
        <w:t>Mapp</w:t>
      </w:r>
      <w:proofErr w:type="spellEnd"/>
      <w:r>
        <w:rPr>
          <w:rFonts w:cs="Times New Roman"/>
          <w:i/>
          <w:szCs w:val="24"/>
        </w:rPr>
        <w:t xml:space="preserve"> v. Ohio </w:t>
      </w:r>
      <w:r>
        <w:rPr>
          <w:rFonts w:cs="Times New Roman"/>
          <w:szCs w:val="24"/>
        </w:rPr>
        <w:t>(1961) – in which the USSC extended the exclusionary rule to the states based upon an argument raised solely in the ACLU’s amicus brief (Collin</w:t>
      </w:r>
      <w:r w:rsidR="00314F8E">
        <w:rPr>
          <w:rFonts w:cs="Times New Roman"/>
          <w:szCs w:val="24"/>
        </w:rPr>
        <w:t>s 2008, 142);</w:t>
      </w:r>
      <w:r>
        <w:rPr>
          <w:rFonts w:cs="Times New Roman"/>
          <w:color w:val="FF0000"/>
          <w:szCs w:val="24"/>
        </w:rPr>
        <w:t xml:space="preserve"> </w:t>
      </w:r>
      <w:r w:rsidRPr="00765F52">
        <w:rPr>
          <w:rFonts w:cs="Times New Roman"/>
          <w:i/>
          <w:szCs w:val="24"/>
        </w:rPr>
        <w:t>Roe v. Wade</w:t>
      </w:r>
      <w:r>
        <w:rPr>
          <w:rFonts w:cs="Times New Roman"/>
          <w:szCs w:val="24"/>
        </w:rPr>
        <w:t xml:space="preserve"> (1973) – in  which the USSC</w:t>
      </w:r>
      <w:r w:rsidR="009B6650">
        <w:rPr>
          <w:rFonts w:cs="Times New Roman"/>
          <w:szCs w:val="24"/>
        </w:rPr>
        <w:t xml:space="preserve"> expressly referred to positions urged by amici and </w:t>
      </w:r>
      <w:r>
        <w:rPr>
          <w:rFonts w:cs="Times New Roman"/>
          <w:szCs w:val="24"/>
        </w:rPr>
        <w:t xml:space="preserve"> relied upon information supplied by amici describing the </w:t>
      </w:r>
      <w:r w:rsidR="00314F8E">
        <w:rPr>
          <w:rFonts w:cs="Times New Roman"/>
          <w:szCs w:val="24"/>
        </w:rPr>
        <w:t>risks of abortion and discussing</w:t>
      </w:r>
      <w:r>
        <w:rPr>
          <w:rFonts w:cs="Times New Roman"/>
          <w:szCs w:val="24"/>
        </w:rPr>
        <w:t xml:space="preserve"> beliefs regarding the beginnin</w:t>
      </w:r>
      <w:r w:rsidR="00314F8E">
        <w:rPr>
          <w:rFonts w:cs="Times New Roman"/>
          <w:szCs w:val="24"/>
        </w:rPr>
        <w:t>g of life (</w:t>
      </w:r>
      <w:proofErr w:type="spellStart"/>
      <w:r w:rsidR="00314F8E">
        <w:rPr>
          <w:rFonts w:cs="Times New Roman"/>
          <w:szCs w:val="24"/>
        </w:rPr>
        <w:t>Simard</w:t>
      </w:r>
      <w:proofErr w:type="spellEnd"/>
      <w:r w:rsidR="00314F8E">
        <w:rPr>
          <w:rFonts w:cs="Times New Roman"/>
          <w:szCs w:val="24"/>
        </w:rPr>
        <w:t xml:space="preserve"> 2007-08, 671)</w:t>
      </w:r>
      <w:r w:rsidR="009B6650">
        <w:rPr>
          <w:rFonts w:cs="Times New Roman"/>
          <w:szCs w:val="24"/>
        </w:rPr>
        <w:t xml:space="preserve"> – and companion case </w:t>
      </w:r>
      <w:r w:rsidR="009B6650">
        <w:rPr>
          <w:rFonts w:cs="Times New Roman"/>
          <w:i/>
          <w:szCs w:val="24"/>
        </w:rPr>
        <w:t xml:space="preserve">Doe v. Bolton </w:t>
      </w:r>
      <w:r w:rsidR="009B6650">
        <w:rPr>
          <w:rFonts w:cs="Times New Roman"/>
          <w:szCs w:val="24"/>
        </w:rPr>
        <w:t>(1973) – in which the majority expressly relied on data provided by amici showing that facilities other than hospitals are adequate to perform abortions (</w:t>
      </w:r>
      <w:proofErr w:type="spellStart"/>
      <w:r w:rsidR="009B6650">
        <w:rPr>
          <w:rFonts w:cs="Times New Roman"/>
          <w:szCs w:val="24"/>
        </w:rPr>
        <w:t>Sungaila</w:t>
      </w:r>
      <w:proofErr w:type="spellEnd"/>
      <w:r w:rsidR="009B6650">
        <w:rPr>
          <w:rFonts w:cs="Times New Roman"/>
          <w:szCs w:val="24"/>
        </w:rPr>
        <w:t xml:space="preserve"> 2010, 3)</w:t>
      </w:r>
      <w:r w:rsidR="00314F8E">
        <w:rPr>
          <w:rFonts w:cs="Times New Roman"/>
          <w:szCs w:val="24"/>
        </w:rPr>
        <w:t>;</w:t>
      </w:r>
      <w:r>
        <w:rPr>
          <w:rFonts w:cs="Times New Roman"/>
          <w:szCs w:val="24"/>
        </w:rPr>
        <w:t xml:space="preserve"> </w:t>
      </w:r>
      <w:r>
        <w:rPr>
          <w:rFonts w:cs="Times New Roman"/>
          <w:i/>
          <w:szCs w:val="24"/>
        </w:rPr>
        <w:t xml:space="preserve">Epperson v. Arkansas </w:t>
      </w:r>
      <w:r>
        <w:rPr>
          <w:rFonts w:cs="Times New Roman"/>
          <w:szCs w:val="24"/>
        </w:rPr>
        <w:t>(1968) – in which the USSC struck down a</w:t>
      </w:r>
      <w:r w:rsidR="00314F8E">
        <w:rPr>
          <w:rFonts w:cs="Times New Roman"/>
          <w:szCs w:val="24"/>
        </w:rPr>
        <w:t xml:space="preserve"> state</w:t>
      </w:r>
      <w:r>
        <w:rPr>
          <w:rFonts w:cs="Times New Roman"/>
          <w:szCs w:val="24"/>
        </w:rPr>
        <w:t xml:space="preserve"> statute </w:t>
      </w:r>
      <w:r w:rsidR="00314F8E">
        <w:rPr>
          <w:rFonts w:cs="Times New Roman"/>
          <w:szCs w:val="24"/>
        </w:rPr>
        <w:t xml:space="preserve">prohibiting the teaching of human evolution in public schools </w:t>
      </w:r>
      <w:r>
        <w:rPr>
          <w:rFonts w:cs="Times New Roman"/>
          <w:szCs w:val="24"/>
        </w:rPr>
        <w:t>based on grounds raised solely in an amicus brief by the ACLU and the American Jewi</w:t>
      </w:r>
      <w:r w:rsidR="00314F8E">
        <w:rPr>
          <w:rFonts w:cs="Times New Roman"/>
          <w:szCs w:val="24"/>
        </w:rPr>
        <w:t>sh Congress (</w:t>
      </w:r>
      <w:proofErr w:type="spellStart"/>
      <w:r w:rsidR="00314F8E">
        <w:rPr>
          <w:rFonts w:cs="Times New Roman"/>
          <w:szCs w:val="24"/>
        </w:rPr>
        <w:t>Pfeffer</w:t>
      </w:r>
      <w:proofErr w:type="spellEnd"/>
      <w:r w:rsidR="00314F8E">
        <w:rPr>
          <w:rFonts w:cs="Times New Roman"/>
          <w:szCs w:val="24"/>
        </w:rPr>
        <w:t xml:space="preserve"> 1981, 108);</w:t>
      </w:r>
      <w:r>
        <w:rPr>
          <w:rFonts w:cs="Times New Roman"/>
          <w:szCs w:val="24"/>
        </w:rPr>
        <w:t xml:space="preserve"> </w:t>
      </w:r>
      <w:r>
        <w:rPr>
          <w:rFonts w:cs="Times New Roman"/>
          <w:i/>
          <w:szCs w:val="24"/>
        </w:rPr>
        <w:t xml:space="preserve">Metromedia, Inc. v. San Diego </w:t>
      </w:r>
      <w:r>
        <w:rPr>
          <w:rFonts w:cs="Times New Roman"/>
          <w:szCs w:val="24"/>
        </w:rPr>
        <w:t>(1981) – in which Justice White authored a plur</w:t>
      </w:r>
      <w:r w:rsidR="002304DB">
        <w:rPr>
          <w:rFonts w:cs="Times New Roman"/>
          <w:szCs w:val="24"/>
        </w:rPr>
        <w:t>ality opinion striking down San</w:t>
      </w:r>
      <w:r>
        <w:rPr>
          <w:rFonts w:cs="Times New Roman"/>
          <w:szCs w:val="24"/>
        </w:rPr>
        <w:t xml:space="preserve"> Diego’s billboard ban due to the influence of ACLU’s amicus brief (Enni</w:t>
      </w:r>
      <w:r w:rsidR="00C81095">
        <w:rPr>
          <w:rFonts w:cs="Times New Roman"/>
          <w:szCs w:val="24"/>
        </w:rPr>
        <w:t xml:space="preserve">s 1984, 607; </w:t>
      </w:r>
      <w:proofErr w:type="spellStart"/>
      <w:r w:rsidR="00C81095">
        <w:rPr>
          <w:rFonts w:cs="Times New Roman"/>
          <w:szCs w:val="24"/>
        </w:rPr>
        <w:t>Hedman</w:t>
      </w:r>
      <w:proofErr w:type="spellEnd"/>
      <w:r w:rsidR="00C81095">
        <w:rPr>
          <w:rFonts w:cs="Times New Roman"/>
          <w:szCs w:val="24"/>
        </w:rPr>
        <w:t xml:space="preserve"> 1991, 190); </w:t>
      </w:r>
      <w:r>
        <w:rPr>
          <w:rFonts w:cs="Times New Roman"/>
          <w:i/>
          <w:szCs w:val="24"/>
        </w:rPr>
        <w:t xml:space="preserve">Webster v. Reproductive Health Services </w:t>
      </w:r>
      <w:r>
        <w:rPr>
          <w:rFonts w:cs="Times New Roman"/>
          <w:szCs w:val="24"/>
        </w:rPr>
        <w:t>(1989)</w:t>
      </w:r>
      <w:r w:rsidR="00C81095">
        <w:rPr>
          <w:rFonts w:cs="Times New Roman"/>
          <w:szCs w:val="24"/>
        </w:rPr>
        <w:t xml:space="preserve"> </w:t>
      </w:r>
      <w:r w:rsidR="00CF506D">
        <w:rPr>
          <w:rFonts w:cs="Times New Roman"/>
          <w:szCs w:val="24"/>
        </w:rPr>
        <w:t>–</w:t>
      </w:r>
      <w:r w:rsidR="00C81095">
        <w:rPr>
          <w:rFonts w:cs="Times New Roman"/>
          <w:szCs w:val="24"/>
        </w:rPr>
        <w:t xml:space="preserve"> </w:t>
      </w:r>
      <w:r w:rsidR="008F096E">
        <w:rPr>
          <w:rFonts w:cs="Times New Roman"/>
          <w:szCs w:val="24"/>
        </w:rPr>
        <w:t xml:space="preserve">an abortion rights case with 85 amicus briefs; </w:t>
      </w:r>
      <w:proofErr w:type="spellStart"/>
      <w:r w:rsidRPr="007230B5">
        <w:rPr>
          <w:rFonts w:cs="Times New Roman"/>
          <w:i/>
          <w:szCs w:val="24"/>
        </w:rPr>
        <w:t>Grutter</w:t>
      </w:r>
      <w:proofErr w:type="spellEnd"/>
      <w:r w:rsidRPr="007230B5">
        <w:rPr>
          <w:rFonts w:cs="Times New Roman"/>
          <w:i/>
          <w:szCs w:val="24"/>
        </w:rPr>
        <w:t xml:space="preserve"> v. Bollinger</w:t>
      </w:r>
      <w:r>
        <w:rPr>
          <w:rFonts w:cs="Times New Roman"/>
          <w:szCs w:val="24"/>
        </w:rPr>
        <w:t xml:space="preserve"> (2003) and </w:t>
      </w:r>
      <w:proofErr w:type="spellStart"/>
      <w:r>
        <w:rPr>
          <w:rFonts w:cs="Times New Roman"/>
          <w:i/>
          <w:szCs w:val="24"/>
        </w:rPr>
        <w:t>Gratz</w:t>
      </w:r>
      <w:proofErr w:type="spellEnd"/>
      <w:r>
        <w:rPr>
          <w:rFonts w:cs="Times New Roman"/>
          <w:i/>
          <w:szCs w:val="24"/>
        </w:rPr>
        <w:t xml:space="preserve"> v. Bollinger (2003)</w:t>
      </w:r>
      <w:r w:rsidR="00C81095">
        <w:rPr>
          <w:rFonts w:cs="Times New Roman"/>
          <w:i/>
          <w:szCs w:val="24"/>
        </w:rPr>
        <w:t xml:space="preserve"> </w:t>
      </w:r>
      <w:r w:rsidR="00C81095">
        <w:rPr>
          <w:rFonts w:cs="Times New Roman"/>
          <w:szCs w:val="24"/>
        </w:rPr>
        <w:t>companion cases</w:t>
      </w:r>
      <w:r>
        <w:rPr>
          <w:rFonts w:cs="Times New Roman"/>
          <w:szCs w:val="24"/>
        </w:rPr>
        <w:t xml:space="preserve"> – in which the USSC relied upon information supplied by high ranking retired military personnel</w:t>
      </w:r>
      <w:r w:rsidR="008F096E">
        <w:rPr>
          <w:rFonts w:cs="Times New Roman"/>
          <w:szCs w:val="24"/>
        </w:rPr>
        <w:t>, including General Norman Schwarzkopf,</w:t>
      </w:r>
      <w:r>
        <w:rPr>
          <w:rFonts w:cs="Times New Roman"/>
          <w:szCs w:val="24"/>
        </w:rPr>
        <w:t xml:space="preserve"> about the importance of</w:t>
      </w:r>
      <w:r w:rsidR="008F096E">
        <w:rPr>
          <w:rFonts w:cs="Times New Roman"/>
          <w:szCs w:val="24"/>
        </w:rPr>
        <w:t xml:space="preserve"> diversity among military officers</w:t>
      </w:r>
      <w:r>
        <w:rPr>
          <w:rFonts w:cs="Times New Roman"/>
          <w:szCs w:val="24"/>
        </w:rPr>
        <w:t xml:space="preserve"> </w:t>
      </w:r>
      <w:r w:rsidR="008F096E">
        <w:rPr>
          <w:rFonts w:cs="Times New Roman"/>
          <w:szCs w:val="24"/>
        </w:rPr>
        <w:t xml:space="preserve">coming </w:t>
      </w:r>
      <w:r w:rsidR="008F096E">
        <w:rPr>
          <w:rFonts w:cs="Times New Roman"/>
          <w:szCs w:val="24"/>
        </w:rPr>
        <w:lastRenderedPageBreak/>
        <w:t xml:space="preserve">from the service academies and the universities to national security (Simpson </w:t>
      </w:r>
      <w:r w:rsidR="000D6839">
        <w:rPr>
          <w:rFonts w:cs="Times New Roman"/>
          <w:szCs w:val="24"/>
        </w:rPr>
        <w:t>and</w:t>
      </w:r>
      <w:r w:rsidR="008F096E">
        <w:rPr>
          <w:rFonts w:cs="Times New Roman"/>
          <w:szCs w:val="24"/>
        </w:rPr>
        <w:t xml:space="preserve"> </w:t>
      </w:r>
      <w:proofErr w:type="spellStart"/>
      <w:r w:rsidR="008F096E">
        <w:rPr>
          <w:rFonts w:cs="Times New Roman"/>
          <w:szCs w:val="24"/>
        </w:rPr>
        <w:t>Vasaly</w:t>
      </w:r>
      <w:proofErr w:type="spellEnd"/>
      <w:r w:rsidR="008F096E">
        <w:rPr>
          <w:rFonts w:cs="Times New Roman"/>
          <w:szCs w:val="24"/>
        </w:rPr>
        <w:t xml:space="preserve"> 2004, 9); and </w:t>
      </w:r>
      <w:r w:rsidR="008F096E">
        <w:rPr>
          <w:rFonts w:cs="Times New Roman"/>
          <w:i/>
          <w:szCs w:val="24"/>
        </w:rPr>
        <w:t xml:space="preserve">Lawrence v. Texas </w:t>
      </w:r>
      <w:r w:rsidR="008F096E">
        <w:rPr>
          <w:rFonts w:cs="Times New Roman"/>
          <w:szCs w:val="24"/>
        </w:rPr>
        <w:t xml:space="preserve">(2003) – a gay rights case in which the USSC noted the filing of “scholarly amicus briefs” and cited those briefs in deciding to strike down an anti-sodomy law (Simpson </w:t>
      </w:r>
      <w:r w:rsidR="000D6839">
        <w:rPr>
          <w:rFonts w:cs="Times New Roman"/>
          <w:szCs w:val="24"/>
        </w:rPr>
        <w:t>and</w:t>
      </w:r>
      <w:r w:rsidR="008F096E">
        <w:rPr>
          <w:rFonts w:cs="Times New Roman"/>
          <w:szCs w:val="24"/>
        </w:rPr>
        <w:t xml:space="preserve"> </w:t>
      </w:r>
      <w:proofErr w:type="spellStart"/>
      <w:r w:rsidR="008F096E">
        <w:rPr>
          <w:rFonts w:cs="Times New Roman"/>
          <w:szCs w:val="24"/>
        </w:rPr>
        <w:t>Vasaly</w:t>
      </w:r>
      <w:proofErr w:type="spellEnd"/>
      <w:r w:rsidR="008F096E">
        <w:rPr>
          <w:rFonts w:cs="Times New Roman"/>
          <w:szCs w:val="24"/>
        </w:rPr>
        <w:t xml:space="preserve"> 2004, 10).</w:t>
      </w:r>
      <w:r>
        <w:rPr>
          <w:rFonts w:cs="Times New Roman"/>
          <w:szCs w:val="24"/>
        </w:rPr>
        <w:t xml:space="preserve"> </w:t>
      </w:r>
    </w:p>
    <w:p w:rsidR="00D50941" w:rsidRPr="001F6B2E" w:rsidRDefault="00CF506D" w:rsidP="00D50941">
      <w:pPr>
        <w:autoSpaceDE w:val="0"/>
        <w:autoSpaceDN w:val="0"/>
        <w:adjustRightInd w:val="0"/>
        <w:spacing w:line="480" w:lineRule="auto"/>
        <w:ind w:left="0" w:firstLine="720"/>
        <w:rPr>
          <w:rFonts w:cs="Times New Roman"/>
          <w:szCs w:val="24"/>
        </w:rPr>
      </w:pPr>
      <w:r>
        <w:rPr>
          <w:rFonts w:cs="Times New Roman"/>
          <w:szCs w:val="24"/>
        </w:rPr>
        <w:t>Similarly, s</w:t>
      </w:r>
      <w:r w:rsidR="00D50941">
        <w:rPr>
          <w:rFonts w:cs="Times New Roman"/>
          <w:szCs w:val="24"/>
        </w:rPr>
        <w:t>ome</w:t>
      </w:r>
      <w:r w:rsidR="00D50941" w:rsidRPr="008850E2">
        <w:rPr>
          <w:rFonts w:cs="Times New Roman"/>
          <w:szCs w:val="24"/>
        </w:rPr>
        <w:t xml:space="preserve"> studies have attempted to discern the impact of </w:t>
      </w:r>
      <w:r w:rsidR="00D50941" w:rsidRPr="006C624A">
        <w:rPr>
          <w:rFonts w:cs="Times New Roman"/>
          <w:iCs/>
          <w:szCs w:val="24"/>
        </w:rPr>
        <w:t>amici</w:t>
      </w:r>
      <w:r w:rsidR="00D50941" w:rsidRPr="008850E2">
        <w:rPr>
          <w:rFonts w:cs="Times New Roman"/>
          <w:i/>
          <w:iCs/>
          <w:szCs w:val="24"/>
        </w:rPr>
        <w:t xml:space="preserve"> </w:t>
      </w:r>
      <w:r w:rsidR="00D50941" w:rsidRPr="008850E2">
        <w:rPr>
          <w:rFonts w:cs="Times New Roman"/>
          <w:szCs w:val="24"/>
        </w:rPr>
        <w:t>on specific areas of litigation, including church-state relations (</w:t>
      </w:r>
      <w:proofErr w:type="spellStart"/>
      <w:r w:rsidR="00D50941" w:rsidRPr="008850E2">
        <w:rPr>
          <w:rFonts w:cs="Times New Roman"/>
          <w:szCs w:val="24"/>
        </w:rPr>
        <w:t>Ivers</w:t>
      </w:r>
      <w:proofErr w:type="spellEnd"/>
      <w:r w:rsidR="00D50941" w:rsidRPr="008850E2">
        <w:rPr>
          <w:rFonts w:cs="Times New Roman"/>
          <w:szCs w:val="24"/>
        </w:rPr>
        <w:t xml:space="preserve"> 1992; </w:t>
      </w:r>
      <w:proofErr w:type="spellStart"/>
      <w:r w:rsidR="00D50941" w:rsidRPr="008850E2">
        <w:rPr>
          <w:rFonts w:cs="Times New Roman"/>
          <w:szCs w:val="24"/>
        </w:rPr>
        <w:t>Ivers</w:t>
      </w:r>
      <w:proofErr w:type="spellEnd"/>
      <w:r w:rsidR="00D50941" w:rsidRPr="008850E2">
        <w:rPr>
          <w:rFonts w:cs="Times New Roman"/>
          <w:szCs w:val="24"/>
        </w:rPr>
        <w:t xml:space="preserve"> 1990; </w:t>
      </w:r>
      <w:proofErr w:type="spellStart"/>
      <w:r w:rsidR="00D50941" w:rsidRPr="008850E2">
        <w:rPr>
          <w:rFonts w:cs="Times New Roman"/>
          <w:szCs w:val="24"/>
        </w:rPr>
        <w:t>Pfeffer</w:t>
      </w:r>
      <w:proofErr w:type="spellEnd"/>
      <w:r w:rsidR="00D50941" w:rsidRPr="008850E2">
        <w:rPr>
          <w:rFonts w:cs="Times New Roman"/>
          <w:szCs w:val="24"/>
        </w:rPr>
        <w:t xml:space="preserve"> 1981), gender discrimination (</w:t>
      </w:r>
      <w:proofErr w:type="spellStart"/>
      <w:r w:rsidR="00D50941" w:rsidRPr="008850E2">
        <w:rPr>
          <w:rFonts w:cs="Times New Roman"/>
          <w:szCs w:val="24"/>
        </w:rPr>
        <w:t>Wolpert</w:t>
      </w:r>
      <w:proofErr w:type="spellEnd"/>
      <w:r w:rsidR="00D50941" w:rsidRPr="008850E2">
        <w:rPr>
          <w:rFonts w:cs="Times New Roman"/>
          <w:szCs w:val="24"/>
        </w:rPr>
        <w:t xml:space="preserve"> 1991), </w:t>
      </w:r>
      <w:r w:rsidR="00D50941">
        <w:rPr>
          <w:rFonts w:cs="Times New Roman"/>
          <w:szCs w:val="24"/>
        </w:rPr>
        <w:t>women’s rights (O’Connor 1980),</w:t>
      </w:r>
      <w:r w:rsidR="007332F0">
        <w:rPr>
          <w:rFonts w:cs="Times New Roman"/>
          <w:szCs w:val="24"/>
        </w:rPr>
        <w:t xml:space="preserve"> privacy (Samuels 2004),</w:t>
      </w:r>
      <w:r w:rsidR="00D50941">
        <w:rPr>
          <w:rFonts w:cs="Times New Roman"/>
          <w:szCs w:val="24"/>
        </w:rPr>
        <w:t xml:space="preserve"> rape (Coleman 2008)</w:t>
      </w:r>
      <w:r w:rsidR="00EE0D08">
        <w:rPr>
          <w:rFonts w:cs="Times New Roman"/>
          <w:szCs w:val="24"/>
        </w:rPr>
        <w:t>,</w:t>
      </w:r>
      <w:r w:rsidR="00D50941">
        <w:rPr>
          <w:rFonts w:cs="Times New Roman"/>
          <w:szCs w:val="24"/>
        </w:rPr>
        <w:t xml:space="preserve"> environmental protection (</w:t>
      </w:r>
      <w:proofErr w:type="spellStart"/>
      <w:r w:rsidR="00D50941">
        <w:rPr>
          <w:rFonts w:cs="Times New Roman"/>
          <w:szCs w:val="24"/>
        </w:rPr>
        <w:t>Hedman</w:t>
      </w:r>
      <w:proofErr w:type="spellEnd"/>
      <w:r w:rsidR="00D50941">
        <w:rPr>
          <w:rFonts w:cs="Times New Roman"/>
          <w:szCs w:val="24"/>
        </w:rPr>
        <w:t xml:space="preserve"> 1990), affirmative action (O’Neill 1985), </w:t>
      </w:r>
      <w:r w:rsidR="00D50941" w:rsidRPr="008850E2">
        <w:rPr>
          <w:rFonts w:cs="Times New Roman"/>
          <w:szCs w:val="24"/>
        </w:rPr>
        <w:t>abortion (</w:t>
      </w:r>
      <w:proofErr w:type="spellStart"/>
      <w:r w:rsidR="00D50941" w:rsidRPr="008850E2">
        <w:rPr>
          <w:rFonts w:cs="Times New Roman"/>
          <w:szCs w:val="24"/>
        </w:rPr>
        <w:t>Kolbert</w:t>
      </w:r>
      <w:proofErr w:type="spellEnd"/>
      <w:r w:rsidR="00D50941" w:rsidRPr="008850E2">
        <w:rPr>
          <w:rFonts w:cs="Times New Roman"/>
          <w:szCs w:val="24"/>
        </w:rPr>
        <w:t xml:space="preserve"> 1989; </w:t>
      </w:r>
      <w:proofErr w:type="spellStart"/>
      <w:r w:rsidR="00D50941" w:rsidRPr="008850E2">
        <w:rPr>
          <w:rFonts w:cs="Times New Roman"/>
          <w:szCs w:val="24"/>
        </w:rPr>
        <w:t>Behuniak</w:t>
      </w:r>
      <w:proofErr w:type="spellEnd"/>
      <w:r w:rsidR="00D50941" w:rsidRPr="008850E2">
        <w:rPr>
          <w:rFonts w:cs="Times New Roman"/>
          <w:szCs w:val="24"/>
        </w:rPr>
        <w:t xml:space="preserve">-Long 1991), </w:t>
      </w:r>
      <w:r w:rsidR="00D50941">
        <w:rPr>
          <w:rFonts w:cs="Times New Roman"/>
          <w:szCs w:val="24"/>
        </w:rPr>
        <w:t>free speech (</w:t>
      </w:r>
      <w:proofErr w:type="spellStart"/>
      <w:r w:rsidR="00D50941">
        <w:rPr>
          <w:rFonts w:cs="Times New Roman"/>
          <w:szCs w:val="24"/>
        </w:rPr>
        <w:t>Rushin</w:t>
      </w:r>
      <w:proofErr w:type="spellEnd"/>
      <w:r w:rsidR="00D50941">
        <w:rPr>
          <w:rFonts w:cs="Times New Roman"/>
          <w:szCs w:val="24"/>
        </w:rPr>
        <w:t xml:space="preserve"> </w:t>
      </w:r>
      <w:r w:rsidR="000D6839">
        <w:rPr>
          <w:rFonts w:cs="Times New Roman"/>
          <w:szCs w:val="24"/>
        </w:rPr>
        <w:t>and</w:t>
      </w:r>
      <w:r w:rsidR="00D50941">
        <w:rPr>
          <w:rFonts w:cs="Times New Roman"/>
          <w:szCs w:val="24"/>
        </w:rPr>
        <w:t xml:space="preserve"> O’Conner 1987), race relations (</w:t>
      </w:r>
      <w:proofErr w:type="spellStart"/>
      <w:r w:rsidR="00D50941">
        <w:rPr>
          <w:rFonts w:cs="Times New Roman"/>
          <w:szCs w:val="24"/>
        </w:rPr>
        <w:t>Wasby</w:t>
      </w:r>
      <w:proofErr w:type="spellEnd"/>
      <w:r w:rsidR="00D50941">
        <w:rPr>
          <w:rFonts w:cs="Times New Roman"/>
          <w:szCs w:val="24"/>
        </w:rPr>
        <w:t xml:space="preserve"> 1995), </w:t>
      </w:r>
      <w:r w:rsidR="00D50941" w:rsidRPr="008850E2">
        <w:rPr>
          <w:rFonts w:cs="Times New Roman"/>
          <w:szCs w:val="24"/>
        </w:rPr>
        <w:t>obscenity law (McGuire 1990)</w:t>
      </w:r>
      <w:r w:rsidR="00D50941">
        <w:rPr>
          <w:rFonts w:cs="Times New Roman"/>
          <w:szCs w:val="24"/>
        </w:rPr>
        <w:t>, federalism (Chen 2006), and</w:t>
      </w:r>
      <w:r w:rsidR="00D50941" w:rsidRPr="008850E2">
        <w:rPr>
          <w:rFonts w:cs="Times New Roman"/>
          <w:szCs w:val="24"/>
        </w:rPr>
        <w:t xml:space="preserve"> business interests (Franklin 2009), or involving certain amicus participants</w:t>
      </w:r>
      <w:r w:rsidR="00D50941">
        <w:rPr>
          <w:rFonts w:cs="Times New Roman"/>
          <w:szCs w:val="24"/>
        </w:rPr>
        <w:t>,</w:t>
      </w:r>
      <w:r w:rsidR="00D50941" w:rsidRPr="008850E2">
        <w:rPr>
          <w:rFonts w:cs="Times New Roman"/>
          <w:szCs w:val="24"/>
        </w:rPr>
        <w:t xml:space="preserve"> </w:t>
      </w:r>
      <w:r w:rsidR="00D50941">
        <w:rPr>
          <w:rFonts w:cs="Times New Roman"/>
          <w:szCs w:val="24"/>
        </w:rPr>
        <w:t>including the Solicitor General</w:t>
      </w:r>
      <w:r w:rsidR="00D50941" w:rsidRPr="008850E2">
        <w:rPr>
          <w:rFonts w:cs="Times New Roman"/>
          <w:szCs w:val="24"/>
        </w:rPr>
        <w:t xml:space="preserve"> </w:t>
      </w:r>
      <w:r w:rsidR="00D50941">
        <w:rPr>
          <w:rFonts w:cs="Times New Roman"/>
          <w:szCs w:val="24"/>
        </w:rPr>
        <w:t>(</w:t>
      </w:r>
      <w:proofErr w:type="spellStart"/>
      <w:r w:rsidR="00927137">
        <w:rPr>
          <w:rFonts w:cs="Times New Roman"/>
          <w:szCs w:val="24"/>
        </w:rPr>
        <w:t>Solimine</w:t>
      </w:r>
      <w:proofErr w:type="spellEnd"/>
      <w:r w:rsidR="00927137">
        <w:rPr>
          <w:rFonts w:cs="Times New Roman"/>
          <w:szCs w:val="24"/>
        </w:rPr>
        <w:t xml:space="preserve"> 2012; </w:t>
      </w:r>
      <w:r w:rsidR="00D50941">
        <w:rPr>
          <w:rFonts w:cs="Times New Roman"/>
          <w:szCs w:val="24"/>
        </w:rPr>
        <w:t xml:space="preserve">Segal 1988; </w:t>
      </w:r>
      <w:proofErr w:type="spellStart"/>
      <w:r w:rsidR="00D50941">
        <w:rPr>
          <w:rFonts w:cs="Times New Roman"/>
          <w:szCs w:val="24"/>
        </w:rPr>
        <w:t>Deen</w:t>
      </w:r>
      <w:proofErr w:type="spellEnd"/>
      <w:r w:rsidR="003947CA">
        <w:rPr>
          <w:rFonts w:cs="Times New Roman"/>
          <w:szCs w:val="24"/>
        </w:rPr>
        <w:t xml:space="preserve">, </w:t>
      </w:r>
      <w:proofErr w:type="spellStart"/>
      <w:r w:rsidR="003947CA">
        <w:rPr>
          <w:rFonts w:cs="Times New Roman"/>
          <w:szCs w:val="24"/>
        </w:rPr>
        <w:t>Ignagni</w:t>
      </w:r>
      <w:proofErr w:type="spellEnd"/>
      <w:r w:rsidR="003947CA">
        <w:rPr>
          <w:rFonts w:cs="Times New Roman"/>
          <w:szCs w:val="24"/>
        </w:rPr>
        <w:t xml:space="preserve">, </w:t>
      </w:r>
      <w:r w:rsidR="000D6839">
        <w:rPr>
          <w:rFonts w:cs="Times New Roman"/>
          <w:szCs w:val="24"/>
        </w:rPr>
        <w:t>and</w:t>
      </w:r>
      <w:r w:rsidR="003947CA">
        <w:rPr>
          <w:rFonts w:cs="Times New Roman"/>
          <w:szCs w:val="24"/>
        </w:rPr>
        <w:t xml:space="preserve"> </w:t>
      </w:r>
      <w:proofErr w:type="spellStart"/>
      <w:r w:rsidR="003947CA">
        <w:rPr>
          <w:rFonts w:cs="Times New Roman"/>
          <w:szCs w:val="24"/>
        </w:rPr>
        <w:t>Meernik</w:t>
      </w:r>
      <w:proofErr w:type="spellEnd"/>
      <w:r w:rsidR="00D50941">
        <w:rPr>
          <w:rFonts w:cs="Times New Roman"/>
          <w:szCs w:val="24"/>
        </w:rPr>
        <w:t xml:space="preserve"> 2003; O’Connor 1983), the ACLU and Americans for Effective Law Enforcement (</w:t>
      </w:r>
      <w:proofErr w:type="spellStart"/>
      <w:r w:rsidR="00D50941">
        <w:rPr>
          <w:rFonts w:cs="Times New Roman"/>
          <w:szCs w:val="24"/>
        </w:rPr>
        <w:t>Ivers</w:t>
      </w:r>
      <w:proofErr w:type="spellEnd"/>
      <w:r w:rsidR="00D50941">
        <w:rPr>
          <w:rFonts w:cs="Times New Roman"/>
          <w:szCs w:val="24"/>
        </w:rPr>
        <w:t xml:space="preserve"> and O’Conner 1987), and the Chamber of Commerce (Franklin 2009)</w:t>
      </w:r>
      <w:r w:rsidR="00D50941" w:rsidRPr="008850E2">
        <w:rPr>
          <w:rFonts w:cs="Times New Roman"/>
          <w:szCs w:val="24"/>
        </w:rPr>
        <w:t>.</w:t>
      </w:r>
      <w:r w:rsidR="00D50941">
        <w:rPr>
          <w:rFonts w:cs="Times New Roman"/>
          <w:color w:val="FF0000"/>
          <w:szCs w:val="24"/>
        </w:rPr>
        <w:t xml:space="preserve"> </w:t>
      </w:r>
      <w:r w:rsidR="00D50941">
        <w:rPr>
          <w:rFonts w:cs="Times New Roman"/>
          <w:szCs w:val="24"/>
        </w:rPr>
        <w:t>While important and informative, it is difficult to draw generalizable conclusions regarding amicus influence from these contextualized studies.</w:t>
      </w:r>
    </w:p>
    <w:p w:rsidR="00D50941" w:rsidRDefault="00D50941" w:rsidP="00D50941">
      <w:pPr>
        <w:autoSpaceDE w:val="0"/>
        <w:autoSpaceDN w:val="0"/>
        <w:adjustRightInd w:val="0"/>
        <w:spacing w:line="480" w:lineRule="auto"/>
        <w:ind w:left="0" w:firstLine="720"/>
        <w:rPr>
          <w:rFonts w:cs="Times New Roman"/>
          <w:szCs w:val="24"/>
        </w:rPr>
      </w:pPr>
      <w:r>
        <w:rPr>
          <w:rFonts w:cs="Times New Roman"/>
          <w:szCs w:val="24"/>
        </w:rPr>
        <w:t>Prominent j</w:t>
      </w:r>
      <w:r w:rsidRPr="007C6F82">
        <w:rPr>
          <w:rFonts w:cs="Times New Roman"/>
          <w:szCs w:val="24"/>
        </w:rPr>
        <w:t>udges themselves have occasionally commented on the usefulness and efficacy of amicus brie</w:t>
      </w:r>
      <w:r>
        <w:rPr>
          <w:rFonts w:cs="Times New Roman"/>
          <w:szCs w:val="24"/>
        </w:rPr>
        <w:t xml:space="preserve">fs.  As noted by </w:t>
      </w:r>
      <w:proofErr w:type="spellStart"/>
      <w:r>
        <w:rPr>
          <w:rFonts w:cs="Times New Roman"/>
          <w:szCs w:val="24"/>
        </w:rPr>
        <w:t>Simard</w:t>
      </w:r>
      <w:proofErr w:type="spellEnd"/>
      <w:r>
        <w:rPr>
          <w:rFonts w:cs="Times New Roman"/>
          <w:szCs w:val="24"/>
        </w:rPr>
        <w:t xml:space="preserve"> (2007</w:t>
      </w:r>
      <w:r w:rsidR="00250157">
        <w:rPr>
          <w:rFonts w:cs="Times New Roman"/>
          <w:szCs w:val="24"/>
        </w:rPr>
        <w:t xml:space="preserve">, 681), </w:t>
      </w:r>
      <w:r w:rsidR="002304DB">
        <w:rPr>
          <w:rFonts w:cs="Times New Roman"/>
          <w:szCs w:val="24"/>
        </w:rPr>
        <w:t>Justice Stephen Breyer</w:t>
      </w:r>
      <w:r w:rsidRPr="007C6F82">
        <w:rPr>
          <w:rFonts w:cs="Times New Roman"/>
          <w:szCs w:val="24"/>
        </w:rPr>
        <w:t xml:space="preserve"> has described the amicus brief as a valuable tool in educating judges, particularly on technical matters (</w:t>
      </w:r>
      <w:r w:rsidRPr="002304DB">
        <w:rPr>
          <w:rFonts w:cs="Times New Roman"/>
          <w:i/>
          <w:szCs w:val="24"/>
        </w:rPr>
        <w:t>NY Times</w:t>
      </w:r>
      <w:r w:rsidRPr="007C6F82">
        <w:rPr>
          <w:rFonts w:cs="Times New Roman"/>
          <w:szCs w:val="24"/>
        </w:rPr>
        <w:t xml:space="preserve"> 1998).  Likewise, Justice Samuel Alito has written that "an amicus who makes a strong but responsible presentation in support of a party can truly serve as the court's friend” (293 F.3d 128, 131 (3d Cir. 2002)).</w:t>
      </w:r>
      <w:r>
        <w:rPr>
          <w:rFonts w:cs="Times New Roman"/>
          <w:szCs w:val="24"/>
        </w:rPr>
        <w:t xml:space="preserve">  </w:t>
      </w:r>
      <w:r w:rsidR="00250157">
        <w:rPr>
          <w:rFonts w:cs="Times New Roman"/>
          <w:szCs w:val="24"/>
        </w:rPr>
        <w:t xml:space="preserve">And former Justice Sandra Day O’Connor has acknowledged that “[t]he friends </w:t>
      </w:r>
      <w:r w:rsidR="00250157">
        <w:rPr>
          <w:sz w:val="23"/>
          <w:szCs w:val="23"/>
        </w:rPr>
        <w:t xml:space="preserve">who appear today usually file briefs calling our attention to points of law, policy considerations, or other points of view that the parties themselves have not discussed. </w:t>
      </w:r>
      <w:proofErr w:type="gramStart"/>
      <w:r w:rsidR="00250157">
        <w:rPr>
          <w:sz w:val="23"/>
          <w:szCs w:val="23"/>
        </w:rPr>
        <w:t xml:space="preserve">These amicus briefs invaluably aid our decision-making process and often influence either the result or the </w:t>
      </w:r>
      <w:r w:rsidR="00250157">
        <w:rPr>
          <w:sz w:val="23"/>
          <w:szCs w:val="23"/>
        </w:rPr>
        <w:lastRenderedPageBreak/>
        <w:t>reasoning of our opinions” (O’Connor 1996, 9).</w:t>
      </w:r>
      <w:proofErr w:type="gramEnd"/>
      <w:r w:rsidR="00250157">
        <w:rPr>
          <w:sz w:val="23"/>
          <w:szCs w:val="23"/>
        </w:rPr>
        <w:t xml:space="preserve">  </w:t>
      </w:r>
      <w:r>
        <w:rPr>
          <w:rFonts w:cs="Times New Roman"/>
          <w:szCs w:val="24"/>
        </w:rPr>
        <w:t xml:space="preserve">On the other hand, USSC </w:t>
      </w:r>
      <w:r w:rsidRPr="00607A13">
        <w:rPr>
          <w:rFonts w:cs="Times New Roman"/>
          <w:szCs w:val="24"/>
        </w:rPr>
        <w:t xml:space="preserve">Justice </w:t>
      </w:r>
      <w:r>
        <w:rPr>
          <w:rFonts w:cs="Times New Roman"/>
          <w:szCs w:val="24"/>
        </w:rPr>
        <w:t xml:space="preserve">Antonin </w:t>
      </w:r>
      <w:r w:rsidRPr="00607A13">
        <w:rPr>
          <w:rFonts w:cs="Times New Roman"/>
          <w:szCs w:val="24"/>
        </w:rPr>
        <w:t xml:space="preserve">Scalia has suggested that amici curiae provide a type of interest group lobbying and has expressed concern that overrepresentation by </w:t>
      </w:r>
      <w:r w:rsidR="00C700EB" w:rsidRPr="00607A13">
        <w:rPr>
          <w:rFonts w:cs="Times New Roman"/>
          <w:szCs w:val="24"/>
        </w:rPr>
        <w:t>well</w:t>
      </w:r>
      <w:r w:rsidR="000612A9">
        <w:rPr>
          <w:rFonts w:cs="Times New Roman"/>
          <w:szCs w:val="24"/>
        </w:rPr>
        <w:t>-</w:t>
      </w:r>
      <w:r w:rsidR="00C700EB" w:rsidRPr="00607A13">
        <w:rPr>
          <w:rFonts w:cs="Times New Roman"/>
          <w:szCs w:val="24"/>
        </w:rPr>
        <w:t>organized</w:t>
      </w:r>
      <w:r w:rsidRPr="00607A13">
        <w:rPr>
          <w:rFonts w:cs="Times New Roman"/>
          <w:szCs w:val="24"/>
        </w:rPr>
        <w:t xml:space="preserve"> interest groups has the potential </w:t>
      </w:r>
      <w:r w:rsidR="002304DB">
        <w:rPr>
          <w:rFonts w:cs="Times New Roman"/>
          <w:szCs w:val="24"/>
        </w:rPr>
        <w:t>to impact decisions by the USSC</w:t>
      </w:r>
      <w:r>
        <w:rPr>
          <w:rFonts w:cs="Times New Roman"/>
          <w:szCs w:val="24"/>
        </w:rPr>
        <w:t>, adding that “[t]here is no self-interested organization out there devoted to the pursuit</w:t>
      </w:r>
      <w:r w:rsidR="00CD0138">
        <w:rPr>
          <w:rFonts w:cs="Times New Roman"/>
          <w:szCs w:val="24"/>
        </w:rPr>
        <w:t xml:space="preserve"> of truth in the federal courts</w:t>
      </w:r>
      <w:r>
        <w:rPr>
          <w:rFonts w:cs="Times New Roman"/>
          <w:szCs w:val="24"/>
        </w:rPr>
        <w:t>” (</w:t>
      </w:r>
      <w:proofErr w:type="spellStart"/>
      <w:r w:rsidRPr="00607A13">
        <w:rPr>
          <w:rFonts w:cs="Times New Roman"/>
          <w:i/>
          <w:szCs w:val="24"/>
        </w:rPr>
        <w:t>Jaffee</w:t>
      </w:r>
      <w:proofErr w:type="spellEnd"/>
      <w:r w:rsidRPr="00607A13">
        <w:rPr>
          <w:rFonts w:cs="Times New Roman"/>
          <w:i/>
          <w:szCs w:val="24"/>
        </w:rPr>
        <w:t xml:space="preserve"> v. Redmond</w:t>
      </w:r>
      <w:r w:rsidRPr="00607A13">
        <w:rPr>
          <w:rFonts w:cs="Times New Roman"/>
          <w:szCs w:val="24"/>
        </w:rPr>
        <w:t xml:space="preserve">, 518 U.S. 1, </w:t>
      </w:r>
      <w:r>
        <w:rPr>
          <w:rFonts w:cs="Times New Roman"/>
          <w:szCs w:val="24"/>
        </w:rPr>
        <w:t>35-</w:t>
      </w:r>
      <w:r w:rsidRPr="00607A13">
        <w:rPr>
          <w:rFonts w:cs="Times New Roman"/>
          <w:szCs w:val="24"/>
        </w:rPr>
        <w:t>36 (1996</w:t>
      </w:r>
      <w:r>
        <w:rPr>
          <w:rFonts w:cs="Times New Roman"/>
          <w:szCs w:val="24"/>
        </w:rPr>
        <w:t>)</w:t>
      </w:r>
      <w:r w:rsidRPr="00607A13">
        <w:rPr>
          <w:rFonts w:cs="Times New Roman"/>
          <w:szCs w:val="24"/>
        </w:rPr>
        <w:t>). USCA Judge Richard Posner has been critical of the inefficiencies created by amicus briefs, noting that "[t]he vast majority of amicus curiae briefs are filed by allies of litigants and duplicate the arguments</w:t>
      </w:r>
      <w:r>
        <w:rPr>
          <w:rFonts w:cs="Times New Roman"/>
          <w:szCs w:val="24"/>
        </w:rPr>
        <w:t xml:space="preserve"> made in the litigants' briefs,” “have not assisted the judges,” and are an “abuse” of non-party participation. </w:t>
      </w:r>
      <w:proofErr w:type="gramStart"/>
      <w:r>
        <w:rPr>
          <w:rFonts w:cs="Times New Roman"/>
          <w:szCs w:val="24"/>
        </w:rPr>
        <w:t>(</w:t>
      </w:r>
      <w:r w:rsidRPr="00607A13">
        <w:rPr>
          <w:rFonts w:cs="Times New Roman"/>
          <w:szCs w:val="24"/>
        </w:rPr>
        <w:t>125 F.3d 1062, 1063 (7th</w:t>
      </w:r>
      <w:r w:rsidR="002304DB">
        <w:rPr>
          <w:rFonts w:cs="Times New Roman"/>
          <w:szCs w:val="24"/>
        </w:rPr>
        <w:t xml:space="preserve"> </w:t>
      </w:r>
      <w:r w:rsidRPr="00607A13">
        <w:rPr>
          <w:rFonts w:cs="Times New Roman"/>
          <w:szCs w:val="24"/>
        </w:rPr>
        <w:t>Cir. 1997)</w:t>
      </w:r>
      <w:r>
        <w:rPr>
          <w:rFonts w:cs="Times New Roman"/>
          <w:szCs w:val="24"/>
        </w:rPr>
        <w:t>)</w:t>
      </w:r>
      <w:r w:rsidRPr="00607A13">
        <w:rPr>
          <w:rFonts w:cs="Times New Roman"/>
          <w:szCs w:val="24"/>
        </w:rPr>
        <w:t>.</w:t>
      </w:r>
      <w:proofErr w:type="gramEnd"/>
      <w:r w:rsidRPr="00607A13">
        <w:rPr>
          <w:rFonts w:cs="Times New Roman"/>
          <w:szCs w:val="24"/>
        </w:rPr>
        <w:t xml:space="preserve"> </w:t>
      </w:r>
    </w:p>
    <w:p w:rsidR="00D50941" w:rsidRPr="00E172BE" w:rsidRDefault="00D50941" w:rsidP="00D50941">
      <w:pPr>
        <w:autoSpaceDE w:val="0"/>
        <w:autoSpaceDN w:val="0"/>
        <w:adjustRightInd w:val="0"/>
        <w:spacing w:line="480" w:lineRule="auto"/>
        <w:ind w:left="0" w:firstLine="720"/>
        <w:rPr>
          <w:rFonts w:cs="Times New Roman"/>
          <w:szCs w:val="24"/>
        </w:rPr>
      </w:pPr>
      <w:r>
        <w:rPr>
          <w:rFonts w:cs="Times New Roman"/>
          <w:szCs w:val="24"/>
        </w:rPr>
        <w:t xml:space="preserve">One of the first empirical studies to investigate the efficacy of amici on the </w:t>
      </w:r>
      <w:r w:rsidR="002304DB">
        <w:rPr>
          <w:rFonts w:cs="Times New Roman"/>
          <w:szCs w:val="24"/>
        </w:rPr>
        <w:t xml:space="preserve">USSC </w:t>
      </w:r>
      <w:r>
        <w:rPr>
          <w:rFonts w:cs="Times New Roman"/>
          <w:szCs w:val="24"/>
        </w:rPr>
        <w:t>was a 1971 doctoral disser</w:t>
      </w:r>
      <w:r w:rsidR="002304DB">
        <w:rPr>
          <w:rFonts w:cs="Times New Roman"/>
          <w:szCs w:val="24"/>
        </w:rPr>
        <w:t xml:space="preserve">tation by Steven </w:t>
      </w:r>
      <w:proofErr w:type="spellStart"/>
      <w:r w:rsidR="002304DB">
        <w:rPr>
          <w:rFonts w:cs="Times New Roman"/>
          <w:szCs w:val="24"/>
        </w:rPr>
        <w:t>Puro</w:t>
      </w:r>
      <w:proofErr w:type="spellEnd"/>
      <w:r w:rsidR="002304DB">
        <w:rPr>
          <w:rFonts w:cs="Times New Roman"/>
          <w:szCs w:val="24"/>
        </w:rPr>
        <w:t>. His data</w:t>
      </w:r>
      <w:r>
        <w:rPr>
          <w:rFonts w:cs="Times New Roman"/>
          <w:szCs w:val="24"/>
        </w:rPr>
        <w:t xml:space="preserve">set included amicus briefs filed in USSC decisions from 1920-1966.  </w:t>
      </w:r>
      <w:proofErr w:type="spellStart"/>
      <w:r>
        <w:rPr>
          <w:rFonts w:cs="Times New Roman"/>
          <w:szCs w:val="24"/>
        </w:rPr>
        <w:t>Puro</w:t>
      </w:r>
      <w:proofErr w:type="spellEnd"/>
      <w:r>
        <w:rPr>
          <w:rFonts w:cs="Times New Roman"/>
          <w:szCs w:val="24"/>
        </w:rPr>
        <w:t xml:space="preserve"> determined the “success rate” (i.e., those that supported the winning side) of amicus briefs and concluded that these briefs had a success rate of 55 percent, and that this rate had increased over time.  </w:t>
      </w:r>
      <w:proofErr w:type="spellStart"/>
      <w:r w:rsidR="0036430C">
        <w:rPr>
          <w:rFonts w:cs="Times New Roman"/>
          <w:szCs w:val="24"/>
        </w:rPr>
        <w:t>Puro</w:t>
      </w:r>
      <w:proofErr w:type="spellEnd"/>
      <w:r w:rsidR="0036430C">
        <w:rPr>
          <w:rFonts w:cs="Times New Roman"/>
          <w:szCs w:val="24"/>
        </w:rPr>
        <w:t xml:space="preserve"> noted that the Solicitor General, ACLU, and AFL-CIO had success rates higher than the amicus average.</w:t>
      </w:r>
      <w:r w:rsidR="0036430C">
        <w:rPr>
          <w:rStyle w:val="FootnoteReference"/>
          <w:rFonts w:cs="Times New Roman"/>
          <w:szCs w:val="24"/>
        </w:rPr>
        <w:footnoteReference w:id="19"/>
      </w:r>
      <w:r w:rsidR="0036430C">
        <w:rPr>
          <w:rFonts w:cs="Times New Roman"/>
          <w:szCs w:val="24"/>
        </w:rPr>
        <w:t xml:space="preserve"> </w:t>
      </w:r>
      <w:r>
        <w:rPr>
          <w:rFonts w:cs="Times New Roman"/>
          <w:szCs w:val="24"/>
        </w:rPr>
        <w:t xml:space="preserve">However, </w:t>
      </w:r>
      <w:proofErr w:type="spellStart"/>
      <w:r>
        <w:rPr>
          <w:rFonts w:cs="Times New Roman"/>
          <w:szCs w:val="24"/>
        </w:rPr>
        <w:t>Puro’s</w:t>
      </w:r>
      <w:proofErr w:type="spellEnd"/>
      <w:r>
        <w:rPr>
          <w:rFonts w:cs="Times New Roman"/>
          <w:szCs w:val="24"/>
        </w:rPr>
        <w:t xml:space="preserve"> methodology was incapable of showing whether or not a causal relationship existed between amic</w:t>
      </w:r>
      <w:r w:rsidR="002304DB">
        <w:rPr>
          <w:rFonts w:cs="Times New Roman"/>
          <w:szCs w:val="24"/>
        </w:rPr>
        <w:t xml:space="preserve">us briefs and judicial decision-making.  That is, calculating </w:t>
      </w:r>
      <w:r>
        <w:rPr>
          <w:rFonts w:cs="Times New Roman"/>
          <w:szCs w:val="24"/>
        </w:rPr>
        <w:t>overall success rates for amicus filers merely shows that such briefs happened to be filed in support of the winning side, not necessarily the degree of amicus influence.</w:t>
      </w:r>
    </w:p>
    <w:p w:rsidR="00D50941" w:rsidRPr="00D140D9" w:rsidRDefault="00D50941" w:rsidP="00D50941">
      <w:pPr>
        <w:autoSpaceDE w:val="0"/>
        <w:autoSpaceDN w:val="0"/>
        <w:adjustRightInd w:val="0"/>
        <w:spacing w:line="480" w:lineRule="auto"/>
        <w:ind w:left="0" w:firstLine="720"/>
        <w:rPr>
          <w:rFonts w:cs="Times New Roman"/>
          <w:szCs w:val="24"/>
        </w:rPr>
      </w:pPr>
      <w:r>
        <w:t>Some studies call into question the ability of organized interests generally, and amici specifically,</w:t>
      </w:r>
      <w:r w:rsidR="002304DB">
        <w:t xml:space="preserve"> to influence judicial decision-</w:t>
      </w:r>
      <w:r>
        <w:t xml:space="preserve">making.  First, </w:t>
      </w:r>
      <w:proofErr w:type="spellStart"/>
      <w:r>
        <w:t>Hakman</w:t>
      </w:r>
      <w:proofErr w:type="spellEnd"/>
      <w:r>
        <w:t xml:space="preserve"> (1966-67, 50) reviewed amicus participation at the USSC from 1958-1965 and concluded t</w:t>
      </w:r>
      <w:r w:rsidR="005015E1">
        <w:t>hat their influence</w:t>
      </w:r>
      <w:r>
        <w:t xml:space="preserve"> was not </w:t>
      </w:r>
      <w:r>
        <w:lastRenderedPageBreak/>
        <w:t xml:space="preserve">significant and that their purported influence was an example of “Political Science Folklore.”  Second, although not related directly to amicus briefs, Epstein </w:t>
      </w:r>
      <w:r w:rsidR="000D6839">
        <w:t>and</w:t>
      </w:r>
      <w:r>
        <w:t xml:space="preserve"> Rowland (1991) show that there is no statistical difference in the litigation success rates of groups and </w:t>
      </w:r>
      <w:proofErr w:type="spellStart"/>
      <w:r>
        <w:t>nongroups</w:t>
      </w:r>
      <w:proofErr w:type="spellEnd"/>
      <w:r>
        <w:t xml:space="preserve"> at</w:t>
      </w:r>
      <w:r w:rsidR="005015E1">
        <w:t xml:space="preserve"> the U.S. trial court level, </w:t>
      </w:r>
      <w:r>
        <w:t>call</w:t>
      </w:r>
      <w:r w:rsidR="005015E1">
        <w:t>ing</w:t>
      </w:r>
      <w:r>
        <w:t xml:space="preserve"> into question the legal clout of organized interests more generally</w:t>
      </w:r>
      <w:r>
        <w:rPr>
          <w:szCs w:val="24"/>
        </w:rPr>
        <w:t xml:space="preserve">.  Third, </w:t>
      </w:r>
      <w:proofErr w:type="spellStart"/>
      <w:r>
        <w:t>Songer</w:t>
      </w:r>
      <w:proofErr w:type="spellEnd"/>
      <w:r>
        <w:t xml:space="preserve"> </w:t>
      </w:r>
      <w:r w:rsidR="000D6839">
        <w:t>and</w:t>
      </w:r>
      <w:r>
        <w:t xml:space="preserve"> Sheehan (1993) show that the presence of an amicus brief in support of one party but not the other appears to have no effect on the likelihood of winning a case at the USSC; neither does a greater presence of amicus briefs on one side compared to another (3 to 1) enhance the likelihood of success.  Specifically, </w:t>
      </w:r>
      <w:proofErr w:type="spellStart"/>
      <w:r w:rsidRPr="00206927">
        <w:rPr>
          <w:rFonts w:cs="Times New Roman"/>
          <w:szCs w:val="24"/>
        </w:rPr>
        <w:t>Songer</w:t>
      </w:r>
      <w:proofErr w:type="spellEnd"/>
      <w:r w:rsidR="005015E1">
        <w:rPr>
          <w:rFonts w:cs="Times New Roman"/>
          <w:szCs w:val="24"/>
        </w:rPr>
        <w:t xml:space="preserve"> </w:t>
      </w:r>
      <w:r>
        <w:rPr>
          <w:rFonts w:cs="Times New Roman"/>
          <w:szCs w:val="24"/>
        </w:rPr>
        <w:t>and Sheehan’s methodology examines</w:t>
      </w:r>
      <w:r w:rsidRPr="00206927">
        <w:rPr>
          <w:rFonts w:cs="Times New Roman"/>
          <w:szCs w:val="24"/>
        </w:rPr>
        <w:t xml:space="preserve"> match-paired cases</w:t>
      </w:r>
      <w:r>
        <w:rPr>
          <w:rFonts w:cs="Times New Roman"/>
          <w:szCs w:val="24"/>
        </w:rPr>
        <w:t xml:space="preserve"> from a twenty year period (1967-87)</w:t>
      </w:r>
      <w:r w:rsidRPr="00206927">
        <w:rPr>
          <w:rFonts w:cs="Times New Roman"/>
          <w:szCs w:val="24"/>
        </w:rPr>
        <w:t xml:space="preserve"> that involve one case that has</w:t>
      </w:r>
      <w:r>
        <w:rPr>
          <w:rFonts w:cs="Times New Roman"/>
          <w:szCs w:val="24"/>
        </w:rPr>
        <w:t xml:space="preserve"> </w:t>
      </w:r>
      <w:r w:rsidRPr="00206927">
        <w:rPr>
          <w:rFonts w:cs="Times New Roman"/>
          <w:szCs w:val="24"/>
        </w:rPr>
        <w:t>at least one amicus brief filed and another case that has no briefs filed and that display</w:t>
      </w:r>
      <w:r>
        <w:rPr>
          <w:rFonts w:cs="Times New Roman"/>
          <w:szCs w:val="24"/>
        </w:rPr>
        <w:t xml:space="preserve"> </w:t>
      </w:r>
      <w:r w:rsidRPr="00206927">
        <w:rPr>
          <w:rFonts w:cs="Times New Roman"/>
          <w:szCs w:val="24"/>
        </w:rPr>
        <w:t>no significant difference in the outcome</w:t>
      </w:r>
      <w:r>
        <w:rPr>
          <w:rFonts w:cs="Times New Roman"/>
          <w:szCs w:val="24"/>
        </w:rPr>
        <w:t xml:space="preserve">. The matched pairs were decided in the same term, involved parties of the same status, and involved the same issue. </w:t>
      </w:r>
      <w:r w:rsidR="00CB15E5">
        <w:rPr>
          <w:rFonts w:cs="Times New Roman"/>
          <w:szCs w:val="24"/>
        </w:rPr>
        <w:t xml:space="preserve"> They remove</w:t>
      </w:r>
      <w:r w:rsidRPr="00206927">
        <w:rPr>
          <w:rFonts w:cs="Times New Roman"/>
          <w:szCs w:val="24"/>
        </w:rPr>
        <w:t xml:space="preserve"> from consideration</w:t>
      </w:r>
      <w:r>
        <w:rPr>
          <w:rFonts w:cs="Times New Roman"/>
          <w:szCs w:val="24"/>
        </w:rPr>
        <w:t xml:space="preserve"> </w:t>
      </w:r>
      <w:r w:rsidR="005015E1">
        <w:rPr>
          <w:rFonts w:cs="Times New Roman"/>
          <w:szCs w:val="24"/>
        </w:rPr>
        <w:t>cases in which</w:t>
      </w:r>
      <w:r w:rsidRPr="00206927">
        <w:rPr>
          <w:rFonts w:cs="Times New Roman"/>
          <w:szCs w:val="24"/>
        </w:rPr>
        <w:t xml:space="preserve"> amicus briefs </w:t>
      </w:r>
      <w:r w:rsidR="005015E1">
        <w:rPr>
          <w:rFonts w:cs="Times New Roman"/>
          <w:szCs w:val="24"/>
        </w:rPr>
        <w:t xml:space="preserve">were </w:t>
      </w:r>
      <w:r w:rsidRPr="00206927">
        <w:rPr>
          <w:rFonts w:cs="Times New Roman"/>
          <w:szCs w:val="24"/>
        </w:rPr>
        <w:t>filed by the government or private individuals, cases in</w:t>
      </w:r>
      <w:r>
        <w:rPr>
          <w:rFonts w:cs="Times New Roman"/>
          <w:szCs w:val="24"/>
        </w:rPr>
        <w:t xml:space="preserve"> </w:t>
      </w:r>
      <w:r w:rsidRPr="00206927">
        <w:rPr>
          <w:rFonts w:cs="Times New Roman"/>
          <w:szCs w:val="24"/>
        </w:rPr>
        <w:t>which briefs were filed on both sides</w:t>
      </w:r>
      <w:r w:rsidR="005015E1">
        <w:rPr>
          <w:rFonts w:cs="Times New Roman"/>
          <w:szCs w:val="24"/>
        </w:rPr>
        <w:t>,</w:t>
      </w:r>
      <w:r w:rsidRPr="00206927">
        <w:rPr>
          <w:rFonts w:cs="Times New Roman"/>
          <w:szCs w:val="24"/>
        </w:rPr>
        <w:t xml:space="preserve"> and cases where there were no briefs on either</w:t>
      </w:r>
      <w:r>
        <w:rPr>
          <w:rFonts w:cs="Times New Roman"/>
          <w:szCs w:val="24"/>
        </w:rPr>
        <w:t xml:space="preserve"> </w:t>
      </w:r>
      <w:r w:rsidRPr="00206927">
        <w:rPr>
          <w:rFonts w:cs="Times New Roman"/>
          <w:szCs w:val="24"/>
        </w:rPr>
        <w:t>side.</w:t>
      </w:r>
      <w:r w:rsidR="006558B2">
        <w:rPr>
          <w:rFonts w:cs="Times New Roman"/>
          <w:szCs w:val="24"/>
        </w:rPr>
        <w:t xml:space="preserve">  </w:t>
      </w:r>
      <w:proofErr w:type="spellStart"/>
      <w:r>
        <w:rPr>
          <w:rFonts w:cs="Times New Roman"/>
          <w:szCs w:val="24"/>
        </w:rPr>
        <w:t>Songer</w:t>
      </w:r>
      <w:proofErr w:type="spellEnd"/>
      <w:r>
        <w:rPr>
          <w:rFonts w:cs="Times New Roman"/>
          <w:szCs w:val="24"/>
        </w:rPr>
        <w:t xml:space="preserve"> and Sheehan find that the success rate of parties supported by amici was identical to </w:t>
      </w:r>
      <w:r w:rsidR="009B6650">
        <w:rPr>
          <w:rFonts w:cs="Times New Roman"/>
          <w:szCs w:val="24"/>
        </w:rPr>
        <w:t xml:space="preserve">those without support.  </w:t>
      </w:r>
      <w:proofErr w:type="spellStart"/>
      <w:r>
        <w:rPr>
          <w:rFonts w:cs="Times New Roman"/>
          <w:szCs w:val="24"/>
        </w:rPr>
        <w:t>Songer</w:t>
      </w:r>
      <w:proofErr w:type="spellEnd"/>
      <w:r>
        <w:rPr>
          <w:rFonts w:cs="Times New Roman"/>
          <w:szCs w:val="24"/>
        </w:rPr>
        <w:t xml:space="preserve"> </w:t>
      </w:r>
      <w:r w:rsidR="000D6839">
        <w:rPr>
          <w:rFonts w:cs="Times New Roman"/>
          <w:szCs w:val="24"/>
        </w:rPr>
        <w:t>and</w:t>
      </w:r>
      <w:r w:rsidR="005015E1">
        <w:rPr>
          <w:rFonts w:cs="Times New Roman"/>
          <w:szCs w:val="24"/>
        </w:rPr>
        <w:t xml:space="preserve"> Sheehan’s findings bolster</w:t>
      </w:r>
      <w:r>
        <w:rPr>
          <w:rFonts w:cs="Times New Roman"/>
          <w:szCs w:val="24"/>
        </w:rPr>
        <w:t xml:space="preserve"> University of Chicago constituti</w:t>
      </w:r>
      <w:r w:rsidR="00F31D3B">
        <w:rPr>
          <w:rFonts w:cs="Times New Roman"/>
          <w:szCs w:val="24"/>
        </w:rPr>
        <w:t>onal law scholar Kurland’s (1983</w:t>
      </w:r>
      <w:r>
        <w:rPr>
          <w:rFonts w:cs="Times New Roman"/>
          <w:szCs w:val="24"/>
        </w:rPr>
        <w:t>) earlier co</w:t>
      </w:r>
      <w:r w:rsidR="005015E1">
        <w:rPr>
          <w:rFonts w:cs="Times New Roman"/>
          <w:szCs w:val="24"/>
        </w:rPr>
        <w:t>nclusion that amicus briefs are</w:t>
      </w:r>
      <w:r>
        <w:rPr>
          <w:rFonts w:cs="Times New Roman"/>
          <w:szCs w:val="24"/>
        </w:rPr>
        <w:t>, by in large, ineffective and a waste of time.</w:t>
      </w:r>
    </w:p>
    <w:p w:rsidR="00391B29" w:rsidRDefault="00D50941" w:rsidP="00BA55B7">
      <w:pPr>
        <w:pStyle w:val="ListParagraph"/>
        <w:spacing w:line="480" w:lineRule="auto"/>
        <w:ind w:left="0" w:firstLine="720"/>
        <w:rPr>
          <w:szCs w:val="24"/>
        </w:rPr>
      </w:pPr>
      <w:r>
        <w:t>Yet, other studies validate the influence of ami</w:t>
      </w:r>
      <w:r w:rsidR="005015E1">
        <w:t>cus briefs on judicial decision-</w:t>
      </w:r>
      <w:r>
        <w:t xml:space="preserve">making. </w:t>
      </w:r>
      <w:r w:rsidR="00BA55B7">
        <w:t xml:space="preserve">In an analysis of the 1982 term of the USSC, </w:t>
      </w:r>
      <w:proofErr w:type="spellStart"/>
      <w:r w:rsidR="000612A9">
        <w:t>Caldeira</w:t>
      </w:r>
      <w:proofErr w:type="spellEnd"/>
      <w:r w:rsidR="000612A9">
        <w:t xml:space="preserve"> and</w:t>
      </w:r>
      <w:r>
        <w:t xml:space="preserve"> Wright (1988) show </w:t>
      </w:r>
      <w:r>
        <w:rPr>
          <w:szCs w:val="24"/>
        </w:rPr>
        <w:t>that the filing of amicus briefs in opposition to a petition f</w:t>
      </w:r>
      <w:r w:rsidR="005015E1">
        <w:rPr>
          <w:szCs w:val="24"/>
        </w:rPr>
        <w:t xml:space="preserve">or certiorari actually increases </w:t>
      </w:r>
      <w:r>
        <w:rPr>
          <w:szCs w:val="24"/>
        </w:rPr>
        <w:t>the likelihood that USSC will grant review.  Thus, an important factor in decid</w:t>
      </w:r>
      <w:r w:rsidR="005015E1">
        <w:rPr>
          <w:szCs w:val="24"/>
        </w:rPr>
        <w:t>ing whether or not certiorari is granted is</w:t>
      </w:r>
      <w:r>
        <w:rPr>
          <w:szCs w:val="24"/>
        </w:rPr>
        <w:t xml:space="preserve"> the presence or absence of an amicus brief per se, not the direction of the substantive argum</w:t>
      </w:r>
      <w:r w:rsidR="005015E1">
        <w:rPr>
          <w:szCs w:val="24"/>
        </w:rPr>
        <w:t xml:space="preserve">ents presented.  </w:t>
      </w:r>
      <w:r w:rsidR="000612A9">
        <w:rPr>
          <w:szCs w:val="24"/>
        </w:rPr>
        <w:t xml:space="preserve">For </w:t>
      </w:r>
      <w:proofErr w:type="spellStart"/>
      <w:r w:rsidR="000612A9">
        <w:rPr>
          <w:szCs w:val="24"/>
        </w:rPr>
        <w:t>Caldeira</w:t>
      </w:r>
      <w:proofErr w:type="spellEnd"/>
      <w:r w:rsidR="000612A9">
        <w:rPr>
          <w:szCs w:val="24"/>
        </w:rPr>
        <w:t xml:space="preserve"> and</w:t>
      </w:r>
      <w:r>
        <w:rPr>
          <w:szCs w:val="24"/>
        </w:rPr>
        <w:t xml:space="preserve"> Wright</w:t>
      </w:r>
      <w:r w:rsidR="00BA55B7">
        <w:rPr>
          <w:szCs w:val="24"/>
        </w:rPr>
        <w:t xml:space="preserve"> (1988)</w:t>
      </w:r>
      <w:r>
        <w:rPr>
          <w:szCs w:val="24"/>
        </w:rPr>
        <w:t xml:space="preserve">, when organized interests file amicus briefs for or </w:t>
      </w:r>
      <w:r>
        <w:rPr>
          <w:szCs w:val="24"/>
        </w:rPr>
        <w:lastRenderedPageBreak/>
        <w:t xml:space="preserve">against the granting of certiorari, </w:t>
      </w:r>
      <w:r w:rsidR="00391B29">
        <w:rPr>
          <w:szCs w:val="24"/>
        </w:rPr>
        <w:t>they serve as costly signals about the policy significance of the case</w:t>
      </w:r>
      <w:r w:rsidR="00BA55B7">
        <w:rPr>
          <w:szCs w:val="24"/>
        </w:rPr>
        <w:t>.  In this way, certiorari stage amici primarily</w:t>
      </w:r>
      <w:r>
        <w:rPr>
          <w:szCs w:val="24"/>
        </w:rPr>
        <w:t xml:space="preserve"> function as interest articulators by providing information to the justices about the array of forces in play in the litigation.   </w:t>
      </w:r>
    </w:p>
    <w:p w:rsidR="00BA55B7" w:rsidRDefault="00BA55B7" w:rsidP="00BA55B7">
      <w:pPr>
        <w:pStyle w:val="ListParagraph"/>
        <w:spacing w:line="480" w:lineRule="auto"/>
        <w:ind w:left="0" w:firstLine="720"/>
        <w:rPr>
          <w:szCs w:val="24"/>
        </w:rPr>
      </w:pPr>
      <w:r>
        <w:rPr>
          <w:szCs w:val="24"/>
        </w:rPr>
        <w:t>However, in a recent follow-up study of amicus certiorari stage influence</w:t>
      </w:r>
      <w:r w:rsidR="00043392">
        <w:rPr>
          <w:szCs w:val="24"/>
        </w:rPr>
        <w:t xml:space="preserve">, </w:t>
      </w:r>
      <w:proofErr w:type="spellStart"/>
      <w:r w:rsidR="005015E1">
        <w:rPr>
          <w:szCs w:val="24"/>
        </w:rPr>
        <w:t>Caldeir</w:t>
      </w:r>
      <w:r w:rsidR="000612A9">
        <w:rPr>
          <w:szCs w:val="24"/>
        </w:rPr>
        <w:t>a</w:t>
      </w:r>
      <w:proofErr w:type="spellEnd"/>
      <w:r w:rsidR="000612A9">
        <w:rPr>
          <w:szCs w:val="24"/>
        </w:rPr>
        <w:t>, Wright, and</w:t>
      </w:r>
      <w:r>
        <w:rPr>
          <w:szCs w:val="24"/>
        </w:rPr>
        <w:t xml:space="preserve"> Zorn (2012) reach some </w:t>
      </w:r>
      <w:r w:rsidR="00043392">
        <w:rPr>
          <w:szCs w:val="24"/>
        </w:rPr>
        <w:t>differing</w:t>
      </w:r>
      <w:r>
        <w:rPr>
          <w:szCs w:val="24"/>
        </w:rPr>
        <w:t xml:space="preserve"> conclusions</w:t>
      </w:r>
      <w:r w:rsidR="00F11549">
        <w:rPr>
          <w:szCs w:val="24"/>
        </w:rPr>
        <w:t xml:space="preserve"> which qualify</w:t>
      </w:r>
      <w:r w:rsidR="00B047E4">
        <w:rPr>
          <w:szCs w:val="24"/>
        </w:rPr>
        <w:t xml:space="preserve"> the earlier </w:t>
      </w:r>
      <w:r w:rsidR="000612A9">
        <w:rPr>
          <w:szCs w:val="24"/>
        </w:rPr>
        <w:t xml:space="preserve">findings of </w:t>
      </w:r>
      <w:proofErr w:type="spellStart"/>
      <w:r w:rsidR="000612A9">
        <w:rPr>
          <w:szCs w:val="24"/>
        </w:rPr>
        <w:t>Caldeira</w:t>
      </w:r>
      <w:proofErr w:type="spellEnd"/>
      <w:r w:rsidR="000612A9">
        <w:rPr>
          <w:szCs w:val="24"/>
        </w:rPr>
        <w:t xml:space="preserve"> and</w:t>
      </w:r>
      <w:r w:rsidR="00B047E4">
        <w:rPr>
          <w:szCs w:val="24"/>
        </w:rPr>
        <w:t xml:space="preserve"> Wright (1988). </w:t>
      </w:r>
      <w:r>
        <w:rPr>
          <w:szCs w:val="24"/>
        </w:rPr>
        <w:t xml:space="preserve">Analyzing the 1968, 1982, 1990, and 2007 terms </w:t>
      </w:r>
      <w:r w:rsidR="000612A9">
        <w:rPr>
          <w:szCs w:val="24"/>
        </w:rPr>
        <w:t xml:space="preserve">of the USSC, </w:t>
      </w:r>
      <w:proofErr w:type="spellStart"/>
      <w:r w:rsidR="000612A9">
        <w:rPr>
          <w:szCs w:val="24"/>
        </w:rPr>
        <w:t>Calderia</w:t>
      </w:r>
      <w:proofErr w:type="spellEnd"/>
      <w:r w:rsidR="000612A9">
        <w:rPr>
          <w:szCs w:val="24"/>
        </w:rPr>
        <w:t>, Wright, and</w:t>
      </w:r>
      <w:r>
        <w:rPr>
          <w:szCs w:val="24"/>
        </w:rPr>
        <w:t xml:space="preserve"> Zorn (2012) find that certiorari petitions with amicus briefs are granted at a much higher rate than those without.  </w:t>
      </w:r>
      <w:r w:rsidR="00B047E4">
        <w:rPr>
          <w:szCs w:val="24"/>
        </w:rPr>
        <w:t>However, they also find that the</w:t>
      </w:r>
      <w:r w:rsidR="005015E1">
        <w:rPr>
          <w:szCs w:val="24"/>
        </w:rPr>
        <w:t xml:space="preserve">re has been a steady decline in the </w:t>
      </w:r>
      <w:r w:rsidR="00B047E4">
        <w:rPr>
          <w:szCs w:val="24"/>
        </w:rPr>
        <w:t>influence of amicus briefs in support of certiorari betwee</w:t>
      </w:r>
      <w:r w:rsidR="005015E1">
        <w:rPr>
          <w:szCs w:val="24"/>
        </w:rPr>
        <w:t xml:space="preserve">n </w:t>
      </w:r>
      <w:r w:rsidR="00B047E4">
        <w:rPr>
          <w:szCs w:val="24"/>
        </w:rPr>
        <w:t>1968 and 1990, with this decline holding steady through the 2007 term.</w:t>
      </w:r>
      <w:r w:rsidR="00043392">
        <w:rPr>
          <w:szCs w:val="24"/>
        </w:rPr>
        <w:t xml:space="preserve"> </w:t>
      </w:r>
      <w:r w:rsidR="00B047E4">
        <w:rPr>
          <w:szCs w:val="24"/>
        </w:rPr>
        <w:t>Moreover, in contrast to the earlier study, the authors find no evidence that the number of briefs filed in opposition to certiorari influence</w:t>
      </w:r>
      <w:r w:rsidR="00043392">
        <w:rPr>
          <w:szCs w:val="24"/>
        </w:rPr>
        <w:t>s</w:t>
      </w:r>
      <w:r w:rsidR="00B047E4">
        <w:rPr>
          <w:szCs w:val="24"/>
        </w:rPr>
        <w:t xml:space="preserve"> the USSC’s grant rate.  These f</w:t>
      </w:r>
      <w:r w:rsidR="000612A9">
        <w:rPr>
          <w:szCs w:val="24"/>
        </w:rPr>
        <w:t>indi</w:t>
      </w:r>
      <w:r w:rsidR="005015E1">
        <w:rPr>
          <w:szCs w:val="24"/>
        </w:rPr>
        <w:t xml:space="preserve">ngs lead </w:t>
      </w:r>
      <w:proofErr w:type="spellStart"/>
      <w:r w:rsidR="005015E1">
        <w:rPr>
          <w:szCs w:val="24"/>
        </w:rPr>
        <w:t>Caldeir</w:t>
      </w:r>
      <w:r w:rsidR="000612A9">
        <w:rPr>
          <w:szCs w:val="24"/>
        </w:rPr>
        <w:t>a</w:t>
      </w:r>
      <w:proofErr w:type="spellEnd"/>
      <w:r w:rsidR="000612A9">
        <w:rPr>
          <w:szCs w:val="24"/>
        </w:rPr>
        <w:t>, Wright, and</w:t>
      </w:r>
      <w:r w:rsidR="00B047E4">
        <w:rPr>
          <w:szCs w:val="24"/>
        </w:rPr>
        <w:t xml:space="preserve"> Zorn (2012, 9) to conclude that “[a]t the same time the number of amicus filings on certiorari have grown – and perhaps owing to it – the influence of those briefs has steadily declined.”</w:t>
      </w:r>
      <w:r w:rsidR="00043392">
        <w:rPr>
          <w:szCs w:val="24"/>
        </w:rPr>
        <w:t xml:space="preserve">  Therefore</w:t>
      </w:r>
      <w:r w:rsidR="00B047E4">
        <w:rPr>
          <w:szCs w:val="24"/>
        </w:rPr>
        <w:t>, the authors conclude that</w:t>
      </w:r>
      <w:r w:rsidR="00F11549">
        <w:rPr>
          <w:szCs w:val="24"/>
        </w:rPr>
        <w:t>, despite increasing amici presence,</w:t>
      </w:r>
      <w:r w:rsidR="00B047E4">
        <w:rPr>
          <w:szCs w:val="24"/>
        </w:rPr>
        <w:t xml:space="preserve"> the USSC appears to be le</w:t>
      </w:r>
      <w:r w:rsidR="00F11549">
        <w:rPr>
          <w:szCs w:val="24"/>
        </w:rPr>
        <w:t xml:space="preserve">ss influenced by organized interests </w:t>
      </w:r>
      <w:r w:rsidR="00B047E4">
        <w:rPr>
          <w:szCs w:val="24"/>
        </w:rPr>
        <w:t>than they have been in the past</w:t>
      </w:r>
      <w:r w:rsidR="005015E1">
        <w:rPr>
          <w:szCs w:val="24"/>
        </w:rPr>
        <w:t xml:space="preserve"> at the certiorari stage</w:t>
      </w:r>
      <w:r w:rsidR="00B047E4">
        <w:rPr>
          <w:szCs w:val="24"/>
        </w:rPr>
        <w:t>.</w:t>
      </w:r>
    </w:p>
    <w:p w:rsidR="00D50941" w:rsidRDefault="008C245A" w:rsidP="00D50941">
      <w:pPr>
        <w:pStyle w:val="ListParagraph"/>
        <w:spacing w:line="480" w:lineRule="auto"/>
        <w:ind w:left="0" w:firstLine="720"/>
      </w:pPr>
      <w:r>
        <w:t>But what about amicus impact on</w:t>
      </w:r>
      <w:r w:rsidR="00D50941">
        <w:t xml:space="preserve"> USSC decisions on the merits?  McGuire (1994, 1990) </w:t>
      </w:r>
      <w:r>
        <w:t xml:space="preserve">shows </w:t>
      </w:r>
      <w:r w:rsidR="00D50941">
        <w:t>that the probability of success</w:t>
      </w:r>
      <w:r w:rsidR="009612C7">
        <w:t xml:space="preserve"> increases</w:t>
      </w:r>
      <w:r w:rsidR="00D50941">
        <w:t xml:space="preserve"> for parties supported by amicus curiae who provide experienced attorneys, and </w:t>
      </w:r>
      <w:r w:rsidR="009612C7">
        <w:t xml:space="preserve">that </w:t>
      </w:r>
      <w:r w:rsidR="00D50941">
        <w:t>the probabilit</w:t>
      </w:r>
      <w:r w:rsidR="009612C7">
        <w:t>y of success in obscenity cases</w:t>
      </w:r>
      <w:r w:rsidR="00D50941">
        <w:t xml:space="preserve"> is significantly related to the level of amicus support received by the party.  More impressive is an extensive empirical study of amicu</w:t>
      </w:r>
      <w:r w:rsidR="007E306C">
        <w:t>s influence on the USSC</w:t>
      </w:r>
      <w:r w:rsidR="009612C7">
        <w:t xml:space="preserve"> from 1946-</w:t>
      </w:r>
      <w:r w:rsidR="00D50941">
        <w:t xml:space="preserve">1995 by Kearney </w:t>
      </w:r>
      <w:r w:rsidR="000D6839">
        <w:t>and</w:t>
      </w:r>
      <w:r w:rsidR="00D50941">
        <w:t xml:space="preserve"> Merrill (2000), in which the authors conclude that amicus briefs do impact USSC case </w:t>
      </w:r>
      <w:r w:rsidR="00D50941">
        <w:lastRenderedPageBreak/>
        <w:t>outcomes.</w:t>
      </w:r>
      <w:r w:rsidR="004A4213">
        <w:rPr>
          <w:rStyle w:val="FootnoteReference"/>
        </w:rPr>
        <w:footnoteReference w:id="20"/>
      </w:r>
      <w:r w:rsidR="00D50941">
        <w:t xml:space="preserve">  Notably, their study assesses the efficacy of amicus briefs through the lens of three</w:t>
      </w:r>
      <w:r w:rsidR="00535B79">
        <w:t xml:space="preserve"> basic</w:t>
      </w:r>
      <w:r w:rsidR="009612C7">
        <w:t xml:space="preserve"> models of judicial decision-</w:t>
      </w:r>
      <w:r w:rsidR="00D50941">
        <w:t>making:  the legal model, the attitudinal model, and the interest group model.  Using a benchmark rate of success for both respondents and petitioners without amicus support as their baseline for comparison, they reach six primary conclusions from their analysis:  (1) amicus briefs supporting respondents enjoy higher success rates than do amicus briefs supporting petitioners -- this greater success rate associated with amicus briefs supporting respondents can be explained by the supposition that respondents are more likely than petitioners to be represented by inexperienced lawyers in the USSC and thus are more likely to benefit from supporting amici; (2) small disparities of one or two briefs for one side with no briefs on the other side may translate into higher success rates but larger disparities do not; (3) amicus briefs cited by the USSC appear to be no more likely to be associated with the winning side than briefs not cited by the USSC;  (4) amicus briefs filed by more experienced lawyers may be more successful than briefs filed by less experienced lawyers; (5) the Solicitor General enjoys much higher success as an amicus filer than the average amicus filer; (6) the ACLU and AFL-CIO, and the States, also enjoy somewhat higher success rates than the average amicus filers, but not to the same degre</w:t>
      </w:r>
      <w:r w:rsidR="009612C7">
        <w:t>e as the Solicitor General; and</w:t>
      </w:r>
      <w:r w:rsidR="00D50941">
        <w:t xml:space="preserve"> (7) it appears that amicus briefs filed by institutional litigants and by experienced lawyers – filers that have a better idea of what kind of information is useful to the USSC – are generally more successful than are briefs filed by irregular litigants and less experienced lawyers.   </w:t>
      </w:r>
    </w:p>
    <w:p w:rsidR="00D50941" w:rsidRDefault="00D50941" w:rsidP="00D50941">
      <w:pPr>
        <w:pStyle w:val="ListParagraph"/>
        <w:spacing w:line="480" w:lineRule="auto"/>
        <w:ind w:left="0" w:firstLine="720"/>
      </w:pPr>
      <w:r>
        <w:t xml:space="preserve">Kearney </w:t>
      </w:r>
      <w:r w:rsidR="000D6839">
        <w:t>and</w:t>
      </w:r>
      <w:r>
        <w:t xml:space="preserve"> Merrill cautiously interpret their results as supportive of the l</w:t>
      </w:r>
      <w:r w:rsidR="009612C7">
        <w:t>egal model of judicial decision-</w:t>
      </w:r>
      <w:r>
        <w:t xml:space="preserve">making, which will be discussed in more detail below.  It is important to note, </w:t>
      </w:r>
      <w:r>
        <w:lastRenderedPageBreak/>
        <w:t xml:space="preserve">however, that Kearney </w:t>
      </w:r>
      <w:r w:rsidR="000D6839">
        <w:t>and</w:t>
      </w:r>
      <w:r>
        <w:t xml:space="preserve"> Merrill’s research is frequency based and does not control for other variables influencing judicial decis</w:t>
      </w:r>
      <w:r w:rsidR="009612C7">
        <w:t>ion-making</w:t>
      </w:r>
      <w:r>
        <w:t>.</w:t>
      </w:r>
    </w:p>
    <w:p w:rsidR="00D50941" w:rsidRDefault="00D50941" w:rsidP="00D50941">
      <w:pPr>
        <w:autoSpaceDE w:val="0"/>
        <w:autoSpaceDN w:val="0"/>
        <w:adjustRightInd w:val="0"/>
        <w:spacing w:line="480" w:lineRule="auto"/>
        <w:ind w:left="0" w:firstLine="720"/>
        <w:rPr>
          <w:rFonts w:cs="Times New Roman"/>
          <w:szCs w:val="24"/>
        </w:rPr>
      </w:pPr>
      <w:r w:rsidRPr="008B258E">
        <w:rPr>
          <w:rFonts w:cs="Times New Roman"/>
          <w:szCs w:val="24"/>
        </w:rPr>
        <w:t xml:space="preserve">Lynch (2004) conducts a comprehensive study </w:t>
      </w:r>
      <w:r>
        <w:rPr>
          <w:rFonts w:cs="Times New Roman"/>
          <w:szCs w:val="24"/>
        </w:rPr>
        <w:t>s</w:t>
      </w:r>
      <w:r w:rsidRPr="008B258E">
        <w:rPr>
          <w:rFonts w:cs="Times New Roman"/>
          <w:szCs w:val="24"/>
        </w:rPr>
        <w:t xml:space="preserve">urveying 70 former USSC law clerks from 1966 to 2001 to determine the impact of amici on the USSC.  Lynch’s study addresses four primary questions:  </w:t>
      </w:r>
      <w:r>
        <w:rPr>
          <w:rFonts w:cs="Times New Roman"/>
          <w:szCs w:val="24"/>
        </w:rPr>
        <w:t>(1) w</w:t>
      </w:r>
      <w:r w:rsidRPr="008B258E">
        <w:rPr>
          <w:rFonts w:cs="Times New Roman"/>
          <w:szCs w:val="24"/>
        </w:rPr>
        <w:t>hen are amicus briefs most</w:t>
      </w:r>
      <w:r>
        <w:rPr>
          <w:rFonts w:cs="Times New Roman"/>
          <w:szCs w:val="24"/>
        </w:rPr>
        <w:t xml:space="preserve"> useful</w:t>
      </w:r>
      <w:proofErr w:type="gramStart"/>
      <w:r w:rsidR="000612A9">
        <w:rPr>
          <w:rFonts w:cs="Times New Roman"/>
          <w:szCs w:val="24"/>
        </w:rPr>
        <w:t>?</w:t>
      </w:r>
      <w:r>
        <w:rPr>
          <w:rFonts w:cs="Times New Roman"/>
          <w:szCs w:val="24"/>
        </w:rPr>
        <w:t>;</w:t>
      </w:r>
      <w:proofErr w:type="gramEnd"/>
      <w:r>
        <w:rPr>
          <w:rFonts w:cs="Times New Roman"/>
          <w:szCs w:val="24"/>
        </w:rPr>
        <w:t xml:space="preserve"> (2) d</w:t>
      </w:r>
      <w:r w:rsidRPr="008B258E">
        <w:rPr>
          <w:rFonts w:cs="Times New Roman"/>
          <w:szCs w:val="24"/>
        </w:rPr>
        <w:t>oes the identity of the amicus filer or author matter</w:t>
      </w:r>
      <w:r w:rsidR="000612A9">
        <w:rPr>
          <w:rFonts w:cs="Times New Roman"/>
          <w:szCs w:val="24"/>
        </w:rPr>
        <w:t>?</w:t>
      </w:r>
      <w:r>
        <w:rPr>
          <w:rFonts w:cs="Times New Roman"/>
          <w:szCs w:val="24"/>
        </w:rPr>
        <w:t>; (3) w</w:t>
      </w:r>
      <w:r w:rsidRPr="008B258E">
        <w:rPr>
          <w:rFonts w:cs="Times New Roman"/>
          <w:szCs w:val="24"/>
        </w:rPr>
        <w:t>hat is the</w:t>
      </w:r>
      <w:r>
        <w:rPr>
          <w:rFonts w:cs="Times New Roman"/>
          <w:szCs w:val="24"/>
        </w:rPr>
        <w:t xml:space="preserve"> </w:t>
      </w:r>
      <w:r w:rsidRPr="008B258E">
        <w:rPr>
          <w:rFonts w:cs="Times New Roman"/>
          <w:szCs w:val="24"/>
        </w:rPr>
        <w:t>impact o</w:t>
      </w:r>
      <w:r>
        <w:rPr>
          <w:rFonts w:cs="Times New Roman"/>
          <w:szCs w:val="24"/>
        </w:rPr>
        <w:t>f a collaborative amicus brief</w:t>
      </w:r>
      <w:r w:rsidR="000612A9">
        <w:rPr>
          <w:rFonts w:cs="Times New Roman"/>
          <w:szCs w:val="24"/>
        </w:rPr>
        <w:t>?</w:t>
      </w:r>
      <w:r>
        <w:rPr>
          <w:rFonts w:cs="Times New Roman"/>
          <w:szCs w:val="24"/>
        </w:rPr>
        <w:t xml:space="preserve">; and (4) </w:t>
      </w:r>
      <w:r w:rsidRPr="008B258E">
        <w:rPr>
          <w:rFonts w:cs="Times New Roman"/>
          <w:szCs w:val="24"/>
        </w:rPr>
        <w:t>what is the role of social</w:t>
      </w:r>
      <w:r w:rsidR="000612A9">
        <w:rPr>
          <w:rFonts w:cs="Times New Roman"/>
          <w:szCs w:val="24"/>
        </w:rPr>
        <w:t xml:space="preserve"> science data? </w:t>
      </w:r>
      <w:r>
        <w:rPr>
          <w:rFonts w:cs="Times New Roman"/>
          <w:szCs w:val="24"/>
        </w:rPr>
        <w:t xml:space="preserve">  Based upon the law clerks answers to the previous questions, L</w:t>
      </w:r>
      <w:r w:rsidRPr="008B258E">
        <w:rPr>
          <w:rFonts w:cs="Times New Roman"/>
          <w:szCs w:val="24"/>
        </w:rPr>
        <w:t xml:space="preserve">ynch </w:t>
      </w:r>
      <w:r>
        <w:rPr>
          <w:rFonts w:cs="Times New Roman"/>
          <w:szCs w:val="24"/>
        </w:rPr>
        <w:t>concludes that amicus briefs can have an impact in certain circumstances.  First, amicus briefs are most useful in cases involving highly technical and specialized areas of law, as well as in complex statutory and regulatory case</w:t>
      </w:r>
      <w:r w:rsidR="009612C7">
        <w:rPr>
          <w:rFonts w:cs="Times New Roman"/>
          <w:szCs w:val="24"/>
        </w:rPr>
        <w:t>s</w:t>
      </w:r>
      <w:r>
        <w:rPr>
          <w:rFonts w:cs="Times New Roman"/>
          <w:szCs w:val="24"/>
        </w:rPr>
        <w:t xml:space="preserve">.  Second, amicus briefs are helpful in cases where the parties’ merits briefs are deficient.  Third, since majority of law clerks agreed that “most amicus briefs filed with the Court are not helpful and tend to be duplicative, poorly written, or merely lobbying documents not grounded in sound argument,” (44) briefs that do not evidence these qualities will likely be given greater attention.  </w:t>
      </w:r>
    </w:p>
    <w:p w:rsidR="009612C7" w:rsidRDefault="00D50941" w:rsidP="00D50941">
      <w:pPr>
        <w:autoSpaceDE w:val="0"/>
        <w:autoSpaceDN w:val="0"/>
        <w:adjustRightInd w:val="0"/>
        <w:spacing w:line="480" w:lineRule="auto"/>
        <w:ind w:left="0" w:firstLine="720"/>
        <w:rPr>
          <w:rFonts w:cs="Times New Roman"/>
          <w:szCs w:val="24"/>
        </w:rPr>
      </w:pPr>
      <w:r>
        <w:rPr>
          <w:rFonts w:cs="Times New Roman"/>
          <w:szCs w:val="24"/>
        </w:rPr>
        <w:t>Fourth, close consideration of amicus briefs is highly dependent on the brief’s quality, and a brief’s perceived quality is often related to the source of the brief.  Soli</w:t>
      </w:r>
      <w:r w:rsidR="009612C7">
        <w:rPr>
          <w:rFonts w:cs="Times New Roman"/>
          <w:szCs w:val="24"/>
        </w:rPr>
        <w:t xml:space="preserve">citor General </w:t>
      </w:r>
      <w:proofErr w:type="gramStart"/>
      <w:r w:rsidR="009612C7">
        <w:rPr>
          <w:rFonts w:cs="Times New Roman"/>
          <w:szCs w:val="24"/>
        </w:rPr>
        <w:t>amicus</w:t>
      </w:r>
      <w:proofErr w:type="gramEnd"/>
      <w:r w:rsidR="009612C7">
        <w:rPr>
          <w:rFonts w:cs="Times New Roman"/>
          <w:szCs w:val="24"/>
        </w:rPr>
        <w:t xml:space="preserve"> briefs are</w:t>
      </w:r>
      <w:r>
        <w:rPr>
          <w:rFonts w:cs="Times New Roman"/>
          <w:szCs w:val="24"/>
        </w:rPr>
        <w:t xml:space="preserve"> given higher levels of consideration than those from an</w:t>
      </w:r>
      <w:r w:rsidR="009612C7">
        <w:rPr>
          <w:rFonts w:cs="Times New Roman"/>
          <w:szCs w:val="24"/>
        </w:rPr>
        <w:t>y other source because they are</w:t>
      </w:r>
      <w:r>
        <w:rPr>
          <w:rFonts w:cs="Times New Roman"/>
          <w:szCs w:val="24"/>
        </w:rPr>
        <w:t xml:space="preserve"> generally considered of the highest quality, followed by amicus briefs filed by the ACLU and state and local governments.  The clerks also indicated that briefs filed by prominent academics and reputed attorneys are given greater consideration.  </w:t>
      </w:r>
    </w:p>
    <w:p w:rsidR="00D50941" w:rsidRPr="00687F8B" w:rsidRDefault="00D50941" w:rsidP="00D50941">
      <w:pPr>
        <w:autoSpaceDE w:val="0"/>
        <w:autoSpaceDN w:val="0"/>
        <w:adjustRightInd w:val="0"/>
        <w:spacing w:line="480" w:lineRule="auto"/>
        <w:ind w:left="0" w:firstLine="720"/>
        <w:rPr>
          <w:rFonts w:cs="Times New Roman"/>
          <w:szCs w:val="24"/>
        </w:rPr>
      </w:pPr>
      <w:r>
        <w:rPr>
          <w:rFonts w:cs="Times New Roman"/>
          <w:szCs w:val="24"/>
        </w:rPr>
        <w:t xml:space="preserve">Fifth, there is an advantage to amicus collaboration (multiple groups signing the same brief) and coordination (groups filing separate briefs each tackling different arguments by design):  </w:t>
      </w:r>
      <w:r w:rsidRPr="008B258E">
        <w:rPr>
          <w:rFonts w:cs="Times New Roman"/>
          <w:color w:val="000000"/>
          <w:szCs w:val="24"/>
        </w:rPr>
        <w:t>90 percent of clerks expressed a preference for collaborative amicus</w:t>
      </w:r>
      <w:r w:rsidRPr="008B258E">
        <w:rPr>
          <w:rFonts w:cs="Times New Roman"/>
          <w:i/>
          <w:iCs/>
          <w:color w:val="000000"/>
          <w:szCs w:val="24"/>
        </w:rPr>
        <w:t xml:space="preserve"> </w:t>
      </w:r>
      <w:r w:rsidRPr="008B258E">
        <w:rPr>
          <w:rFonts w:cs="Times New Roman"/>
          <w:color w:val="000000"/>
          <w:szCs w:val="24"/>
        </w:rPr>
        <w:t xml:space="preserve">briefs, with one </w:t>
      </w:r>
      <w:r w:rsidRPr="008B258E">
        <w:rPr>
          <w:rFonts w:cs="Times New Roman"/>
          <w:color w:val="000000"/>
          <w:szCs w:val="24"/>
        </w:rPr>
        <w:lastRenderedPageBreak/>
        <w:t>clerk commenting that "the more groups that come together on a brief, the more impressive it is that they hold the same view"</w:t>
      </w:r>
      <w:r w:rsidRPr="008B258E">
        <w:rPr>
          <w:rFonts w:cs="Times New Roman"/>
          <w:szCs w:val="24"/>
        </w:rPr>
        <w:t xml:space="preserve"> (57-58).</w:t>
      </w:r>
      <w:r w:rsidR="009612C7">
        <w:rPr>
          <w:rFonts w:cs="Times New Roman"/>
          <w:szCs w:val="24"/>
        </w:rPr>
        <w:t xml:space="preserve">  Still, collaboration and coordination by themselves are</w:t>
      </w:r>
      <w:r>
        <w:rPr>
          <w:rFonts w:cs="Times New Roman"/>
          <w:szCs w:val="24"/>
        </w:rPr>
        <w:t xml:space="preserve"> not definitive</w:t>
      </w:r>
      <w:r w:rsidR="009612C7">
        <w:rPr>
          <w:rFonts w:cs="Times New Roman"/>
          <w:szCs w:val="24"/>
        </w:rPr>
        <w:t>, but rather the groups who are collaborating mak</w:t>
      </w:r>
      <w:r>
        <w:rPr>
          <w:rFonts w:cs="Times New Roman"/>
          <w:szCs w:val="24"/>
        </w:rPr>
        <w:t xml:space="preserve">e the most difference in the consideration likely to be given the brief.   Particularly likely </w:t>
      </w:r>
      <w:r w:rsidR="009612C7">
        <w:rPr>
          <w:rFonts w:cs="Times New Roman"/>
          <w:szCs w:val="24"/>
        </w:rPr>
        <w:t>to be given consideration are</w:t>
      </w:r>
      <w:r>
        <w:rPr>
          <w:rFonts w:cs="Times New Roman"/>
          <w:szCs w:val="24"/>
        </w:rPr>
        <w:t xml:space="preserve"> briefs</w:t>
      </w:r>
      <w:r w:rsidR="009612C7">
        <w:rPr>
          <w:rFonts w:cs="Times New Roman"/>
          <w:szCs w:val="24"/>
        </w:rPr>
        <w:t xml:space="preserve"> in which organizations who are</w:t>
      </w:r>
      <w:r>
        <w:rPr>
          <w:rFonts w:cs="Times New Roman"/>
          <w:szCs w:val="24"/>
        </w:rPr>
        <w:t xml:space="preserve"> not traditional ideological allies collaborated.  Sixth, a slight majority of clerks indicated that briefs providing social science data can be particularly helpful because such briefs often provide new information not contained in the party briefs.</w:t>
      </w:r>
    </w:p>
    <w:p w:rsidR="00D50941" w:rsidRPr="00B46461" w:rsidRDefault="00D50941" w:rsidP="00D50941">
      <w:pPr>
        <w:autoSpaceDE w:val="0"/>
        <w:autoSpaceDN w:val="0"/>
        <w:adjustRightInd w:val="0"/>
        <w:spacing w:line="480" w:lineRule="auto"/>
        <w:ind w:left="0" w:firstLine="720"/>
        <w:rPr>
          <w:rFonts w:cs="Times New Roman"/>
          <w:szCs w:val="24"/>
        </w:rPr>
      </w:pPr>
      <w:r>
        <w:rPr>
          <w:rFonts w:cs="Times New Roman"/>
          <w:szCs w:val="24"/>
        </w:rPr>
        <w:t>Based upon this survey data, Lynch then offers the following recommendations to maximize the effectiveness of amicus briefs.  First, “</w:t>
      </w:r>
      <w:r w:rsidRPr="00B46461">
        <w:rPr>
          <w:rFonts w:cs="Times New Roman"/>
          <w:szCs w:val="24"/>
        </w:rPr>
        <w:t xml:space="preserve">to the greatest extent possible, avoid repeating the information presented in the merits brief of the party it supports and in the other amicus briefs. Clerks cited </w:t>
      </w:r>
      <w:r w:rsidRPr="00B46461">
        <w:rPr>
          <w:rFonts w:cs="Times New Roman"/>
          <w:i/>
          <w:iCs/>
          <w:szCs w:val="24"/>
        </w:rPr>
        <w:t xml:space="preserve">verbatim iteration </w:t>
      </w:r>
      <w:r w:rsidRPr="00B46461">
        <w:rPr>
          <w:rFonts w:cs="Times New Roman"/>
          <w:szCs w:val="24"/>
        </w:rPr>
        <w:t>to be the fatal flaw of an amicus brief. A serviceable brief must be additive to the par</w:t>
      </w:r>
      <w:r w:rsidR="00BF5B3B">
        <w:rPr>
          <w:rFonts w:cs="Times New Roman"/>
          <w:szCs w:val="24"/>
        </w:rPr>
        <w:t>ty discussion” (Lynch 2004, 67)</w:t>
      </w:r>
      <w:r>
        <w:rPr>
          <w:rFonts w:cs="Times New Roman"/>
          <w:szCs w:val="24"/>
        </w:rPr>
        <w:t xml:space="preserve">.  Second, keep the brief short.  Third, make sure the brief is well written.  Finally, the name on the brief matters, as greater attention is given to frequent and prominent amicus filers (“repeat players”), such as institutional litigants.  </w:t>
      </w:r>
    </w:p>
    <w:p w:rsidR="00D50941" w:rsidRDefault="009612C7" w:rsidP="00D50941">
      <w:pPr>
        <w:pStyle w:val="ListParagraph"/>
        <w:spacing w:line="480" w:lineRule="auto"/>
        <w:ind w:left="0" w:firstLine="720"/>
      </w:pPr>
      <w:r>
        <w:t>Collins (2007) concludes</w:t>
      </w:r>
      <w:r w:rsidR="00D50941">
        <w:t xml:space="preserve"> that amicus briefs do play a significant role in shaping the ideological direction of the USSC’s decisions.  Analyzing group influence during the 1946-1995 terms of the USSC, and controlling for other known variables influencing the USSC (e.g., Solicitor General; justice ideology; litigant resources, lower court conflict), Collins finds that the provision of more liberal briefs enhances the probability of a liberal decision by th</w:t>
      </w:r>
      <w:r>
        <w:t>e USSC</w:t>
      </w:r>
      <w:r w:rsidR="00D50941">
        <w:t>, and the provision of more conservative briefs by amici enhances the probability of a c</w:t>
      </w:r>
      <w:r>
        <w:t>onservative decision by the USSC</w:t>
      </w:r>
      <w:r w:rsidR="00D50941">
        <w:t>.   This is particularly true when the case is accompanied by lopsided am</w:t>
      </w:r>
      <w:r w:rsidR="00DC7C87">
        <w:t xml:space="preserve">icus participation.   Also, </w:t>
      </w:r>
      <w:r w:rsidR="00D50941">
        <w:t xml:space="preserve">counter to conventional wisdom, Collins finds that groups do not </w:t>
      </w:r>
      <w:r w:rsidR="00D50941">
        <w:lastRenderedPageBreak/>
        <w:t>file more amicus briefs in cases that they think they are likely to win, but that actually the opposite trend exists.</w:t>
      </w:r>
    </w:p>
    <w:p w:rsidR="00D50941" w:rsidRDefault="00D50941" w:rsidP="00D50941">
      <w:pPr>
        <w:autoSpaceDE w:val="0"/>
        <w:autoSpaceDN w:val="0"/>
        <w:adjustRightInd w:val="0"/>
        <w:spacing w:line="480" w:lineRule="auto"/>
        <w:ind w:left="0" w:firstLine="720"/>
        <w:rPr>
          <w:rFonts w:cs="Times New Roman"/>
        </w:rPr>
      </w:pPr>
      <w:r>
        <w:rPr>
          <w:rFonts w:cs="Times New Roman"/>
        </w:rPr>
        <w:t>Collins (2008) provides the</w:t>
      </w:r>
      <w:r w:rsidRPr="00322A55">
        <w:rPr>
          <w:rFonts w:cs="Times New Roman"/>
        </w:rPr>
        <w:t xml:space="preserve"> most extensive </w:t>
      </w:r>
      <w:r>
        <w:rPr>
          <w:rFonts w:cs="Times New Roman"/>
        </w:rPr>
        <w:t xml:space="preserve">and theoretically rich </w:t>
      </w:r>
      <w:r w:rsidRPr="00322A55">
        <w:rPr>
          <w:rFonts w:cs="Times New Roman"/>
        </w:rPr>
        <w:t>study to date on the influen</w:t>
      </w:r>
      <w:r>
        <w:rPr>
          <w:rFonts w:cs="Times New Roman"/>
        </w:rPr>
        <w:t xml:space="preserve">ce of amici on the USSC.   In this study, Collins </w:t>
      </w:r>
      <w:r w:rsidRPr="00322A55">
        <w:rPr>
          <w:rFonts w:cs="Times New Roman"/>
        </w:rPr>
        <w:t xml:space="preserve">purposefully chooses not to focus upon the influence of amicus briefs on </w:t>
      </w:r>
      <w:r w:rsidR="009612C7">
        <w:rPr>
          <w:rFonts w:cs="Times New Roman"/>
        </w:rPr>
        <w:t>the USSC</w:t>
      </w:r>
      <w:r w:rsidR="00863D6F">
        <w:rPr>
          <w:rFonts w:cs="Times New Roman"/>
        </w:rPr>
        <w:t>’s decision outcomes (</w:t>
      </w:r>
      <w:r w:rsidRPr="00322A55">
        <w:rPr>
          <w:rFonts w:cs="Times New Roman"/>
        </w:rPr>
        <w:t>using litigation success as the dependent variable (i.e., win</w:t>
      </w:r>
      <w:r w:rsidR="003966D4">
        <w:rPr>
          <w:rFonts w:cs="Times New Roman"/>
        </w:rPr>
        <w:t xml:space="preserve"> or lose) and treating the USSC</w:t>
      </w:r>
      <w:r w:rsidRPr="00322A55">
        <w:rPr>
          <w:rFonts w:cs="Times New Roman"/>
        </w:rPr>
        <w:t xml:space="preserve"> as a unitary actor</w:t>
      </w:r>
      <w:r w:rsidR="00DC7C87">
        <w:rPr>
          <w:rFonts w:cs="Times New Roman"/>
        </w:rPr>
        <w:t>)</w:t>
      </w:r>
      <w:r w:rsidRPr="00322A55">
        <w:rPr>
          <w:rFonts w:cs="Times New Roman"/>
        </w:rPr>
        <w:t>.  Instead, Collins undertakes to address a different and more theoretically interesting question:  do amicus briefs influence the</w:t>
      </w:r>
      <w:r w:rsidR="00DC7C87">
        <w:rPr>
          <w:rFonts w:cs="Times New Roman"/>
        </w:rPr>
        <w:t xml:space="preserve"> ideological</w:t>
      </w:r>
      <w:r w:rsidR="003966D4">
        <w:rPr>
          <w:rFonts w:cs="Times New Roman"/>
        </w:rPr>
        <w:t xml:space="preserve"> directional</w:t>
      </w:r>
      <w:r w:rsidRPr="00322A55">
        <w:rPr>
          <w:rFonts w:cs="Times New Roman"/>
        </w:rPr>
        <w:t xml:space="preserve"> of the votes of the individual justices (i.e., liberal or conservative)?  He demonstrates that the presence of amicus briefs have a discernible impact on how individual justices vote on the merits of a case, even when controlling for judicial ideology.  </w:t>
      </w:r>
    </w:p>
    <w:p w:rsidR="00D50941" w:rsidRPr="00015755" w:rsidRDefault="00DC7C87" w:rsidP="00015755">
      <w:pPr>
        <w:autoSpaceDE w:val="0"/>
        <w:autoSpaceDN w:val="0"/>
        <w:adjustRightInd w:val="0"/>
        <w:spacing w:line="480" w:lineRule="auto"/>
        <w:ind w:left="0" w:firstLine="720"/>
        <w:rPr>
          <w:rFonts w:cs="Times New Roman"/>
          <w:color w:val="FF0000"/>
          <w:szCs w:val="24"/>
        </w:rPr>
      </w:pPr>
      <w:r>
        <w:rPr>
          <w:rFonts w:cs="Times New Roman"/>
          <w:szCs w:val="24"/>
        </w:rPr>
        <w:t>F</w:t>
      </w:r>
      <w:r w:rsidR="00D50941" w:rsidRPr="00322A55">
        <w:rPr>
          <w:rFonts w:cs="Times New Roman"/>
          <w:szCs w:val="24"/>
        </w:rPr>
        <w:t xml:space="preserve">or the overwhelming majority of the court, ideology does </w:t>
      </w:r>
      <w:r w:rsidR="00D50941" w:rsidRPr="00322A55">
        <w:rPr>
          <w:rFonts w:cs="Times New Roman"/>
          <w:i/>
          <w:szCs w:val="24"/>
        </w:rPr>
        <w:t>not</w:t>
      </w:r>
      <w:r w:rsidR="00D50941" w:rsidRPr="00322A55">
        <w:rPr>
          <w:rFonts w:cs="Times New Roman"/>
          <w:szCs w:val="24"/>
        </w:rPr>
        <w:t xml:space="preserve"> act as a mediating variable conditioning how the justices process the information contained in amicus briefs. </w:t>
      </w:r>
      <w:r w:rsidR="00BA2A9A">
        <w:rPr>
          <w:rFonts w:cs="Times New Roman"/>
          <w:szCs w:val="24"/>
        </w:rPr>
        <w:t xml:space="preserve"> </w:t>
      </w:r>
      <w:r>
        <w:rPr>
          <w:rFonts w:cs="Times New Roman"/>
          <w:szCs w:val="24"/>
        </w:rPr>
        <w:t xml:space="preserve">That is, regardless of ideology, the justices become more likely to vote liberally as the number of liberal amicus briefs increases, and more likely to vote conservatively as the number of conservative briefs increases.  </w:t>
      </w:r>
      <w:r w:rsidR="00BA2A9A">
        <w:rPr>
          <w:rFonts w:cs="Times New Roman"/>
          <w:szCs w:val="24"/>
        </w:rPr>
        <w:t>However, Collins shows that j</w:t>
      </w:r>
      <w:r w:rsidR="00D50941" w:rsidRPr="00322A55">
        <w:rPr>
          <w:rFonts w:cs="Times New Roman"/>
          <w:szCs w:val="24"/>
        </w:rPr>
        <w:t>ustices who sit at or near the</w:t>
      </w:r>
      <w:r w:rsidR="003966D4">
        <w:rPr>
          <w:rFonts w:cs="Times New Roman"/>
          <w:szCs w:val="24"/>
        </w:rPr>
        <w:t xml:space="preserve"> ideological center of the USSC</w:t>
      </w:r>
      <w:r w:rsidR="00D50941" w:rsidRPr="00322A55">
        <w:rPr>
          <w:rFonts w:cs="Times New Roman"/>
          <w:szCs w:val="24"/>
        </w:rPr>
        <w:t xml:space="preserve"> are especially susceptible to the persuasive legal arguments contained in amicus briefs.   Such evidence bolsters the utility of targeting the median (swing) vote through amicus briefs (Collins 2008). </w:t>
      </w:r>
      <w:r w:rsidR="003966D4">
        <w:rPr>
          <w:rFonts w:cs="Times New Roman"/>
          <w:szCs w:val="24"/>
        </w:rPr>
        <w:t xml:space="preserve"> </w:t>
      </w:r>
      <w:r w:rsidR="00A91256">
        <w:rPr>
          <w:rFonts w:cs="Times New Roman"/>
          <w:szCs w:val="24"/>
        </w:rPr>
        <w:t>This is a particularly significant finding, as studies have shown the median justice is the most influential player in determining USSC case outcomes</w:t>
      </w:r>
      <w:r w:rsidR="00B1051E">
        <w:rPr>
          <w:rFonts w:cs="Times New Roman"/>
          <w:szCs w:val="24"/>
        </w:rPr>
        <w:t xml:space="preserve"> and opinion content</w:t>
      </w:r>
      <w:r w:rsidR="00A91256">
        <w:rPr>
          <w:rFonts w:cs="Times New Roman"/>
          <w:szCs w:val="24"/>
        </w:rPr>
        <w:t xml:space="preserve"> (e.g., Martin, Quinn, </w:t>
      </w:r>
      <w:r w:rsidR="000D6839">
        <w:rPr>
          <w:rFonts w:cs="Times New Roman"/>
          <w:szCs w:val="24"/>
        </w:rPr>
        <w:t>and</w:t>
      </w:r>
      <w:r w:rsidR="00A91256">
        <w:rPr>
          <w:rFonts w:cs="Times New Roman"/>
          <w:szCs w:val="24"/>
        </w:rPr>
        <w:t xml:space="preserve"> Epstein 2005</w:t>
      </w:r>
      <w:r w:rsidR="00B1051E">
        <w:rPr>
          <w:rFonts w:cs="Times New Roman"/>
          <w:szCs w:val="24"/>
        </w:rPr>
        <w:t xml:space="preserve">; Schmidt and </w:t>
      </w:r>
      <w:proofErr w:type="spellStart"/>
      <w:r w:rsidR="00B1051E">
        <w:rPr>
          <w:rFonts w:cs="Times New Roman"/>
          <w:szCs w:val="24"/>
        </w:rPr>
        <w:t>Yalof</w:t>
      </w:r>
      <w:proofErr w:type="spellEnd"/>
      <w:r w:rsidR="00B1051E">
        <w:rPr>
          <w:rFonts w:cs="Times New Roman"/>
          <w:szCs w:val="24"/>
        </w:rPr>
        <w:t xml:space="preserve"> 2004</w:t>
      </w:r>
      <w:r w:rsidR="00A91256">
        <w:rPr>
          <w:rFonts w:cs="Times New Roman"/>
          <w:szCs w:val="24"/>
        </w:rPr>
        <w:t xml:space="preserve">). </w:t>
      </w:r>
      <w:r w:rsidR="00015755">
        <w:rPr>
          <w:rFonts w:cs="Times New Roman"/>
          <w:color w:val="FF0000"/>
          <w:szCs w:val="24"/>
        </w:rPr>
        <w:t xml:space="preserve">  </w:t>
      </w:r>
      <w:r w:rsidR="00D50941">
        <w:rPr>
          <w:rFonts w:cs="Times New Roman"/>
          <w:szCs w:val="24"/>
        </w:rPr>
        <w:t xml:space="preserve">In addition, Collins </w:t>
      </w:r>
      <w:r w:rsidR="00D50941" w:rsidRPr="00322A55">
        <w:rPr>
          <w:rFonts w:cs="Times New Roman"/>
          <w:szCs w:val="24"/>
        </w:rPr>
        <w:t>finds that i</w:t>
      </w:r>
      <w:r w:rsidR="00D50941">
        <w:rPr>
          <w:rFonts w:cs="Times New Roman"/>
          <w:szCs w:val="24"/>
        </w:rPr>
        <w:t>ncreasing numbers of amicus</w:t>
      </w:r>
      <w:r w:rsidR="00D50941" w:rsidRPr="00322A55">
        <w:rPr>
          <w:rFonts w:cs="Times New Roman"/>
          <w:szCs w:val="24"/>
        </w:rPr>
        <w:t xml:space="preserve"> briefs </w:t>
      </w:r>
      <w:r w:rsidR="00804C82">
        <w:rPr>
          <w:rFonts w:cs="Times New Roman"/>
          <w:szCs w:val="24"/>
        </w:rPr>
        <w:t xml:space="preserve">in a case </w:t>
      </w:r>
      <w:r w:rsidR="00D50941">
        <w:rPr>
          <w:rFonts w:cs="Times New Roman"/>
          <w:szCs w:val="24"/>
        </w:rPr>
        <w:t xml:space="preserve">increase a justice’s likelihood of writing or joining a </w:t>
      </w:r>
      <w:r w:rsidR="00D50941" w:rsidRPr="00322A55">
        <w:rPr>
          <w:rFonts w:cs="Times New Roman"/>
          <w:szCs w:val="24"/>
        </w:rPr>
        <w:t>concurring or dissenting opinion</w:t>
      </w:r>
      <w:r w:rsidR="00D50941">
        <w:rPr>
          <w:rFonts w:cs="Times New Roman"/>
          <w:szCs w:val="24"/>
        </w:rPr>
        <w:t>, as these briefs highlight the uncertain and indeterminate nature of the law.</w:t>
      </w:r>
    </w:p>
    <w:p w:rsidR="008702FF" w:rsidRDefault="002037AB" w:rsidP="00B86460">
      <w:pPr>
        <w:autoSpaceDE w:val="0"/>
        <w:autoSpaceDN w:val="0"/>
        <w:adjustRightInd w:val="0"/>
        <w:spacing w:line="480" w:lineRule="auto"/>
        <w:ind w:left="0" w:firstLine="720"/>
      </w:pPr>
      <w:r w:rsidRPr="001C4181">
        <w:rPr>
          <w:rFonts w:cs="Times New Roman"/>
          <w:szCs w:val="24"/>
        </w:rPr>
        <w:lastRenderedPageBreak/>
        <w:t xml:space="preserve">Since it has been shown </w:t>
      </w:r>
      <w:r w:rsidR="005459B9" w:rsidRPr="001C4181">
        <w:rPr>
          <w:rFonts w:cs="Times New Roman"/>
          <w:szCs w:val="24"/>
        </w:rPr>
        <w:t>that amici can influence judicial behavior</w:t>
      </w:r>
      <w:r w:rsidR="00863D6F">
        <w:rPr>
          <w:rFonts w:cs="Times New Roman"/>
          <w:szCs w:val="24"/>
        </w:rPr>
        <w:t>, another important question concerns</w:t>
      </w:r>
      <w:r w:rsidRPr="001C4181">
        <w:rPr>
          <w:rFonts w:cs="Times New Roman"/>
          <w:szCs w:val="24"/>
        </w:rPr>
        <w:t xml:space="preserve"> whether</w:t>
      </w:r>
      <w:r w:rsidR="00863D6F">
        <w:rPr>
          <w:rFonts w:cs="Times New Roman"/>
          <w:szCs w:val="24"/>
        </w:rPr>
        <w:t xml:space="preserve"> or not</w:t>
      </w:r>
      <w:r w:rsidR="005459B9" w:rsidRPr="001C4181">
        <w:rPr>
          <w:rFonts w:cs="Times New Roman"/>
          <w:szCs w:val="24"/>
        </w:rPr>
        <w:t xml:space="preserve"> all amici </w:t>
      </w:r>
      <w:r w:rsidRPr="001C4181">
        <w:rPr>
          <w:rFonts w:cs="Times New Roman"/>
          <w:szCs w:val="24"/>
        </w:rPr>
        <w:t xml:space="preserve">are </w:t>
      </w:r>
      <w:r w:rsidR="005459B9" w:rsidRPr="001C4181">
        <w:rPr>
          <w:rFonts w:cs="Times New Roman"/>
          <w:szCs w:val="24"/>
        </w:rPr>
        <w:t>created equal in infl</w:t>
      </w:r>
      <w:r w:rsidR="00863D6F">
        <w:rPr>
          <w:rFonts w:cs="Times New Roman"/>
          <w:szCs w:val="24"/>
        </w:rPr>
        <w:t>uence.</w:t>
      </w:r>
      <w:r w:rsidR="005459B9" w:rsidRPr="001C4181">
        <w:rPr>
          <w:rFonts w:cs="Times New Roman"/>
          <w:szCs w:val="24"/>
        </w:rPr>
        <w:t xml:space="preserve"> </w:t>
      </w:r>
      <w:r w:rsidRPr="001C4181">
        <w:rPr>
          <w:rFonts w:cs="Times New Roman"/>
          <w:szCs w:val="24"/>
        </w:rPr>
        <w:t xml:space="preserve"> </w:t>
      </w:r>
      <w:r w:rsidR="00DC7C87" w:rsidRPr="001C4181">
        <w:rPr>
          <w:rFonts w:cs="Times New Roman"/>
          <w:szCs w:val="24"/>
        </w:rPr>
        <w:t xml:space="preserve">The short answer is “No.” </w:t>
      </w:r>
      <w:r w:rsidR="000A4AE1" w:rsidRPr="001C4181">
        <w:rPr>
          <w:rFonts w:cs="Times New Roman"/>
          <w:szCs w:val="24"/>
        </w:rPr>
        <w:t xml:space="preserve">Generally, it is already known that </w:t>
      </w:r>
      <w:r w:rsidR="003966D4">
        <w:rPr>
          <w:rFonts w:cs="Times New Roman"/>
          <w:szCs w:val="24"/>
        </w:rPr>
        <w:t>experienced advocates enjoy</w:t>
      </w:r>
      <w:r w:rsidR="000A4AE1" w:rsidRPr="001C4181">
        <w:rPr>
          <w:rFonts w:cs="Times New Roman"/>
          <w:szCs w:val="24"/>
        </w:rPr>
        <w:t xml:space="preserve"> greater success at the USSC and are more likely to have their arguments adopted by the USSC in their written opinions (</w:t>
      </w:r>
      <w:proofErr w:type="spellStart"/>
      <w:r w:rsidR="000A4AE1" w:rsidRPr="001C4181">
        <w:rPr>
          <w:rFonts w:cs="Times New Roman"/>
          <w:szCs w:val="24"/>
        </w:rPr>
        <w:t>McAtee</w:t>
      </w:r>
      <w:proofErr w:type="spellEnd"/>
      <w:r w:rsidR="000A4AE1" w:rsidRPr="001C4181">
        <w:rPr>
          <w:rFonts w:cs="Times New Roman"/>
          <w:szCs w:val="24"/>
        </w:rPr>
        <w:t xml:space="preserve"> </w:t>
      </w:r>
      <w:r w:rsidR="000D6839">
        <w:rPr>
          <w:rFonts w:cs="Times New Roman"/>
          <w:szCs w:val="24"/>
        </w:rPr>
        <w:t>and</w:t>
      </w:r>
      <w:r w:rsidR="000A4AE1" w:rsidRPr="001C4181">
        <w:rPr>
          <w:rFonts w:cs="Times New Roman"/>
          <w:szCs w:val="24"/>
        </w:rPr>
        <w:t xml:space="preserve"> McGuire 2007; McGuire</w:t>
      </w:r>
      <w:r w:rsidR="00671E70">
        <w:rPr>
          <w:rFonts w:cs="Times New Roman"/>
          <w:szCs w:val="24"/>
        </w:rPr>
        <w:t xml:space="preserve"> 1994; McGuire 1995</w:t>
      </w:r>
      <w:r w:rsidR="000A4AE1" w:rsidRPr="001C4181">
        <w:rPr>
          <w:rFonts w:cs="Times New Roman"/>
          <w:szCs w:val="24"/>
        </w:rPr>
        <w:t xml:space="preserve">).  </w:t>
      </w:r>
      <w:r w:rsidRPr="001C4181">
        <w:rPr>
          <w:rFonts w:cs="Times New Roman"/>
          <w:szCs w:val="24"/>
        </w:rPr>
        <w:t xml:space="preserve">As </w:t>
      </w:r>
      <w:r w:rsidR="00DC7C87" w:rsidRPr="001C4181">
        <w:rPr>
          <w:rFonts w:cs="Times New Roman"/>
          <w:szCs w:val="24"/>
        </w:rPr>
        <w:t>discussed</w:t>
      </w:r>
      <w:r w:rsidR="0092582B" w:rsidRPr="001C4181">
        <w:rPr>
          <w:rFonts w:cs="Times New Roman"/>
          <w:szCs w:val="24"/>
        </w:rPr>
        <w:t xml:space="preserve"> </w:t>
      </w:r>
      <w:r w:rsidRPr="001C4181">
        <w:rPr>
          <w:rFonts w:cs="Times New Roman"/>
          <w:szCs w:val="24"/>
        </w:rPr>
        <w:t xml:space="preserve">previously, </w:t>
      </w:r>
      <w:r w:rsidRPr="001C4181">
        <w:t xml:space="preserve">scholars have posited and found some support for the notion that the prestige and experience of the amicus participant may influence judicial behavior (e.g., McGuire 1994; Kearney </w:t>
      </w:r>
      <w:r w:rsidR="000D6839">
        <w:t>and</w:t>
      </w:r>
      <w:r w:rsidRPr="001C4181">
        <w:t xml:space="preserve"> Merrill 2000; Lynch 2004; Collins 2004; </w:t>
      </w:r>
      <w:proofErr w:type="spellStart"/>
      <w:r w:rsidRPr="001C4181">
        <w:t>Simard</w:t>
      </w:r>
      <w:proofErr w:type="spellEnd"/>
      <w:r w:rsidRPr="001C4181">
        <w:t xml:space="preserve"> 2007</w:t>
      </w:r>
      <w:r w:rsidR="0092582B" w:rsidRPr="001C4181">
        <w:t>; Chandler 2013</w:t>
      </w:r>
      <w:r w:rsidRPr="001C4181">
        <w:t xml:space="preserve">).  </w:t>
      </w:r>
      <w:r w:rsidR="00DC7C87" w:rsidRPr="001C4181">
        <w:t xml:space="preserve">Repeat players, or institutional litigants, </w:t>
      </w:r>
      <w:r w:rsidR="00272EAE" w:rsidRPr="001C4181">
        <w:t>before the USSC typically have</w:t>
      </w:r>
      <w:r w:rsidR="00DC7C87" w:rsidRPr="001C4181">
        <w:t xml:space="preserve"> resource, expertise, and credibility advantage</w:t>
      </w:r>
      <w:r w:rsidR="00272EAE" w:rsidRPr="001C4181">
        <w:t>s</w:t>
      </w:r>
      <w:r w:rsidR="00DC7C87" w:rsidRPr="001C4181">
        <w:t xml:space="preserve"> over other amicus participants.</w:t>
      </w:r>
      <w:r w:rsidR="002B2216" w:rsidRPr="001C4181">
        <w:t xml:space="preserve">  </w:t>
      </w:r>
    </w:p>
    <w:p w:rsidR="00C447AF" w:rsidRDefault="002B2216" w:rsidP="00C447AF">
      <w:pPr>
        <w:autoSpaceDE w:val="0"/>
        <w:autoSpaceDN w:val="0"/>
        <w:adjustRightInd w:val="0"/>
        <w:spacing w:line="480" w:lineRule="auto"/>
        <w:ind w:left="0" w:firstLine="720"/>
        <w:rPr>
          <w:rFonts w:cs="Times New Roman"/>
        </w:rPr>
      </w:pPr>
      <w:r w:rsidRPr="001C4181">
        <w:rPr>
          <w:rFonts w:cs="Times New Roman"/>
        </w:rPr>
        <w:t xml:space="preserve">Kearny </w:t>
      </w:r>
      <w:r w:rsidR="000D6839">
        <w:rPr>
          <w:rFonts w:cs="Times New Roman"/>
        </w:rPr>
        <w:t>and</w:t>
      </w:r>
      <w:r w:rsidRPr="001C4181">
        <w:rPr>
          <w:rFonts w:cs="Times New Roman"/>
        </w:rPr>
        <w:t xml:space="preserve"> Merrill</w:t>
      </w:r>
      <w:r w:rsidR="00034957" w:rsidRPr="001C4181">
        <w:rPr>
          <w:rFonts w:cs="Times New Roman"/>
        </w:rPr>
        <w:t xml:space="preserve"> </w:t>
      </w:r>
      <w:r w:rsidRPr="001C4181">
        <w:rPr>
          <w:rFonts w:cs="Times New Roman"/>
        </w:rPr>
        <w:t>(2000, 788-89) chose to set aside and separately track the amicus curiae participation of four “institutional litigants” – the Solicitor General, the ACLU, the AFL-CIO, and the States – that had been identified in previous literature</w:t>
      </w:r>
      <w:r w:rsidRPr="001C4181">
        <w:rPr>
          <w:rStyle w:val="FootnoteReference"/>
          <w:rFonts w:cs="Times New Roman"/>
        </w:rPr>
        <w:footnoteReference w:id="21"/>
      </w:r>
      <w:r w:rsidRPr="001C4181">
        <w:rPr>
          <w:rFonts w:cs="Times New Roman"/>
        </w:rPr>
        <w:t xml:space="preserve"> as being especially successful in influencing the USSC via amicus curiae briefs.  These institutional litigants were frequent amicus participants during the scope of Kearney </w:t>
      </w:r>
      <w:r w:rsidR="000D6839">
        <w:rPr>
          <w:rFonts w:cs="Times New Roman"/>
        </w:rPr>
        <w:t>and</w:t>
      </w:r>
      <w:r w:rsidRPr="001C4181">
        <w:rPr>
          <w:rFonts w:cs="Times New Roman"/>
        </w:rPr>
        <w:t xml:space="preserve"> Merrill’s 50 year study and, at least in the case of the Solicitor General, ACLU, and AFL-CIO, known for their high quality briefs.  Kearney and Merrill find that each of these four institutional litigants achieved litigant success rates </w:t>
      </w:r>
      <w:r w:rsidR="00804C82" w:rsidRPr="001C4181">
        <w:rPr>
          <w:rFonts w:cs="Times New Roman"/>
        </w:rPr>
        <w:t xml:space="preserve">modestly </w:t>
      </w:r>
      <w:r w:rsidRPr="001C4181">
        <w:rPr>
          <w:rFonts w:cs="Times New Roman"/>
        </w:rPr>
        <w:t>above the benchmark average, and the positive effect was strongest in th</w:t>
      </w:r>
      <w:r w:rsidR="00804C82" w:rsidRPr="001C4181">
        <w:rPr>
          <w:rFonts w:cs="Times New Roman"/>
        </w:rPr>
        <w:t>e case of the Solicitor General</w:t>
      </w:r>
      <w:r w:rsidRPr="001C4181">
        <w:rPr>
          <w:rFonts w:cs="Times New Roman"/>
        </w:rPr>
        <w:t xml:space="preserve">.  Lynch’s (2004) survey results of former USSC law clerks accords with this finding regarding the influence of the Solicitor General, the ACLU, and the state governments, as does </w:t>
      </w:r>
      <w:proofErr w:type="spellStart"/>
      <w:r w:rsidRPr="001C4181">
        <w:rPr>
          <w:rFonts w:cs="Times New Roman"/>
        </w:rPr>
        <w:t>Simard’s</w:t>
      </w:r>
      <w:proofErr w:type="spellEnd"/>
      <w:r w:rsidRPr="001C4181">
        <w:rPr>
          <w:rFonts w:cs="Times New Roman"/>
        </w:rPr>
        <w:t xml:space="preserve"> (2007) surve</w:t>
      </w:r>
      <w:r w:rsidR="00671E70">
        <w:rPr>
          <w:rFonts w:cs="Times New Roman"/>
        </w:rPr>
        <w:t>y of appellate judges, which shows</w:t>
      </w:r>
      <w:r w:rsidRPr="001C4181">
        <w:rPr>
          <w:rFonts w:cs="Times New Roman"/>
        </w:rPr>
        <w:t xml:space="preserve"> that judges are more likely to value prestigious briefs.</w:t>
      </w:r>
      <w:r w:rsidR="000A4AE1" w:rsidRPr="001C4181">
        <w:rPr>
          <w:rFonts w:cs="Times New Roman"/>
        </w:rPr>
        <w:t xml:space="preserve">  </w:t>
      </w:r>
    </w:p>
    <w:p w:rsidR="00C447AF" w:rsidRPr="002A18BA" w:rsidRDefault="00C447AF" w:rsidP="00C447AF">
      <w:pPr>
        <w:autoSpaceDE w:val="0"/>
        <w:autoSpaceDN w:val="0"/>
        <w:adjustRightInd w:val="0"/>
        <w:spacing w:line="480" w:lineRule="auto"/>
        <w:ind w:left="0" w:firstLine="720"/>
        <w:rPr>
          <w:rFonts w:cs="Times New Roman"/>
          <w:szCs w:val="24"/>
        </w:rPr>
      </w:pPr>
      <w:r w:rsidRPr="002A18BA">
        <w:rPr>
          <w:rFonts w:cs="Times New Roman"/>
          <w:szCs w:val="24"/>
        </w:rPr>
        <w:lastRenderedPageBreak/>
        <w:t xml:space="preserve">Of particular relevance to this study are the responses of three USSC justices to </w:t>
      </w:r>
      <w:proofErr w:type="spellStart"/>
      <w:r w:rsidRPr="002A18BA">
        <w:rPr>
          <w:rFonts w:cs="Times New Roman"/>
          <w:szCs w:val="24"/>
        </w:rPr>
        <w:t>Simard’s</w:t>
      </w:r>
      <w:proofErr w:type="spellEnd"/>
      <w:r w:rsidRPr="002A18BA">
        <w:rPr>
          <w:rFonts w:cs="Times New Roman"/>
          <w:szCs w:val="24"/>
        </w:rPr>
        <w:t xml:space="preserve"> (2007) survey.  These justices indicated that they are moderately influenced by the identity, prestige, and experience of the amicus curiae (688).  Of particul</w:t>
      </w:r>
      <w:r w:rsidR="00863D6F" w:rsidRPr="002A18BA">
        <w:rPr>
          <w:rFonts w:cs="Times New Roman"/>
          <w:szCs w:val="24"/>
        </w:rPr>
        <w:t xml:space="preserve">ar note is </w:t>
      </w:r>
      <w:proofErr w:type="spellStart"/>
      <w:r w:rsidR="00863D6F" w:rsidRPr="002A18BA">
        <w:rPr>
          <w:rFonts w:cs="Times New Roman"/>
          <w:szCs w:val="24"/>
        </w:rPr>
        <w:t>Simard’</w:t>
      </w:r>
      <w:r w:rsidRPr="002A18BA">
        <w:rPr>
          <w:rFonts w:cs="Times New Roman"/>
          <w:szCs w:val="24"/>
        </w:rPr>
        <w:t>s</w:t>
      </w:r>
      <w:proofErr w:type="spellEnd"/>
      <w:r w:rsidRPr="002A18BA">
        <w:rPr>
          <w:rFonts w:cs="Times New Roman"/>
          <w:szCs w:val="24"/>
        </w:rPr>
        <w:t xml:space="preserve"> revelation of her telephone interview of Justice Ruth Bader Ginsburg, in which Justice Ginsburg said  that “her clerks often divide the amicus briefs into three piles: those that should be skipped entirely, those that should be skimmed, and those that should be read in full” (688).  Those amicus briefs featuring experienced attorneys were most likely to be placed in the high priority pile.</w:t>
      </w:r>
    </w:p>
    <w:p w:rsidR="002B2216" w:rsidRPr="002A18BA" w:rsidRDefault="000A4AE1" w:rsidP="00B86460">
      <w:pPr>
        <w:autoSpaceDE w:val="0"/>
        <w:autoSpaceDN w:val="0"/>
        <w:adjustRightInd w:val="0"/>
        <w:spacing w:line="480" w:lineRule="auto"/>
        <w:ind w:left="0" w:firstLine="720"/>
        <w:rPr>
          <w:rFonts w:cs="Times New Roman"/>
          <w:szCs w:val="24"/>
        </w:rPr>
      </w:pPr>
      <w:r w:rsidRPr="002A18BA">
        <w:rPr>
          <w:rFonts w:cs="Times New Roman"/>
          <w:szCs w:val="24"/>
        </w:rPr>
        <w:t>Thus, group influence varies based upon the reputation of the group and the perceived quality of the information provided in the brief.</w:t>
      </w:r>
      <w:r w:rsidR="002B2216" w:rsidRPr="002A18BA">
        <w:rPr>
          <w:rFonts w:cs="Times New Roman"/>
          <w:szCs w:val="24"/>
        </w:rPr>
        <w:t xml:space="preserve">  </w:t>
      </w:r>
      <w:r w:rsidR="00B86460" w:rsidRPr="002A18BA">
        <w:rPr>
          <w:rFonts w:cs="Times New Roman"/>
          <w:szCs w:val="24"/>
        </w:rPr>
        <w:t>This makes good sense, as busy justices and law cle</w:t>
      </w:r>
      <w:r w:rsidR="004576AA" w:rsidRPr="002A18BA">
        <w:rPr>
          <w:rFonts w:cs="Times New Roman"/>
          <w:szCs w:val="24"/>
        </w:rPr>
        <w:t>rks who are inundated with petitions, party briefs, and amicus briefs</w:t>
      </w:r>
      <w:r w:rsidR="00B86460" w:rsidRPr="002A18BA">
        <w:rPr>
          <w:rFonts w:cs="Times New Roman"/>
          <w:szCs w:val="24"/>
        </w:rPr>
        <w:t xml:space="preserve">, </w:t>
      </w:r>
      <w:r w:rsidR="007B7CE9" w:rsidRPr="002A18BA">
        <w:rPr>
          <w:rFonts w:cs="Times New Roman"/>
          <w:szCs w:val="24"/>
        </w:rPr>
        <w:t>are</w:t>
      </w:r>
      <w:r w:rsidR="00B86460" w:rsidRPr="002A18BA">
        <w:rPr>
          <w:rFonts w:cs="Times New Roman"/>
          <w:szCs w:val="24"/>
        </w:rPr>
        <w:t xml:space="preserve"> most likely to pay attention to those briefs that come from </w:t>
      </w:r>
      <w:r w:rsidR="00804C82" w:rsidRPr="002A18BA">
        <w:rPr>
          <w:rFonts w:cs="Times New Roman"/>
          <w:szCs w:val="24"/>
        </w:rPr>
        <w:t>the most prestigious</w:t>
      </w:r>
      <w:r w:rsidR="007B7CE9" w:rsidRPr="002A18BA">
        <w:rPr>
          <w:rFonts w:cs="Times New Roman"/>
          <w:szCs w:val="24"/>
        </w:rPr>
        <w:t xml:space="preserve"> and reputable sources.</w:t>
      </w:r>
    </w:p>
    <w:p w:rsidR="001C4181" w:rsidRPr="008702FF" w:rsidRDefault="001C4181" w:rsidP="008702FF">
      <w:pPr>
        <w:pStyle w:val="ListParagraph"/>
        <w:spacing w:line="480" w:lineRule="auto"/>
        <w:ind w:left="0" w:firstLine="720"/>
      </w:pPr>
      <w:r w:rsidRPr="002A18BA">
        <w:rPr>
          <w:rFonts w:cs="Times New Roman"/>
          <w:szCs w:val="24"/>
        </w:rPr>
        <w:t>A continual refrain in the literature, and made cl</w:t>
      </w:r>
      <w:r w:rsidR="00D6566E" w:rsidRPr="002A18BA">
        <w:rPr>
          <w:rFonts w:cs="Times New Roman"/>
          <w:szCs w:val="24"/>
        </w:rPr>
        <w:t>ear in the foregoing discussion</w:t>
      </w:r>
      <w:r w:rsidR="00AD7114" w:rsidRPr="002A18BA">
        <w:rPr>
          <w:rFonts w:cs="Times New Roman"/>
          <w:szCs w:val="24"/>
        </w:rPr>
        <w:t>, is this</w:t>
      </w:r>
      <w:r w:rsidR="00D6566E" w:rsidRPr="002A18BA">
        <w:rPr>
          <w:rFonts w:cs="Times New Roman"/>
          <w:szCs w:val="24"/>
        </w:rPr>
        <w:t>:</w:t>
      </w:r>
      <w:r w:rsidRPr="002A18BA">
        <w:rPr>
          <w:rFonts w:cs="Times New Roman"/>
          <w:szCs w:val="24"/>
        </w:rPr>
        <w:t xml:space="preserve"> the Solicitor General is the most prominent and influential amicus participant (e.g., </w:t>
      </w:r>
      <w:proofErr w:type="spellStart"/>
      <w:r w:rsidR="0036430C" w:rsidRPr="002A18BA">
        <w:rPr>
          <w:rFonts w:cs="Times New Roman"/>
          <w:szCs w:val="24"/>
        </w:rPr>
        <w:t>Puro</w:t>
      </w:r>
      <w:proofErr w:type="spellEnd"/>
      <w:r w:rsidR="0036430C" w:rsidRPr="002A18BA">
        <w:rPr>
          <w:rFonts w:cs="Times New Roman"/>
          <w:szCs w:val="24"/>
        </w:rPr>
        <w:t xml:space="preserve"> 1972; </w:t>
      </w:r>
      <w:r w:rsidRPr="002A18BA">
        <w:rPr>
          <w:rFonts w:cs="Times New Roman"/>
          <w:szCs w:val="24"/>
        </w:rPr>
        <w:t xml:space="preserve">O’Connor 1983; Segal 1988; Kearney </w:t>
      </w:r>
      <w:r w:rsidR="000D6839" w:rsidRPr="002A18BA">
        <w:rPr>
          <w:rFonts w:cs="Times New Roman"/>
          <w:szCs w:val="24"/>
        </w:rPr>
        <w:t>and</w:t>
      </w:r>
      <w:r w:rsidRPr="002A18BA">
        <w:rPr>
          <w:rFonts w:cs="Times New Roman"/>
          <w:szCs w:val="24"/>
        </w:rPr>
        <w:t xml:space="preserve"> Merrill 2000</w:t>
      </w:r>
      <w:r w:rsidR="008702FF" w:rsidRPr="002A18BA">
        <w:rPr>
          <w:rFonts w:cs="Times New Roman"/>
          <w:szCs w:val="24"/>
        </w:rPr>
        <w:t xml:space="preserve">; Lynch 2004; </w:t>
      </w:r>
      <w:proofErr w:type="spellStart"/>
      <w:r w:rsidR="008702FF" w:rsidRPr="002A18BA">
        <w:rPr>
          <w:rFonts w:cs="Times New Roman"/>
          <w:szCs w:val="24"/>
        </w:rPr>
        <w:t>Franze</w:t>
      </w:r>
      <w:proofErr w:type="spellEnd"/>
      <w:r w:rsidR="008702FF" w:rsidRPr="002A18BA">
        <w:rPr>
          <w:rFonts w:cs="Times New Roman"/>
          <w:szCs w:val="24"/>
        </w:rPr>
        <w:t xml:space="preserve"> </w:t>
      </w:r>
      <w:r w:rsidR="000D6839" w:rsidRPr="002A18BA">
        <w:rPr>
          <w:rFonts w:cs="Times New Roman"/>
          <w:szCs w:val="24"/>
        </w:rPr>
        <w:t>and</w:t>
      </w:r>
      <w:r w:rsidR="00C66265" w:rsidRPr="002A18BA">
        <w:rPr>
          <w:rFonts w:cs="Times New Roman"/>
          <w:szCs w:val="24"/>
        </w:rPr>
        <w:t xml:space="preserve"> Anderson</w:t>
      </w:r>
      <w:r w:rsidR="00CD0138">
        <w:rPr>
          <w:rFonts w:cs="Times New Roman"/>
          <w:szCs w:val="24"/>
        </w:rPr>
        <w:t xml:space="preserve"> 2012; Corley, Collins, and </w:t>
      </w:r>
      <w:proofErr w:type="spellStart"/>
      <w:r w:rsidR="00CD0138">
        <w:rPr>
          <w:rFonts w:cs="Times New Roman"/>
          <w:szCs w:val="24"/>
        </w:rPr>
        <w:t>Ham</w:t>
      </w:r>
      <w:r w:rsidR="00C66265" w:rsidRPr="002A18BA">
        <w:rPr>
          <w:rFonts w:cs="Times New Roman"/>
          <w:szCs w:val="24"/>
        </w:rPr>
        <w:t>ner</w:t>
      </w:r>
      <w:proofErr w:type="spellEnd"/>
      <w:r w:rsidR="008702FF" w:rsidRPr="002A18BA">
        <w:rPr>
          <w:rFonts w:cs="Times New Roman"/>
          <w:szCs w:val="24"/>
        </w:rPr>
        <w:t xml:space="preserve"> 2013</w:t>
      </w:r>
      <w:r w:rsidRPr="002A18BA">
        <w:rPr>
          <w:rFonts w:cs="Times New Roman"/>
          <w:szCs w:val="24"/>
        </w:rPr>
        <w:t xml:space="preserve">).  </w:t>
      </w:r>
      <w:r w:rsidR="00C1053E">
        <w:rPr>
          <w:rFonts w:cs="Times New Roman"/>
          <w:szCs w:val="24"/>
        </w:rPr>
        <w:t>The SG</w:t>
      </w:r>
      <w:r w:rsidR="000963E8" w:rsidRPr="002A18BA">
        <w:rPr>
          <w:rFonts w:cs="Times New Roman"/>
          <w:szCs w:val="24"/>
        </w:rPr>
        <w:t xml:space="preserve"> plays a dual role:  the chief advocate before the USSC for the executive branch, as well as an informal advisor to the USSC</w:t>
      </w:r>
      <w:r w:rsidR="00C1053E">
        <w:rPr>
          <w:rFonts w:cs="Times New Roman"/>
          <w:szCs w:val="24"/>
        </w:rPr>
        <w:t>.   Due to the SG</w:t>
      </w:r>
      <w:r w:rsidR="000963E8" w:rsidRPr="002A18BA">
        <w:rPr>
          <w:rFonts w:cs="Times New Roman"/>
          <w:szCs w:val="24"/>
        </w:rPr>
        <w:t>’s prominence, some eve</w:t>
      </w:r>
      <w:r w:rsidR="00C1053E">
        <w:rPr>
          <w:rFonts w:cs="Times New Roman"/>
          <w:szCs w:val="24"/>
        </w:rPr>
        <w:t>n refer to the SG</w:t>
      </w:r>
      <w:r w:rsidR="000963E8" w:rsidRPr="002A18BA">
        <w:rPr>
          <w:rFonts w:cs="Times New Roman"/>
          <w:szCs w:val="24"/>
        </w:rPr>
        <w:t xml:space="preserve"> as the “tenth justice” (</w:t>
      </w:r>
      <w:proofErr w:type="spellStart"/>
      <w:r w:rsidR="000963E8" w:rsidRPr="002A18BA">
        <w:rPr>
          <w:rFonts w:cs="Times New Roman"/>
          <w:szCs w:val="24"/>
        </w:rPr>
        <w:t>Wohl</w:t>
      </w:r>
      <w:proofErr w:type="spellEnd"/>
      <w:r w:rsidR="000963E8" w:rsidRPr="002A18BA">
        <w:rPr>
          <w:rFonts w:cs="Times New Roman"/>
          <w:szCs w:val="24"/>
        </w:rPr>
        <w:t xml:space="preserve"> 1996, </w:t>
      </w:r>
      <w:r w:rsidR="009C6247" w:rsidRPr="002A18BA">
        <w:rPr>
          <w:rFonts w:cs="Times New Roman"/>
          <w:szCs w:val="24"/>
        </w:rPr>
        <w:t>48).</w:t>
      </w:r>
      <w:r w:rsidR="000963E8" w:rsidRPr="002A18BA">
        <w:rPr>
          <w:rFonts w:cs="Times New Roman"/>
          <w:szCs w:val="24"/>
        </w:rPr>
        <w:t xml:space="preserve"> </w:t>
      </w:r>
      <w:r w:rsidRPr="002A18BA">
        <w:rPr>
          <w:rFonts w:cs="Times New Roman"/>
          <w:szCs w:val="24"/>
        </w:rPr>
        <w:t xml:space="preserve">Reviewing the 1952 -1982 terms of the USSC, </w:t>
      </w:r>
      <w:r w:rsidRPr="002A18BA">
        <w:rPr>
          <w:szCs w:val="24"/>
        </w:rPr>
        <w:t xml:space="preserve">Segal (1988) </w:t>
      </w:r>
      <w:r w:rsidR="00C1053E">
        <w:rPr>
          <w:szCs w:val="24"/>
        </w:rPr>
        <w:t>found that the SG</w:t>
      </w:r>
      <w:r w:rsidRPr="002A18BA">
        <w:rPr>
          <w:szCs w:val="24"/>
        </w:rPr>
        <w:t xml:space="preserve">'s amicus filings supported the winning side approximately 75 percent </w:t>
      </w:r>
      <w:r>
        <w:t>of the time</w:t>
      </w:r>
      <w:r w:rsidR="008702FF">
        <w:t xml:space="preserve">.  </w:t>
      </w:r>
      <w:r w:rsidR="00D6566E">
        <w:t xml:space="preserve">This </w:t>
      </w:r>
      <w:r>
        <w:t>finding accords with</w:t>
      </w:r>
      <w:r w:rsidR="00D6566E">
        <w:t xml:space="preserve"> that of</w:t>
      </w:r>
      <w:r>
        <w:t xml:space="preserve"> </w:t>
      </w:r>
      <w:proofErr w:type="spellStart"/>
      <w:r>
        <w:t>Salokar</w:t>
      </w:r>
      <w:proofErr w:type="spellEnd"/>
      <w:r>
        <w:t xml:space="preserve"> (1992), who reviewed all amicus cases decided by the USSC between 1959 and 1986 and </w:t>
      </w:r>
      <w:r w:rsidR="00C1053E">
        <w:t>found that the SG</w:t>
      </w:r>
      <w:r>
        <w:t xml:space="preserve"> supported the winning side in 72 percent of the cases in which he filed an amicus brief, with no significant variations from one administration to the next.</w:t>
      </w:r>
      <w:r w:rsidR="00D6566E">
        <w:t xml:space="preserve">  Further, briefs submitted by the </w:t>
      </w:r>
      <w:r w:rsidR="00C1053E">
        <w:t>SG</w:t>
      </w:r>
      <w:r w:rsidR="00D6566E">
        <w:t xml:space="preserve"> are </w:t>
      </w:r>
      <w:r w:rsidR="008702FF">
        <w:t xml:space="preserve">much more likely to be cited (e.g., </w:t>
      </w:r>
      <w:proofErr w:type="spellStart"/>
      <w:r w:rsidR="008702FF">
        <w:t>Franze</w:t>
      </w:r>
      <w:proofErr w:type="spellEnd"/>
      <w:r w:rsidR="008702FF">
        <w:t xml:space="preserve"> </w:t>
      </w:r>
      <w:r w:rsidR="000D6839">
        <w:t>and</w:t>
      </w:r>
      <w:r w:rsidR="00E312DD">
        <w:t xml:space="preserve"> Anderson 2012; </w:t>
      </w:r>
      <w:r w:rsidR="008702FF">
        <w:t xml:space="preserve">Kearney </w:t>
      </w:r>
      <w:r w:rsidR="000D6839">
        <w:lastRenderedPageBreak/>
        <w:t>and</w:t>
      </w:r>
      <w:r w:rsidR="008702FF">
        <w:t xml:space="preserve"> Merrill 2002), and the arguments contained therein</w:t>
      </w:r>
      <w:r w:rsidR="00C1053E">
        <w:t xml:space="preserve"> more likely to be</w:t>
      </w:r>
      <w:r w:rsidR="008702FF">
        <w:t xml:space="preserve"> adopted in the USSC’s opinion (</w:t>
      </w:r>
      <w:r w:rsidR="00C66265">
        <w:t xml:space="preserve">Corley, </w:t>
      </w:r>
      <w:r w:rsidR="008702FF">
        <w:t>Collins</w:t>
      </w:r>
      <w:r w:rsidR="00C66265">
        <w:t xml:space="preserve">, and </w:t>
      </w:r>
      <w:proofErr w:type="spellStart"/>
      <w:r w:rsidR="00C66265">
        <w:t>Hamner</w:t>
      </w:r>
      <w:proofErr w:type="spellEnd"/>
      <w:r w:rsidR="008702FF">
        <w:t xml:space="preserve"> 2013), than any other amicus participant.</w:t>
      </w:r>
    </w:p>
    <w:p w:rsidR="004576AA" w:rsidRPr="001C4181" w:rsidRDefault="005459B9" w:rsidP="004576AA">
      <w:pPr>
        <w:autoSpaceDE w:val="0"/>
        <w:autoSpaceDN w:val="0"/>
        <w:adjustRightInd w:val="0"/>
        <w:spacing w:line="480" w:lineRule="auto"/>
        <w:ind w:left="0" w:firstLine="720"/>
        <w:rPr>
          <w:rFonts w:cs="Times New Roman"/>
          <w:szCs w:val="24"/>
        </w:rPr>
      </w:pPr>
      <w:r w:rsidRPr="001C4181">
        <w:rPr>
          <w:rFonts w:cs="Times New Roman"/>
          <w:szCs w:val="24"/>
        </w:rPr>
        <w:t xml:space="preserve">The research of </w:t>
      </w:r>
      <w:r w:rsidR="00BA2A9A" w:rsidRPr="001C4181">
        <w:rPr>
          <w:rFonts w:cs="Times New Roman"/>
          <w:szCs w:val="24"/>
        </w:rPr>
        <w:t>B</w:t>
      </w:r>
      <w:r w:rsidR="004576AA" w:rsidRPr="001C4181">
        <w:rPr>
          <w:rFonts w:cs="Times New Roman"/>
          <w:szCs w:val="24"/>
        </w:rPr>
        <w:t>ox-</w:t>
      </w:r>
      <w:proofErr w:type="spellStart"/>
      <w:r w:rsidR="000A4AE1" w:rsidRPr="001C4181">
        <w:rPr>
          <w:rFonts w:cs="Times New Roman"/>
          <w:szCs w:val="24"/>
        </w:rPr>
        <w:t>Steffensmeier</w:t>
      </w:r>
      <w:proofErr w:type="spellEnd"/>
      <w:r w:rsidR="000A4AE1" w:rsidRPr="001C4181">
        <w:rPr>
          <w:rFonts w:cs="Times New Roman"/>
          <w:szCs w:val="24"/>
        </w:rPr>
        <w:t xml:space="preserve">, Christenson, </w:t>
      </w:r>
      <w:r w:rsidR="000D6839">
        <w:rPr>
          <w:rFonts w:cs="Times New Roman"/>
          <w:szCs w:val="24"/>
        </w:rPr>
        <w:t>and</w:t>
      </w:r>
      <w:r w:rsidR="000A4AE1" w:rsidRPr="001C4181">
        <w:rPr>
          <w:rFonts w:cs="Times New Roman"/>
          <w:szCs w:val="24"/>
        </w:rPr>
        <w:t xml:space="preserve"> </w:t>
      </w:r>
      <w:proofErr w:type="spellStart"/>
      <w:r w:rsidR="000A4AE1" w:rsidRPr="001C4181">
        <w:rPr>
          <w:rFonts w:cs="Times New Roman"/>
          <w:szCs w:val="24"/>
        </w:rPr>
        <w:t>Hitt</w:t>
      </w:r>
      <w:proofErr w:type="spellEnd"/>
      <w:r w:rsidRPr="001C4181">
        <w:rPr>
          <w:rFonts w:cs="Times New Roman"/>
          <w:szCs w:val="24"/>
        </w:rPr>
        <w:t xml:space="preserve"> (2013) </w:t>
      </w:r>
      <w:r w:rsidR="002037AB" w:rsidRPr="001C4181">
        <w:rPr>
          <w:rFonts w:cs="Times New Roman"/>
          <w:szCs w:val="24"/>
        </w:rPr>
        <w:t>adds</w:t>
      </w:r>
      <w:r w:rsidR="004576AA" w:rsidRPr="001C4181">
        <w:rPr>
          <w:rFonts w:cs="Times New Roman"/>
          <w:szCs w:val="24"/>
        </w:rPr>
        <w:t xml:space="preserve"> important insights</w:t>
      </w:r>
      <w:r w:rsidRPr="001C4181">
        <w:rPr>
          <w:rFonts w:cs="Times New Roman"/>
          <w:szCs w:val="24"/>
        </w:rPr>
        <w:t xml:space="preserve"> to these</w:t>
      </w:r>
      <w:r w:rsidR="002037AB" w:rsidRPr="001C4181">
        <w:rPr>
          <w:rFonts w:cs="Times New Roman"/>
          <w:szCs w:val="24"/>
        </w:rPr>
        <w:t xml:space="preserve"> prior studies on amicus prestige and experience</w:t>
      </w:r>
      <w:r w:rsidRPr="001C4181">
        <w:rPr>
          <w:rFonts w:cs="Times New Roman"/>
          <w:szCs w:val="24"/>
        </w:rPr>
        <w:t>.</w:t>
      </w:r>
      <w:r w:rsidR="002037AB" w:rsidRPr="001C4181">
        <w:rPr>
          <w:rFonts w:cs="Times New Roman"/>
          <w:szCs w:val="24"/>
        </w:rPr>
        <w:t xml:space="preserve"> </w:t>
      </w:r>
      <w:r w:rsidR="00034957" w:rsidRPr="001C4181">
        <w:rPr>
          <w:rFonts w:cs="Times New Roman"/>
          <w:szCs w:val="24"/>
        </w:rPr>
        <w:t xml:space="preserve"> Their research is notable because, unlike the studies mentioned above, it does not base its measure of amicus power on whether the amicus has</w:t>
      </w:r>
      <w:r w:rsidR="00421457">
        <w:rPr>
          <w:rFonts w:cs="Times New Roman"/>
          <w:szCs w:val="24"/>
        </w:rPr>
        <w:t xml:space="preserve"> a</w:t>
      </w:r>
      <w:r w:rsidR="00034957" w:rsidRPr="001C4181">
        <w:rPr>
          <w:rFonts w:cs="Times New Roman"/>
          <w:szCs w:val="24"/>
        </w:rPr>
        <w:t xml:space="preserve"> prestigious reputation or </w:t>
      </w:r>
      <w:r w:rsidR="00DC1F4C" w:rsidRPr="001C4181">
        <w:rPr>
          <w:rFonts w:cs="Times New Roman"/>
          <w:szCs w:val="24"/>
        </w:rPr>
        <w:t>on whether the amicus</w:t>
      </w:r>
      <w:r w:rsidR="00034957" w:rsidRPr="001C4181">
        <w:rPr>
          <w:rFonts w:cs="Times New Roman"/>
          <w:szCs w:val="24"/>
        </w:rPr>
        <w:t xml:space="preserve"> has</w:t>
      </w:r>
      <w:r w:rsidR="00421457">
        <w:rPr>
          <w:rFonts w:cs="Times New Roman"/>
          <w:szCs w:val="24"/>
        </w:rPr>
        <w:t xml:space="preserve"> a success rate before the USSC</w:t>
      </w:r>
      <w:r w:rsidR="00034957" w:rsidRPr="001C4181">
        <w:rPr>
          <w:rFonts w:cs="Times New Roman"/>
          <w:szCs w:val="24"/>
        </w:rPr>
        <w:t xml:space="preserve"> higher than other groups.  Instead, d</w:t>
      </w:r>
      <w:r w:rsidR="004576AA" w:rsidRPr="001C4181">
        <w:rPr>
          <w:rFonts w:cs="Times New Roman"/>
          <w:szCs w:val="24"/>
        </w:rPr>
        <w:t xml:space="preserve">rawing from the insights of network theory, Box </w:t>
      </w:r>
      <w:proofErr w:type="spellStart"/>
      <w:r w:rsidR="004576AA" w:rsidRPr="001C4181">
        <w:rPr>
          <w:rFonts w:cs="Times New Roman"/>
          <w:szCs w:val="24"/>
        </w:rPr>
        <w:t>Steffensmeier</w:t>
      </w:r>
      <w:proofErr w:type="spellEnd"/>
      <w:r w:rsidR="004576AA" w:rsidRPr="001C4181">
        <w:rPr>
          <w:rFonts w:cs="Times New Roman"/>
          <w:szCs w:val="24"/>
        </w:rPr>
        <w:t xml:space="preserve"> et al.</w:t>
      </w:r>
      <w:r w:rsidR="00DC1F4C" w:rsidRPr="001C4181">
        <w:rPr>
          <w:rFonts w:cs="Times New Roman"/>
          <w:szCs w:val="24"/>
        </w:rPr>
        <w:t xml:space="preserve"> measure amicus</w:t>
      </w:r>
      <w:r w:rsidR="00034957" w:rsidRPr="001C4181">
        <w:rPr>
          <w:rFonts w:cs="Times New Roman"/>
          <w:szCs w:val="24"/>
        </w:rPr>
        <w:t xml:space="preserve"> power</w:t>
      </w:r>
      <w:r w:rsidR="00DC1F4C" w:rsidRPr="001C4181">
        <w:rPr>
          <w:rFonts w:cs="Times New Roman"/>
          <w:szCs w:val="24"/>
        </w:rPr>
        <w:t xml:space="preserve"> based upon the degree to which the amicus group is central to a network of groups appearing before the USSC.   They</w:t>
      </w:r>
      <w:r w:rsidR="004576AA" w:rsidRPr="001C4181">
        <w:rPr>
          <w:rFonts w:cs="Times New Roman"/>
          <w:szCs w:val="24"/>
        </w:rPr>
        <w:t xml:space="preserve"> propose that amici that are central to the network of groups app</w:t>
      </w:r>
      <w:r w:rsidR="00DC1F4C" w:rsidRPr="001C4181">
        <w:rPr>
          <w:rFonts w:cs="Times New Roman"/>
          <w:szCs w:val="24"/>
        </w:rPr>
        <w:t>earing before the USSC</w:t>
      </w:r>
      <w:r w:rsidR="004576AA" w:rsidRPr="001C4181">
        <w:rPr>
          <w:rFonts w:cs="Times New Roman"/>
          <w:szCs w:val="24"/>
        </w:rPr>
        <w:t xml:space="preserve"> will be considerable more</w:t>
      </w:r>
      <w:r w:rsidR="00804C82" w:rsidRPr="001C4181">
        <w:rPr>
          <w:rFonts w:cs="Times New Roman"/>
          <w:szCs w:val="24"/>
        </w:rPr>
        <w:t xml:space="preserve"> likely to exert influence. The authors</w:t>
      </w:r>
      <w:r w:rsidR="004576AA" w:rsidRPr="001C4181">
        <w:rPr>
          <w:rFonts w:cs="Times New Roman"/>
          <w:szCs w:val="24"/>
        </w:rPr>
        <w:t xml:space="preserve"> posit the amicus influence hypothesis:  “for an amicus brief to influence a justice, two conditions must be met: first, the brief must attract the attention of the justice and her clerks enough to merit a close reading; second, the brief must contain novel, high-quality information and advocacy that does not replicate the arguments of the litigants’ briefs” (4).   High status </w:t>
      </w:r>
      <w:r w:rsidR="004576AA" w:rsidRPr="00421457">
        <w:rPr>
          <w:rFonts w:cs="Times New Roman"/>
          <w:szCs w:val="24"/>
        </w:rPr>
        <w:t>amici</w:t>
      </w:r>
      <w:r w:rsidR="004576AA" w:rsidRPr="001C4181">
        <w:rPr>
          <w:rFonts w:cs="Times New Roman"/>
          <w:szCs w:val="24"/>
        </w:rPr>
        <w:t xml:space="preserve"> are much more likely to meet these two conditions than groups.  Given that briefs are expensive to produce (</w:t>
      </w:r>
      <w:proofErr w:type="spellStart"/>
      <w:r w:rsidR="004576AA" w:rsidRPr="001C4181">
        <w:rPr>
          <w:rFonts w:cs="Times New Roman"/>
          <w:szCs w:val="24"/>
        </w:rPr>
        <w:t>Caldeira</w:t>
      </w:r>
      <w:proofErr w:type="spellEnd"/>
      <w:r w:rsidR="004576AA" w:rsidRPr="001C4181">
        <w:rPr>
          <w:rFonts w:cs="Times New Roman"/>
          <w:szCs w:val="24"/>
        </w:rPr>
        <w:t xml:space="preserve"> </w:t>
      </w:r>
      <w:r w:rsidR="000D6839">
        <w:rPr>
          <w:rFonts w:cs="Times New Roman"/>
          <w:szCs w:val="24"/>
        </w:rPr>
        <w:t>and</w:t>
      </w:r>
      <w:r w:rsidR="004576AA" w:rsidRPr="001C4181">
        <w:rPr>
          <w:rFonts w:cs="Times New Roman"/>
          <w:szCs w:val="24"/>
        </w:rPr>
        <w:t xml:space="preserve"> Wright 1988; Lynch 2004), high status amici have an advantage in that they are generally in a better position to retain experienced counsel</w:t>
      </w:r>
      <w:r w:rsidR="00A80E95" w:rsidRPr="001C4181">
        <w:rPr>
          <w:rFonts w:cs="Times New Roman"/>
          <w:szCs w:val="24"/>
        </w:rPr>
        <w:t xml:space="preserve"> and support the necessary research to produce high quality briefs (Box-</w:t>
      </w:r>
      <w:proofErr w:type="spellStart"/>
      <w:r w:rsidR="00A80E95" w:rsidRPr="001C4181">
        <w:rPr>
          <w:rFonts w:cs="Times New Roman"/>
          <w:szCs w:val="24"/>
        </w:rPr>
        <w:t>Steffensmeier</w:t>
      </w:r>
      <w:proofErr w:type="spellEnd"/>
      <w:r w:rsidR="00A80E95" w:rsidRPr="001C4181">
        <w:rPr>
          <w:rFonts w:cs="Times New Roman"/>
          <w:szCs w:val="24"/>
        </w:rPr>
        <w:t xml:space="preserve"> et al., 4).  Collins (2008, 183) affirms the perspective: “[a]s applied to amicus briefs, this [i.e., the advantage of those with higher status and resources] implies that court</w:t>
      </w:r>
      <w:r w:rsidR="00421457">
        <w:rPr>
          <w:rFonts w:cs="Times New Roman"/>
          <w:szCs w:val="24"/>
        </w:rPr>
        <w:t>s</w:t>
      </w:r>
      <w:r w:rsidR="00A80E95" w:rsidRPr="001C4181">
        <w:rPr>
          <w:rFonts w:cs="Times New Roman"/>
          <w:szCs w:val="24"/>
        </w:rPr>
        <w:t xml:space="preserve"> might be particularly attentive to the arguments advanced by highly experienced advocates, giving those briefs favorable attention.”</w:t>
      </w:r>
    </w:p>
    <w:p w:rsidR="00A80E95" w:rsidRPr="001C4181" w:rsidRDefault="00A80E95" w:rsidP="002037AB">
      <w:pPr>
        <w:autoSpaceDE w:val="0"/>
        <w:autoSpaceDN w:val="0"/>
        <w:adjustRightInd w:val="0"/>
        <w:spacing w:line="480" w:lineRule="auto"/>
        <w:ind w:left="0" w:firstLine="720"/>
        <w:rPr>
          <w:rFonts w:cs="Times New Roman"/>
          <w:szCs w:val="24"/>
        </w:rPr>
      </w:pPr>
      <w:r w:rsidRPr="001C4181">
        <w:rPr>
          <w:rFonts w:cs="Times New Roman"/>
          <w:szCs w:val="24"/>
        </w:rPr>
        <w:lastRenderedPageBreak/>
        <w:t xml:space="preserve"> Box-</w:t>
      </w:r>
      <w:proofErr w:type="spellStart"/>
      <w:r w:rsidRPr="001C4181">
        <w:rPr>
          <w:rFonts w:cs="Times New Roman"/>
          <w:szCs w:val="24"/>
        </w:rPr>
        <w:t>Steffensmeier</w:t>
      </w:r>
      <w:proofErr w:type="spellEnd"/>
      <w:r w:rsidRPr="001C4181">
        <w:rPr>
          <w:rFonts w:cs="Times New Roman"/>
          <w:szCs w:val="24"/>
        </w:rPr>
        <w:t xml:space="preserve"> et al. design an empirical study to test whether or not all amici are created equal</w:t>
      </w:r>
      <w:r w:rsidR="00703196" w:rsidRPr="001C4181">
        <w:rPr>
          <w:rFonts w:cs="Times New Roman"/>
          <w:szCs w:val="24"/>
        </w:rPr>
        <w:t xml:space="preserve"> at the USSC</w:t>
      </w:r>
      <w:r w:rsidRPr="001C4181">
        <w:rPr>
          <w:rFonts w:cs="Times New Roman"/>
          <w:szCs w:val="24"/>
        </w:rPr>
        <w:t xml:space="preserve"> – i.e., whether the interest groups with more powe</w:t>
      </w:r>
      <w:r w:rsidR="00421457">
        <w:rPr>
          <w:rFonts w:cs="Times New Roman"/>
          <w:szCs w:val="24"/>
        </w:rPr>
        <w:t>r make a difference in the justices</w:t>
      </w:r>
      <w:r w:rsidRPr="001C4181">
        <w:rPr>
          <w:rFonts w:cs="Times New Roman"/>
          <w:szCs w:val="24"/>
        </w:rPr>
        <w:t xml:space="preserve"> behavior.</w:t>
      </w:r>
      <w:r w:rsidR="00703196" w:rsidRPr="001C4181">
        <w:rPr>
          <w:rFonts w:cs="Times New Roman"/>
          <w:szCs w:val="24"/>
        </w:rPr>
        <w:t xml:space="preserve">  Controlling for other variables known to influence justice voting behavior (justice ideology, lower court decision direction, litigant resources, and the </w:t>
      </w:r>
      <w:r w:rsidR="00421457">
        <w:rPr>
          <w:rFonts w:cs="Times New Roman"/>
          <w:szCs w:val="24"/>
        </w:rPr>
        <w:t>presence of the SG</w:t>
      </w:r>
      <w:r w:rsidR="00703196" w:rsidRPr="001C4181">
        <w:rPr>
          <w:rFonts w:cs="Times New Roman"/>
          <w:szCs w:val="24"/>
        </w:rPr>
        <w:t xml:space="preserve"> as amicus), Box-</w:t>
      </w:r>
      <w:proofErr w:type="spellStart"/>
      <w:r w:rsidR="00703196" w:rsidRPr="001C4181">
        <w:rPr>
          <w:rFonts w:cs="Times New Roman"/>
          <w:szCs w:val="24"/>
        </w:rPr>
        <w:t>Steffensmeier</w:t>
      </w:r>
      <w:proofErr w:type="spellEnd"/>
      <w:r w:rsidR="00703196" w:rsidRPr="001C4181">
        <w:rPr>
          <w:rFonts w:cs="Times New Roman"/>
          <w:szCs w:val="24"/>
        </w:rPr>
        <w:t xml:space="preserve"> et al. measure the influence of</w:t>
      </w:r>
      <w:r w:rsidR="00DC1F4C" w:rsidRPr="001C4181">
        <w:rPr>
          <w:rFonts w:cs="Times New Roman"/>
          <w:szCs w:val="24"/>
        </w:rPr>
        <w:t xml:space="preserve"> all</w:t>
      </w:r>
      <w:r w:rsidR="00703196" w:rsidRPr="001C4181">
        <w:rPr>
          <w:rFonts w:cs="Times New Roman"/>
          <w:szCs w:val="24"/>
        </w:rPr>
        <w:t xml:space="preserve"> interest groups</w:t>
      </w:r>
      <w:r w:rsidR="00DC1F4C" w:rsidRPr="001C4181">
        <w:rPr>
          <w:rFonts w:cs="Times New Roman"/>
          <w:szCs w:val="24"/>
        </w:rPr>
        <w:t xml:space="preserve"> appearing as amici</w:t>
      </w:r>
      <w:r w:rsidR="00703196" w:rsidRPr="001C4181">
        <w:rPr>
          <w:rFonts w:cs="Times New Roman"/>
          <w:szCs w:val="24"/>
        </w:rPr>
        <w:t xml:space="preserve"> </w:t>
      </w:r>
      <w:r w:rsidR="006B4165" w:rsidRPr="001C4181">
        <w:rPr>
          <w:rFonts w:cs="Times New Roman"/>
          <w:szCs w:val="24"/>
        </w:rPr>
        <w:t>from 1946</w:t>
      </w:r>
      <w:r w:rsidR="007B5A20" w:rsidRPr="001C4181">
        <w:rPr>
          <w:rFonts w:cs="Times New Roman"/>
          <w:szCs w:val="24"/>
        </w:rPr>
        <w:t xml:space="preserve"> to 2010 </w:t>
      </w:r>
      <w:r w:rsidR="00703196" w:rsidRPr="001C4181">
        <w:rPr>
          <w:rFonts w:cs="Times New Roman"/>
          <w:szCs w:val="24"/>
        </w:rPr>
        <w:t xml:space="preserve">by operationalizing interest group power using a foundation network centrality statistic.  </w:t>
      </w:r>
      <w:r w:rsidR="006B4165" w:rsidRPr="001C4181">
        <w:rPr>
          <w:rFonts w:cs="Times New Roman"/>
          <w:szCs w:val="24"/>
        </w:rPr>
        <w:t>The methodology of arriving at the measure is quite sophisticated</w:t>
      </w:r>
      <w:r w:rsidR="00421457">
        <w:rPr>
          <w:rFonts w:cs="Times New Roman"/>
          <w:szCs w:val="24"/>
        </w:rPr>
        <w:t>,</w:t>
      </w:r>
      <w:r w:rsidR="00804C82" w:rsidRPr="001C4181">
        <w:rPr>
          <w:rStyle w:val="FootnoteReference"/>
          <w:rFonts w:cs="Times New Roman"/>
          <w:szCs w:val="24"/>
        </w:rPr>
        <w:footnoteReference w:id="22"/>
      </w:r>
      <w:r w:rsidR="00421457">
        <w:rPr>
          <w:rFonts w:cs="Times New Roman"/>
          <w:szCs w:val="24"/>
        </w:rPr>
        <w:t xml:space="preserve"> </w:t>
      </w:r>
      <w:r w:rsidR="006B4165" w:rsidRPr="001C4181">
        <w:rPr>
          <w:rFonts w:cs="Times New Roman"/>
          <w:szCs w:val="24"/>
        </w:rPr>
        <w:t>but in</w:t>
      </w:r>
      <w:r w:rsidR="00703196" w:rsidRPr="001C4181">
        <w:rPr>
          <w:rFonts w:cs="Times New Roman"/>
          <w:szCs w:val="24"/>
        </w:rPr>
        <w:t xml:space="preserve"> essence, the centrality of a group within a network serves as a measure of its power.</w:t>
      </w:r>
      <w:r w:rsidR="006B4165" w:rsidRPr="001C4181">
        <w:rPr>
          <w:rFonts w:cs="Times New Roman"/>
          <w:szCs w:val="24"/>
        </w:rPr>
        <w:t xml:space="preserve"> </w:t>
      </w:r>
      <w:r w:rsidR="00421457">
        <w:rPr>
          <w:rFonts w:cs="Times New Roman"/>
          <w:szCs w:val="24"/>
        </w:rPr>
        <w:t xml:space="preserve"> </w:t>
      </w:r>
      <w:r w:rsidR="00DC1F4C" w:rsidRPr="001C4181">
        <w:rPr>
          <w:rFonts w:cs="Times New Roman"/>
          <w:szCs w:val="24"/>
        </w:rPr>
        <w:t>P</w:t>
      </w:r>
      <w:r w:rsidR="00B111AE" w:rsidRPr="001C4181">
        <w:rPr>
          <w:rFonts w:cs="Times New Roman"/>
          <w:szCs w:val="24"/>
        </w:rPr>
        <w:t>owerful groups are those groups that are more connected with other interest groups and collaborate with other well-connected groups</w:t>
      </w:r>
      <w:r w:rsidR="00DC1F4C" w:rsidRPr="001C4181">
        <w:rPr>
          <w:rFonts w:cs="Times New Roman"/>
          <w:szCs w:val="24"/>
        </w:rPr>
        <w:t xml:space="preserve">.  </w:t>
      </w:r>
      <w:r w:rsidR="006B4165" w:rsidRPr="001C4181">
        <w:rPr>
          <w:rFonts w:cs="Times New Roman"/>
          <w:szCs w:val="24"/>
        </w:rPr>
        <w:t xml:space="preserve">This </w:t>
      </w:r>
      <w:r w:rsidR="00DC1F4C" w:rsidRPr="001C4181">
        <w:rPr>
          <w:rFonts w:cs="Times New Roman"/>
          <w:szCs w:val="24"/>
        </w:rPr>
        <w:t xml:space="preserve">centrality </w:t>
      </w:r>
      <w:r w:rsidR="006B4165" w:rsidRPr="001C4181">
        <w:rPr>
          <w:rFonts w:cs="Times New Roman"/>
          <w:szCs w:val="24"/>
        </w:rPr>
        <w:t>score is represented as a continuous variable of the maximum power of interest groups that signed briefs on each side (liberal or conservative) of a case.  Because networks vary over time a</w:t>
      </w:r>
      <w:r w:rsidR="00DC1F4C" w:rsidRPr="001C4181">
        <w:rPr>
          <w:rFonts w:cs="Times New Roman"/>
          <w:szCs w:val="24"/>
        </w:rPr>
        <w:t>long with interest group power</w:t>
      </w:r>
      <w:r w:rsidR="006B4165" w:rsidRPr="001C4181">
        <w:rPr>
          <w:rFonts w:cs="Times New Roman"/>
          <w:szCs w:val="24"/>
        </w:rPr>
        <w:t>, the authors use different scores for each decade</w:t>
      </w:r>
      <w:r w:rsidR="00DC1F4C" w:rsidRPr="001C4181">
        <w:rPr>
          <w:rFonts w:cs="Times New Roman"/>
          <w:szCs w:val="24"/>
        </w:rPr>
        <w:t xml:space="preserve"> instead of using a single score to measure interest group power.  This enables the authors to capture</w:t>
      </w:r>
      <w:r w:rsidR="006B4165" w:rsidRPr="001C4181">
        <w:rPr>
          <w:rFonts w:cs="Times New Roman"/>
          <w:szCs w:val="24"/>
        </w:rPr>
        <w:t xml:space="preserve"> the reality that some interest groups are more powerful and present in some periods rather than in others (8).</w:t>
      </w:r>
      <w:r w:rsidR="00DC1F4C" w:rsidRPr="001C4181">
        <w:rPr>
          <w:rStyle w:val="FootnoteReference"/>
          <w:rFonts w:cs="Times New Roman"/>
          <w:szCs w:val="24"/>
        </w:rPr>
        <w:footnoteReference w:id="23"/>
      </w:r>
      <w:r w:rsidR="006B4165" w:rsidRPr="001C4181">
        <w:rPr>
          <w:rFonts w:cs="Times New Roman"/>
          <w:szCs w:val="24"/>
        </w:rPr>
        <w:t xml:space="preserve">  </w:t>
      </w:r>
    </w:p>
    <w:p w:rsidR="006B4165" w:rsidRPr="001C4181" w:rsidRDefault="006B4165" w:rsidP="00B111AE">
      <w:pPr>
        <w:autoSpaceDE w:val="0"/>
        <w:autoSpaceDN w:val="0"/>
        <w:adjustRightInd w:val="0"/>
        <w:spacing w:line="480" w:lineRule="auto"/>
        <w:ind w:left="0" w:firstLine="720"/>
        <w:rPr>
          <w:rFonts w:cs="Times New Roman"/>
          <w:szCs w:val="24"/>
        </w:rPr>
      </w:pPr>
      <w:r w:rsidRPr="001C4181">
        <w:rPr>
          <w:rFonts w:cs="Times New Roman"/>
          <w:szCs w:val="24"/>
        </w:rPr>
        <w:lastRenderedPageBreak/>
        <w:t xml:space="preserve">The results of their study suggest that when there is a big (at least </w:t>
      </w:r>
      <w:r w:rsidR="009F0AB4" w:rsidRPr="001C4181">
        <w:rPr>
          <w:rFonts w:cs="Times New Roman"/>
          <w:szCs w:val="24"/>
        </w:rPr>
        <w:t>three-brief) ideological</w:t>
      </w:r>
      <w:r w:rsidRPr="001C4181">
        <w:rPr>
          <w:rFonts w:cs="Times New Roman"/>
          <w:szCs w:val="24"/>
        </w:rPr>
        <w:t xml:space="preserve"> advantage</w:t>
      </w:r>
      <w:r w:rsidR="009F0AB4" w:rsidRPr="001C4181">
        <w:rPr>
          <w:rFonts w:cs="Times New Roman"/>
          <w:szCs w:val="24"/>
        </w:rPr>
        <w:t xml:space="preserve"> in terms of amicus briefs</w:t>
      </w:r>
      <w:r w:rsidRPr="001C4181">
        <w:rPr>
          <w:rFonts w:cs="Times New Roman"/>
          <w:szCs w:val="24"/>
        </w:rPr>
        <w:t>, interest group power has little direct relation to justice vote</w:t>
      </w:r>
      <w:r w:rsidR="009F0AB4" w:rsidRPr="001C4181">
        <w:rPr>
          <w:rFonts w:cs="Times New Roman"/>
          <w:szCs w:val="24"/>
        </w:rPr>
        <w:t xml:space="preserve">.  However, when the two sides have relatively equal amicus participation, the power measures are statistically significant (10).  Given that the majority of cases before the USSC have roughly equal amicus participation on both sides, this is a significant finding.  </w:t>
      </w:r>
      <w:r w:rsidR="00B111AE" w:rsidRPr="001C4181">
        <w:rPr>
          <w:rFonts w:cs="Times New Roman"/>
          <w:szCs w:val="24"/>
        </w:rPr>
        <w:t xml:space="preserve"> </w:t>
      </w:r>
      <w:r w:rsidR="009F0AB4" w:rsidRPr="001C4181">
        <w:rPr>
          <w:rFonts w:cs="Times New Roman"/>
          <w:szCs w:val="24"/>
        </w:rPr>
        <w:t>Further</w:t>
      </w:r>
      <w:r w:rsidR="003E25CC">
        <w:rPr>
          <w:rFonts w:cs="Times New Roman"/>
          <w:szCs w:val="24"/>
        </w:rPr>
        <w:t>,</w:t>
      </w:r>
      <w:r w:rsidR="009F0AB4" w:rsidRPr="001C4181">
        <w:rPr>
          <w:rFonts w:cs="Times New Roman"/>
          <w:szCs w:val="24"/>
        </w:rPr>
        <w:t xml:space="preserve"> Box-</w:t>
      </w:r>
      <w:proofErr w:type="spellStart"/>
      <w:r w:rsidR="009F0AB4" w:rsidRPr="001C4181">
        <w:rPr>
          <w:rFonts w:cs="Times New Roman"/>
          <w:szCs w:val="24"/>
        </w:rPr>
        <w:t>Steffensmeier</w:t>
      </w:r>
      <w:proofErr w:type="spellEnd"/>
      <w:r w:rsidR="009F0AB4" w:rsidRPr="001C4181">
        <w:rPr>
          <w:rFonts w:cs="Times New Roman"/>
          <w:szCs w:val="24"/>
        </w:rPr>
        <w:t xml:space="preserve"> et al. find that the influence of interest group power is attenuated by justice ideology:  liberal justices are more likely to vote liberally when powerful liberal interest groups are present than conservative justices, and conservative justices are more likely to vote conservatively when powerful conservative interest groups are present than liberal justices.  And interestingly, </w:t>
      </w:r>
      <w:r w:rsidR="00AB335C" w:rsidRPr="001C4181">
        <w:rPr>
          <w:rFonts w:cs="Times New Roman"/>
          <w:szCs w:val="24"/>
        </w:rPr>
        <w:t xml:space="preserve">for the more conservative justices, the presence of a powerful liberal amicus actually </w:t>
      </w:r>
      <w:r w:rsidR="00AB335C" w:rsidRPr="001C4181">
        <w:rPr>
          <w:rFonts w:cs="Times New Roman"/>
          <w:i/>
          <w:szCs w:val="24"/>
        </w:rPr>
        <w:t xml:space="preserve">decreases </w:t>
      </w:r>
      <w:r w:rsidR="00AB335C" w:rsidRPr="001C4181">
        <w:rPr>
          <w:rFonts w:cs="Times New Roman"/>
          <w:szCs w:val="24"/>
        </w:rPr>
        <w:t xml:space="preserve">their probability of casting a liberal vote.  Yet, this same phenomenon does not hold true for the more liberal justices:  the presence of a powerful conservative amicus decreases their probability of casting a liberal vote (11).  </w:t>
      </w:r>
    </w:p>
    <w:p w:rsidR="00D52021" w:rsidRPr="001C4181" w:rsidRDefault="00AB335C" w:rsidP="002037AB">
      <w:pPr>
        <w:autoSpaceDE w:val="0"/>
        <w:autoSpaceDN w:val="0"/>
        <w:adjustRightInd w:val="0"/>
        <w:spacing w:line="480" w:lineRule="auto"/>
        <w:ind w:left="0" w:firstLine="720"/>
        <w:rPr>
          <w:rFonts w:cs="Times New Roman"/>
          <w:szCs w:val="24"/>
        </w:rPr>
      </w:pPr>
      <w:r w:rsidRPr="001C4181">
        <w:rPr>
          <w:rFonts w:cs="Times New Roman"/>
          <w:szCs w:val="24"/>
        </w:rPr>
        <w:t>In</w:t>
      </w:r>
      <w:r w:rsidR="00B111AE" w:rsidRPr="001C4181">
        <w:rPr>
          <w:rFonts w:cs="Times New Roman"/>
          <w:szCs w:val="24"/>
        </w:rPr>
        <w:t xml:space="preserve"> sum</w:t>
      </w:r>
      <w:r w:rsidRPr="001C4181">
        <w:rPr>
          <w:rFonts w:cs="Times New Roman"/>
          <w:szCs w:val="24"/>
        </w:rPr>
        <w:t>, Box-</w:t>
      </w:r>
      <w:proofErr w:type="spellStart"/>
      <w:r w:rsidRPr="001C4181">
        <w:rPr>
          <w:rFonts w:cs="Times New Roman"/>
          <w:szCs w:val="24"/>
        </w:rPr>
        <w:t>Steffensmeier</w:t>
      </w:r>
      <w:proofErr w:type="spellEnd"/>
      <w:r w:rsidRPr="001C4181">
        <w:rPr>
          <w:rFonts w:cs="Times New Roman"/>
          <w:szCs w:val="24"/>
        </w:rPr>
        <w:t xml:space="preserve"> et al.’s </w:t>
      </w:r>
      <w:r w:rsidR="002037AB" w:rsidRPr="001C4181">
        <w:rPr>
          <w:rFonts w:cs="Times New Roman"/>
          <w:szCs w:val="24"/>
        </w:rPr>
        <w:t>study demonstrates</w:t>
      </w:r>
      <w:r w:rsidR="005459B9" w:rsidRPr="001C4181">
        <w:rPr>
          <w:rFonts w:cs="Times New Roman"/>
          <w:szCs w:val="24"/>
        </w:rPr>
        <w:t xml:space="preserve"> that the </w:t>
      </w:r>
      <w:r w:rsidR="002037AB" w:rsidRPr="001C4181">
        <w:rPr>
          <w:rFonts w:cs="Times New Roman"/>
          <w:szCs w:val="24"/>
        </w:rPr>
        <w:t xml:space="preserve">differences in the power and prestige of interest groups can explain why some </w:t>
      </w:r>
      <w:r w:rsidRPr="001C4181">
        <w:rPr>
          <w:rFonts w:cs="Times New Roman"/>
          <w:szCs w:val="24"/>
        </w:rPr>
        <w:t>groups find</w:t>
      </w:r>
      <w:r w:rsidR="002037AB" w:rsidRPr="001C4181">
        <w:rPr>
          <w:rFonts w:cs="Times New Roman"/>
          <w:szCs w:val="24"/>
        </w:rPr>
        <w:t xml:space="preserve"> more success in achieving their political objectives than others as amicus participants.</w:t>
      </w:r>
      <w:r w:rsidR="000A4AE1" w:rsidRPr="001C4181">
        <w:rPr>
          <w:rFonts w:cs="Times New Roman"/>
          <w:szCs w:val="24"/>
        </w:rPr>
        <w:t xml:space="preserve">  </w:t>
      </w:r>
      <w:proofErr w:type="gramStart"/>
      <w:r w:rsidR="000A4AE1" w:rsidRPr="001C4181">
        <w:rPr>
          <w:rFonts w:cs="Times New Roman"/>
          <w:szCs w:val="24"/>
        </w:rPr>
        <w:t xml:space="preserve">Stated differently:  </w:t>
      </w:r>
      <w:r w:rsidR="000A4AE1" w:rsidRPr="001C4181">
        <w:rPr>
          <w:rFonts w:cs="Times New Roman"/>
          <w:i/>
          <w:szCs w:val="24"/>
        </w:rPr>
        <w:t>who</w:t>
      </w:r>
      <w:r w:rsidR="000A4AE1" w:rsidRPr="001C4181">
        <w:rPr>
          <w:rFonts w:cs="Times New Roman"/>
          <w:szCs w:val="24"/>
        </w:rPr>
        <w:t xml:space="preserve"> files a brief may be as important as </w:t>
      </w:r>
      <w:r w:rsidR="000A4AE1" w:rsidRPr="001C4181">
        <w:rPr>
          <w:rFonts w:cs="Times New Roman"/>
          <w:i/>
          <w:szCs w:val="24"/>
        </w:rPr>
        <w:t>how many</w:t>
      </w:r>
      <w:r w:rsidR="000A4AE1" w:rsidRPr="001C4181">
        <w:rPr>
          <w:rFonts w:cs="Times New Roman"/>
          <w:szCs w:val="24"/>
        </w:rPr>
        <w:t xml:space="preserve"> briefs are filed or </w:t>
      </w:r>
      <w:r w:rsidR="000A4AE1" w:rsidRPr="001C4181">
        <w:rPr>
          <w:rFonts w:cs="Times New Roman"/>
          <w:i/>
          <w:szCs w:val="24"/>
        </w:rPr>
        <w:t>how many</w:t>
      </w:r>
      <w:r w:rsidR="000A4AE1" w:rsidRPr="001C4181">
        <w:rPr>
          <w:rFonts w:cs="Times New Roman"/>
          <w:szCs w:val="24"/>
        </w:rPr>
        <w:t xml:space="preserve"> amici participate.</w:t>
      </w:r>
      <w:proofErr w:type="gramEnd"/>
      <w:r w:rsidR="000A4AE1" w:rsidRPr="001C4181">
        <w:rPr>
          <w:rFonts w:cs="Times New Roman"/>
          <w:szCs w:val="24"/>
        </w:rPr>
        <w:t xml:space="preserve"> </w:t>
      </w:r>
      <w:r w:rsidR="00B86460" w:rsidRPr="001C4181">
        <w:rPr>
          <w:rFonts w:cs="Times New Roman"/>
          <w:szCs w:val="24"/>
        </w:rPr>
        <w:t xml:space="preserve"> </w:t>
      </w:r>
      <w:r w:rsidR="00B86460" w:rsidRPr="001C4181">
        <w:rPr>
          <w:rFonts w:ascii="TimesTen-Roman" w:hAnsi="TimesTen-Roman" w:cs="TimesTen-Roman"/>
          <w:szCs w:val="24"/>
        </w:rPr>
        <w:t>Groups that exhibit both higher informational resources and greater credibility should be more likely to persuade the USSC and emerge victorious on the merits (</w:t>
      </w:r>
      <w:r w:rsidR="00B86460" w:rsidRPr="001C4181">
        <w:rPr>
          <w:rFonts w:cs="Times New Roman"/>
          <w:szCs w:val="24"/>
        </w:rPr>
        <w:t xml:space="preserve">Box </w:t>
      </w:r>
      <w:proofErr w:type="spellStart"/>
      <w:r w:rsidR="00B86460" w:rsidRPr="001C4181">
        <w:rPr>
          <w:rFonts w:cs="Times New Roman"/>
          <w:szCs w:val="24"/>
        </w:rPr>
        <w:t>Steffensmeier</w:t>
      </w:r>
      <w:proofErr w:type="spellEnd"/>
      <w:r w:rsidR="00B86460" w:rsidRPr="001C4181">
        <w:rPr>
          <w:rFonts w:cs="Times New Roman"/>
          <w:szCs w:val="24"/>
        </w:rPr>
        <w:t xml:space="preserve"> et al. 3).</w:t>
      </w:r>
      <w:r w:rsidR="00D52021" w:rsidRPr="001C4181">
        <w:rPr>
          <w:rFonts w:cs="Times New Roman"/>
          <w:szCs w:val="24"/>
        </w:rPr>
        <w:t xml:space="preserve"> </w:t>
      </w:r>
    </w:p>
    <w:p w:rsidR="00BA2A9A" w:rsidRPr="001C4181" w:rsidRDefault="00AB335C" w:rsidP="00D52021">
      <w:pPr>
        <w:autoSpaceDE w:val="0"/>
        <w:autoSpaceDN w:val="0"/>
        <w:adjustRightInd w:val="0"/>
        <w:spacing w:line="480" w:lineRule="auto"/>
        <w:ind w:left="0" w:firstLine="720"/>
        <w:rPr>
          <w:rFonts w:cs="Times New Roman"/>
          <w:szCs w:val="24"/>
        </w:rPr>
      </w:pPr>
      <w:r w:rsidRPr="001C4181">
        <w:rPr>
          <w:rFonts w:cs="Times New Roman"/>
          <w:szCs w:val="24"/>
        </w:rPr>
        <w:t>However,</w:t>
      </w:r>
      <w:r w:rsidR="00B111AE" w:rsidRPr="001C4181">
        <w:rPr>
          <w:rFonts w:cs="Times New Roman"/>
          <w:szCs w:val="24"/>
        </w:rPr>
        <w:t xml:space="preserve"> this finding comes with two crucial qualifications.  First, the influence of powerful groups seems to be only operative when amicus participation is relatively balanced in a case.  Second, the influence of powerful interest groups is not uniform amongst the justices. </w:t>
      </w:r>
      <w:r w:rsidR="00B111AE" w:rsidRPr="001C4181">
        <w:rPr>
          <w:rFonts w:cs="Times New Roman"/>
          <w:szCs w:val="24"/>
        </w:rPr>
        <w:lastRenderedPageBreak/>
        <w:t>L</w:t>
      </w:r>
      <w:r w:rsidR="00D52021" w:rsidRPr="001C4181">
        <w:rPr>
          <w:rFonts w:cs="Times New Roman"/>
          <w:szCs w:val="24"/>
        </w:rPr>
        <w:t xml:space="preserve">iberal and conservative justices respond differently to the presence of powerful interest groups of the opposing ideology.  </w:t>
      </w:r>
      <w:r w:rsidRPr="001C4181">
        <w:rPr>
          <w:rFonts w:cs="Times New Roman"/>
          <w:szCs w:val="24"/>
        </w:rPr>
        <w:t>At least for the more conservative justices, the presence of a powerful liberal amicus group can act</w:t>
      </w:r>
      <w:r w:rsidR="007B7CE9" w:rsidRPr="001C4181">
        <w:rPr>
          <w:rFonts w:cs="Times New Roman"/>
          <w:szCs w:val="24"/>
        </w:rPr>
        <w:t xml:space="preserve"> </w:t>
      </w:r>
      <w:r w:rsidRPr="001C4181">
        <w:rPr>
          <w:rFonts w:cs="Times New Roman"/>
          <w:szCs w:val="24"/>
        </w:rPr>
        <w:t>as a signal to vote against the party that group supports.</w:t>
      </w:r>
      <w:r w:rsidR="00D52021" w:rsidRPr="001C4181">
        <w:rPr>
          <w:rFonts w:cs="Times New Roman"/>
          <w:szCs w:val="24"/>
        </w:rPr>
        <w:t xml:space="preserve">  This particular finding undermines the legal persuasion model of decision making and supports the attitudinal model.</w:t>
      </w:r>
      <w:r w:rsidR="005B6DE9" w:rsidRPr="001C4181">
        <w:rPr>
          <w:rStyle w:val="FootnoteReference"/>
          <w:rFonts w:cs="Times New Roman"/>
          <w:szCs w:val="24"/>
        </w:rPr>
        <w:footnoteReference w:id="24"/>
      </w:r>
      <w:r w:rsidR="00D52021" w:rsidRPr="001C4181">
        <w:rPr>
          <w:rFonts w:cs="Times New Roman"/>
          <w:szCs w:val="24"/>
        </w:rPr>
        <w:t xml:space="preserve">  At the same time, liberal justices are less likely to vote liberally in cases involving a powerful conservative amicus.  This finding is supportive of the legal persuasion model.</w:t>
      </w:r>
    </w:p>
    <w:p w:rsidR="00D50941" w:rsidRPr="00F576A9" w:rsidRDefault="00D50941" w:rsidP="00D50941">
      <w:pPr>
        <w:autoSpaceDE w:val="0"/>
        <w:autoSpaceDN w:val="0"/>
        <w:adjustRightInd w:val="0"/>
        <w:spacing w:line="480" w:lineRule="auto"/>
        <w:ind w:left="0" w:firstLine="720"/>
        <w:rPr>
          <w:rFonts w:cs="Times New Roman"/>
          <w:szCs w:val="24"/>
        </w:rPr>
      </w:pPr>
      <w:r>
        <w:rPr>
          <w:rFonts w:cs="Times New Roman"/>
          <w:szCs w:val="24"/>
        </w:rPr>
        <w:t>Another pressing question is</w:t>
      </w:r>
      <w:r w:rsidR="00FD3AB4">
        <w:rPr>
          <w:rFonts w:cs="Times New Roman"/>
          <w:szCs w:val="24"/>
        </w:rPr>
        <w:t xml:space="preserve"> whether the USSC</w:t>
      </w:r>
      <w:r w:rsidRPr="00AB0BA3">
        <w:rPr>
          <w:rFonts w:cs="Times New Roman"/>
          <w:szCs w:val="24"/>
        </w:rPr>
        <w:t xml:space="preserve"> is </w:t>
      </w:r>
      <w:r>
        <w:rPr>
          <w:rFonts w:cs="Times New Roman"/>
          <w:szCs w:val="24"/>
        </w:rPr>
        <w:t>more</w:t>
      </w:r>
      <w:r w:rsidRPr="00AB0BA3">
        <w:rPr>
          <w:rFonts w:cs="Times New Roman"/>
          <w:szCs w:val="24"/>
        </w:rPr>
        <w:t xml:space="preserve"> influenced by the simple presence of </w:t>
      </w:r>
      <w:r>
        <w:rPr>
          <w:rFonts w:cs="Times New Roman"/>
          <w:iCs/>
          <w:szCs w:val="24"/>
        </w:rPr>
        <w:t>amicus curiae</w:t>
      </w:r>
      <w:r w:rsidRPr="00AB0BA3">
        <w:rPr>
          <w:rFonts w:cs="Times New Roman"/>
          <w:i/>
          <w:iCs/>
          <w:szCs w:val="24"/>
        </w:rPr>
        <w:t xml:space="preserve"> </w:t>
      </w:r>
      <w:r>
        <w:rPr>
          <w:rFonts w:cs="Times New Roman"/>
          <w:szCs w:val="24"/>
        </w:rPr>
        <w:t>or by the actual amicus</w:t>
      </w:r>
      <w:r w:rsidRPr="00AB0BA3">
        <w:rPr>
          <w:rFonts w:cs="Times New Roman"/>
          <w:szCs w:val="24"/>
        </w:rPr>
        <w:t xml:space="preserve"> briefs themselves.</w:t>
      </w:r>
      <w:r>
        <w:rPr>
          <w:rFonts w:cs="Times New Roman"/>
          <w:szCs w:val="24"/>
        </w:rPr>
        <w:t xml:space="preserve">  The literature does not provide a definitive answer, although some empirical studies have attempted to test this question</w:t>
      </w:r>
      <w:r w:rsidRPr="00AB0BA3">
        <w:rPr>
          <w:rFonts w:cs="Times New Roman"/>
          <w:szCs w:val="24"/>
        </w:rPr>
        <w:t xml:space="preserve">. </w:t>
      </w:r>
      <w:r>
        <w:rPr>
          <w:rFonts w:cs="Times New Roman"/>
          <w:szCs w:val="24"/>
        </w:rPr>
        <w:t xml:space="preserve"> One theory – the interest group theory</w:t>
      </w:r>
      <w:r w:rsidR="00272EAE">
        <w:rPr>
          <w:rFonts w:cs="Times New Roman"/>
          <w:szCs w:val="24"/>
        </w:rPr>
        <w:t xml:space="preserve"> (discussed in greater length below)</w:t>
      </w:r>
      <w:r>
        <w:rPr>
          <w:rFonts w:cs="Times New Roman"/>
          <w:szCs w:val="24"/>
        </w:rPr>
        <w:t xml:space="preserve"> – posits that the number of amicus participants (filers and cosigners) matters because “having a large number of participants listed on a brief signals to the court that a greater number of groups, and by implication their members, will be impacted by the decision” (Collins 2004, 811-12).  That is, even though amicus cosigners do not add any legal or social sci</w:t>
      </w:r>
      <w:r w:rsidR="00FD3AB4">
        <w:rPr>
          <w:rFonts w:cs="Times New Roman"/>
          <w:szCs w:val="24"/>
        </w:rPr>
        <w:t>entific information</w:t>
      </w:r>
      <w:r>
        <w:rPr>
          <w:rFonts w:cs="Times New Roman"/>
          <w:szCs w:val="24"/>
        </w:rPr>
        <w:t>, the number of cosigners can provide a crude barom</w:t>
      </w:r>
      <w:r w:rsidR="00FD3AB4">
        <w:rPr>
          <w:rFonts w:cs="Times New Roman"/>
          <w:szCs w:val="24"/>
        </w:rPr>
        <w:t>eter of public opinion</w:t>
      </w:r>
      <w:r>
        <w:rPr>
          <w:rFonts w:cs="Times New Roman"/>
          <w:szCs w:val="24"/>
        </w:rPr>
        <w:t xml:space="preserve"> (Collins 2004; Kearney </w:t>
      </w:r>
      <w:r w:rsidR="000D6839">
        <w:rPr>
          <w:rFonts w:cs="Times New Roman"/>
          <w:szCs w:val="24"/>
        </w:rPr>
        <w:t>and</w:t>
      </w:r>
      <w:r>
        <w:rPr>
          <w:rFonts w:cs="Times New Roman"/>
          <w:szCs w:val="24"/>
        </w:rPr>
        <w:t xml:space="preserve"> Merrill 2000).  </w:t>
      </w:r>
    </w:p>
    <w:p w:rsidR="00D50941" w:rsidRPr="00B23825" w:rsidRDefault="00D50941" w:rsidP="00D50941">
      <w:pPr>
        <w:autoSpaceDE w:val="0"/>
        <w:autoSpaceDN w:val="0"/>
        <w:adjustRightInd w:val="0"/>
        <w:spacing w:line="480" w:lineRule="auto"/>
        <w:ind w:left="0" w:firstLine="720"/>
        <w:rPr>
          <w:color w:val="FF0000"/>
          <w:szCs w:val="24"/>
        </w:rPr>
      </w:pPr>
      <w:r>
        <w:rPr>
          <w:rFonts w:cs="Times New Roman"/>
          <w:szCs w:val="24"/>
        </w:rPr>
        <w:t xml:space="preserve">As mentioned above, </w:t>
      </w:r>
      <w:proofErr w:type="spellStart"/>
      <w:r>
        <w:rPr>
          <w:rFonts w:cs="Times New Roman"/>
          <w:szCs w:val="24"/>
        </w:rPr>
        <w:t>Caldeira</w:t>
      </w:r>
      <w:proofErr w:type="spellEnd"/>
      <w:r>
        <w:rPr>
          <w:rFonts w:cs="Times New Roman"/>
          <w:szCs w:val="24"/>
        </w:rPr>
        <w:t xml:space="preserve"> </w:t>
      </w:r>
      <w:r w:rsidR="000D6839">
        <w:rPr>
          <w:rFonts w:cs="Times New Roman"/>
          <w:szCs w:val="24"/>
        </w:rPr>
        <w:t>and</w:t>
      </w:r>
      <w:r>
        <w:rPr>
          <w:rFonts w:cs="Times New Roman"/>
          <w:szCs w:val="24"/>
        </w:rPr>
        <w:t xml:space="preserve"> Wr</w:t>
      </w:r>
      <w:r w:rsidR="00A55894">
        <w:rPr>
          <w:rFonts w:cs="Times New Roman"/>
          <w:szCs w:val="24"/>
        </w:rPr>
        <w:t>ight (1988) find</w:t>
      </w:r>
      <w:r>
        <w:rPr>
          <w:rFonts w:cs="Times New Roman"/>
          <w:szCs w:val="24"/>
        </w:rPr>
        <w:t xml:space="preserve"> that mere amici presence matters </w:t>
      </w:r>
      <w:r>
        <w:rPr>
          <w:szCs w:val="24"/>
        </w:rPr>
        <w:t>when the USSC is deciding whether or not to grant certiorari</w:t>
      </w:r>
      <w:r w:rsidR="00406DCC">
        <w:rPr>
          <w:szCs w:val="24"/>
        </w:rPr>
        <w:t xml:space="preserve"> (i.e., the agenda-setting stage)</w:t>
      </w:r>
      <w:r>
        <w:rPr>
          <w:szCs w:val="24"/>
        </w:rPr>
        <w:t>:  the more amicus participati</w:t>
      </w:r>
      <w:r w:rsidR="00FD3AB4">
        <w:rPr>
          <w:szCs w:val="24"/>
        </w:rPr>
        <w:t>on, the more likely the USSC is</w:t>
      </w:r>
      <w:r>
        <w:rPr>
          <w:szCs w:val="24"/>
        </w:rPr>
        <w:t xml:space="preserve"> to grant certiorari, regardless </w:t>
      </w:r>
      <w:r w:rsidR="00FD3AB4">
        <w:rPr>
          <w:szCs w:val="24"/>
        </w:rPr>
        <w:t>of whether or not the amicus is</w:t>
      </w:r>
      <w:r>
        <w:rPr>
          <w:szCs w:val="24"/>
        </w:rPr>
        <w:t xml:space="preserve"> urging the USSC to grant or deny cert.  </w:t>
      </w:r>
      <w:r>
        <w:rPr>
          <w:color w:val="FF0000"/>
          <w:szCs w:val="24"/>
        </w:rPr>
        <w:t xml:space="preserve"> </w:t>
      </w:r>
      <w:r>
        <w:rPr>
          <w:rFonts w:cs="Times New Roman"/>
          <w:szCs w:val="24"/>
        </w:rPr>
        <w:t>However,</w:t>
      </w:r>
      <w:r w:rsidR="00272EAE">
        <w:rPr>
          <w:rFonts w:cs="Times New Roman"/>
          <w:szCs w:val="24"/>
        </w:rPr>
        <w:t xml:space="preserve"> empirical studies of amici at the merits stage of the USSC have failed to demonstrate </w:t>
      </w:r>
      <w:r w:rsidR="00A55894">
        <w:rPr>
          <w:rFonts w:cs="Times New Roman"/>
          <w:szCs w:val="24"/>
        </w:rPr>
        <w:t>that the number of groups co</w:t>
      </w:r>
      <w:r>
        <w:rPr>
          <w:rFonts w:cs="Times New Roman"/>
          <w:szCs w:val="24"/>
        </w:rPr>
        <w:t xml:space="preserve">signing </w:t>
      </w:r>
      <w:r>
        <w:rPr>
          <w:rFonts w:cs="Times New Roman"/>
          <w:szCs w:val="24"/>
        </w:rPr>
        <w:lastRenderedPageBreak/>
        <w:t>an amicus</w:t>
      </w:r>
      <w:r w:rsidR="00FD3AB4">
        <w:rPr>
          <w:rFonts w:cs="Times New Roman"/>
          <w:szCs w:val="24"/>
        </w:rPr>
        <w:t xml:space="preserve"> brief</w:t>
      </w:r>
      <w:r>
        <w:rPr>
          <w:rFonts w:cs="Times New Roman"/>
          <w:szCs w:val="24"/>
        </w:rPr>
        <w:t xml:space="preserve"> </w:t>
      </w:r>
      <w:r w:rsidR="00FD3AB4">
        <w:rPr>
          <w:rFonts w:cs="Times New Roman"/>
          <w:szCs w:val="24"/>
        </w:rPr>
        <w:t>have</w:t>
      </w:r>
      <w:r w:rsidR="00272EAE">
        <w:rPr>
          <w:rFonts w:cs="Times New Roman"/>
          <w:szCs w:val="24"/>
        </w:rPr>
        <w:t xml:space="preserve"> </w:t>
      </w:r>
      <w:r>
        <w:rPr>
          <w:rFonts w:cs="Times New Roman"/>
          <w:szCs w:val="24"/>
        </w:rPr>
        <w:t>a statistically significant impact on USSC decisions</w:t>
      </w:r>
      <w:r w:rsidR="005E3961">
        <w:rPr>
          <w:rFonts w:cs="Times New Roman"/>
          <w:szCs w:val="24"/>
        </w:rPr>
        <w:t xml:space="preserve"> on the merits</w:t>
      </w:r>
      <w:r>
        <w:rPr>
          <w:rFonts w:cs="Times New Roman"/>
          <w:szCs w:val="24"/>
        </w:rPr>
        <w:t xml:space="preserve"> </w:t>
      </w:r>
      <w:r w:rsidRPr="00AB0BA3">
        <w:rPr>
          <w:rFonts w:cs="Times New Roman"/>
          <w:szCs w:val="24"/>
        </w:rPr>
        <w:t xml:space="preserve">(Collins 2004, 822; </w:t>
      </w:r>
      <w:proofErr w:type="spellStart"/>
      <w:r w:rsidRPr="00AB0BA3">
        <w:rPr>
          <w:rFonts w:cs="Times New Roman"/>
          <w:szCs w:val="24"/>
        </w:rPr>
        <w:t>Ca</w:t>
      </w:r>
      <w:r>
        <w:rPr>
          <w:rFonts w:cs="Times New Roman"/>
          <w:szCs w:val="24"/>
        </w:rPr>
        <w:t>ldeira</w:t>
      </w:r>
      <w:proofErr w:type="spellEnd"/>
      <w:r>
        <w:rPr>
          <w:rFonts w:cs="Times New Roman"/>
          <w:szCs w:val="24"/>
        </w:rPr>
        <w:t xml:space="preserve"> and Wright 1990, 800</w:t>
      </w:r>
      <w:r w:rsidRPr="00AB0BA3">
        <w:rPr>
          <w:rFonts w:cs="Times New Roman"/>
          <w:szCs w:val="24"/>
        </w:rPr>
        <w:t>; Collins 2008, 179– 80).</w:t>
      </w:r>
      <w:r>
        <w:rPr>
          <w:rFonts w:cs="Times New Roman"/>
          <w:szCs w:val="24"/>
        </w:rPr>
        <w:t xml:space="preserve">  </w:t>
      </w:r>
      <w:r w:rsidR="00272EAE">
        <w:rPr>
          <w:rFonts w:cs="Times New Roman"/>
          <w:szCs w:val="24"/>
        </w:rPr>
        <w:t>Likewise, s</w:t>
      </w:r>
      <w:r>
        <w:rPr>
          <w:rFonts w:cs="Times New Roman"/>
          <w:szCs w:val="24"/>
        </w:rPr>
        <w:t>urvey data provided by Lynch (2004, 59) also provides moderate support for the view that the sheer number of amicus brief cosigners is not a signific</w:t>
      </w:r>
      <w:r w:rsidR="00903D8F">
        <w:rPr>
          <w:rFonts w:cs="Times New Roman"/>
          <w:szCs w:val="24"/>
        </w:rPr>
        <w:t>ant factor for consideration according to</w:t>
      </w:r>
      <w:r>
        <w:rPr>
          <w:rFonts w:cs="Times New Roman"/>
          <w:szCs w:val="24"/>
        </w:rPr>
        <w:t xml:space="preserve"> 50 percent of the former USSC clerks surveyed.  Instead, Lynch generally found that the identity of the amicus participants was more important than the number of groups involved.</w:t>
      </w:r>
    </w:p>
    <w:p w:rsidR="00D50941" w:rsidRPr="00D55195" w:rsidRDefault="00AD3428" w:rsidP="00D50941">
      <w:pPr>
        <w:autoSpaceDE w:val="0"/>
        <w:autoSpaceDN w:val="0"/>
        <w:adjustRightInd w:val="0"/>
        <w:spacing w:line="480" w:lineRule="auto"/>
        <w:ind w:left="0" w:firstLine="720"/>
        <w:rPr>
          <w:rFonts w:cs="Times New Roman"/>
          <w:szCs w:val="24"/>
        </w:rPr>
      </w:pPr>
      <w:r>
        <w:rPr>
          <w:szCs w:val="24"/>
        </w:rPr>
        <w:t>Another</w:t>
      </w:r>
      <w:r w:rsidR="00D50941" w:rsidRPr="00D55195">
        <w:rPr>
          <w:szCs w:val="24"/>
        </w:rPr>
        <w:t xml:space="preserve"> potential mechanism of amicus influence that scholars have studied is the degree to which judges reference or cite amicus briefs in their opinions.  Kearney </w:t>
      </w:r>
      <w:r w:rsidR="000D6839">
        <w:rPr>
          <w:szCs w:val="24"/>
        </w:rPr>
        <w:t>and</w:t>
      </w:r>
      <w:r w:rsidR="00D50941" w:rsidRPr="00D55195">
        <w:rPr>
          <w:szCs w:val="24"/>
        </w:rPr>
        <w:t xml:space="preserve"> Merril</w:t>
      </w:r>
      <w:r w:rsidR="00903D8F">
        <w:rPr>
          <w:szCs w:val="24"/>
        </w:rPr>
        <w:t>l (2000) show that USSC</w:t>
      </w:r>
      <w:r w:rsidR="00D50941" w:rsidRPr="00D55195">
        <w:rPr>
          <w:szCs w:val="24"/>
        </w:rPr>
        <w:t xml:space="preserve"> justices have been increasingly citing amicus briefs over time.  </w:t>
      </w:r>
      <w:r w:rsidR="00FB0669">
        <w:rPr>
          <w:rFonts w:cs="Times New Roman"/>
          <w:szCs w:val="24"/>
        </w:rPr>
        <w:t>O'Conno</w:t>
      </w:r>
      <w:r w:rsidR="00D50941">
        <w:rPr>
          <w:rFonts w:cs="Times New Roman"/>
          <w:szCs w:val="24"/>
        </w:rPr>
        <w:t>r and Epstein (1983, 42) show</w:t>
      </w:r>
      <w:r w:rsidR="00D50941" w:rsidRPr="00D55195">
        <w:rPr>
          <w:rFonts w:cs="Times New Roman"/>
          <w:szCs w:val="24"/>
        </w:rPr>
        <w:t xml:space="preserve"> that non-governmental</w:t>
      </w:r>
      <w:r w:rsidR="00D50941">
        <w:rPr>
          <w:rFonts w:cs="Times New Roman"/>
          <w:szCs w:val="24"/>
        </w:rPr>
        <w:t xml:space="preserve"> </w:t>
      </w:r>
      <w:r w:rsidR="00D50941" w:rsidRPr="00D55195">
        <w:rPr>
          <w:rFonts w:cs="Times New Roman"/>
          <w:iCs/>
          <w:szCs w:val="24"/>
        </w:rPr>
        <w:t>amicus</w:t>
      </w:r>
      <w:r w:rsidR="00D50941" w:rsidRPr="00D55195">
        <w:rPr>
          <w:rFonts w:cs="Times New Roman"/>
          <w:i/>
          <w:iCs/>
          <w:szCs w:val="24"/>
        </w:rPr>
        <w:t xml:space="preserve"> </w:t>
      </w:r>
      <w:r w:rsidR="00327108">
        <w:rPr>
          <w:rFonts w:cs="Times New Roman"/>
          <w:szCs w:val="24"/>
        </w:rPr>
        <w:t>briefs are</w:t>
      </w:r>
      <w:r w:rsidR="00D50941" w:rsidRPr="00D55195">
        <w:rPr>
          <w:rFonts w:cs="Times New Roman"/>
          <w:szCs w:val="24"/>
        </w:rPr>
        <w:t xml:space="preserve"> cited in maj</w:t>
      </w:r>
      <w:r w:rsidR="00D50941">
        <w:rPr>
          <w:rFonts w:cs="Times New Roman"/>
          <w:szCs w:val="24"/>
        </w:rPr>
        <w:t xml:space="preserve">ority, concurring or dissenting </w:t>
      </w:r>
      <w:r w:rsidR="00D50941" w:rsidRPr="00D55195">
        <w:rPr>
          <w:rFonts w:cs="Times New Roman"/>
          <w:szCs w:val="24"/>
        </w:rPr>
        <w:t>opinions</w:t>
      </w:r>
      <w:r w:rsidR="00D50941">
        <w:rPr>
          <w:rFonts w:cs="Times New Roman"/>
          <w:szCs w:val="24"/>
        </w:rPr>
        <w:t xml:space="preserve"> in 18</w:t>
      </w:r>
      <w:r w:rsidR="00D50941" w:rsidRPr="00D55195">
        <w:rPr>
          <w:rFonts w:cs="Times New Roman"/>
          <w:szCs w:val="24"/>
        </w:rPr>
        <w:t xml:space="preserve"> percent </w:t>
      </w:r>
      <w:r w:rsidR="00D50941">
        <w:rPr>
          <w:rFonts w:cs="Times New Roman"/>
          <w:szCs w:val="24"/>
        </w:rPr>
        <w:t>of the cases decided by the USSC</w:t>
      </w:r>
      <w:r w:rsidR="00D50941" w:rsidRPr="00D55195">
        <w:rPr>
          <w:rFonts w:cs="Times New Roman"/>
          <w:szCs w:val="24"/>
        </w:rPr>
        <w:t xml:space="preserve"> from 1969</w:t>
      </w:r>
      <w:r w:rsidR="00D50941">
        <w:rPr>
          <w:rFonts w:cs="Times New Roman"/>
          <w:szCs w:val="24"/>
        </w:rPr>
        <w:t xml:space="preserve"> to 1981. </w:t>
      </w:r>
      <w:r w:rsidR="00D50941">
        <w:rPr>
          <w:szCs w:val="24"/>
        </w:rPr>
        <w:t xml:space="preserve">Epstein </w:t>
      </w:r>
      <w:r w:rsidR="000D6839">
        <w:rPr>
          <w:szCs w:val="24"/>
        </w:rPr>
        <w:t>and</w:t>
      </w:r>
      <w:r w:rsidR="002D6C12">
        <w:rPr>
          <w:szCs w:val="24"/>
        </w:rPr>
        <w:t xml:space="preserve"> O’Conno</w:t>
      </w:r>
      <w:r w:rsidR="00D50941" w:rsidRPr="00D55195">
        <w:rPr>
          <w:szCs w:val="24"/>
        </w:rPr>
        <w:t xml:space="preserve">r (2005) show that during the </w:t>
      </w:r>
      <w:r w:rsidR="002D6C12">
        <w:rPr>
          <w:szCs w:val="24"/>
        </w:rPr>
        <w:t>Rehnquist Court years, the USSC</w:t>
      </w:r>
      <w:r w:rsidR="00D50941" w:rsidRPr="00D55195">
        <w:rPr>
          <w:szCs w:val="24"/>
        </w:rPr>
        <w:t>’s majority opinion reference</w:t>
      </w:r>
      <w:r w:rsidR="00903D8F">
        <w:rPr>
          <w:szCs w:val="24"/>
        </w:rPr>
        <w:t>s</w:t>
      </w:r>
      <w:r w:rsidR="00D50941" w:rsidRPr="00D55195">
        <w:rPr>
          <w:szCs w:val="24"/>
        </w:rPr>
        <w:t xml:space="preserve"> at least one amicus brief in 38 percent of the cases in which at least one amicus brief was filed.   </w:t>
      </w:r>
      <w:r w:rsidR="004A22A6">
        <w:rPr>
          <w:szCs w:val="24"/>
        </w:rPr>
        <w:t>Most recently, in its 2010</w:t>
      </w:r>
      <w:r w:rsidR="00272EAE">
        <w:rPr>
          <w:szCs w:val="24"/>
        </w:rPr>
        <w:t>-11 and 2011-12 terms, the USSC</w:t>
      </w:r>
      <w:r w:rsidR="004A22A6">
        <w:rPr>
          <w:szCs w:val="24"/>
        </w:rPr>
        <w:t xml:space="preserve"> cited amicus briefs in 63 and 46 percent of cases with amicus participation, respectively (</w:t>
      </w:r>
      <w:proofErr w:type="spellStart"/>
      <w:r w:rsidR="004A22A6">
        <w:rPr>
          <w:szCs w:val="24"/>
        </w:rPr>
        <w:t>Franze</w:t>
      </w:r>
      <w:proofErr w:type="spellEnd"/>
      <w:r w:rsidR="004A22A6">
        <w:rPr>
          <w:szCs w:val="24"/>
        </w:rPr>
        <w:t xml:space="preserve"> </w:t>
      </w:r>
      <w:r w:rsidR="000D6839">
        <w:rPr>
          <w:szCs w:val="24"/>
        </w:rPr>
        <w:t>and</w:t>
      </w:r>
      <w:r w:rsidR="004A22A6">
        <w:rPr>
          <w:szCs w:val="24"/>
        </w:rPr>
        <w:t xml:space="preserve"> Anderson 2012, 2).  </w:t>
      </w:r>
      <w:r w:rsidR="00D50941" w:rsidRPr="00D55195">
        <w:rPr>
          <w:szCs w:val="24"/>
        </w:rPr>
        <w:t xml:space="preserve">This is a notable increase over prior years, as it has been noted that </w:t>
      </w:r>
      <w:proofErr w:type="gramStart"/>
      <w:r w:rsidR="00D50941" w:rsidRPr="00D55195">
        <w:rPr>
          <w:szCs w:val="24"/>
        </w:rPr>
        <w:t>between 1946-85,</w:t>
      </w:r>
      <w:proofErr w:type="gramEnd"/>
      <w:r w:rsidR="00D50941" w:rsidRPr="00D55195">
        <w:rPr>
          <w:szCs w:val="24"/>
        </w:rPr>
        <w:t xml:space="preserve"> the USSC majority, plurality, concurring, and dissenting combined referenced amicus curiae briefs in just 24 percent of cases (Ke</w:t>
      </w:r>
      <w:r w:rsidR="004A22A6">
        <w:rPr>
          <w:szCs w:val="24"/>
        </w:rPr>
        <w:t xml:space="preserve">arney </w:t>
      </w:r>
      <w:r w:rsidR="000D6839">
        <w:rPr>
          <w:szCs w:val="24"/>
        </w:rPr>
        <w:t>and</w:t>
      </w:r>
      <w:r w:rsidR="004A22A6">
        <w:rPr>
          <w:szCs w:val="24"/>
        </w:rPr>
        <w:t xml:space="preserve"> Merrill 2000 at 758).  </w:t>
      </w:r>
      <w:r w:rsidR="00D50941" w:rsidRPr="00D55195">
        <w:rPr>
          <w:szCs w:val="24"/>
        </w:rPr>
        <w:t xml:space="preserve">Majority opinions in cases involving privacy rights and civil rights are most likely to reference amicus briefs, whereas cases involving federal taxation and criminal procedure are least likely to cite such briefs.   Further, </w:t>
      </w:r>
      <w:proofErr w:type="spellStart"/>
      <w:r w:rsidR="00D50941" w:rsidRPr="00D55195">
        <w:rPr>
          <w:szCs w:val="24"/>
        </w:rPr>
        <w:t>Spriggs</w:t>
      </w:r>
      <w:proofErr w:type="spellEnd"/>
      <w:r w:rsidR="00D50941" w:rsidRPr="00D55195">
        <w:rPr>
          <w:szCs w:val="24"/>
        </w:rPr>
        <w:t xml:space="preserve"> </w:t>
      </w:r>
      <w:r w:rsidR="000D6839">
        <w:rPr>
          <w:szCs w:val="24"/>
        </w:rPr>
        <w:t>and</w:t>
      </w:r>
      <w:r w:rsidR="00D50941" w:rsidRPr="00D55195">
        <w:rPr>
          <w:szCs w:val="24"/>
        </w:rPr>
        <w:t xml:space="preserve"> </w:t>
      </w:r>
      <w:proofErr w:type="spellStart"/>
      <w:r w:rsidR="00D50941" w:rsidRPr="00D55195">
        <w:rPr>
          <w:szCs w:val="24"/>
        </w:rPr>
        <w:t>Wahlbeck</w:t>
      </w:r>
      <w:proofErr w:type="spellEnd"/>
      <w:r w:rsidR="00D50941" w:rsidRPr="00D55195">
        <w:rPr>
          <w:szCs w:val="24"/>
        </w:rPr>
        <w:t xml:space="preserve"> (1997, 373-74) point out that the USSC is more likely to cite arguments </w:t>
      </w:r>
      <w:proofErr w:type="gramStart"/>
      <w:r w:rsidR="00D50941" w:rsidRPr="00D55195">
        <w:rPr>
          <w:szCs w:val="24"/>
        </w:rPr>
        <w:t>raised</w:t>
      </w:r>
      <w:proofErr w:type="gramEnd"/>
      <w:r w:rsidR="00D50941" w:rsidRPr="00D55195">
        <w:rPr>
          <w:szCs w:val="24"/>
        </w:rPr>
        <w:t xml:space="preserve"> in briefs supporting the petitioner than those supporting the respondent.</w:t>
      </w:r>
    </w:p>
    <w:p w:rsidR="00D50941" w:rsidRDefault="00D50941" w:rsidP="00D50941">
      <w:pPr>
        <w:pStyle w:val="ListParagraph"/>
        <w:spacing w:line="480" w:lineRule="auto"/>
        <w:ind w:left="0" w:firstLine="720"/>
        <w:rPr>
          <w:szCs w:val="24"/>
        </w:rPr>
      </w:pPr>
      <w:r>
        <w:lastRenderedPageBreak/>
        <w:t xml:space="preserve">It could be simply that the USSC is referencing more amicus briefs than ever before because more briefs are being filed than ever before; alternatively, the USSC could be referencing more briefs than before because briefs are having more influence than before.  Either way, </w:t>
      </w:r>
      <w:r>
        <w:rPr>
          <w:szCs w:val="24"/>
        </w:rPr>
        <w:t>simply looking to the number of citations (explicit references) of amicus briefs in judicial opinions is at best a “blunt indicat</w:t>
      </w:r>
      <w:r w:rsidR="00FB0669">
        <w:rPr>
          <w:szCs w:val="24"/>
        </w:rPr>
        <w:t>or” of amicus influence (O’Conno</w:t>
      </w:r>
      <w:r>
        <w:rPr>
          <w:szCs w:val="24"/>
        </w:rPr>
        <w:t xml:space="preserve">r </w:t>
      </w:r>
      <w:r w:rsidR="000D6839">
        <w:rPr>
          <w:szCs w:val="24"/>
        </w:rPr>
        <w:t>and</w:t>
      </w:r>
      <w:r>
        <w:rPr>
          <w:szCs w:val="24"/>
        </w:rPr>
        <w:t xml:space="preserve"> Epstein 1983) and potentially problematic because it may understate or overstate the influence of amici (Franklin 2009; Samuels 2004).   For example, focusing on privacy cases, Samuels (2004, xii) found that the USSC regularly made use of arguments and information provided by amici without providing proper attribution.</w:t>
      </w:r>
      <w:r w:rsidR="00D3571D">
        <w:rPr>
          <w:rStyle w:val="FootnoteReference"/>
          <w:szCs w:val="24"/>
        </w:rPr>
        <w:footnoteReference w:id="25"/>
      </w:r>
      <w:r>
        <w:rPr>
          <w:szCs w:val="24"/>
        </w:rPr>
        <w:t xml:space="preserve">  Even if it appears that the USSC is adopting arguments presented by amici, this could be simply because the amici are reinforcing the arguments already made by the parties.  </w:t>
      </w:r>
    </w:p>
    <w:p w:rsidR="00D50941" w:rsidRPr="00923D3B" w:rsidRDefault="00D50941" w:rsidP="00D50941">
      <w:pPr>
        <w:pStyle w:val="ListParagraph"/>
        <w:spacing w:line="480" w:lineRule="auto"/>
        <w:ind w:left="0" w:firstLine="0"/>
        <w:rPr>
          <w:szCs w:val="24"/>
        </w:rPr>
      </w:pPr>
      <w:r>
        <w:rPr>
          <w:rFonts w:cs="Times New Roman"/>
          <w:szCs w:val="24"/>
        </w:rPr>
        <w:t xml:space="preserve">Further, amicus </w:t>
      </w:r>
      <w:r w:rsidRPr="00BD30CB">
        <w:rPr>
          <w:rFonts w:cs="Times New Roman"/>
          <w:szCs w:val="24"/>
        </w:rPr>
        <w:t>briefs are often</w:t>
      </w:r>
      <w:r>
        <w:rPr>
          <w:rFonts w:cs="Times New Roman"/>
          <w:szCs w:val="24"/>
        </w:rPr>
        <w:t xml:space="preserve"> </w:t>
      </w:r>
      <w:r w:rsidRPr="00BD30CB">
        <w:rPr>
          <w:rFonts w:cs="Times New Roman"/>
          <w:szCs w:val="24"/>
        </w:rPr>
        <w:t>cited simply to descr</w:t>
      </w:r>
      <w:r>
        <w:rPr>
          <w:rFonts w:cs="Times New Roman"/>
          <w:szCs w:val="24"/>
        </w:rPr>
        <w:t xml:space="preserve">ibe, or even rebut, an argument.  And a </w:t>
      </w:r>
      <w:r w:rsidRPr="00BD30CB">
        <w:rPr>
          <w:rFonts w:cs="Times New Roman"/>
          <w:szCs w:val="24"/>
        </w:rPr>
        <w:t>citation</w:t>
      </w:r>
      <w:r>
        <w:rPr>
          <w:rFonts w:cs="Times New Roman"/>
          <w:szCs w:val="24"/>
        </w:rPr>
        <w:t xml:space="preserve"> itself conveys</w:t>
      </w:r>
      <w:r w:rsidRPr="00BD30CB">
        <w:rPr>
          <w:rFonts w:cs="Times New Roman"/>
          <w:szCs w:val="24"/>
        </w:rPr>
        <w:t xml:space="preserve"> little ab</w:t>
      </w:r>
      <w:r>
        <w:rPr>
          <w:rFonts w:cs="Times New Roman"/>
          <w:szCs w:val="24"/>
        </w:rPr>
        <w:t xml:space="preserve">out whether the justices </w:t>
      </w:r>
      <w:r w:rsidRPr="00BD30CB">
        <w:rPr>
          <w:rFonts w:cs="Times New Roman"/>
          <w:szCs w:val="24"/>
        </w:rPr>
        <w:t>would have arrive</w:t>
      </w:r>
      <w:r>
        <w:rPr>
          <w:rFonts w:cs="Times New Roman"/>
          <w:szCs w:val="24"/>
        </w:rPr>
        <w:t>d at the same idea independently (Franklin 2009, 1027-28).</w:t>
      </w:r>
    </w:p>
    <w:p w:rsidR="00D50941" w:rsidRDefault="00D50941" w:rsidP="00D50941">
      <w:pPr>
        <w:autoSpaceDE w:val="0"/>
        <w:autoSpaceDN w:val="0"/>
        <w:adjustRightInd w:val="0"/>
        <w:spacing w:line="480" w:lineRule="auto"/>
        <w:ind w:left="0" w:firstLine="720"/>
        <w:rPr>
          <w:rFonts w:cs="Times New Roman"/>
          <w:bCs/>
          <w:color w:val="FF0000"/>
        </w:rPr>
      </w:pPr>
      <w:r w:rsidRPr="000276F9">
        <w:rPr>
          <w:rFonts w:cs="Times New Roman"/>
          <w:bCs/>
        </w:rPr>
        <w:t>Studies are m</w:t>
      </w:r>
      <w:r w:rsidR="00327108">
        <w:rPr>
          <w:rFonts w:cs="Times New Roman"/>
          <w:bCs/>
        </w:rPr>
        <w:t>ixed regarding whether the USSC</w:t>
      </w:r>
      <w:r w:rsidRPr="000276F9">
        <w:rPr>
          <w:rFonts w:cs="Times New Roman"/>
          <w:bCs/>
        </w:rPr>
        <w:t xml:space="preserve"> is more likely to use information from amicus briefs that repeat the parties</w:t>
      </w:r>
      <w:r>
        <w:rPr>
          <w:rFonts w:cs="Times New Roman"/>
          <w:bCs/>
        </w:rPr>
        <w:t>’</w:t>
      </w:r>
      <w:r w:rsidRPr="000276F9">
        <w:rPr>
          <w:rFonts w:cs="Times New Roman"/>
          <w:bCs/>
        </w:rPr>
        <w:t xml:space="preserve"> arguments or rather those briefs that provide original information.  </w:t>
      </w:r>
      <w:proofErr w:type="spellStart"/>
      <w:r w:rsidRPr="000276F9">
        <w:rPr>
          <w:rFonts w:cs="Times New Roman"/>
          <w:bCs/>
        </w:rPr>
        <w:t>Spriggs</w:t>
      </w:r>
      <w:proofErr w:type="spellEnd"/>
      <w:r w:rsidRPr="000276F9">
        <w:rPr>
          <w:rFonts w:cs="Times New Roman"/>
          <w:bCs/>
        </w:rPr>
        <w:t xml:space="preserve"> </w:t>
      </w:r>
      <w:r w:rsidR="000D6839">
        <w:rPr>
          <w:rFonts w:cs="Times New Roman"/>
          <w:bCs/>
        </w:rPr>
        <w:t>and</w:t>
      </w:r>
      <w:r w:rsidRPr="000276F9">
        <w:rPr>
          <w:rFonts w:cs="Times New Roman"/>
          <w:bCs/>
        </w:rPr>
        <w:t xml:space="preserve"> </w:t>
      </w:r>
      <w:proofErr w:type="spellStart"/>
      <w:r w:rsidRPr="000276F9">
        <w:rPr>
          <w:rFonts w:cs="Times New Roman"/>
          <w:bCs/>
        </w:rPr>
        <w:t>Wahlbeck</w:t>
      </w:r>
      <w:proofErr w:type="spellEnd"/>
      <w:r w:rsidRPr="000276F9">
        <w:rPr>
          <w:rFonts w:cs="Times New Roman"/>
          <w:bCs/>
        </w:rPr>
        <w:t xml:space="preserve"> (1997) examine the 1992 term of the USSC and demonstrate that amicus briefs usually provide information that is not contained in the party briefs, in addition to reiterating the arguments made in the party briefs and reinforcing the party positions. </w:t>
      </w:r>
      <w:r>
        <w:rPr>
          <w:rFonts w:cs="Times New Roman"/>
          <w:bCs/>
        </w:rPr>
        <w:t xml:space="preserve"> This</w:t>
      </w:r>
      <w:r w:rsidR="00903D8F">
        <w:rPr>
          <w:rFonts w:cs="Times New Roman"/>
          <w:bCs/>
        </w:rPr>
        <w:t xml:space="preserve"> finding </w:t>
      </w:r>
      <w:r>
        <w:rPr>
          <w:rFonts w:cs="Times New Roman"/>
          <w:bCs/>
        </w:rPr>
        <w:t>accor</w:t>
      </w:r>
      <w:r w:rsidR="00903D8F">
        <w:rPr>
          <w:rFonts w:cs="Times New Roman"/>
          <w:bCs/>
        </w:rPr>
        <w:t>ds with Collins’ (2008) finding</w:t>
      </w:r>
      <w:r>
        <w:rPr>
          <w:rFonts w:cs="Times New Roman"/>
          <w:bCs/>
        </w:rPr>
        <w:t xml:space="preserve"> that </w:t>
      </w:r>
      <w:r>
        <w:t xml:space="preserve">more than 70 percent of amicus briefs offer justices information that is not found in the party briefs.  </w:t>
      </w:r>
      <w:r w:rsidRPr="000276F9">
        <w:rPr>
          <w:rFonts w:cs="Times New Roman"/>
          <w:bCs/>
        </w:rPr>
        <w:t>Notably</w:t>
      </w:r>
      <w:r w:rsidR="000D6839">
        <w:rPr>
          <w:rFonts w:cs="Times New Roman"/>
          <w:bCs/>
        </w:rPr>
        <w:t>,</w:t>
      </w:r>
      <w:r w:rsidR="00903D8F">
        <w:rPr>
          <w:rFonts w:cs="Times New Roman"/>
          <w:bCs/>
        </w:rPr>
        <w:t xml:space="preserve"> however</w:t>
      </w:r>
      <w:r w:rsidRPr="000276F9">
        <w:rPr>
          <w:rFonts w:cs="Times New Roman"/>
          <w:bCs/>
        </w:rPr>
        <w:t xml:space="preserve">, </w:t>
      </w:r>
      <w:proofErr w:type="spellStart"/>
      <w:r w:rsidRPr="000276F9">
        <w:rPr>
          <w:rFonts w:cs="Times New Roman"/>
          <w:bCs/>
        </w:rPr>
        <w:t>Spriggs</w:t>
      </w:r>
      <w:proofErr w:type="spellEnd"/>
      <w:r w:rsidRPr="000276F9">
        <w:rPr>
          <w:rFonts w:cs="Times New Roman"/>
          <w:bCs/>
        </w:rPr>
        <w:t xml:space="preserve"> </w:t>
      </w:r>
      <w:r w:rsidR="000D6839">
        <w:rPr>
          <w:rFonts w:cs="Times New Roman"/>
          <w:bCs/>
        </w:rPr>
        <w:t>and</w:t>
      </w:r>
      <w:r w:rsidRPr="000276F9">
        <w:rPr>
          <w:rFonts w:cs="Times New Roman"/>
          <w:bCs/>
        </w:rPr>
        <w:t xml:space="preserve"> </w:t>
      </w:r>
      <w:proofErr w:type="spellStart"/>
      <w:r w:rsidRPr="000276F9">
        <w:rPr>
          <w:rFonts w:cs="Times New Roman"/>
          <w:bCs/>
        </w:rPr>
        <w:t>Wahlbeck</w:t>
      </w:r>
      <w:proofErr w:type="spellEnd"/>
      <w:r>
        <w:rPr>
          <w:rFonts w:cs="Times New Roman"/>
          <w:bCs/>
        </w:rPr>
        <w:t xml:space="preserve"> </w:t>
      </w:r>
      <w:r w:rsidR="00327108">
        <w:rPr>
          <w:rFonts w:cs="Times New Roman"/>
          <w:bCs/>
        </w:rPr>
        <w:t>show that the USSC</w:t>
      </w:r>
      <w:r w:rsidRPr="000276F9">
        <w:rPr>
          <w:rFonts w:cs="Times New Roman"/>
          <w:bCs/>
        </w:rPr>
        <w:t xml:space="preserve"> is more likely to </w:t>
      </w:r>
      <w:r w:rsidRPr="00A55894">
        <w:rPr>
          <w:rFonts w:cs="Times New Roman"/>
          <w:bCs/>
          <w:i/>
        </w:rPr>
        <w:t>use</w:t>
      </w:r>
      <w:r w:rsidRPr="000276F9">
        <w:rPr>
          <w:rFonts w:cs="Times New Roman"/>
          <w:bCs/>
        </w:rPr>
        <w:t xml:space="preserve"> information from amici that repeat </w:t>
      </w:r>
      <w:r w:rsidRPr="000276F9">
        <w:rPr>
          <w:rFonts w:cs="Times New Roman"/>
          <w:bCs/>
        </w:rPr>
        <w:lastRenderedPageBreak/>
        <w:t xml:space="preserve">existing arguments rather than those that provide original information.  </w:t>
      </w:r>
      <w:r w:rsidRPr="000276F9">
        <w:rPr>
          <w:rFonts w:cs="Times New Roman"/>
          <w:szCs w:val="24"/>
        </w:rPr>
        <w:t>Br</w:t>
      </w:r>
      <w:r w:rsidR="00327108">
        <w:rPr>
          <w:rFonts w:cs="Times New Roman"/>
          <w:szCs w:val="24"/>
        </w:rPr>
        <w:t>iefs that exclusively reiterate</w:t>
      </w:r>
      <w:r w:rsidRPr="000276F9">
        <w:rPr>
          <w:rFonts w:cs="Times New Roman"/>
          <w:szCs w:val="24"/>
        </w:rPr>
        <w:t xml:space="preserve"> arguments w</w:t>
      </w:r>
      <w:r w:rsidR="00903D8F">
        <w:rPr>
          <w:rFonts w:cs="Times New Roman"/>
          <w:szCs w:val="24"/>
        </w:rPr>
        <w:t xml:space="preserve">ere </w:t>
      </w:r>
      <w:r>
        <w:rPr>
          <w:rFonts w:cs="Times New Roman"/>
          <w:szCs w:val="24"/>
        </w:rPr>
        <w:t>referred to 63 percent</w:t>
      </w:r>
      <w:r w:rsidRPr="000276F9">
        <w:rPr>
          <w:rFonts w:cs="Times New Roman"/>
          <w:szCs w:val="24"/>
        </w:rPr>
        <w:t xml:space="preserve"> </w:t>
      </w:r>
      <w:r>
        <w:rPr>
          <w:rFonts w:cs="Times New Roman"/>
          <w:szCs w:val="24"/>
        </w:rPr>
        <w:t>of the time compared to only 26 percent</w:t>
      </w:r>
      <w:r w:rsidRPr="000276F9">
        <w:rPr>
          <w:rFonts w:cs="Times New Roman"/>
          <w:szCs w:val="24"/>
        </w:rPr>
        <w:t xml:space="preserve"> for those that exclusively added (379–80).</w:t>
      </w:r>
      <w:r w:rsidR="00A55894">
        <w:rPr>
          <w:rFonts w:cs="Times New Roman"/>
          <w:bCs/>
        </w:rPr>
        <w:t xml:space="preserve">  </w:t>
      </w:r>
      <w:proofErr w:type="spellStart"/>
      <w:r w:rsidR="00A55894">
        <w:rPr>
          <w:rFonts w:cs="Times New Roman"/>
          <w:bCs/>
        </w:rPr>
        <w:t>Spriggs</w:t>
      </w:r>
      <w:proofErr w:type="spellEnd"/>
      <w:r w:rsidR="00A55894">
        <w:rPr>
          <w:rFonts w:cs="Times New Roman"/>
          <w:bCs/>
        </w:rPr>
        <w:t xml:space="preserve"> </w:t>
      </w:r>
      <w:r w:rsidR="000D6839">
        <w:rPr>
          <w:rFonts w:cs="Times New Roman"/>
          <w:bCs/>
        </w:rPr>
        <w:t>and</w:t>
      </w:r>
      <w:r w:rsidR="00A55894">
        <w:rPr>
          <w:rFonts w:cs="Times New Roman"/>
          <w:bCs/>
        </w:rPr>
        <w:t xml:space="preserve"> </w:t>
      </w:r>
      <w:proofErr w:type="spellStart"/>
      <w:r w:rsidR="00A55894">
        <w:rPr>
          <w:rFonts w:cs="Times New Roman"/>
          <w:bCs/>
        </w:rPr>
        <w:t>Wah</w:t>
      </w:r>
      <w:r w:rsidR="00903D8F">
        <w:rPr>
          <w:rFonts w:cs="Times New Roman"/>
          <w:bCs/>
        </w:rPr>
        <w:t>lbeck</w:t>
      </w:r>
      <w:proofErr w:type="spellEnd"/>
      <w:r w:rsidR="00903D8F">
        <w:rPr>
          <w:rFonts w:cs="Times New Roman"/>
          <w:bCs/>
        </w:rPr>
        <w:t xml:space="preserve"> </w:t>
      </w:r>
      <w:r w:rsidRPr="000276F9">
        <w:rPr>
          <w:rFonts w:cs="Times New Roman"/>
          <w:bCs/>
        </w:rPr>
        <w:t>conclude that reiteration of parties’ arguments is more important to the justices than new</w:t>
      </w:r>
      <w:r>
        <w:rPr>
          <w:rFonts w:cs="Times New Roman"/>
          <w:bCs/>
        </w:rPr>
        <w:t xml:space="preserve"> information provided by amici.   This finding accords with prior research (</w:t>
      </w:r>
      <w:proofErr w:type="spellStart"/>
      <w:r>
        <w:rPr>
          <w:rFonts w:cs="Times New Roman"/>
          <w:bCs/>
        </w:rPr>
        <w:t>Pfeffer</w:t>
      </w:r>
      <w:proofErr w:type="spellEnd"/>
      <w:r>
        <w:rPr>
          <w:rFonts w:cs="Times New Roman"/>
          <w:bCs/>
        </w:rPr>
        <w:t xml:space="preserve"> 1981).  Yet it goes against the findings of survey data of federal judges and f</w:t>
      </w:r>
      <w:r w:rsidR="00327108">
        <w:rPr>
          <w:rFonts w:cs="Times New Roman"/>
          <w:bCs/>
        </w:rPr>
        <w:t>ormer USSC clerks that caution</w:t>
      </w:r>
      <w:r>
        <w:rPr>
          <w:rFonts w:cs="Times New Roman"/>
          <w:bCs/>
        </w:rPr>
        <w:t xml:space="preserve"> amici against merely restating party argu</w:t>
      </w:r>
      <w:r w:rsidR="00903D8F">
        <w:rPr>
          <w:rFonts w:cs="Times New Roman"/>
          <w:bCs/>
        </w:rPr>
        <w:t xml:space="preserve">ments (Lynch 2004; </w:t>
      </w:r>
      <w:proofErr w:type="spellStart"/>
      <w:r w:rsidR="00903D8F">
        <w:rPr>
          <w:rFonts w:cs="Times New Roman"/>
          <w:bCs/>
        </w:rPr>
        <w:t>Simard</w:t>
      </w:r>
      <w:proofErr w:type="spellEnd"/>
      <w:r w:rsidR="00903D8F">
        <w:rPr>
          <w:rFonts w:cs="Times New Roman"/>
          <w:bCs/>
        </w:rPr>
        <w:t xml:space="preserve"> 2007), </w:t>
      </w:r>
      <w:r w:rsidR="00903D8F" w:rsidRPr="00A91256">
        <w:rPr>
          <w:rFonts w:cs="Times New Roman"/>
          <w:bCs/>
        </w:rPr>
        <w:t>as we</w:t>
      </w:r>
      <w:r w:rsidR="005D0E6C" w:rsidRPr="00A91256">
        <w:rPr>
          <w:rFonts w:cs="Times New Roman"/>
          <w:bCs/>
        </w:rPr>
        <w:t>ll as against the advice of other</w:t>
      </w:r>
      <w:r w:rsidR="00903D8F" w:rsidRPr="00A91256">
        <w:rPr>
          <w:rFonts w:cs="Times New Roman"/>
          <w:bCs/>
        </w:rPr>
        <w:t xml:space="preserve"> scholars who caution against </w:t>
      </w:r>
      <w:r w:rsidR="00EF67B3" w:rsidRPr="00A91256">
        <w:rPr>
          <w:rFonts w:cs="Times New Roman"/>
          <w:bCs/>
        </w:rPr>
        <w:t>wisdom of amici providing redundant arguments and information</w:t>
      </w:r>
      <w:r w:rsidR="005D0E6C" w:rsidRPr="00A91256">
        <w:rPr>
          <w:rFonts w:cs="Times New Roman"/>
          <w:bCs/>
        </w:rPr>
        <w:t xml:space="preserve"> (e.g., Ennis 1984</w:t>
      </w:r>
      <w:r w:rsidR="0058198D">
        <w:rPr>
          <w:rFonts w:cs="Times New Roman"/>
          <w:bCs/>
        </w:rPr>
        <w:t xml:space="preserve">; </w:t>
      </w:r>
      <w:proofErr w:type="spellStart"/>
      <w:r w:rsidR="0058198D">
        <w:rPr>
          <w:rFonts w:cs="Times New Roman"/>
          <w:bCs/>
        </w:rPr>
        <w:t>Sungaila</w:t>
      </w:r>
      <w:proofErr w:type="spellEnd"/>
      <w:r w:rsidR="0058198D">
        <w:rPr>
          <w:rFonts w:cs="Times New Roman"/>
          <w:bCs/>
        </w:rPr>
        <w:t xml:space="preserve"> 2010</w:t>
      </w:r>
      <w:r w:rsidR="005D0E6C" w:rsidRPr="00A91256">
        <w:rPr>
          <w:rFonts w:cs="Times New Roman"/>
          <w:bCs/>
        </w:rPr>
        <w:t>)</w:t>
      </w:r>
      <w:r w:rsidR="00EF67B3" w:rsidRPr="00A91256">
        <w:rPr>
          <w:rFonts w:cs="Times New Roman"/>
          <w:bCs/>
        </w:rPr>
        <w:t>.</w:t>
      </w:r>
    </w:p>
    <w:p w:rsidR="00A55894" w:rsidRDefault="00A55894" w:rsidP="00515A09">
      <w:pPr>
        <w:autoSpaceDE w:val="0"/>
        <w:autoSpaceDN w:val="0"/>
        <w:adjustRightInd w:val="0"/>
        <w:spacing w:line="480" w:lineRule="auto"/>
        <w:ind w:left="0" w:firstLine="720"/>
        <w:rPr>
          <w:rFonts w:cs="Times New Roman"/>
          <w:bCs/>
        </w:rPr>
      </w:pPr>
      <w:r>
        <w:rPr>
          <w:rFonts w:cs="Times New Roman"/>
          <w:bCs/>
        </w:rPr>
        <w:t>Perhaps the most pertinent</w:t>
      </w:r>
      <w:r w:rsidR="00272EAE">
        <w:rPr>
          <w:rFonts w:cs="Times New Roman"/>
          <w:bCs/>
        </w:rPr>
        <w:t xml:space="preserve"> question of al</w:t>
      </w:r>
      <w:r w:rsidR="00327108">
        <w:rPr>
          <w:rFonts w:cs="Times New Roman"/>
          <w:bCs/>
        </w:rPr>
        <w:t>l pertaining to amicus impact</w:t>
      </w:r>
      <w:r w:rsidR="00272EAE">
        <w:rPr>
          <w:rFonts w:cs="Times New Roman"/>
          <w:bCs/>
        </w:rPr>
        <w:t xml:space="preserve"> </w:t>
      </w:r>
      <w:r>
        <w:rPr>
          <w:rFonts w:cs="Times New Roman"/>
          <w:bCs/>
        </w:rPr>
        <w:t xml:space="preserve">on the USSC </w:t>
      </w:r>
      <w:r w:rsidR="00272EAE">
        <w:rPr>
          <w:rFonts w:cs="Times New Roman"/>
          <w:bCs/>
        </w:rPr>
        <w:t xml:space="preserve">is whether or not </w:t>
      </w:r>
      <w:r w:rsidR="00327108">
        <w:rPr>
          <w:rFonts w:cs="Times New Roman"/>
          <w:bCs/>
        </w:rPr>
        <w:t xml:space="preserve">amici affect </w:t>
      </w:r>
      <w:r w:rsidR="007B133C">
        <w:rPr>
          <w:rFonts w:cs="Times New Roman"/>
          <w:bCs/>
        </w:rPr>
        <w:t>the content of the justices’</w:t>
      </w:r>
      <w:r w:rsidR="00272EAE">
        <w:rPr>
          <w:rFonts w:cs="Times New Roman"/>
          <w:bCs/>
        </w:rPr>
        <w:t xml:space="preserve"> opinions, and by extension, the evolution o</w:t>
      </w:r>
      <w:r w:rsidR="00327108">
        <w:rPr>
          <w:rFonts w:cs="Times New Roman"/>
          <w:bCs/>
        </w:rPr>
        <w:t>f legal rules and precedent</w:t>
      </w:r>
      <w:r w:rsidR="007B133C">
        <w:rPr>
          <w:rFonts w:cs="Times New Roman"/>
          <w:bCs/>
        </w:rPr>
        <w:t>.  Surprisingly, only a small amount of empirical literature has pursued an</w:t>
      </w:r>
      <w:r w:rsidR="00327108">
        <w:rPr>
          <w:rFonts w:cs="Times New Roman"/>
          <w:bCs/>
        </w:rPr>
        <w:t xml:space="preserve"> answer to this question</w:t>
      </w:r>
      <w:r w:rsidR="007B133C">
        <w:rPr>
          <w:rFonts w:cs="Times New Roman"/>
          <w:bCs/>
        </w:rPr>
        <w:t xml:space="preserve"> (e.g., Epstein </w:t>
      </w:r>
      <w:r w:rsidR="000D6839">
        <w:rPr>
          <w:rFonts w:cs="Times New Roman"/>
          <w:bCs/>
        </w:rPr>
        <w:t>and</w:t>
      </w:r>
      <w:r w:rsidR="007B133C">
        <w:rPr>
          <w:rFonts w:cs="Times New Roman"/>
          <w:bCs/>
        </w:rPr>
        <w:t xml:space="preserve"> </w:t>
      </w:r>
      <w:proofErr w:type="spellStart"/>
      <w:r w:rsidR="007B133C">
        <w:rPr>
          <w:rFonts w:cs="Times New Roman"/>
          <w:bCs/>
        </w:rPr>
        <w:t>Kobylka</w:t>
      </w:r>
      <w:proofErr w:type="spellEnd"/>
      <w:r w:rsidR="007B133C">
        <w:rPr>
          <w:rFonts w:cs="Times New Roman"/>
          <w:bCs/>
        </w:rPr>
        <w:t xml:space="preserve"> 1992; </w:t>
      </w:r>
      <w:proofErr w:type="spellStart"/>
      <w:r w:rsidR="007B133C">
        <w:rPr>
          <w:rFonts w:cs="Times New Roman"/>
          <w:bCs/>
        </w:rPr>
        <w:t>Spriggs</w:t>
      </w:r>
      <w:proofErr w:type="spellEnd"/>
      <w:r w:rsidR="007B133C">
        <w:rPr>
          <w:rFonts w:cs="Times New Roman"/>
          <w:bCs/>
        </w:rPr>
        <w:t xml:space="preserve"> </w:t>
      </w:r>
      <w:r w:rsidR="000D6839">
        <w:rPr>
          <w:rFonts w:cs="Times New Roman"/>
          <w:bCs/>
        </w:rPr>
        <w:t>and</w:t>
      </w:r>
      <w:r w:rsidR="006C472D">
        <w:rPr>
          <w:rFonts w:cs="Times New Roman"/>
          <w:bCs/>
        </w:rPr>
        <w:t xml:space="preserve"> </w:t>
      </w:r>
      <w:proofErr w:type="spellStart"/>
      <w:r w:rsidR="006C472D">
        <w:rPr>
          <w:rFonts w:cs="Times New Roman"/>
          <w:bCs/>
        </w:rPr>
        <w:t>Wah</w:t>
      </w:r>
      <w:r w:rsidR="007B133C">
        <w:rPr>
          <w:rFonts w:cs="Times New Roman"/>
          <w:bCs/>
        </w:rPr>
        <w:t>lbeck</w:t>
      </w:r>
      <w:proofErr w:type="spellEnd"/>
      <w:r w:rsidR="007B133C">
        <w:rPr>
          <w:rFonts w:cs="Times New Roman"/>
          <w:bCs/>
        </w:rPr>
        <w:t xml:space="preserve"> 1997; Samuels 2004).  Epstein </w:t>
      </w:r>
      <w:r w:rsidR="000D6839">
        <w:rPr>
          <w:rFonts w:cs="Times New Roman"/>
          <w:bCs/>
        </w:rPr>
        <w:t>and</w:t>
      </w:r>
      <w:r w:rsidR="007B133C">
        <w:rPr>
          <w:rFonts w:cs="Times New Roman"/>
          <w:bCs/>
        </w:rPr>
        <w:t xml:space="preserve"> </w:t>
      </w:r>
      <w:proofErr w:type="spellStart"/>
      <w:r w:rsidR="007B133C">
        <w:rPr>
          <w:rFonts w:cs="Times New Roman"/>
          <w:bCs/>
        </w:rPr>
        <w:t>Kob</w:t>
      </w:r>
      <w:r w:rsidR="00327108">
        <w:rPr>
          <w:rFonts w:cs="Times New Roman"/>
          <w:bCs/>
        </w:rPr>
        <w:t>ylka</w:t>
      </w:r>
      <w:proofErr w:type="spellEnd"/>
      <w:r w:rsidR="00327108">
        <w:rPr>
          <w:rFonts w:cs="Times New Roman"/>
          <w:bCs/>
        </w:rPr>
        <w:t xml:space="preserve"> (1992) show that amici have played</w:t>
      </w:r>
      <w:r w:rsidR="00174DCE">
        <w:rPr>
          <w:rFonts w:cs="Times New Roman"/>
          <w:bCs/>
        </w:rPr>
        <w:t xml:space="preserve"> an important role in shaping abortion and death penalty litigation.  Corley,</w:t>
      </w:r>
      <w:r w:rsidR="00C66265">
        <w:rPr>
          <w:rFonts w:cs="Times New Roman"/>
          <w:bCs/>
        </w:rPr>
        <w:t xml:space="preserve"> Collins</w:t>
      </w:r>
      <w:r w:rsidR="007F5779">
        <w:rPr>
          <w:rFonts w:cs="Times New Roman"/>
          <w:bCs/>
        </w:rPr>
        <w:t>,</w:t>
      </w:r>
      <w:r w:rsidR="00174DCE">
        <w:rPr>
          <w:rFonts w:cs="Times New Roman"/>
          <w:bCs/>
        </w:rPr>
        <w:t xml:space="preserve"> </w:t>
      </w:r>
      <w:r w:rsidR="000D6839">
        <w:rPr>
          <w:rFonts w:cs="Times New Roman"/>
          <w:bCs/>
        </w:rPr>
        <w:t>and</w:t>
      </w:r>
      <w:r w:rsidR="00174DCE">
        <w:rPr>
          <w:rFonts w:cs="Times New Roman"/>
          <w:bCs/>
        </w:rPr>
        <w:t xml:space="preserve"> </w:t>
      </w:r>
      <w:proofErr w:type="spellStart"/>
      <w:r w:rsidR="00174DCE">
        <w:rPr>
          <w:rFonts w:cs="Times New Roman"/>
          <w:bCs/>
        </w:rPr>
        <w:t>Hamner</w:t>
      </w:r>
      <w:proofErr w:type="spellEnd"/>
      <w:r w:rsidR="007B133C">
        <w:rPr>
          <w:rFonts w:cs="Times New Roman"/>
          <w:bCs/>
        </w:rPr>
        <w:t xml:space="preserve"> (2013) provide the most systematic and comprehensive attempt to answer this question by using plagiarism detection software to investigate USSC</w:t>
      </w:r>
      <w:r w:rsidR="00174DCE">
        <w:rPr>
          <w:rFonts w:cs="Times New Roman"/>
          <w:bCs/>
        </w:rPr>
        <w:t xml:space="preserve"> majority</w:t>
      </w:r>
      <w:r w:rsidR="007B133C">
        <w:rPr>
          <w:rFonts w:cs="Times New Roman"/>
          <w:bCs/>
        </w:rPr>
        <w:t xml:space="preserve"> opinion content</w:t>
      </w:r>
      <w:r w:rsidR="005D0E6C">
        <w:rPr>
          <w:rFonts w:cs="Times New Roman"/>
          <w:bCs/>
        </w:rPr>
        <w:t xml:space="preserve"> during the 2002-2004 terms</w:t>
      </w:r>
      <w:r w:rsidR="007B133C">
        <w:rPr>
          <w:rFonts w:cs="Times New Roman"/>
          <w:bCs/>
        </w:rPr>
        <w:t xml:space="preserve">. </w:t>
      </w:r>
      <w:r w:rsidR="00C66265">
        <w:rPr>
          <w:rFonts w:cs="Times New Roman"/>
          <w:bCs/>
        </w:rPr>
        <w:t xml:space="preserve"> Specifically, Corley</w:t>
      </w:r>
      <w:r w:rsidR="00174DCE">
        <w:rPr>
          <w:rFonts w:cs="Times New Roman"/>
          <w:bCs/>
        </w:rPr>
        <w:t xml:space="preserve"> et al.</w:t>
      </w:r>
      <w:r w:rsidR="00C700EB">
        <w:rPr>
          <w:rFonts w:cs="Times New Roman"/>
          <w:bCs/>
        </w:rPr>
        <w:t xml:space="preserve"> (2013)</w:t>
      </w:r>
      <w:r w:rsidR="00174DCE">
        <w:rPr>
          <w:rFonts w:cs="Times New Roman"/>
          <w:bCs/>
        </w:rPr>
        <w:t xml:space="preserve"> analyze the instances in which the USSC incorporated arguments made by amici into their majority opinions.</w:t>
      </w:r>
      <w:r w:rsidR="005D0E6C">
        <w:rPr>
          <w:rFonts w:cs="Times New Roman"/>
          <w:bCs/>
        </w:rPr>
        <w:t xml:space="preserve">  They find that arguments from amicus briefs that are cognitively clear and that use plain language are more likely to be incorporated into the USSC’s majority opinion than other amicus briefs. </w:t>
      </w:r>
      <w:r w:rsidR="005518D6">
        <w:rPr>
          <w:rFonts w:cs="Times New Roman"/>
          <w:bCs/>
        </w:rPr>
        <w:t xml:space="preserve"> They also find that the USSC </w:t>
      </w:r>
      <w:r>
        <w:rPr>
          <w:rFonts w:cs="Times New Roman"/>
          <w:bCs/>
        </w:rPr>
        <w:t xml:space="preserve">majority opinion </w:t>
      </w:r>
      <w:r w:rsidR="00327108">
        <w:rPr>
          <w:rFonts w:cs="Times New Roman"/>
          <w:bCs/>
        </w:rPr>
        <w:t>is</w:t>
      </w:r>
      <w:r w:rsidR="005518D6">
        <w:rPr>
          <w:rFonts w:cs="Times New Roman"/>
          <w:bCs/>
        </w:rPr>
        <w:t xml:space="preserve"> more likely to incorporate arguments from amici that repeat the </w:t>
      </w:r>
      <w:r w:rsidR="005518D6">
        <w:rPr>
          <w:rFonts w:cs="Times New Roman"/>
          <w:bCs/>
        </w:rPr>
        <w:lastRenderedPageBreak/>
        <w:t>arguments of the litigan</w:t>
      </w:r>
      <w:r w:rsidR="00C54E69">
        <w:rPr>
          <w:rFonts w:cs="Times New Roman"/>
          <w:bCs/>
        </w:rPr>
        <w:t>t briefs and other</w:t>
      </w:r>
      <w:r w:rsidR="00327108">
        <w:rPr>
          <w:rFonts w:cs="Times New Roman"/>
          <w:bCs/>
        </w:rPr>
        <w:t xml:space="preserve"> amici.  </w:t>
      </w:r>
      <w:proofErr w:type="gramStart"/>
      <w:r w:rsidR="00327108">
        <w:rPr>
          <w:rFonts w:cs="Times New Roman"/>
          <w:bCs/>
        </w:rPr>
        <w:t xml:space="preserve">This </w:t>
      </w:r>
      <w:r w:rsidR="005518D6">
        <w:rPr>
          <w:rFonts w:cs="Times New Roman"/>
          <w:bCs/>
        </w:rPr>
        <w:t>find</w:t>
      </w:r>
      <w:r>
        <w:rPr>
          <w:rFonts w:cs="Times New Roman"/>
          <w:bCs/>
        </w:rPr>
        <w:t>ing accords</w:t>
      </w:r>
      <w:proofErr w:type="gramEnd"/>
      <w:r w:rsidR="005518D6">
        <w:rPr>
          <w:rFonts w:cs="Times New Roman"/>
          <w:bCs/>
        </w:rPr>
        <w:t xml:space="preserve"> with that of </w:t>
      </w:r>
      <w:proofErr w:type="spellStart"/>
      <w:r w:rsidR="005518D6">
        <w:rPr>
          <w:rFonts w:cs="Times New Roman"/>
          <w:bCs/>
        </w:rPr>
        <w:t>Spriggs</w:t>
      </w:r>
      <w:proofErr w:type="spellEnd"/>
      <w:r w:rsidR="005518D6">
        <w:rPr>
          <w:rFonts w:cs="Times New Roman"/>
          <w:bCs/>
        </w:rPr>
        <w:t xml:space="preserve"> and </w:t>
      </w:r>
      <w:proofErr w:type="spellStart"/>
      <w:r w:rsidR="005518D6">
        <w:rPr>
          <w:rFonts w:cs="Times New Roman"/>
          <w:bCs/>
        </w:rPr>
        <w:t>Wahlbeck</w:t>
      </w:r>
      <w:proofErr w:type="spellEnd"/>
      <w:r w:rsidR="005518D6">
        <w:rPr>
          <w:rFonts w:cs="Times New Roman"/>
          <w:bCs/>
        </w:rPr>
        <w:t xml:space="preserve"> (1997)</w:t>
      </w:r>
      <w:r>
        <w:rPr>
          <w:rFonts w:cs="Times New Roman"/>
          <w:bCs/>
        </w:rPr>
        <w:t>, discussed above</w:t>
      </w:r>
      <w:r w:rsidR="005518D6">
        <w:rPr>
          <w:rFonts w:cs="Times New Roman"/>
          <w:bCs/>
        </w:rPr>
        <w:t>.</w:t>
      </w:r>
      <w:r>
        <w:rPr>
          <w:rFonts w:cs="Times New Roman"/>
          <w:bCs/>
        </w:rPr>
        <w:t xml:space="preserve">  </w:t>
      </w:r>
    </w:p>
    <w:p w:rsidR="00272EAE" w:rsidRPr="00272EAE" w:rsidRDefault="00A55894" w:rsidP="00D50941">
      <w:pPr>
        <w:autoSpaceDE w:val="0"/>
        <w:autoSpaceDN w:val="0"/>
        <w:adjustRightInd w:val="0"/>
        <w:spacing w:line="480" w:lineRule="auto"/>
        <w:ind w:left="0" w:firstLine="720"/>
        <w:rPr>
          <w:rFonts w:cs="Times New Roman"/>
          <w:bCs/>
        </w:rPr>
      </w:pPr>
      <w:r>
        <w:rPr>
          <w:rFonts w:cs="Times New Roman"/>
          <w:bCs/>
        </w:rPr>
        <w:t>Consistent with the attitudinal model</w:t>
      </w:r>
      <w:r w:rsidR="005518D6">
        <w:rPr>
          <w:rFonts w:cs="Times New Roman"/>
          <w:bCs/>
        </w:rPr>
        <w:t xml:space="preserve">, the authors find that liberal majority opinions are more likely to incorporate the arguments of liberal amicus briefs, and conservative majority opinions are more likely to incorporate the arguments of conservative amicus briefs.  </w:t>
      </w:r>
      <w:r w:rsidR="00757F18">
        <w:rPr>
          <w:rFonts w:cs="Times New Roman"/>
          <w:bCs/>
        </w:rPr>
        <w:t xml:space="preserve"> Additionally, majority opinions in salient cases are less likely to incorporate arguments of amici than in others. </w:t>
      </w:r>
      <w:r w:rsidR="00C66265">
        <w:rPr>
          <w:rFonts w:cs="Times New Roman"/>
          <w:bCs/>
        </w:rPr>
        <w:t xml:space="preserve"> Lastly, Corley</w:t>
      </w:r>
      <w:r w:rsidR="005518D6">
        <w:rPr>
          <w:rFonts w:cs="Times New Roman"/>
          <w:bCs/>
        </w:rPr>
        <w:t xml:space="preserve"> et al</w:t>
      </w:r>
      <w:r w:rsidR="00F02D3F">
        <w:rPr>
          <w:rFonts w:cs="Times New Roman"/>
          <w:bCs/>
        </w:rPr>
        <w:t>.</w:t>
      </w:r>
      <w:r w:rsidR="005518D6">
        <w:rPr>
          <w:rFonts w:cs="Times New Roman"/>
          <w:bCs/>
        </w:rPr>
        <w:t xml:space="preserve"> (2013, 19) f</w:t>
      </w:r>
      <w:r w:rsidR="00327108">
        <w:rPr>
          <w:rFonts w:cs="Times New Roman"/>
          <w:bCs/>
        </w:rPr>
        <w:t>ind that the SG</w:t>
      </w:r>
      <w:r w:rsidR="005518D6">
        <w:rPr>
          <w:rFonts w:cs="Times New Roman"/>
          <w:bCs/>
        </w:rPr>
        <w:t xml:space="preserve"> is the most influential amicus in terms of having its arguments incorporated in the majority opinion of the USSC.  Compared to other ami</w:t>
      </w:r>
      <w:r>
        <w:rPr>
          <w:rFonts w:cs="Times New Roman"/>
          <w:bCs/>
        </w:rPr>
        <w:t>ci, majority opinions adopt 367 percent</w:t>
      </w:r>
      <w:r w:rsidR="005518D6">
        <w:rPr>
          <w:rFonts w:cs="Times New Roman"/>
          <w:bCs/>
        </w:rPr>
        <w:t xml:space="preserve"> more language fro</w:t>
      </w:r>
      <w:r w:rsidR="00327108">
        <w:rPr>
          <w:rFonts w:cs="Times New Roman"/>
          <w:bCs/>
        </w:rPr>
        <w:t>m amicus briefs filed by the SG.  This finding is consistent</w:t>
      </w:r>
      <w:r w:rsidR="005518D6">
        <w:rPr>
          <w:rFonts w:cs="Times New Roman"/>
          <w:bCs/>
        </w:rPr>
        <w:t xml:space="preserve"> with those of Kearney and Merrill (2000</w:t>
      </w:r>
      <w:r w:rsidR="00EA5114">
        <w:rPr>
          <w:rFonts w:cs="Times New Roman"/>
          <w:bCs/>
        </w:rPr>
        <w:t>, 760</w:t>
      </w:r>
      <w:r w:rsidR="005518D6">
        <w:rPr>
          <w:rFonts w:cs="Times New Roman"/>
          <w:bCs/>
        </w:rPr>
        <w:t xml:space="preserve">), </w:t>
      </w:r>
      <w:r w:rsidR="00EA5114">
        <w:rPr>
          <w:rFonts w:cs="Times New Roman"/>
          <w:bCs/>
        </w:rPr>
        <w:t>who</w:t>
      </w:r>
      <w:r w:rsidR="005518D6">
        <w:rPr>
          <w:rFonts w:cs="Times New Roman"/>
          <w:bCs/>
        </w:rPr>
        <w:t xml:space="preserve"> term the </w:t>
      </w:r>
      <w:r w:rsidR="00327108">
        <w:rPr>
          <w:rFonts w:cs="Times New Roman"/>
          <w:bCs/>
        </w:rPr>
        <w:t xml:space="preserve">SG </w:t>
      </w:r>
      <w:r w:rsidR="005518D6">
        <w:rPr>
          <w:rFonts w:cs="Times New Roman"/>
          <w:bCs/>
        </w:rPr>
        <w:t>the “king of the citation-frequency hill</w:t>
      </w:r>
      <w:r w:rsidR="00EA5114">
        <w:rPr>
          <w:rFonts w:cs="Times New Roman"/>
          <w:bCs/>
        </w:rPr>
        <w:t xml:space="preserve">” because the </w:t>
      </w:r>
      <w:r w:rsidR="00327108">
        <w:rPr>
          <w:rFonts w:cs="Times New Roman"/>
          <w:bCs/>
        </w:rPr>
        <w:t xml:space="preserve">SG </w:t>
      </w:r>
      <w:r w:rsidR="00EA5114">
        <w:rPr>
          <w:rFonts w:cs="Times New Roman"/>
          <w:bCs/>
        </w:rPr>
        <w:t>is cited more frequently than all other amicus participants –</w:t>
      </w:r>
      <w:r w:rsidR="003B3DAC">
        <w:rPr>
          <w:rFonts w:cs="Times New Roman"/>
          <w:bCs/>
        </w:rPr>
        <w:t xml:space="preserve"> </w:t>
      </w:r>
      <w:r w:rsidR="006D5A9B">
        <w:rPr>
          <w:rFonts w:cs="Times New Roman"/>
          <w:bCs/>
        </w:rPr>
        <w:t>in about 40 percent</w:t>
      </w:r>
      <w:r w:rsidR="003B3DAC">
        <w:rPr>
          <w:rFonts w:cs="Times New Roman"/>
          <w:bCs/>
        </w:rPr>
        <w:t xml:space="preserve"> of the cases in which the SG</w:t>
      </w:r>
      <w:r w:rsidR="00EA5114">
        <w:rPr>
          <w:rFonts w:cs="Times New Roman"/>
          <w:bCs/>
        </w:rPr>
        <w:t xml:space="preserve"> appears as amicus.</w:t>
      </w:r>
      <w:r w:rsidR="00EA5114">
        <w:rPr>
          <w:rStyle w:val="FootnoteReference"/>
          <w:rFonts w:cs="Times New Roman"/>
          <w:bCs/>
        </w:rPr>
        <w:footnoteReference w:id="26"/>
      </w:r>
    </w:p>
    <w:p w:rsidR="000D6839" w:rsidRDefault="00D50941" w:rsidP="00D50941">
      <w:pPr>
        <w:autoSpaceDE w:val="0"/>
        <w:autoSpaceDN w:val="0"/>
        <w:adjustRightInd w:val="0"/>
        <w:spacing w:line="480" w:lineRule="auto"/>
        <w:ind w:left="0" w:firstLine="720"/>
        <w:rPr>
          <w:rFonts w:cs="Times New Roman"/>
          <w:szCs w:val="24"/>
        </w:rPr>
      </w:pPr>
      <w:r>
        <w:rPr>
          <w:rFonts w:cs="Times New Roman"/>
          <w:szCs w:val="24"/>
        </w:rPr>
        <w:t>In conclusion, although consensus is lacking, various studies have shown</w:t>
      </w:r>
      <w:r w:rsidR="00903D8F">
        <w:rPr>
          <w:rFonts w:cs="Times New Roman"/>
          <w:szCs w:val="24"/>
        </w:rPr>
        <w:t xml:space="preserve"> that amici influence exists on the USSC</w:t>
      </w:r>
      <w:r>
        <w:rPr>
          <w:rFonts w:cs="Times New Roman"/>
          <w:szCs w:val="24"/>
        </w:rPr>
        <w:t xml:space="preserve">, and that this influence depends upon multiple factors:  the nature and salience of the case (Lynch 2004; </w:t>
      </w:r>
      <w:proofErr w:type="spellStart"/>
      <w:r>
        <w:rPr>
          <w:rFonts w:cs="Times New Roman"/>
          <w:szCs w:val="24"/>
        </w:rPr>
        <w:t>Unah</w:t>
      </w:r>
      <w:proofErr w:type="spellEnd"/>
      <w:r>
        <w:rPr>
          <w:rFonts w:cs="Times New Roman"/>
          <w:szCs w:val="24"/>
        </w:rPr>
        <w:t xml:space="preserve"> and Hancock 2006</w:t>
      </w:r>
      <w:r w:rsidR="00C66265">
        <w:rPr>
          <w:rFonts w:cs="Times New Roman"/>
          <w:szCs w:val="24"/>
        </w:rPr>
        <w:t>;</w:t>
      </w:r>
      <w:r w:rsidR="003B3DAC">
        <w:rPr>
          <w:rFonts w:cs="Times New Roman"/>
          <w:szCs w:val="24"/>
        </w:rPr>
        <w:t xml:space="preserve"> </w:t>
      </w:r>
      <w:r w:rsidR="00757F18">
        <w:rPr>
          <w:rFonts w:cs="Times New Roman"/>
          <w:bCs/>
        </w:rPr>
        <w:t>Corley,</w:t>
      </w:r>
      <w:r w:rsidR="00C66265">
        <w:rPr>
          <w:rFonts w:cs="Times New Roman"/>
          <w:bCs/>
        </w:rPr>
        <w:t xml:space="preserve"> Collins,</w:t>
      </w:r>
      <w:r w:rsidR="00757F18">
        <w:rPr>
          <w:rFonts w:cs="Times New Roman"/>
          <w:bCs/>
        </w:rPr>
        <w:t xml:space="preserve"> </w:t>
      </w:r>
      <w:r w:rsidR="000D6839">
        <w:rPr>
          <w:rFonts w:cs="Times New Roman"/>
          <w:bCs/>
        </w:rPr>
        <w:t>and</w:t>
      </w:r>
      <w:r w:rsidR="00757F18">
        <w:rPr>
          <w:rFonts w:cs="Times New Roman"/>
          <w:bCs/>
        </w:rPr>
        <w:t xml:space="preserve"> </w:t>
      </w:r>
      <w:proofErr w:type="spellStart"/>
      <w:r w:rsidR="00757F18">
        <w:rPr>
          <w:rFonts w:cs="Times New Roman"/>
          <w:bCs/>
        </w:rPr>
        <w:t>Hamner</w:t>
      </w:r>
      <w:proofErr w:type="spellEnd"/>
      <w:r w:rsidR="00757F18">
        <w:rPr>
          <w:rFonts w:cs="Times New Roman"/>
          <w:bCs/>
        </w:rPr>
        <w:t xml:space="preserve"> 2013</w:t>
      </w:r>
      <w:r>
        <w:rPr>
          <w:rFonts w:cs="Times New Roman"/>
          <w:szCs w:val="24"/>
        </w:rPr>
        <w:t>); the prestige and experience of the amicus participant (</w:t>
      </w:r>
      <w:r w:rsidR="005459B9">
        <w:rPr>
          <w:rFonts w:cs="Times New Roman"/>
          <w:szCs w:val="24"/>
        </w:rPr>
        <w:t xml:space="preserve">McGuire 1994; </w:t>
      </w:r>
      <w:r>
        <w:rPr>
          <w:rFonts w:cs="Times New Roman"/>
          <w:szCs w:val="24"/>
        </w:rPr>
        <w:t xml:space="preserve">Kearney </w:t>
      </w:r>
      <w:r w:rsidR="000D6839">
        <w:rPr>
          <w:rFonts w:cs="Times New Roman"/>
          <w:szCs w:val="24"/>
        </w:rPr>
        <w:t>and</w:t>
      </w:r>
      <w:r>
        <w:rPr>
          <w:rFonts w:cs="Times New Roman"/>
          <w:szCs w:val="24"/>
        </w:rPr>
        <w:t xml:space="preserve"> Merrill 2000; Lynch 2004; </w:t>
      </w:r>
      <w:proofErr w:type="spellStart"/>
      <w:r>
        <w:rPr>
          <w:rFonts w:cs="Times New Roman"/>
          <w:szCs w:val="24"/>
        </w:rPr>
        <w:t>Simard</w:t>
      </w:r>
      <w:proofErr w:type="spellEnd"/>
      <w:r>
        <w:rPr>
          <w:rFonts w:cs="Times New Roman"/>
          <w:szCs w:val="24"/>
        </w:rPr>
        <w:t xml:space="preserve"> 2007</w:t>
      </w:r>
      <w:r w:rsidR="00BA2A9A">
        <w:rPr>
          <w:rFonts w:cs="Times New Roman"/>
          <w:szCs w:val="24"/>
        </w:rPr>
        <w:t>;</w:t>
      </w:r>
      <w:r w:rsidR="0060471A" w:rsidRPr="0060471A">
        <w:rPr>
          <w:rFonts w:cs="Times New Roman"/>
          <w:szCs w:val="24"/>
        </w:rPr>
        <w:t xml:space="preserve"> </w:t>
      </w:r>
      <w:r w:rsidR="0060471A">
        <w:rPr>
          <w:rFonts w:cs="Times New Roman"/>
          <w:szCs w:val="24"/>
        </w:rPr>
        <w:t>Box-</w:t>
      </w:r>
      <w:proofErr w:type="spellStart"/>
      <w:r w:rsidR="0060471A">
        <w:rPr>
          <w:rFonts w:cs="Times New Roman"/>
          <w:szCs w:val="24"/>
        </w:rPr>
        <w:t>Steffensmeier</w:t>
      </w:r>
      <w:proofErr w:type="spellEnd"/>
      <w:r w:rsidR="0060471A">
        <w:rPr>
          <w:rFonts w:cs="Times New Roman"/>
          <w:szCs w:val="24"/>
        </w:rPr>
        <w:t xml:space="preserve">, Christenson, </w:t>
      </w:r>
      <w:r w:rsidR="000D6839">
        <w:rPr>
          <w:rFonts w:cs="Times New Roman"/>
          <w:szCs w:val="24"/>
        </w:rPr>
        <w:t>and</w:t>
      </w:r>
      <w:r w:rsidR="0060471A">
        <w:rPr>
          <w:rFonts w:cs="Times New Roman"/>
          <w:szCs w:val="24"/>
        </w:rPr>
        <w:t xml:space="preserve"> </w:t>
      </w:r>
      <w:proofErr w:type="spellStart"/>
      <w:r w:rsidR="0060471A">
        <w:rPr>
          <w:rFonts w:cs="Times New Roman"/>
          <w:szCs w:val="24"/>
        </w:rPr>
        <w:t>Hitt</w:t>
      </w:r>
      <w:proofErr w:type="spellEnd"/>
      <w:r w:rsidR="0060471A">
        <w:rPr>
          <w:rFonts w:cs="Times New Roman"/>
          <w:szCs w:val="24"/>
        </w:rPr>
        <w:t xml:space="preserve"> 2013</w:t>
      </w:r>
      <w:r>
        <w:rPr>
          <w:rFonts w:cs="Times New Roman"/>
          <w:szCs w:val="24"/>
        </w:rPr>
        <w:t xml:space="preserve">); the resources of the party whom the amicus supports (McGuire 1994; Collins 2008); whether the brief supports the respondent or the petitioner (Kearney </w:t>
      </w:r>
      <w:r w:rsidR="000D6839">
        <w:rPr>
          <w:rFonts w:cs="Times New Roman"/>
          <w:szCs w:val="24"/>
        </w:rPr>
        <w:t>and</w:t>
      </w:r>
      <w:r>
        <w:rPr>
          <w:rFonts w:cs="Times New Roman"/>
          <w:szCs w:val="24"/>
        </w:rPr>
        <w:t xml:space="preserve"> Merrill 2000); the disparity in</w:t>
      </w:r>
      <w:r w:rsidR="00757F18">
        <w:rPr>
          <w:rFonts w:cs="Times New Roman"/>
          <w:szCs w:val="24"/>
        </w:rPr>
        <w:t xml:space="preserve"> the number of briefs offered by</w:t>
      </w:r>
      <w:r>
        <w:rPr>
          <w:rFonts w:cs="Times New Roman"/>
          <w:szCs w:val="24"/>
        </w:rPr>
        <w:t xml:space="preserve"> each side (Kearney </w:t>
      </w:r>
      <w:r w:rsidR="000D6839">
        <w:rPr>
          <w:rFonts w:cs="Times New Roman"/>
          <w:szCs w:val="24"/>
        </w:rPr>
        <w:t>and</w:t>
      </w:r>
      <w:r>
        <w:rPr>
          <w:rFonts w:cs="Times New Roman"/>
          <w:szCs w:val="24"/>
        </w:rPr>
        <w:t xml:space="preserve"> Merrill 2000; Collins 2008; Collins 2007); the ideology of the justice reading the brief</w:t>
      </w:r>
      <w:r w:rsidR="0060471A">
        <w:rPr>
          <w:rFonts w:cs="Times New Roman"/>
          <w:szCs w:val="24"/>
        </w:rPr>
        <w:t xml:space="preserve"> (Collins 2008;</w:t>
      </w:r>
      <w:r w:rsidR="0060471A" w:rsidRPr="0060471A">
        <w:rPr>
          <w:rFonts w:cs="Times New Roman"/>
          <w:szCs w:val="24"/>
        </w:rPr>
        <w:t xml:space="preserve"> </w:t>
      </w:r>
      <w:r w:rsidR="0060471A">
        <w:rPr>
          <w:rFonts w:cs="Times New Roman"/>
          <w:szCs w:val="24"/>
        </w:rPr>
        <w:t>Box-</w:t>
      </w:r>
      <w:proofErr w:type="spellStart"/>
      <w:r w:rsidR="0060471A">
        <w:rPr>
          <w:rFonts w:cs="Times New Roman"/>
          <w:szCs w:val="24"/>
        </w:rPr>
        <w:t>Steffensmeier</w:t>
      </w:r>
      <w:proofErr w:type="spellEnd"/>
      <w:r w:rsidR="0060471A">
        <w:rPr>
          <w:rFonts w:cs="Times New Roman"/>
          <w:szCs w:val="24"/>
        </w:rPr>
        <w:t xml:space="preserve">, Christenson, </w:t>
      </w:r>
      <w:r w:rsidR="000D6839">
        <w:rPr>
          <w:rFonts w:cs="Times New Roman"/>
          <w:szCs w:val="24"/>
        </w:rPr>
        <w:t>and</w:t>
      </w:r>
      <w:r w:rsidR="0060471A">
        <w:rPr>
          <w:rFonts w:cs="Times New Roman"/>
          <w:szCs w:val="24"/>
        </w:rPr>
        <w:t xml:space="preserve"> </w:t>
      </w:r>
      <w:proofErr w:type="spellStart"/>
      <w:r w:rsidR="0060471A">
        <w:rPr>
          <w:rFonts w:cs="Times New Roman"/>
          <w:szCs w:val="24"/>
        </w:rPr>
        <w:lastRenderedPageBreak/>
        <w:t>Hitt</w:t>
      </w:r>
      <w:proofErr w:type="spellEnd"/>
      <w:r w:rsidR="0060471A">
        <w:rPr>
          <w:rFonts w:cs="Times New Roman"/>
          <w:szCs w:val="24"/>
        </w:rPr>
        <w:t xml:space="preserve"> 2013) – with </w:t>
      </w:r>
      <w:r>
        <w:rPr>
          <w:rFonts w:cs="Times New Roman"/>
          <w:szCs w:val="24"/>
        </w:rPr>
        <w:t>those at the ideologi</w:t>
      </w:r>
      <w:r w:rsidR="0060471A">
        <w:rPr>
          <w:rFonts w:cs="Times New Roman"/>
          <w:szCs w:val="24"/>
        </w:rPr>
        <w:t>cal center being persuadable</w:t>
      </w:r>
      <w:r>
        <w:rPr>
          <w:rFonts w:cs="Times New Roman"/>
          <w:szCs w:val="24"/>
        </w:rPr>
        <w:t xml:space="preserve"> (Collins 2008); the quality of the brief itself (Lynch 2004; </w:t>
      </w:r>
      <w:proofErr w:type="spellStart"/>
      <w:r>
        <w:rPr>
          <w:rFonts w:cs="Times New Roman"/>
          <w:szCs w:val="24"/>
        </w:rPr>
        <w:t>Simard</w:t>
      </w:r>
      <w:proofErr w:type="spellEnd"/>
      <w:r>
        <w:rPr>
          <w:rFonts w:cs="Times New Roman"/>
          <w:szCs w:val="24"/>
        </w:rPr>
        <w:t xml:space="preserve"> 2007</w:t>
      </w:r>
      <w:r w:rsidR="009D215A">
        <w:rPr>
          <w:rFonts w:cs="Times New Roman"/>
          <w:szCs w:val="24"/>
        </w:rPr>
        <w:t xml:space="preserve">; </w:t>
      </w:r>
      <w:r w:rsidR="009D215A">
        <w:rPr>
          <w:rFonts w:cs="Times New Roman"/>
          <w:bCs/>
        </w:rPr>
        <w:t xml:space="preserve">Collins, Corley, </w:t>
      </w:r>
      <w:r w:rsidR="000D6839">
        <w:rPr>
          <w:rFonts w:cs="Times New Roman"/>
          <w:bCs/>
        </w:rPr>
        <w:t>and</w:t>
      </w:r>
      <w:r w:rsidR="009D215A">
        <w:rPr>
          <w:rFonts w:cs="Times New Roman"/>
          <w:bCs/>
        </w:rPr>
        <w:t xml:space="preserve"> </w:t>
      </w:r>
      <w:proofErr w:type="spellStart"/>
      <w:r w:rsidR="009D215A">
        <w:rPr>
          <w:rFonts w:cs="Times New Roman"/>
          <w:bCs/>
        </w:rPr>
        <w:t>Hamner</w:t>
      </w:r>
      <w:proofErr w:type="spellEnd"/>
      <w:r w:rsidR="009D215A">
        <w:rPr>
          <w:rFonts w:cs="Times New Roman"/>
          <w:bCs/>
        </w:rPr>
        <w:t xml:space="preserve"> 2013</w:t>
      </w:r>
      <w:r w:rsidR="0060471A">
        <w:rPr>
          <w:rFonts w:cs="Times New Roman"/>
          <w:bCs/>
        </w:rPr>
        <w:t xml:space="preserve">; </w:t>
      </w:r>
      <w:r w:rsidR="0060471A">
        <w:rPr>
          <w:rFonts w:cs="Times New Roman"/>
          <w:szCs w:val="24"/>
        </w:rPr>
        <w:t>Box-</w:t>
      </w:r>
      <w:proofErr w:type="spellStart"/>
      <w:r w:rsidR="0060471A">
        <w:rPr>
          <w:rFonts w:cs="Times New Roman"/>
          <w:szCs w:val="24"/>
        </w:rPr>
        <w:t>Steffensmeier</w:t>
      </w:r>
      <w:proofErr w:type="spellEnd"/>
      <w:r w:rsidR="0060471A">
        <w:rPr>
          <w:rFonts w:cs="Times New Roman"/>
          <w:szCs w:val="24"/>
        </w:rPr>
        <w:t xml:space="preserve">, Christenson, </w:t>
      </w:r>
      <w:r w:rsidR="000D6839">
        <w:rPr>
          <w:rFonts w:cs="Times New Roman"/>
          <w:szCs w:val="24"/>
        </w:rPr>
        <w:t>and</w:t>
      </w:r>
      <w:r w:rsidR="0060471A">
        <w:rPr>
          <w:rFonts w:cs="Times New Roman"/>
          <w:szCs w:val="24"/>
        </w:rPr>
        <w:t xml:space="preserve"> </w:t>
      </w:r>
      <w:proofErr w:type="spellStart"/>
      <w:r w:rsidR="0060471A">
        <w:rPr>
          <w:rFonts w:cs="Times New Roman"/>
          <w:szCs w:val="24"/>
        </w:rPr>
        <w:t>Hitt</w:t>
      </w:r>
      <w:proofErr w:type="spellEnd"/>
      <w:r w:rsidR="0060471A">
        <w:rPr>
          <w:rFonts w:cs="Times New Roman"/>
          <w:szCs w:val="24"/>
        </w:rPr>
        <w:t xml:space="preserve"> 2013</w:t>
      </w:r>
      <w:r>
        <w:rPr>
          <w:rFonts w:cs="Times New Roman"/>
          <w:szCs w:val="24"/>
        </w:rPr>
        <w:t>); whether the amicus collaborated with others</w:t>
      </w:r>
      <w:r w:rsidRPr="000D3C5F">
        <w:rPr>
          <w:rFonts w:cs="Times New Roman"/>
          <w:szCs w:val="24"/>
        </w:rPr>
        <w:t xml:space="preserve"> </w:t>
      </w:r>
      <w:r>
        <w:rPr>
          <w:rFonts w:cs="Times New Roman"/>
          <w:szCs w:val="24"/>
        </w:rPr>
        <w:t>(Lynch 2004</w:t>
      </w:r>
      <w:r w:rsidR="0060471A">
        <w:rPr>
          <w:rFonts w:cs="Times New Roman"/>
          <w:szCs w:val="24"/>
        </w:rPr>
        <w:t>; Box-</w:t>
      </w:r>
      <w:proofErr w:type="spellStart"/>
      <w:r w:rsidR="0060471A">
        <w:rPr>
          <w:rFonts w:cs="Times New Roman"/>
          <w:szCs w:val="24"/>
        </w:rPr>
        <w:t>Steffensmeier</w:t>
      </w:r>
      <w:proofErr w:type="spellEnd"/>
      <w:r w:rsidR="0060471A">
        <w:rPr>
          <w:rFonts w:cs="Times New Roman"/>
          <w:szCs w:val="24"/>
        </w:rPr>
        <w:t xml:space="preserve">, Christenson, </w:t>
      </w:r>
      <w:r w:rsidR="000D6839">
        <w:rPr>
          <w:rFonts w:cs="Times New Roman"/>
          <w:szCs w:val="24"/>
        </w:rPr>
        <w:t>and</w:t>
      </w:r>
      <w:r w:rsidR="0060471A">
        <w:rPr>
          <w:rFonts w:cs="Times New Roman"/>
          <w:szCs w:val="24"/>
        </w:rPr>
        <w:t xml:space="preserve"> </w:t>
      </w:r>
      <w:proofErr w:type="spellStart"/>
      <w:r w:rsidR="0060471A">
        <w:rPr>
          <w:rFonts w:cs="Times New Roman"/>
          <w:szCs w:val="24"/>
        </w:rPr>
        <w:t>Hitt</w:t>
      </w:r>
      <w:proofErr w:type="spellEnd"/>
      <w:r w:rsidR="0060471A">
        <w:rPr>
          <w:rFonts w:cs="Times New Roman"/>
          <w:szCs w:val="24"/>
        </w:rPr>
        <w:t xml:space="preserve"> 2013</w:t>
      </w:r>
      <w:r>
        <w:rPr>
          <w:rFonts w:cs="Times New Roman"/>
          <w:szCs w:val="24"/>
        </w:rPr>
        <w:t>);</w:t>
      </w:r>
      <w:r w:rsidR="00903D8F">
        <w:rPr>
          <w:rFonts w:cs="Times New Roman"/>
          <w:szCs w:val="24"/>
        </w:rPr>
        <w:t xml:space="preserve"> and</w:t>
      </w:r>
      <w:r>
        <w:rPr>
          <w:rFonts w:cs="Times New Roman"/>
          <w:szCs w:val="24"/>
        </w:rPr>
        <w:t xml:space="preserve"> whether the brief reiterated the parties’ arguments or provided new information (</w:t>
      </w:r>
      <w:proofErr w:type="spellStart"/>
      <w:r>
        <w:rPr>
          <w:rFonts w:cs="Times New Roman"/>
          <w:szCs w:val="24"/>
        </w:rPr>
        <w:t>Spriggs</w:t>
      </w:r>
      <w:proofErr w:type="spellEnd"/>
      <w:r>
        <w:rPr>
          <w:rFonts w:cs="Times New Roman"/>
          <w:szCs w:val="24"/>
        </w:rPr>
        <w:t xml:space="preserve"> </w:t>
      </w:r>
      <w:r w:rsidR="000D6839">
        <w:rPr>
          <w:rFonts w:cs="Times New Roman"/>
          <w:szCs w:val="24"/>
        </w:rPr>
        <w:t>and</w:t>
      </w:r>
      <w:r>
        <w:rPr>
          <w:rFonts w:cs="Times New Roman"/>
          <w:szCs w:val="24"/>
        </w:rPr>
        <w:t xml:space="preserve"> </w:t>
      </w:r>
      <w:proofErr w:type="spellStart"/>
      <w:r>
        <w:rPr>
          <w:rFonts w:cs="Times New Roman"/>
          <w:szCs w:val="24"/>
        </w:rPr>
        <w:t>Wahlbeck</w:t>
      </w:r>
      <w:proofErr w:type="spellEnd"/>
      <w:r>
        <w:rPr>
          <w:rFonts w:cs="Times New Roman"/>
          <w:szCs w:val="24"/>
        </w:rPr>
        <w:t xml:space="preserve"> 1997; Collins 2008).</w:t>
      </w:r>
    </w:p>
    <w:p w:rsidR="00D50941" w:rsidRPr="00903D8F" w:rsidRDefault="00903D8F" w:rsidP="00D50941">
      <w:pPr>
        <w:autoSpaceDE w:val="0"/>
        <w:autoSpaceDN w:val="0"/>
        <w:adjustRightInd w:val="0"/>
        <w:spacing w:line="480" w:lineRule="auto"/>
        <w:ind w:left="0" w:firstLine="720"/>
        <w:rPr>
          <w:rFonts w:cs="Times New Roman"/>
          <w:color w:val="FF0000"/>
          <w:szCs w:val="24"/>
        </w:rPr>
      </w:pPr>
      <w:r>
        <w:rPr>
          <w:rFonts w:cs="Times New Roman"/>
          <w:szCs w:val="24"/>
        </w:rPr>
        <w:t xml:space="preserve">  </w:t>
      </w:r>
      <w:r w:rsidR="00BA2A9A">
        <w:rPr>
          <w:rFonts w:cs="Times New Roman"/>
          <w:szCs w:val="24"/>
        </w:rPr>
        <w:t xml:space="preserve"> </w:t>
      </w:r>
    </w:p>
    <w:p w:rsidR="00D50941" w:rsidRPr="00154CA8" w:rsidRDefault="00D50941" w:rsidP="00154CA8">
      <w:pPr>
        <w:pStyle w:val="ListParagraph"/>
        <w:numPr>
          <w:ilvl w:val="0"/>
          <w:numId w:val="7"/>
        </w:numPr>
        <w:spacing w:line="480" w:lineRule="auto"/>
        <w:rPr>
          <w:b/>
          <w:szCs w:val="24"/>
        </w:rPr>
      </w:pPr>
      <w:r w:rsidRPr="00154CA8">
        <w:rPr>
          <w:b/>
          <w:szCs w:val="24"/>
        </w:rPr>
        <w:t xml:space="preserve">Amicus Participation </w:t>
      </w:r>
      <w:r w:rsidR="000D6839" w:rsidRPr="00154CA8">
        <w:rPr>
          <w:b/>
          <w:szCs w:val="24"/>
        </w:rPr>
        <w:t>and Influence in</w:t>
      </w:r>
      <w:r w:rsidRPr="00154CA8">
        <w:rPr>
          <w:b/>
          <w:szCs w:val="24"/>
        </w:rPr>
        <w:t xml:space="preserve"> Lower Federal Courts </w:t>
      </w:r>
      <w:r w:rsidR="000D6839" w:rsidRPr="00154CA8">
        <w:rPr>
          <w:b/>
          <w:szCs w:val="24"/>
        </w:rPr>
        <w:t>and</w:t>
      </w:r>
      <w:r w:rsidRPr="00154CA8">
        <w:rPr>
          <w:b/>
          <w:szCs w:val="24"/>
        </w:rPr>
        <w:t xml:space="preserve"> State Courts</w:t>
      </w:r>
    </w:p>
    <w:p w:rsidR="00D50941" w:rsidRDefault="00D50941" w:rsidP="00D50941">
      <w:pPr>
        <w:autoSpaceDE w:val="0"/>
        <w:autoSpaceDN w:val="0"/>
        <w:adjustRightInd w:val="0"/>
        <w:spacing w:line="480" w:lineRule="auto"/>
        <w:ind w:left="0" w:firstLine="720"/>
        <w:rPr>
          <w:rFonts w:cs="Times New Roman"/>
          <w:szCs w:val="24"/>
        </w:rPr>
      </w:pPr>
      <w:r>
        <w:rPr>
          <w:rFonts w:cs="Times New Roman"/>
          <w:szCs w:val="24"/>
        </w:rPr>
        <w:t xml:space="preserve">While most studies of amicus participation and influence focus on the USSC, fewer studies have examined amici activity in state courts (e.g., Epstein 1994; </w:t>
      </w:r>
      <w:proofErr w:type="spellStart"/>
      <w:r>
        <w:rPr>
          <w:rFonts w:cs="Times New Roman"/>
          <w:szCs w:val="24"/>
        </w:rPr>
        <w:t>Comparato</w:t>
      </w:r>
      <w:proofErr w:type="spellEnd"/>
      <w:r>
        <w:rPr>
          <w:rFonts w:cs="Times New Roman"/>
          <w:szCs w:val="24"/>
        </w:rPr>
        <w:t xml:space="preserve"> 2003; </w:t>
      </w:r>
      <w:proofErr w:type="spellStart"/>
      <w:r>
        <w:rPr>
          <w:rFonts w:cs="Times New Roman"/>
          <w:szCs w:val="24"/>
        </w:rPr>
        <w:t>Corbally</w:t>
      </w:r>
      <w:proofErr w:type="spellEnd"/>
      <w:r>
        <w:rPr>
          <w:rFonts w:cs="Times New Roman"/>
          <w:szCs w:val="24"/>
        </w:rPr>
        <w:t xml:space="preserve">, </w:t>
      </w:r>
      <w:proofErr w:type="spellStart"/>
      <w:r>
        <w:rPr>
          <w:rFonts w:cs="Times New Roman"/>
          <w:szCs w:val="24"/>
        </w:rPr>
        <w:t>Bross</w:t>
      </w:r>
      <w:proofErr w:type="spellEnd"/>
      <w:r>
        <w:rPr>
          <w:rFonts w:cs="Times New Roman"/>
          <w:szCs w:val="24"/>
        </w:rPr>
        <w:t xml:space="preserve"> </w:t>
      </w:r>
      <w:r w:rsidR="000D6839">
        <w:rPr>
          <w:rFonts w:cs="Times New Roman"/>
          <w:szCs w:val="24"/>
        </w:rPr>
        <w:t>and</w:t>
      </w:r>
      <w:r>
        <w:rPr>
          <w:rFonts w:cs="Times New Roman"/>
          <w:szCs w:val="24"/>
        </w:rPr>
        <w:t xml:space="preserve"> </w:t>
      </w:r>
      <w:proofErr w:type="spellStart"/>
      <w:r>
        <w:rPr>
          <w:rFonts w:cs="Times New Roman"/>
          <w:szCs w:val="24"/>
        </w:rPr>
        <w:t>Flango</w:t>
      </w:r>
      <w:proofErr w:type="spellEnd"/>
      <w:r>
        <w:rPr>
          <w:rFonts w:cs="Times New Roman"/>
          <w:szCs w:val="24"/>
        </w:rPr>
        <w:t xml:space="preserve"> 2004; </w:t>
      </w:r>
      <w:proofErr w:type="spellStart"/>
      <w:r>
        <w:rPr>
          <w:rFonts w:cs="Times New Roman"/>
          <w:szCs w:val="24"/>
        </w:rPr>
        <w:t>Flango</w:t>
      </w:r>
      <w:proofErr w:type="spellEnd"/>
      <w:r>
        <w:rPr>
          <w:rFonts w:cs="Times New Roman"/>
          <w:szCs w:val="24"/>
        </w:rPr>
        <w:t xml:space="preserve">, </w:t>
      </w:r>
      <w:proofErr w:type="spellStart"/>
      <w:r>
        <w:rPr>
          <w:rFonts w:cs="Times New Roman"/>
          <w:szCs w:val="24"/>
        </w:rPr>
        <w:t>Bross</w:t>
      </w:r>
      <w:proofErr w:type="spellEnd"/>
      <w:r>
        <w:rPr>
          <w:rFonts w:cs="Times New Roman"/>
          <w:szCs w:val="24"/>
        </w:rPr>
        <w:t xml:space="preserve"> </w:t>
      </w:r>
      <w:r w:rsidR="000D6839">
        <w:rPr>
          <w:rFonts w:cs="Times New Roman"/>
          <w:szCs w:val="24"/>
        </w:rPr>
        <w:t>and</w:t>
      </w:r>
      <w:r>
        <w:rPr>
          <w:rFonts w:cs="Times New Roman"/>
          <w:szCs w:val="24"/>
        </w:rPr>
        <w:t xml:space="preserve"> </w:t>
      </w:r>
      <w:proofErr w:type="spellStart"/>
      <w:r>
        <w:rPr>
          <w:rFonts w:cs="Times New Roman"/>
          <w:szCs w:val="24"/>
        </w:rPr>
        <w:t>Corbally</w:t>
      </w:r>
      <w:proofErr w:type="spellEnd"/>
      <w:r>
        <w:rPr>
          <w:rFonts w:cs="Times New Roman"/>
          <w:szCs w:val="24"/>
        </w:rPr>
        <w:t xml:space="preserve"> 2006; </w:t>
      </w:r>
      <w:proofErr w:type="spellStart"/>
      <w:r>
        <w:rPr>
          <w:rFonts w:cs="Times New Roman"/>
          <w:szCs w:val="24"/>
        </w:rPr>
        <w:t>Songer</w:t>
      </w:r>
      <w:proofErr w:type="spellEnd"/>
      <w:r>
        <w:rPr>
          <w:rFonts w:cs="Times New Roman"/>
          <w:szCs w:val="24"/>
        </w:rPr>
        <w:t xml:space="preserve"> </w:t>
      </w:r>
      <w:r w:rsidR="000D6839">
        <w:rPr>
          <w:rFonts w:cs="Times New Roman"/>
          <w:szCs w:val="24"/>
        </w:rPr>
        <w:t>and</w:t>
      </w:r>
      <w:r w:rsidR="003A68EA">
        <w:rPr>
          <w:rFonts w:cs="Times New Roman"/>
          <w:szCs w:val="24"/>
        </w:rPr>
        <w:t xml:space="preserve"> </w:t>
      </w:r>
      <w:proofErr w:type="spellStart"/>
      <w:r w:rsidR="003A68EA">
        <w:rPr>
          <w:rFonts w:cs="Times New Roman"/>
          <w:szCs w:val="24"/>
        </w:rPr>
        <w:t>Kuersten</w:t>
      </w:r>
      <w:proofErr w:type="spellEnd"/>
      <w:r w:rsidR="003A68EA">
        <w:rPr>
          <w:rFonts w:cs="Times New Roman"/>
          <w:szCs w:val="24"/>
        </w:rPr>
        <w:t xml:space="preserve"> 1995; </w:t>
      </w:r>
      <w:proofErr w:type="spellStart"/>
      <w:r w:rsidR="003A68EA">
        <w:rPr>
          <w:rFonts w:cs="Times New Roman"/>
          <w:szCs w:val="24"/>
        </w:rPr>
        <w:t>Lar</w:t>
      </w:r>
      <w:r>
        <w:rPr>
          <w:rFonts w:cs="Times New Roman"/>
          <w:szCs w:val="24"/>
        </w:rPr>
        <w:t>oche</w:t>
      </w:r>
      <w:proofErr w:type="spellEnd"/>
      <w:r>
        <w:rPr>
          <w:rFonts w:cs="Times New Roman"/>
          <w:szCs w:val="24"/>
        </w:rPr>
        <w:t xml:space="preserve"> 2009) and lower federal courts (e.g., </w:t>
      </w:r>
      <w:proofErr w:type="spellStart"/>
      <w:r>
        <w:rPr>
          <w:rFonts w:cs="Times New Roman"/>
          <w:szCs w:val="24"/>
        </w:rPr>
        <w:t>Martinek</w:t>
      </w:r>
      <w:proofErr w:type="spellEnd"/>
      <w:r>
        <w:rPr>
          <w:rFonts w:cs="Times New Roman"/>
          <w:szCs w:val="24"/>
        </w:rPr>
        <w:t xml:space="preserve"> 2006; McIntosh </w:t>
      </w:r>
      <w:r w:rsidR="000D6839">
        <w:rPr>
          <w:rFonts w:cs="Times New Roman"/>
          <w:szCs w:val="24"/>
        </w:rPr>
        <w:t>and</w:t>
      </w:r>
      <w:r>
        <w:rPr>
          <w:rFonts w:cs="Times New Roman"/>
          <w:szCs w:val="24"/>
        </w:rPr>
        <w:t xml:space="preserve"> Parker 1986; Harrington 2005; Collins </w:t>
      </w:r>
      <w:r w:rsidR="000D6839">
        <w:rPr>
          <w:rFonts w:cs="Times New Roman"/>
          <w:szCs w:val="24"/>
        </w:rPr>
        <w:t>and</w:t>
      </w:r>
      <w:r>
        <w:rPr>
          <w:rFonts w:cs="Times New Roman"/>
          <w:szCs w:val="24"/>
        </w:rPr>
        <w:t xml:space="preserve"> </w:t>
      </w:r>
      <w:proofErr w:type="spellStart"/>
      <w:r>
        <w:rPr>
          <w:rFonts w:cs="Times New Roman"/>
          <w:szCs w:val="24"/>
        </w:rPr>
        <w:t>Martinek</w:t>
      </w:r>
      <w:proofErr w:type="spellEnd"/>
      <w:r>
        <w:rPr>
          <w:rFonts w:cs="Times New Roman"/>
          <w:szCs w:val="24"/>
        </w:rPr>
        <w:t xml:space="preserve"> 2010; </w:t>
      </w:r>
      <w:proofErr w:type="spellStart"/>
      <w:r>
        <w:rPr>
          <w:rFonts w:cs="Times New Roman"/>
          <w:szCs w:val="24"/>
        </w:rPr>
        <w:t>Simard</w:t>
      </w:r>
      <w:proofErr w:type="spellEnd"/>
      <w:r>
        <w:rPr>
          <w:rFonts w:cs="Times New Roman"/>
          <w:szCs w:val="24"/>
        </w:rPr>
        <w:t xml:space="preserve"> 2007; Rice 2012).  </w:t>
      </w:r>
    </w:p>
    <w:p w:rsidR="00D50941" w:rsidRDefault="00D50941" w:rsidP="00D50941">
      <w:pPr>
        <w:autoSpaceDE w:val="0"/>
        <w:autoSpaceDN w:val="0"/>
        <w:adjustRightInd w:val="0"/>
        <w:spacing w:line="480" w:lineRule="auto"/>
        <w:ind w:left="0" w:firstLine="720"/>
        <w:rPr>
          <w:rFonts w:cs="Times New Roman"/>
          <w:szCs w:val="24"/>
        </w:rPr>
      </w:pPr>
      <w:r>
        <w:rPr>
          <w:rFonts w:cs="Times New Roman"/>
          <w:szCs w:val="24"/>
        </w:rPr>
        <w:t xml:space="preserve">In the U.S. Courts of Appeals (USCA), amicus participation is rather anemic compared to the USSC.   </w:t>
      </w:r>
      <w:proofErr w:type="spellStart"/>
      <w:r>
        <w:rPr>
          <w:rFonts w:cs="Times New Roman"/>
          <w:szCs w:val="24"/>
        </w:rPr>
        <w:t>Martinek</w:t>
      </w:r>
      <w:proofErr w:type="spellEnd"/>
      <w:r>
        <w:rPr>
          <w:rFonts w:cs="Times New Roman"/>
          <w:szCs w:val="24"/>
        </w:rPr>
        <w:t xml:space="preserve"> (2006) shows that the percentage of cases in the USCA with at least one amicus filer in the time period from 1960-1996 hovers between 2 and 7 percent.  Still, due to the sheer caseload volume in the USCA, amicus participation is not insignificant.  In fact, in raw numbers, amicus participation at the USCA exceeds that at the USSC.  For example, Harrington (2005) reports that in 2003 there were 413 cases with at least one amicus brief in the USCA.  It is notable that more cases involve amicus support for appellants than for appellee at the USCA, and cases involving economic activity and regulation attract the mos</w:t>
      </w:r>
      <w:r w:rsidR="003A68EA">
        <w:rPr>
          <w:rFonts w:cs="Times New Roman"/>
          <w:szCs w:val="24"/>
        </w:rPr>
        <w:t>t absolute amicus participation</w:t>
      </w:r>
      <w:r>
        <w:rPr>
          <w:rFonts w:cs="Times New Roman"/>
          <w:szCs w:val="24"/>
        </w:rPr>
        <w:t xml:space="preserve"> (Collins and </w:t>
      </w:r>
      <w:proofErr w:type="spellStart"/>
      <w:r>
        <w:rPr>
          <w:rFonts w:cs="Times New Roman"/>
          <w:szCs w:val="24"/>
        </w:rPr>
        <w:t>Martinek</w:t>
      </w:r>
      <w:proofErr w:type="spellEnd"/>
      <w:r>
        <w:rPr>
          <w:rFonts w:cs="Times New Roman"/>
          <w:szCs w:val="24"/>
        </w:rPr>
        <w:t xml:space="preserve"> 2010, 401). </w:t>
      </w:r>
    </w:p>
    <w:p w:rsidR="00D50941" w:rsidRDefault="00D50941" w:rsidP="00D50941">
      <w:pPr>
        <w:autoSpaceDE w:val="0"/>
        <w:autoSpaceDN w:val="0"/>
        <w:adjustRightInd w:val="0"/>
        <w:spacing w:line="480" w:lineRule="auto"/>
        <w:ind w:left="0" w:firstLine="720"/>
        <w:rPr>
          <w:rFonts w:cs="Times New Roman"/>
          <w:szCs w:val="24"/>
        </w:rPr>
      </w:pPr>
      <w:r>
        <w:rPr>
          <w:rFonts w:cs="Times New Roman"/>
          <w:szCs w:val="24"/>
        </w:rPr>
        <w:t>Some USCA have criticized the lack of scrutiny in granting leave</w:t>
      </w:r>
      <w:r w:rsidR="003A68EA">
        <w:rPr>
          <w:rFonts w:cs="Times New Roman"/>
          <w:szCs w:val="24"/>
        </w:rPr>
        <w:t xml:space="preserve"> to file amicus briefs and the Seventh</w:t>
      </w:r>
      <w:r>
        <w:rPr>
          <w:rFonts w:cs="Times New Roman"/>
          <w:szCs w:val="24"/>
        </w:rPr>
        <w:t xml:space="preserve"> Circuit has articulated a policy limiting the types of amici it will allow (</w:t>
      </w:r>
      <w:proofErr w:type="spellStart"/>
      <w:r>
        <w:rPr>
          <w:rFonts w:cs="Times New Roman"/>
          <w:szCs w:val="24"/>
        </w:rPr>
        <w:t>Simard</w:t>
      </w:r>
      <w:proofErr w:type="spellEnd"/>
      <w:r>
        <w:rPr>
          <w:rFonts w:cs="Times New Roman"/>
          <w:szCs w:val="24"/>
        </w:rPr>
        <w:t xml:space="preserve"> </w:t>
      </w:r>
      <w:r w:rsidR="003A68EA">
        <w:rPr>
          <w:rFonts w:cs="Times New Roman"/>
          <w:szCs w:val="24"/>
        </w:rPr>
        <w:lastRenderedPageBreak/>
        <w:t>2007, 672-73).  However, the Third</w:t>
      </w:r>
      <w:r>
        <w:rPr>
          <w:rFonts w:cs="Times New Roman"/>
          <w:szCs w:val="24"/>
        </w:rPr>
        <w:t xml:space="preserve"> Circuit has been more supportive of an open door policy giving wide latitude to amicus filings, rejecting concerns that amici must be impartial and devoid of pecuniary interest in the case (</w:t>
      </w:r>
      <w:proofErr w:type="spellStart"/>
      <w:r>
        <w:rPr>
          <w:rFonts w:cs="Times New Roman"/>
          <w:szCs w:val="24"/>
        </w:rPr>
        <w:t>Simard</w:t>
      </w:r>
      <w:proofErr w:type="spellEnd"/>
      <w:r>
        <w:rPr>
          <w:rFonts w:cs="Times New Roman"/>
          <w:szCs w:val="24"/>
        </w:rPr>
        <w:t>, 673).</w:t>
      </w:r>
    </w:p>
    <w:p w:rsidR="00D50941" w:rsidRDefault="00D50941" w:rsidP="00D50941">
      <w:pPr>
        <w:autoSpaceDE w:val="0"/>
        <w:autoSpaceDN w:val="0"/>
        <w:adjustRightInd w:val="0"/>
        <w:spacing w:line="480" w:lineRule="auto"/>
        <w:ind w:left="0" w:firstLine="720"/>
        <w:rPr>
          <w:rFonts w:cs="Times New Roman"/>
          <w:szCs w:val="24"/>
        </w:rPr>
      </w:pPr>
      <w:r>
        <w:rPr>
          <w:rFonts w:cs="Times New Roman"/>
          <w:szCs w:val="24"/>
        </w:rPr>
        <w:t xml:space="preserve">Collins and </w:t>
      </w:r>
      <w:proofErr w:type="spellStart"/>
      <w:r>
        <w:rPr>
          <w:rFonts w:cs="Times New Roman"/>
          <w:szCs w:val="24"/>
        </w:rPr>
        <w:t>Martinek</w:t>
      </w:r>
      <w:proofErr w:type="spellEnd"/>
      <w:r>
        <w:rPr>
          <w:rFonts w:cs="Times New Roman"/>
          <w:szCs w:val="24"/>
        </w:rPr>
        <w:t xml:space="preserve"> (2010) employ a </w:t>
      </w:r>
      <w:proofErr w:type="spellStart"/>
      <w:r>
        <w:rPr>
          <w:rFonts w:cs="Times New Roman"/>
          <w:szCs w:val="24"/>
        </w:rPr>
        <w:t>probit</w:t>
      </w:r>
      <w:proofErr w:type="spellEnd"/>
      <w:r>
        <w:rPr>
          <w:rFonts w:cs="Times New Roman"/>
          <w:szCs w:val="24"/>
        </w:rPr>
        <w:t xml:space="preserve"> model to determine </w:t>
      </w:r>
      <w:r w:rsidR="003A68EA">
        <w:rPr>
          <w:rFonts w:cs="Times New Roman"/>
          <w:szCs w:val="24"/>
        </w:rPr>
        <w:t>the influence of amici on the USCA</w:t>
      </w:r>
      <w:r>
        <w:rPr>
          <w:rFonts w:cs="Times New Roman"/>
          <w:szCs w:val="24"/>
        </w:rPr>
        <w:t xml:space="preserve"> from 1997-2000.  Their results indicate that amicus curiae briefs supporting the appellant enhance the litigant’s likelihood of success; however, those amicus br</w:t>
      </w:r>
      <w:r w:rsidR="003A68EA">
        <w:rPr>
          <w:rFonts w:cs="Times New Roman"/>
          <w:szCs w:val="24"/>
        </w:rPr>
        <w:t>iefs supporting the appellee do</w:t>
      </w:r>
      <w:r>
        <w:rPr>
          <w:rFonts w:cs="Times New Roman"/>
          <w:szCs w:val="24"/>
        </w:rPr>
        <w:t xml:space="preserve"> not make a difference.   Collins and </w:t>
      </w:r>
      <w:proofErr w:type="spellStart"/>
      <w:r>
        <w:rPr>
          <w:rFonts w:cs="Times New Roman"/>
          <w:szCs w:val="24"/>
        </w:rPr>
        <w:t>Martinek</w:t>
      </w:r>
      <w:proofErr w:type="spellEnd"/>
      <w:r>
        <w:rPr>
          <w:rFonts w:cs="Times New Roman"/>
          <w:szCs w:val="24"/>
        </w:rPr>
        <w:t xml:space="preserve"> contend that this finding makes sense given th</w:t>
      </w:r>
      <w:r w:rsidR="003A68EA">
        <w:rPr>
          <w:rFonts w:cs="Times New Roman"/>
          <w:szCs w:val="24"/>
        </w:rPr>
        <w:t>e strong propensity for the USCA</w:t>
      </w:r>
      <w:r>
        <w:rPr>
          <w:rFonts w:cs="Times New Roman"/>
          <w:szCs w:val="24"/>
        </w:rPr>
        <w:t xml:space="preserve"> to affirm lower court decisions (ruling in </w:t>
      </w:r>
      <w:r w:rsidR="003A68EA">
        <w:rPr>
          <w:rFonts w:cs="Times New Roman"/>
          <w:szCs w:val="24"/>
        </w:rPr>
        <w:t>favor of the appellee around 70 percent</w:t>
      </w:r>
      <w:r>
        <w:rPr>
          <w:rFonts w:cs="Times New Roman"/>
          <w:szCs w:val="24"/>
        </w:rPr>
        <w:t xml:space="preserve"> of the time), because amicus briefs supporting the appellant are able to level the playing field between appellants and appellees (411).</w:t>
      </w:r>
    </w:p>
    <w:p w:rsidR="00D50941" w:rsidRDefault="00D50941" w:rsidP="00D50941">
      <w:pPr>
        <w:autoSpaceDE w:val="0"/>
        <w:autoSpaceDN w:val="0"/>
        <w:adjustRightInd w:val="0"/>
        <w:spacing w:line="480" w:lineRule="auto"/>
        <w:ind w:left="0" w:firstLine="720"/>
        <w:rPr>
          <w:rFonts w:cs="Times New Roman"/>
          <w:szCs w:val="24"/>
        </w:rPr>
      </w:pPr>
      <w:proofErr w:type="spellStart"/>
      <w:r>
        <w:rPr>
          <w:rFonts w:cs="Times New Roman"/>
          <w:szCs w:val="24"/>
        </w:rPr>
        <w:t>Simard</w:t>
      </w:r>
      <w:proofErr w:type="spellEnd"/>
      <w:r>
        <w:rPr>
          <w:rFonts w:cs="Times New Roman"/>
          <w:szCs w:val="24"/>
        </w:rPr>
        <w:t xml:space="preserve"> (2007</w:t>
      </w:r>
      <w:r w:rsidRPr="008D004B">
        <w:rPr>
          <w:rFonts w:cs="Times New Roman"/>
          <w:szCs w:val="24"/>
        </w:rPr>
        <w:t>) survey</w:t>
      </w:r>
      <w:r w:rsidR="000D6839">
        <w:rPr>
          <w:rFonts w:cs="Times New Roman"/>
          <w:szCs w:val="24"/>
        </w:rPr>
        <w:t>ed three</w:t>
      </w:r>
      <w:r>
        <w:rPr>
          <w:rFonts w:cs="Times New Roman"/>
          <w:szCs w:val="24"/>
        </w:rPr>
        <w:t xml:space="preserve"> USSC Justices, 60 USCA judges coming from every circuit, and 227 federal district court judges (USDC) to gather</w:t>
      </w:r>
      <w:r w:rsidRPr="008D004B">
        <w:rPr>
          <w:rFonts w:cs="Times New Roman"/>
          <w:szCs w:val="24"/>
        </w:rPr>
        <w:t xml:space="preserve"> </w:t>
      </w:r>
      <w:r>
        <w:rPr>
          <w:rFonts w:cs="Times New Roman"/>
          <w:szCs w:val="24"/>
        </w:rPr>
        <w:t>their insights and thoughts regarding the usefulness and efficacy of amici curiae.  U.S. district court judges reported nominal amicus participation (from 0 to less 5 percent of their docket), and USCA judges reported 5 to 15 percent of their docket involve</w:t>
      </w:r>
      <w:r w:rsidR="000D6839">
        <w:rPr>
          <w:rFonts w:cs="Times New Roman"/>
          <w:szCs w:val="24"/>
        </w:rPr>
        <w:t>d amici curiae (685-86).   All three</w:t>
      </w:r>
      <w:r>
        <w:rPr>
          <w:rFonts w:cs="Times New Roman"/>
          <w:szCs w:val="24"/>
        </w:rPr>
        <w:t xml:space="preserve"> USSC </w:t>
      </w:r>
      <w:proofErr w:type="gramStart"/>
      <w:r>
        <w:rPr>
          <w:rFonts w:cs="Times New Roman"/>
          <w:szCs w:val="24"/>
        </w:rPr>
        <w:t>justices</w:t>
      </w:r>
      <w:r w:rsidR="006D5A9B">
        <w:rPr>
          <w:rFonts w:cs="Times New Roman"/>
          <w:szCs w:val="24"/>
        </w:rPr>
        <w:t>,</w:t>
      </w:r>
      <w:proofErr w:type="gramEnd"/>
      <w:r w:rsidR="006D5A9B">
        <w:rPr>
          <w:rFonts w:cs="Times New Roman"/>
          <w:szCs w:val="24"/>
        </w:rPr>
        <w:t xml:space="preserve"> and the majority of USCA and </w:t>
      </w:r>
      <w:r>
        <w:rPr>
          <w:rFonts w:cs="Times New Roman"/>
          <w:szCs w:val="24"/>
        </w:rPr>
        <w:t>USDC judges acknowledged that they are influenced by the identity, prestige, and experie</w:t>
      </w:r>
      <w:r w:rsidR="000D6839">
        <w:rPr>
          <w:rFonts w:cs="Times New Roman"/>
          <w:szCs w:val="24"/>
        </w:rPr>
        <w:t>nce of the amicus curiae.  The three</w:t>
      </w:r>
      <w:r>
        <w:rPr>
          <w:rFonts w:cs="Times New Roman"/>
          <w:szCs w:val="24"/>
        </w:rPr>
        <w:t xml:space="preserve"> USSC justices unanimously agreed that the number of amicus briefs filed had zero influence on their decision, while only one agreed that the number of amici curiae (including cosigners) had some moderate influence.  The vast majority of USCA and USDC judges (around 80 percent) indicated that neither the number of amicus briefs filed in a case nor the number of amicus curiae cosigners had any influence on their decision making.   Taken at face value, these findings would seem to strike a blow to the interest group theory of amicus </w:t>
      </w:r>
      <w:r w:rsidR="00066734">
        <w:rPr>
          <w:rFonts w:cs="Times New Roman"/>
          <w:szCs w:val="24"/>
        </w:rPr>
        <w:t>influence and judicial decision-</w:t>
      </w:r>
      <w:r>
        <w:rPr>
          <w:rFonts w:cs="Times New Roman"/>
          <w:szCs w:val="24"/>
        </w:rPr>
        <w:t xml:space="preserve">making.   However, judges may </w:t>
      </w:r>
      <w:r>
        <w:rPr>
          <w:rFonts w:cs="Times New Roman"/>
          <w:szCs w:val="24"/>
        </w:rPr>
        <w:lastRenderedPageBreak/>
        <w:t>be reticent to admit such influence out of concerns for the integrity of the legal process, while still being subjected to such influence.</w:t>
      </w:r>
    </w:p>
    <w:p w:rsidR="00D50941" w:rsidRDefault="00D50941" w:rsidP="00D50941">
      <w:pPr>
        <w:autoSpaceDE w:val="0"/>
        <w:autoSpaceDN w:val="0"/>
        <w:adjustRightInd w:val="0"/>
        <w:spacing w:line="480" w:lineRule="auto"/>
        <w:ind w:left="0" w:firstLine="720"/>
        <w:rPr>
          <w:rFonts w:cs="Times New Roman"/>
          <w:szCs w:val="24"/>
        </w:rPr>
      </w:pPr>
      <w:proofErr w:type="spellStart"/>
      <w:r w:rsidRPr="00804DD9">
        <w:rPr>
          <w:rFonts w:cs="Times New Roman"/>
          <w:szCs w:val="24"/>
        </w:rPr>
        <w:t>Simard</w:t>
      </w:r>
      <w:proofErr w:type="spellEnd"/>
      <w:r w:rsidRPr="00804DD9">
        <w:rPr>
          <w:rFonts w:cs="Times New Roman"/>
          <w:szCs w:val="24"/>
        </w:rPr>
        <w:t xml:space="preserve"> also found widespread agreement among USSC, USCA, and USDC judges that amici can be helpful when they offer legal arguments that are absent from the parties’ briefs, and when they focus the court’s attention on matters that impact a direct interest that is likely to be materially affected by the case (692).  A majority of USCA and USDC jud</w:t>
      </w:r>
      <w:r w:rsidR="003A68EA">
        <w:rPr>
          <w:rFonts w:cs="Times New Roman"/>
          <w:szCs w:val="24"/>
        </w:rPr>
        <w:t>ges also claimed that amici are helpful when they support a party who is</w:t>
      </w:r>
      <w:r w:rsidRPr="00804DD9">
        <w:rPr>
          <w:rFonts w:cs="Times New Roman"/>
          <w:szCs w:val="24"/>
        </w:rPr>
        <w:t xml:space="preserve"> not adequately represented.   In addition, all three levels of federal judges surveyed indicated that the gov</w:t>
      </w:r>
      <w:r w:rsidR="003A68EA">
        <w:rPr>
          <w:rFonts w:cs="Times New Roman"/>
          <w:szCs w:val="24"/>
        </w:rPr>
        <w:t>ernment is</w:t>
      </w:r>
      <w:r w:rsidRPr="00804DD9">
        <w:rPr>
          <w:rFonts w:cs="Times New Roman"/>
          <w:szCs w:val="24"/>
        </w:rPr>
        <w:t xml:space="preserve"> the most helpful amicus curiae, pa</w:t>
      </w:r>
      <w:r w:rsidR="003A68EA">
        <w:rPr>
          <w:rFonts w:cs="Times New Roman"/>
          <w:szCs w:val="24"/>
        </w:rPr>
        <w:t>rticularly the SG</w:t>
      </w:r>
      <w:r w:rsidRPr="00804DD9">
        <w:rPr>
          <w:rFonts w:cs="Times New Roman"/>
          <w:szCs w:val="24"/>
        </w:rPr>
        <w:t>.   A majority of all level</w:t>
      </w:r>
      <w:r w:rsidR="003A68EA">
        <w:rPr>
          <w:rFonts w:cs="Times New Roman"/>
          <w:szCs w:val="24"/>
        </w:rPr>
        <w:t xml:space="preserve">s of federal judges also found </w:t>
      </w:r>
      <w:r w:rsidRPr="00804DD9">
        <w:rPr>
          <w:rFonts w:cs="Times New Roman"/>
          <w:szCs w:val="24"/>
        </w:rPr>
        <w:t xml:space="preserve">interest groups and law professors to be useful as amici. </w:t>
      </w:r>
      <w:r>
        <w:rPr>
          <w:rFonts w:cs="Times New Roman"/>
          <w:szCs w:val="24"/>
        </w:rPr>
        <w:t xml:space="preserve"> From her survey of federal judges,</w:t>
      </w:r>
      <w:r w:rsidRPr="00804DD9">
        <w:rPr>
          <w:rFonts w:cs="Times New Roman"/>
          <w:szCs w:val="24"/>
        </w:rPr>
        <w:t xml:space="preserve"> </w:t>
      </w:r>
      <w:proofErr w:type="spellStart"/>
      <w:r w:rsidRPr="00804DD9">
        <w:rPr>
          <w:rFonts w:cs="Times New Roman"/>
          <w:szCs w:val="24"/>
        </w:rPr>
        <w:t>Simard</w:t>
      </w:r>
      <w:proofErr w:type="spellEnd"/>
      <w:r w:rsidR="003A68EA">
        <w:rPr>
          <w:rFonts w:cs="Times New Roman"/>
          <w:szCs w:val="24"/>
        </w:rPr>
        <w:t xml:space="preserve"> (711)</w:t>
      </w:r>
      <w:r w:rsidRPr="00804DD9">
        <w:rPr>
          <w:rFonts w:cs="Times New Roman"/>
          <w:szCs w:val="24"/>
        </w:rPr>
        <w:t xml:space="preserve"> concludes</w:t>
      </w:r>
      <w:r>
        <w:rPr>
          <w:rFonts w:cs="Times New Roman"/>
          <w:szCs w:val="24"/>
        </w:rPr>
        <w:t xml:space="preserve"> – similar to Lynch (2004) –</w:t>
      </w:r>
      <w:r w:rsidRPr="00804DD9">
        <w:rPr>
          <w:rFonts w:cs="Times New Roman"/>
          <w:szCs w:val="24"/>
        </w:rPr>
        <w:t xml:space="preserve"> </w:t>
      </w:r>
      <w:r>
        <w:rPr>
          <w:rFonts w:cs="Times New Roman"/>
          <w:szCs w:val="24"/>
        </w:rPr>
        <w:t>that “m</w:t>
      </w:r>
      <w:r w:rsidRPr="00804DD9">
        <w:rPr>
          <w:rFonts w:cs="Times New Roman"/>
          <w:szCs w:val="24"/>
        </w:rPr>
        <w:t xml:space="preserve">e too" briefs which merely repeat arguments that have already been fully vetted and briefs containing skewed or unreliable information offer no significant utility to the court, while briefs that educate the court on complex technical matters or inform the court of potential impacts of a decision on non-parties </w:t>
      </w:r>
      <w:r>
        <w:rPr>
          <w:rFonts w:cs="Times New Roman"/>
          <w:szCs w:val="24"/>
        </w:rPr>
        <w:t>can influe</w:t>
      </w:r>
      <w:r w:rsidR="003A68EA">
        <w:rPr>
          <w:rFonts w:cs="Times New Roman"/>
          <w:szCs w:val="24"/>
        </w:rPr>
        <w:t>nce the decision making process</w:t>
      </w:r>
      <w:r>
        <w:rPr>
          <w:rFonts w:cs="Times New Roman"/>
          <w:szCs w:val="24"/>
        </w:rPr>
        <w:t>.</w:t>
      </w:r>
      <w:r w:rsidRPr="00804DD9">
        <w:rPr>
          <w:rFonts w:cs="Times New Roman"/>
          <w:szCs w:val="24"/>
        </w:rPr>
        <w:t xml:space="preserve"> </w:t>
      </w:r>
    </w:p>
    <w:p w:rsidR="00D50941" w:rsidRDefault="00D50941" w:rsidP="00D50941">
      <w:pPr>
        <w:autoSpaceDE w:val="0"/>
        <w:autoSpaceDN w:val="0"/>
        <w:adjustRightInd w:val="0"/>
        <w:spacing w:line="480" w:lineRule="auto"/>
        <w:ind w:left="0" w:firstLine="720"/>
        <w:rPr>
          <w:rFonts w:cs="Times New Roman"/>
          <w:szCs w:val="24"/>
        </w:rPr>
      </w:pPr>
      <w:r>
        <w:rPr>
          <w:rFonts w:cs="Times New Roman"/>
          <w:szCs w:val="24"/>
        </w:rPr>
        <w:t>State courts have traditionally been less open to amicus participat</w:t>
      </w:r>
      <w:r w:rsidR="003A68EA">
        <w:rPr>
          <w:rFonts w:cs="Times New Roman"/>
          <w:szCs w:val="24"/>
        </w:rPr>
        <w:t>ion than the federal courts (</w:t>
      </w:r>
      <w:proofErr w:type="spellStart"/>
      <w:r w:rsidR="003A68EA">
        <w:rPr>
          <w:rFonts w:cs="Times New Roman"/>
          <w:szCs w:val="24"/>
        </w:rPr>
        <w:t>Lar</w:t>
      </w:r>
      <w:r>
        <w:rPr>
          <w:rFonts w:cs="Times New Roman"/>
          <w:szCs w:val="24"/>
        </w:rPr>
        <w:t>oche</w:t>
      </w:r>
      <w:proofErr w:type="spellEnd"/>
      <w:r>
        <w:rPr>
          <w:rFonts w:cs="Times New Roman"/>
          <w:szCs w:val="24"/>
        </w:rPr>
        <w:t xml:space="preserve"> 2009, 708).  State rules governing amicus participation vary widely today.  </w:t>
      </w:r>
      <w:r w:rsidRPr="00EE3340">
        <w:rPr>
          <w:rFonts w:cs="Times New Roman"/>
          <w:szCs w:val="24"/>
        </w:rPr>
        <w:t xml:space="preserve">Epstein (1994) studied the filing of amicus briefs in sixteen state courts between 1965 and 1990 to determine if interest group involvement in courts has been increasing over time. Just like the pattern in federal courts, the filing of amicus </w:t>
      </w:r>
      <w:r w:rsidR="0012540C">
        <w:rPr>
          <w:rFonts w:cs="Times New Roman"/>
          <w:szCs w:val="24"/>
        </w:rPr>
        <w:t xml:space="preserve">briefs in state courts </w:t>
      </w:r>
      <w:r w:rsidRPr="00EE3340">
        <w:rPr>
          <w:rFonts w:cs="Times New Roman"/>
          <w:szCs w:val="24"/>
        </w:rPr>
        <w:t>increased over this time frame dramatically, tripling from 4.3 filings per state before 1975 to 12.7 per state in the 1980s.</w:t>
      </w:r>
      <w:r>
        <w:rPr>
          <w:rFonts w:cs="Times New Roman"/>
          <w:szCs w:val="24"/>
        </w:rPr>
        <w:t xml:space="preserve">  While Epstein found evidence of a wide range of organized interests as amicus filers, she noted that the amicus activity was uneven amongst the states.  Brace and Butler (2001</w:t>
      </w:r>
      <w:r w:rsidRPr="00EE3340">
        <w:rPr>
          <w:rFonts w:cs="Times New Roman"/>
          <w:szCs w:val="24"/>
        </w:rPr>
        <w:t xml:space="preserve">, 253) extended that </w:t>
      </w:r>
      <w:r w:rsidRPr="00EE3340">
        <w:rPr>
          <w:rFonts w:cs="Times New Roman"/>
          <w:szCs w:val="24"/>
        </w:rPr>
        <w:lastRenderedPageBreak/>
        <w:t xml:space="preserve">research to all states and found that in a third of the states less than 5 percent of the cases involved amici participation, whereas in California, Michigan, New Jersey, Oklahoma, and Oregon over a quarter of all cases had amici participation.  </w:t>
      </w:r>
    </w:p>
    <w:p w:rsidR="00D50941" w:rsidRDefault="00D50941" w:rsidP="00D50941">
      <w:pPr>
        <w:autoSpaceDE w:val="0"/>
        <w:autoSpaceDN w:val="0"/>
        <w:adjustRightInd w:val="0"/>
        <w:spacing w:line="480" w:lineRule="auto"/>
        <w:ind w:left="0" w:firstLine="720"/>
        <w:rPr>
          <w:rFonts w:cs="Times New Roman"/>
          <w:szCs w:val="24"/>
        </w:rPr>
      </w:pPr>
      <w:proofErr w:type="spellStart"/>
      <w:r w:rsidRPr="00EE3340">
        <w:rPr>
          <w:rFonts w:cs="Times New Roman"/>
          <w:szCs w:val="24"/>
        </w:rPr>
        <w:t>Corbally</w:t>
      </w:r>
      <w:proofErr w:type="spellEnd"/>
      <w:r w:rsidRPr="00EE3340">
        <w:rPr>
          <w:rFonts w:cs="Times New Roman"/>
          <w:szCs w:val="24"/>
        </w:rPr>
        <w:t xml:space="preserve">, </w:t>
      </w:r>
      <w:proofErr w:type="spellStart"/>
      <w:r w:rsidRPr="00EE3340">
        <w:rPr>
          <w:rFonts w:cs="Times New Roman"/>
          <w:szCs w:val="24"/>
        </w:rPr>
        <w:t>Bross</w:t>
      </w:r>
      <w:proofErr w:type="spellEnd"/>
      <w:r w:rsidRPr="00EE3340">
        <w:rPr>
          <w:rFonts w:cs="Times New Roman"/>
          <w:szCs w:val="24"/>
        </w:rPr>
        <w:t xml:space="preserve">, and </w:t>
      </w:r>
      <w:proofErr w:type="spellStart"/>
      <w:r w:rsidRPr="00EE3340">
        <w:rPr>
          <w:rFonts w:cs="Times New Roman"/>
          <w:szCs w:val="24"/>
        </w:rPr>
        <w:t>Flango</w:t>
      </w:r>
      <w:proofErr w:type="spellEnd"/>
      <w:r w:rsidRPr="00EE3340">
        <w:rPr>
          <w:rFonts w:cs="Times New Roman"/>
          <w:szCs w:val="24"/>
        </w:rPr>
        <w:t xml:space="preserve"> (2004, 53) confirm that the filing of amicus briefs in state courts of last resort has been on an </w:t>
      </w:r>
      <w:r w:rsidR="000D6839">
        <w:rPr>
          <w:rFonts w:cs="Times New Roman"/>
          <w:szCs w:val="24"/>
        </w:rPr>
        <w:t>upward trend over the past 40</w:t>
      </w:r>
      <w:r w:rsidRPr="00EE3340">
        <w:rPr>
          <w:rFonts w:cs="Times New Roman"/>
          <w:szCs w:val="24"/>
        </w:rPr>
        <w:t xml:space="preserve"> years</w:t>
      </w:r>
      <w:r>
        <w:rPr>
          <w:rFonts w:cs="Times New Roman"/>
          <w:szCs w:val="24"/>
        </w:rPr>
        <w:t>, and that</w:t>
      </w:r>
      <w:r w:rsidRPr="00EE3340">
        <w:rPr>
          <w:rFonts w:cs="Times New Roman"/>
          <w:szCs w:val="24"/>
        </w:rPr>
        <w:t xml:space="preserve"> there is a great variation in the extent to which amicus briefs are used in different states.  Using a sample of cases from all state courts of last resort from 1998-2000, </w:t>
      </w:r>
      <w:proofErr w:type="spellStart"/>
      <w:r w:rsidRPr="00EE3340">
        <w:rPr>
          <w:rFonts w:cs="Times New Roman"/>
          <w:szCs w:val="24"/>
        </w:rPr>
        <w:t>Corbally</w:t>
      </w:r>
      <w:proofErr w:type="spellEnd"/>
      <w:r w:rsidRPr="00EE3340">
        <w:rPr>
          <w:rFonts w:cs="Times New Roman"/>
          <w:szCs w:val="24"/>
        </w:rPr>
        <w:t xml:space="preserve">, </w:t>
      </w:r>
      <w:proofErr w:type="spellStart"/>
      <w:r w:rsidRPr="00EE3340">
        <w:rPr>
          <w:rFonts w:cs="Times New Roman"/>
          <w:szCs w:val="24"/>
        </w:rPr>
        <w:t>Bross</w:t>
      </w:r>
      <w:proofErr w:type="spellEnd"/>
      <w:r w:rsidRPr="00EE3340">
        <w:rPr>
          <w:rFonts w:cs="Times New Roman"/>
          <w:szCs w:val="24"/>
        </w:rPr>
        <w:t xml:space="preserve">, and </w:t>
      </w:r>
      <w:proofErr w:type="spellStart"/>
      <w:r w:rsidRPr="00EE3340">
        <w:rPr>
          <w:rFonts w:cs="Times New Roman"/>
          <w:szCs w:val="24"/>
        </w:rPr>
        <w:t>Flango</w:t>
      </w:r>
      <w:proofErr w:type="spellEnd"/>
      <w:r w:rsidRPr="00EE3340">
        <w:rPr>
          <w:rFonts w:cs="Times New Roman"/>
          <w:szCs w:val="24"/>
        </w:rPr>
        <w:t xml:space="preserve"> (2004) show that a small number of states accounted for the majority of amicus filings.  The ten states with the highest levels of amicus participation (in alphabetically order) were Alabama, California, Florida,</w:t>
      </w:r>
      <w:r>
        <w:rPr>
          <w:rFonts w:cs="Times New Roman"/>
          <w:szCs w:val="24"/>
        </w:rPr>
        <w:t xml:space="preserve"> </w:t>
      </w:r>
      <w:r w:rsidRPr="00EE3340">
        <w:rPr>
          <w:rFonts w:cs="Times New Roman"/>
          <w:szCs w:val="24"/>
        </w:rPr>
        <w:t xml:space="preserve">Massachusetts, Michigan, New Jersey, New York, North Carolina, Ohio, and Washington  They also show that amicus filings were most common in tort cases, followed by criminal cases.  Further, </w:t>
      </w:r>
      <w:proofErr w:type="spellStart"/>
      <w:r w:rsidRPr="00EE3340">
        <w:rPr>
          <w:rFonts w:cs="Times New Roman"/>
          <w:szCs w:val="24"/>
        </w:rPr>
        <w:t>Corbally</w:t>
      </w:r>
      <w:proofErr w:type="spellEnd"/>
      <w:r w:rsidRPr="00EE3340">
        <w:rPr>
          <w:rFonts w:cs="Times New Roman"/>
          <w:szCs w:val="24"/>
        </w:rPr>
        <w:t xml:space="preserve">, </w:t>
      </w:r>
      <w:proofErr w:type="spellStart"/>
      <w:r w:rsidRPr="00EE3340">
        <w:rPr>
          <w:rFonts w:cs="Times New Roman"/>
          <w:szCs w:val="24"/>
        </w:rPr>
        <w:t>Bross</w:t>
      </w:r>
      <w:proofErr w:type="spellEnd"/>
      <w:r w:rsidRPr="00EE3340">
        <w:rPr>
          <w:rFonts w:cs="Times New Roman"/>
          <w:szCs w:val="24"/>
        </w:rPr>
        <w:t xml:space="preserve"> and </w:t>
      </w:r>
      <w:proofErr w:type="spellStart"/>
      <w:r w:rsidRPr="00EE3340">
        <w:rPr>
          <w:rFonts w:cs="Times New Roman"/>
          <w:szCs w:val="24"/>
        </w:rPr>
        <w:t>Flango</w:t>
      </w:r>
      <w:proofErr w:type="spellEnd"/>
      <w:r w:rsidRPr="00EE3340">
        <w:rPr>
          <w:rFonts w:cs="Times New Roman"/>
          <w:szCs w:val="24"/>
        </w:rPr>
        <w:t xml:space="preserve"> find that one third of the cases in their sample cited or acknowledged amicus briefs, and that in 82 percent of this subset, the court both directly cited and discussed arguments made in the amicus</w:t>
      </w:r>
      <w:r>
        <w:rPr>
          <w:rFonts w:cs="Times New Roman"/>
          <w:szCs w:val="24"/>
        </w:rPr>
        <w:t xml:space="preserve"> briefs.</w:t>
      </w:r>
    </w:p>
    <w:p w:rsidR="00D50941" w:rsidRDefault="00D50941" w:rsidP="00D50941">
      <w:pPr>
        <w:autoSpaceDE w:val="0"/>
        <w:autoSpaceDN w:val="0"/>
        <w:adjustRightInd w:val="0"/>
        <w:spacing w:line="480" w:lineRule="auto"/>
        <w:ind w:left="0" w:firstLine="720"/>
        <w:rPr>
          <w:rFonts w:cs="Times New Roman"/>
          <w:szCs w:val="24"/>
        </w:rPr>
      </w:pPr>
      <w:r>
        <w:rPr>
          <w:rFonts w:cs="Times New Roman"/>
          <w:szCs w:val="24"/>
        </w:rPr>
        <w:t>Other studies have attempted to more directly assess the efficacy of amici in state court</w:t>
      </w:r>
      <w:r w:rsidR="008E49A5">
        <w:rPr>
          <w:rFonts w:cs="Times New Roman"/>
          <w:szCs w:val="24"/>
        </w:rPr>
        <w:t>s</w:t>
      </w:r>
      <w:r>
        <w:rPr>
          <w:rFonts w:cs="Times New Roman"/>
          <w:szCs w:val="24"/>
        </w:rPr>
        <w:t xml:space="preserve">.  </w:t>
      </w:r>
      <w:proofErr w:type="spellStart"/>
      <w:r>
        <w:rPr>
          <w:rFonts w:cs="Times New Roman"/>
          <w:szCs w:val="24"/>
        </w:rPr>
        <w:t>Songer</w:t>
      </w:r>
      <w:proofErr w:type="spellEnd"/>
      <w:r>
        <w:rPr>
          <w:rFonts w:cs="Times New Roman"/>
          <w:szCs w:val="24"/>
        </w:rPr>
        <w:t xml:space="preserve"> and </w:t>
      </w:r>
      <w:proofErr w:type="spellStart"/>
      <w:r>
        <w:rPr>
          <w:rFonts w:cs="Times New Roman"/>
          <w:szCs w:val="24"/>
        </w:rPr>
        <w:t>Kuersten</w:t>
      </w:r>
      <w:proofErr w:type="spellEnd"/>
      <w:r>
        <w:rPr>
          <w:rFonts w:cs="Times New Roman"/>
          <w:szCs w:val="24"/>
        </w:rPr>
        <w:t xml:space="preserve"> (1995) explored the success of amici in three state supreme courts’ (Georgia, South Carolina, and North Carolina) decisions on the merits from 1983 -1990.  They employed three different methodologies gauging success: (1) simple win/loss ratios; (2) matched-pairs analysis in which cases involving the same issue and type of litig</w:t>
      </w:r>
      <w:r w:rsidR="008E49A5">
        <w:rPr>
          <w:rFonts w:cs="Times New Roman"/>
          <w:szCs w:val="24"/>
        </w:rPr>
        <w:t xml:space="preserve">ant, yet without amicus support, </w:t>
      </w:r>
      <w:r>
        <w:rPr>
          <w:rFonts w:cs="Times New Roman"/>
          <w:szCs w:val="24"/>
        </w:rPr>
        <w:t xml:space="preserve">were compared with those with amicus support; and (3) a multivariate </w:t>
      </w:r>
      <w:proofErr w:type="spellStart"/>
      <w:r>
        <w:rPr>
          <w:rFonts w:cs="Times New Roman"/>
          <w:szCs w:val="24"/>
        </w:rPr>
        <w:t>logit</w:t>
      </w:r>
      <w:proofErr w:type="spellEnd"/>
      <w:r>
        <w:rPr>
          <w:rFonts w:cs="Times New Roman"/>
          <w:szCs w:val="24"/>
        </w:rPr>
        <w:t xml:space="preserve"> model.  Each of the three methodologies employed produced the same result: amicus support significantly increases the chances of litigant success in state supreme courts, regardless of whether the amici support the appellant or respondent.</w:t>
      </w:r>
    </w:p>
    <w:p w:rsidR="00D50941" w:rsidRDefault="00D50941" w:rsidP="00D50941">
      <w:pPr>
        <w:spacing w:line="480" w:lineRule="auto"/>
        <w:ind w:left="0" w:firstLine="720"/>
        <w:rPr>
          <w:szCs w:val="24"/>
        </w:rPr>
      </w:pPr>
      <w:proofErr w:type="spellStart"/>
      <w:r>
        <w:rPr>
          <w:szCs w:val="24"/>
        </w:rPr>
        <w:lastRenderedPageBreak/>
        <w:t>Songer</w:t>
      </w:r>
      <w:proofErr w:type="spellEnd"/>
      <w:r>
        <w:rPr>
          <w:szCs w:val="24"/>
        </w:rPr>
        <w:t xml:space="preserve">, </w:t>
      </w:r>
      <w:proofErr w:type="spellStart"/>
      <w:r>
        <w:rPr>
          <w:szCs w:val="24"/>
        </w:rPr>
        <w:t>Kuersten</w:t>
      </w:r>
      <w:proofErr w:type="spellEnd"/>
      <w:r>
        <w:rPr>
          <w:szCs w:val="24"/>
        </w:rPr>
        <w:t xml:space="preserve">, and </w:t>
      </w:r>
      <w:proofErr w:type="spellStart"/>
      <w:r>
        <w:rPr>
          <w:szCs w:val="24"/>
        </w:rPr>
        <w:t>Kaheny</w:t>
      </w:r>
      <w:proofErr w:type="spellEnd"/>
      <w:r>
        <w:rPr>
          <w:szCs w:val="24"/>
        </w:rPr>
        <w:t xml:space="preserve"> (2000) provide an answer to the question of why amicus support increases a litigant’s chance of success.  Consistent with party capability theory, they show that interest groups who partner (as amicus) with individuals with low levels of resources (the “have </w:t>
      </w:r>
      <w:proofErr w:type="spellStart"/>
      <w:r>
        <w:rPr>
          <w:szCs w:val="24"/>
        </w:rPr>
        <w:t>nots</w:t>
      </w:r>
      <w:proofErr w:type="spellEnd"/>
      <w:r>
        <w:rPr>
          <w:szCs w:val="24"/>
        </w:rPr>
        <w:t xml:space="preserve">”) in state supreme courts greatly increase the chances of success for the “have </w:t>
      </w:r>
      <w:proofErr w:type="spellStart"/>
      <w:r>
        <w:rPr>
          <w:szCs w:val="24"/>
        </w:rPr>
        <w:t>nots</w:t>
      </w:r>
      <w:proofErr w:type="spellEnd"/>
      <w:r>
        <w:rPr>
          <w:szCs w:val="24"/>
        </w:rPr>
        <w:t xml:space="preserve">.”   In contrast, however, repeat players (i.e., institutional litigants) do not appear to benefit from the additional support of amici.   Thus, amici support appears to overcome the normal disadvantages of one-shot litigants with inferior resources.  </w:t>
      </w:r>
    </w:p>
    <w:p w:rsidR="00D50941" w:rsidRPr="00A970D0" w:rsidRDefault="00D50941" w:rsidP="00D50941">
      <w:pPr>
        <w:spacing w:line="480" w:lineRule="auto"/>
        <w:ind w:left="0" w:firstLine="720"/>
        <w:rPr>
          <w:szCs w:val="24"/>
        </w:rPr>
      </w:pPr>
      <w:r>
        <w:rPr>
          <w:szCs w:val="24"/>
        </w:rPr>
        <w:t xml:space="preserve">Essentially, </w:t>
      </w:r>
      <w:proofErr w:type="spellStart"/>
      <w:r>
        <w:rPr>
          <w:szCs w:val="24"/>
        </w:rPr>
        <w:t>Songer</w:t>
      </w:r>
      <w:proofErr w:type="spellEnd"/>
      <w:r>
        <w:rPr>
          <w:szCs w:val="24"/>
        </w:rPr>
        <w:t xml:space="preserve">, </w:t>
      </w:r>
      <w:proofErr w:type="spellStart"/>
      <w:r>
        <w:rPr>
          <w:szCs w:val="24"/>
        </w:rPr>
        <w:t>Kuersten</w:t>
      </w:r>
      <w:proofErr w:type="spellEnd"/>
      <w:r>
        <w:rPr>
          <w:szCs w:val="24"/>
        </w:rPr>
        <w:t xml:space="preserve">, and </w:t>
      </w:r>
      <w:proofErr w:type="spellStart"/>
      <w:r>
        <w:rPr>
          <w:szCs w:val="24"/>
        </w:rPr>
        <w:t>Kaheny</w:t>
      </w:r>
      <w:proofErr w:type="spellEnd"/>
      <w:r>
        <w:rPr>
          <w:szCs w:val="24"/>
        </w:rPr>
        <w:t xml:space="preserve"> demonstrate that adding an experienced, talented amicus to the representation of a “one-</w:t>
      </w:r>
      <w:proofErr w:type="spellStart"/>
      <w:r>
        <w:rPr>
          <w:szCs w:val="24"/>
        </w:rPr>
        <w:t>shotter</w:t>
      </w:r>
      <w:proofErr w:type="spellEnd"/>
      <w:r>
        <w:rPr>
          <w:szCs w:val="24"/>
        </w:rPr>
        <w:t>” can effectively turn the one-shot l</w:t>
      </w:r>
      <w:r w:rsidR="008E49A5">
        <w:rPr>
          <w:szCs w:val="24"/>
        </w:rPr>
        <w:t xml:space="preserve">itigant into a repeat player.  </w:t>
      </w:r>
      <w:r>
        <w:rPr>
          <w:szCs w:val="24"/>
        </w:rPr>
        <w:t xml:space="preserve">However, the addition of amicus representation to repeat players (like big business and government), does not impact the success rate of such litigants, probably because the amicus adds little additional expertise or experience to the repeat player.  The implication is that who is supported may have as much to do with the chances of amicus success at the state level as the characteristics of the group that files an amicus brief. </w:t>
      </w:r>
    </w:p>
    <w:p w:rsidR="00D50941" w:rsidRDefault="00D50941" w:rsidP="00D50941">
      <w:pPr>
        <w:autoSpaceDE w:val="0"/>
        <w:autoSpaceDN w:val="0"/>
        <w:adjustRightInd w:val="0"/>
        <w:spacing w:line="480" w:lineRule="auto"/>
        <w:ind w:left="0" w:firstLine="720"/>
        <w:rPr>
          <w:rFonts w:cs="Times New Roman"/>
          <w:szCs w:val="24"/>
        </w:rPr>
      </w:pPr>
      <w:proofErr w:type="spellStart"/>
      <w:r w:rsidRPr="00EE3FD5">
        <w:rPr>
          <w:rFonts w:cs="Times New Roman"/>
          <w:szCs w:val="24"/>
        </w:rPr>
        <w:t>Flango</w:t>
      </w:r>
      <w:proofErr w:type="spellEnd"/>
      <w:r w:rsidRPr="00EE3FD5">
        <w:rPr>
          <w:rFonts w:cs="Times New Roman"/>
          <w:szCs w:val="24"/>
        </w:rPr>
        <w:t xml:space="preserve">, </w:t>
      </w:r>
      <w:proofErr w:type="spellStart"/>
      <w:r w:rsidRPr="00EE3FD5">
        <w:rPr>
          <w:rFonts w:cs="Times New Roman"/>
          <w:szCs w:val="24"/>
        </w:rPr>
        <w:t>Bross</w:t>
      </w:r>
      <w:proofErr w:type="spellEnd"/>
      <w:r w:rsidRPr="00EE3FD5">
        <w:rPr>
          <w:rFonts w:cs="Times New Roman"/>
          <w:szCs w:val="24"/>
        </w:rPr>
        <w:t xml:space="preserve">, </w:t>
      </w:r>
      <w:proofErr w:type="spellStart"/>
      <w:r w:rsidRPr="00EE3FD5">
        <w:rPr>
          <w:rFonts w:cs="Times New Roman"/>
          <w:szCs w:val="24"/>
        </w:rPr>
        <w:t>Corbally</w:t>
      </w:r>
      <w:proofErr w:type="spellEnd"/>
      <w:r w:rsidRPr="00EE3FD5">
        <w:rPr>
          <w:rFonts w:cs="Times New Roman"/>
          <w:szCs w:val="24"/>
        </w:rPr>
        <w:t xml:space="preserve"> (2006) surveyed the chief justices or appellate court clerks of 39 state courts of last resort in 2001 regarding the efficacy of amicus briefs in their courts and determined that moderate support existed for the usefulness of amicus bri</w:t>
      </w:r>
      <w:r w:rsidR="000D6839">
        <w:rPr>
          <w:rFonts w:cs="Times New Roman"/>
          <w:szCs w:val="24"/>
        </w:rPr>
        <w:t>efs.  In response to the request –</w:t>
      </w:r>
      <w:r w:rsidRPr="00EE3FD5">
        <w:rPr>
          <w:rFonts w:cs="Times New Roman"/>
          <w:szCs w:val="24"/>
        </w:rPr>
        <w:t xml:space="preserve"> "please check the percentage range that most accurately describes the number of </w:t>
      </w:r>
      <w:r w:rsidRPr="00EE3FD5">
        <w:rPr>
          <w:rFonts w:cs="Times New Roman"/>
          <w:i/>
          <w:iCs/>
          <w:szCs w:val="24"/>
        </w:rPr>
        <w:t xml:space="preserve">amicus curiae </w:t>
      </w:r>
      <w:r w:rsidRPr="00EE3FD5">
        <w:rPr>
          <w:rFonts w:cs="Times New Roman"/>
          <w:szCs w:val="24"/>
        </w:rPr>
        <w:t>briefs in your court which are influentia</w:t>
      </w:r>
      <w:r w:rsidR="000D6839">
        <w:rPr>
          <w:rFonts w:cs="Times New Roman"/>
          <w:szCs w:val="24"/>
        </w:rPr>
        <w:t>l</w:t>
      </w:r>
      <w:r w:rsidRPr="00EE3FD5">
        <w:rPr>
          <w:rFonts w:cs="Times New Roman"/>
          <w:szCs w:val="24"/>
        </w:rPr>
        <w:t>"</w:t>
      </w:r>
      <w:r w:rsidR="000D6839">
        <w:rPr>
          <w:rFonts w:cs="Times New Roman"/>
          <w:szCs w:val="24"/>
        </w:rPr>
        <w:t xml:space="preserve"> –</w:t>
      </w:r>
      <w:r w:rsidRPr="00EE3FD5">
        <w:rPr>
          <w:rFonts w:cs="Times New Roman"/>
          <w:szCs w:val="24"/>
        </w:rPr>
        <w:t xml:space="preserve"> 27 percent of the justices</w:t>
      </w:r>
      <w:r>
        <w:rPr>
          <w:rFonts w:cs="Times New Roman"/>
          <w:szCs w:val="24"/>
        </w:rPr>
        <w:t xml:space="preserve"> and appellate court clerks</w:t>
      </w:r>
      <w:r w:rsidRPr="00EE3FD5">
        <w:rPr>
          <w:rFonts w:cs="Times New Roman"/>
          <w:szCs w:val="24"/>
        </w:rPr>
        <w:t xml:space="preserve"> regarded fewer than a quarter influential, 32 percent considered between a quarter and one half influential, and 36 percent considered between one half</w:t>
      </w:r>
      <w:r>
        <w:rPr>
          <w:rFonts w:cs="Times New Roman"/>
          <w:szCs w:val="24"/>
        </w:rPr>
        <w:t xml:space="preserve"> and three quarters influential (185).  Amicus briefs were found to be most useful to state courts o</w:t>
      </w:r>
      <w:r w:rsidR="008E49A5">
        <w:rPr>
          <w:rFonts w:cs="Times New Roman"/>
          <w:szCs w:val="24"/>
        </w:rPr>
        <w:t>f last resort when they provide</w:t>
      </w:r>
      <w:r>
        <w:rPr>
          <w:rFonts w:cs="Times New Roman"/>
          <w:szCs w:val="24"/>
        </w:rPr>
        <w:t xml:space="preserve"> legal citations, policy consideration</w:t>
      </w:r>
      <w:r w:rsidR="008E49A5">
        <w:rPr>
          <w:rFonts w:cs="Times New Roman"/>
          <w:szCs w:val="24"/>
        </w:rPr>
        <w:t>s</w:t>
      </w:r>
      <w:r>
        <w:rPr>
          <w:rFonts w:cs="Times New Roman"/>
          <w:szCs w:val="24"/>
        </w:rPr>
        <w:t xml:space="preserve">, social science </w:t>
      </w:r>
      <w:r w:rsidR="008E49A5">
        <w:rPr>
          <w:rFonts w:cs="Times New Roman"/>
          <w:szCs w:val="24"/>
        </w:rPr>
        <w:t xml:space="preserve">data, and economic data that </w:t>
      </w:r>
      <w:r w:rsidR="008E49A5">
        <w:rPr>
          <w:rFonts w:cs="Times New Roman"/>
          <w:szCs w:val="24"/>
        </w:rPr>
        <w:lastRenderedPageBreak/>
        <w:t>would</w:t>
      </w:r>
      <w:r>
        <w:rPr>
          <w:rFonts w:cs="Times New Roman"/>
          <w:szCs w:val="24"/>
        </w:rPr>
        <w:t xml:space="preserve"> not otherwise be brought to their attention (185).   While most survey respondents welcomed amicus participation, they did indicate that consolidation of briefs and coordination among the parties and amicus partic</w:t>
      </w:r>
      <w:r w:rsidR="008E49A5">
        <w:rPr>
          <w:rFonts w:cs="Times New Roman"/>
          <w:szCs w:val="24"/>
        </w:rPr>
        <w:t>ipants to avoid repetition is</w:t>
      </w:r>
      <w:r>
        <w:rPr>
          <w:rFonts w:cs="Times New Roman"/>
          <w:szCs w:val="24"/>
        </w:rPr>
        <w:t xml:space="preserve"> a welcome and wise practice.  This finding accords with Lynch’s (2004) survey research of former USSC clerks.</w:t>
      </w:r>
    </w:p>
    <w:p w:rsidR="00D50941" w:rsidRDefault="00D50941" w:rsidP="00D50941">
      <w:pPr>
        <w:autoSpaceDE w:val="0"/>
        <w:autoSpaceDN w:val="0"/>
        <w:adjustRightInd w:val="0"/>
        <w:spacing w:line="480" w:lineRule="auto"/>
        <w:ind w:left="0" w:firstLine="720"/>
        <w:rPr>
          <w:rFonts w:cs="Times New Roman"/>
          <w:szCs w:val="24"/>
        </w:rPr>
      </w:pPr>
      <w:proofErr w:type="spellStart"/>
      <w:r>
        <w:rPr>
          <w:rFonts w:cs="Times New Roman"/>
          <w:szCs w:val="24"/>
        </w:rPr>
        <w:t>Laroche</w:t>
      </w:r>
      <w:proofErr w:type="spellEnd"/>
      <w:r>
        <w:rPr>
          <w:rFonts w:cs="Times New Roman"/>
          <w:szCs w:val="24"/>
        </w:rPr>
        <w:t xml:space="preserve"> (2009) studies amicus participation and influence at the New York </w:t>
      </w:r>
      <w:r w:rsidR="003373BF">
        <w:rPr>
          <w:rFonts w:cs="Times New Roman"/>
          <w:szCs w:val="24"/>
        </w:rPr>
        <w:t>State Court of Appeals (NYSCA –</w:t>
      </w:r>
      <w:r>
        <w:rPr>
          <w:rFonts w:cs="Times New Roman"/>
          <w:szCs w:val="24"/>
        </w:rPr>
        <w:t xml:space="preserve"> New York’s state court of last resort) by examining all cases at the NYSCA with published opinions from 1998-2007, as well as 1959, 1969, and 1979.  Noting NYSCA open door policy towards amicus participation, </w:t>
      </w:r>
      <w:proofErr w:type="spellStart"/>
      <w:r>
        <w:rPr>
          <w:rFonts w:cs="Times New Roman"/>
          <w:szCs w:val="24"/>
        </w:rPr>
        <w:t>Laroche</w:t>
      </w:r>
      <w:proofErr w:type="spellEnd"/>
      <w:r>
        <w:rPr>
          <w:rFonts w:cs="Times New Roman"/>
          <w:szCs w:val="24"/>
        </w:rPr>
        <w:t xml:space="preserve"> shows that amicus participation steadily increased during 1998-2007, averaging 62 briefs per year during this period (711-12).  The most frequent amici participant was the New York State Attorney General, and criminal cases were the category most likely to have amicus participation (14 percent).   Amicus briefs were cited by the NYSCA in 16 percent of the cases with at least one amicus brief (721). </w:t>
      </w:r>
    </w:p>
    <w:p w:rsidR="00D50941" w:rsidRDefault="00D50941" w:rsidP="00D50941">
      <w:pPr>
        <w:autoSpaceDE w:val="0"/>
        <w:autoSpaceDN w:val="0"/>
        <w:adjustRightInd w:val="0"/>
        <w:spacing w:line="480" w:lineRule="auto"/>
        <w:ind w:left="0" w:firstLine="720"/>
        <w:rPr>
          <w:rFonts w:cs="Times New Roman"/>
          <w:szCs w:val="24"/>
        </w:rPr>
      </w:pPr>
      <w:r>
        <w:rPr>
          <w:rFonts w:cs="Times New Roman"/>
          <w:szCs w:val="24"/>
        </w:rPr>
        <w:t xml:space="preserve">Regarding amicus influence on the NYSCA, </w:t>
      </w:r>
      <w:proofErr w:type="spellStart"/>
      <w:r>
        <w:rPr>
          <w:rFonts w:cs="Times New Roman"/>
          <w:szCs w:val="24"/>
        </w:rPr>
        <w:t>Laroche</w:t>
      </w:r>
      <w:proofErr w:type="spellEnd"/>
      <w:r>
        <w:rPr>
          <w:rFonts w:cs="Times New Roman"/>
          <w:szCs w:val="24"/>
        </w:rPr>
        <w:t xml:space="preserve"> (2009, 751-52) reaches three conclusions</w:t>
      </w:r>
      <w:r w:rsidR="003373BF">
        <w:rPr>
          <w:rFonts w:cs="Times New Roman"/>
          <w:szCs w:val="24"/>
        </w:rPr>
        <w:t>: (1) filing an amicus brief does</w:t>
      </w:r>
      <w:r>
        <w:rPr>
          <w:rFonts w:cs="Times New Roman"/>
          <w:szCs w:val="24"/>
        </w:rPr>
        <w:t xml:space="preserve"> influence the decision of the N</w:t>
      </w:r>
      <w:r w:rsidR="003373BF">
        <w:rPr>
          <w:rFonts w:cs="Times New Roman"/>
          <w:szCs w:val="24"/>
        </w:rPr>
        <w:t>YSCA as amicus support increases</w:t>
      </w:r>
      <w:r>
        <w:rPr>
          <w:rFonts w:cs="Times New Roman"/>
          <w:szCs w:val="24"/>
        </w:rPr>
        <w:t xml:space="preserve"> both the respondent and appellant’s win rate compared to the benchmark rate without amicus support; (2) t</w:t>
      </w:r>
      <w:r w:rsidR="003373BF">
        <w:rPr>
          <w:rFonts w:cs="Times New Roman"/>
          <w:szCs w:val="24"/>
        </w:rPr>
        <w:t>he New York Attorney General has</w:t>
      </w:r>
      <w:r>
        <w:rPr>
          <w:rFonts w:cs="Times New Roman"/>
          <w:szCs w:val="24"/>
        </w:rPr>
        <w:t xml:space="preserve"> the greatest influence of any amicus filer (in terms of success rate when controlling for other variables); an</w:t>
      </w:r>
      <w:r w:rsidR="000E4CF2">
        <w:rPr>
          <w:rFonts w:cs="Times New Roman"/>
          <w:szCs w:val="24"/>
        </w:rPr>
        <w:t>d (3)</w:t>
      </w:r>
      <w:r>
        <w:rPr>
          <w:rFonts w:cs="Times New Roman"/>
          <w:szCs w:val="24"/>
        </w:rPr>
        <w:t xml:space="preserve"> the information hypothesis (legal model) is the most likely mechanism of amicus influence, and the affected groups hypothesis (interest group model) is also moderately supported.  </w:t>
      </w:r>
    </w:p>
    <w:p w:rsidR="00D50941" w:rsidRDefault="00D50941" w:rsidP="00D50941">
      <w:pPr>
        <w:autoSpaceDE w:val="0"/>
        <w:autoSpaceDN w:val="0"/>
        <w:adjustRightInd w:val="0"/>
        <w:spacing w:line="480" w:lineRule="auto"/>
        <w:ind w:left="0" w:firstLine="720"/>
        <w:rPr>
          <w:b/>
          <w:szCs w:val="24"/>
        </w:rPr>
      </w:pPr>
      <w:r>
        <w:rPr>
          <w:rFonts w:cs="Times New Roman"/>
          <w:szCs w:val="24"/>
        </w:rPr>
        <w:t xml:space="preserve">In sum, although fewer studies explore amicus activity and influence in the state and lower federal courts than in the USSC, similar conclusions have been reached about amicus influence in such courts:  the prestige and experience of the amicus participant can make a difference;  amicus support can increase the chances of litigant success by leveling the playing </w:t>
      </w:r>
      <w:r>
        <w:rPr>
          <w:rFonts w:cs="Times New Roman"/>
          <w:szCs w:val="24"/>
        </w:rPr>
        <w:lastRenderedPageBreak/>
        <w:t>field between litigants with less resources and those with more resources; and adding new information is seen as more valuable than reiterating information already provided by the parties.</w:t>
      </w:r>
      <w:r>
        <w:rPr>
          <w:b/>
          <w:szCs w:val="24"/>
        </w:rPr>
        <w:tab/>
      </w:r>
    </w:p>
    <w:p w:rsidR="0052483C" w:rsidRPr="006B3CBB" w:rsidRDefault="0052483C" w:rsidP="00D50941">
      <w:pPr>
        <w:autoSpaceDE w:val="0"/>
        <w:autoSpaceDN w:val="0"/>
        <w:adjustRightInd w:val="0"/>
        <w:spacing w:line="480" w:lineRule="auto"/>
        <w:ind w:left="0" w:firstLine="720"/>
        <w:rPr>
          <w:rFonts w:cs="Times New Roman"/>
          <w:szCs w:val="24"/>
        </w:rPr>
      </w:pPr>
    </w:p>
    <w:p w:rsidR="00910A16" w:rsidRPr="00846224" w:rsidRDefault="00154CA8" w:rsidP="00846224">
      <w:pPr>
        <w:pStyle w:val="ListParagraph"/>
        <w:numPr>
          <w:ilvl w:val="0"/>
          <w:numId w:val="7"/>
        </w:numPr>
        <w:spacing w:line="480" w:lineRule="auto"/>
        <w:rPr>
          <w:b/>
          <w:szCs w:val="24"/>
        </w:rPr>
      </w:pPr>
      <w:r w:rsidRPr="00234BBC">
        <w:rPr>
          <w:b/>
          <w:szCs w:val="24"/>
        </w:rPr>
        <w:t>What Model of Judicial Decision-</w:t>
      </w:r>
      <w:r w:rsidR="00D50941" w:rsidRPr="00234BBC">
        <w:rPr>
          <w:b/>
          <w:szCs w:val="24"/>
        </w:rPr>
        <w:t>Making Best Explains Amicus Influence?</w:t>
      </w:r>
    </w:p>
    <w:p w:rsidR="00D50941" w:rsidRPr="00515A09" w:rsidRDefault="00D50941" w:rsidP="00D50941">
      <w:pPr>
        <w:pStyle w:val="ListParagraph"/>
        <w:numPr>
          <w:ilvl w:val="1"/>
          <w:numId w:val="7"/>
        </w:numPr>
        <w:spacing w:line="480" w:lineRule="auto"/>
        <w:rPr>
          <w:b/>
          <w:szCs w:val="24"/>
        </w:rPr>
      </w:pPr>
      <w:r w:rsidRPr="00515A09">
        <w:rPr>
          <w:b/>
          <w:szCs w:val="24"/>
        </w:rPr>
        <w:t>Attitudinal Model: “Attitudinal Congruence” Hypothesis</w:t>
      </w:r>
    </w:p>
    <w:p w:rsidR="00D50941" w:rsidRPr="0088316B" w:rsidRDefault="00D50941" w:rsidP="007F489C">
      <w:pPr>
        <w:autoSpaceDE w:val="0"/>
        <w:autoSpaceDN w:val="0"/>
        <w:adjustRightInd w:val="0"/>
        <w:spacing w:line="480" w:lineRule="auto"/>
        <w:ind w:left="0" w:firstLine="720"/>
        <w:rPr>
          <w:rFonts w:cs="Times New Roman"/>
          <w:szCs w:val="24"/>
        </w:rPr>
      </w:pPr>
      <w:r>
        <w:t xml:space="preserve">The prevailing view among judicial scholars studying USSC decision making is the attitudinal model, which predicts that judges will vote consistent with their ideological </w:t>
      </w:r>
      <w:r w:rsidRPr="0088316B">
        <w:rPr>
          <w:rFonts w:cs="Times New Roman"/>
          <w:szCs w:val="24"/>
        </w:rPr>
        <w:t xml:space="preserve">preferences, and not necessarily with the side who makes the most persuasive legal arguments in a case (Collins 2008; Kearney </w:t>
      </w:r>
      <w:r w:rsidR="000D6839">
        <w:rPr>
          <w:rFonts w:cs="Times New Roman"/>
          <w:szCs w:val="24"/>
        </w:rPr>
        <w:t>and</w:t>
      </w:r>
      <w:r w:rsidRPr="0088316B">
        <w:rPr>
          <w:rFonts w:cs="Times New Roman"/>
          <w:szCs w:val="24"/>
        </w:rPr>
        <w:t xml:space="preserve"> Merrill 2000).  Simply put, the attitudinal model holds that judges make decisions based upon their attitudes and values, which spring from their life, rearing, education, and experience.   </w:t>
      </w:r>
      <w:r w:rsidR="007F489C" w:rsidRPr="0088316B">
        <w:rPr>
          <w:rFonts w:cs="Times New Roman"/>
          <w:szCs w:val="24"/>
        </w:rPr>
        <w:t>The lead proponents of the attitudinal mod</w:t>
      </w:r>
      <w:r w:rsidR="00154CA8">
        <w:rPr>
          <w:rFonts w:cs="Times New Roman"/>
          <w:szCs w:val="24"/>
        </w:rPr>
        <w:t xml:space="preserve">el, Segal and </w:t>
      </w:r>
      <w:proofErr w:type="spellStart"/>
      <w:r w:rsidR="00154CA8">
        <w:rPr>
          <w:rFonts w:cs="Times New Roman"/>
          <w:szCs w:val="24"/>
        </w:rPr>
        <w:t>Spaeth</w:t>
      </w:r>
      <w:proofErr w:type="spellEnd"/>
      <w:r w:rsidR="00154CA8">
        <w:rPr>
          <w:rFonts w:cs="Times New Roman"/>
          <w:szCs w:val="24"/>
        </w:rPr>
        <w:t xml:space="preserve"> (2002),</w:t>
      </w:r>
      <w:r w:rsidR="007F489C" w:rsidRPr="0088316B">
        <w:rPr>
          <w:rFonts w:cs="Times New Roman"/>
          <w:szCs w:val="24"/>
        </w:rPr>
        <w:t xml:space="preserve"> describe the attitudinal model as </w:t>
      </w:r>
      <w:r w:rsidRPr="0088316B">
        <w:rPr>
          <w:rFonts w:cs="Times New Roman"/>
          <w:szCs w:val="24"/>
        </w:rPr>
        <w:t>assert</w:t>
      </w:r>
      <w:r w:rsidR="007F489C" w:rsidRPr="0088316B">
        <w:rPr>
          <w:rFonts w:cs="Times New Roman"/>
          <w:szCs w:val="24"/>
        </w:rPr>
        <w:t>ing</w:t>
      </w:r>
      <w:r w:rsidRPr="0088316B">
        <w:rPr>
          <w:rFonts w:cs="Times New Roman"/>
          <w:szCs w:val="24"/>
        </w:rPr>
        <w:t xml:space="preserve"> that justices make decisions based on their own political values vis-à-vis the case facts.  </w:t>
      </w:r>
      <w:r w:rsidR="00154CA8">
        <w:rPr>
          <w:rFonts w:cs="Times New Roman"/>
          <w:szCs w:val="24"/>
        </w:rPr>
        <w:t>This model equates “</w:t>
      </w:r>
      <w:r w:rsidR="007F489C" w:rsidRPr="0088316B">
        <w:rPr>
          <w:rFonts w:cs="Times New Roman"/>
          <w:szCs w:val="24"/>
        </w:rPr>
        <w:t xml:space="preserve">the ideological attitudes and values of the justices” with their political leanings (Segal </w:t>
      </w:r>
      <w:r w:rsidR="000D6839">
        <w:rPr>
          <w:rFonts w:cs="Times New Roman"/>
          <w:szCs w:val="24"/>
        </w:rPr>
        <w:t>and</w:t>
      </w:r>
      <w:r w:rsidR="007F489C" w:rsidRPr="0088316B">
        <w:rPr>
          <w:rFonts w:cs="Times New Roman"/>
          <w:szCs w:val="24"/>
        </w:rPr>
        <w:t xml:space="preserve"> </w:t>
      </w:r>
      <w:proofErr w:type="spellStart"/>
      <w:r w:rsidR="007F489C" w:rsidRPr="0088316B">
        <w:rPr>
          <w:rFonts w:cs="Times New Roman"/>
          <w:szCs w:val="24"/>
        </w:rPr>
        <w:t>Spaeth</w:t>
      </w:r>
      <w:proofErr w:type="spellEnd"/>
      <w:r w:rsidR="007F489C" w:rsidRPr="0088316B">
        <w:rPr>
          <w:rFonts w:cs="Times New Roman"/>
          <w:szCs w:val="24"/>
        </w:rPr>
        <w:t xml:space="preserve"> 20</w:t>
      </w:r>
      <w:r w:rsidR="001B11C6">
        <w:rPr>
          <w:rFonts w:cs="Times New Roman"/>
          <w:szCs w:val="24"/>
        </w:rPr>
        <w:t>02,</w:t>
      </w:r>
      <w:r w:rsidR="00154CA8">
        <w:rPr>
          <w:rFonts w:cs="Times New Roman"/>
          <w:szCs w:val="24"/>
        </w:rPr>
        <w:t xml:space="preserve"> 86).   The attitudinal</w:t>
      </w:r>
      <w:r w:rsidR="001B11C6">
        <w:rPr>
          <w:rFonts w:cs="Times New Roman"/>
          <w:szCs w:val="24"/>
        </w:rPr>
        <w:t xml:space="preserve"> model is the opposite of </w:t>
      </w:r>
      <w:r w:rsidR="007F489C" w:rsidRPr="0088316B">
        <w:rPr>
          <w:rFonts w:cs="Times New Roman"/>
          <w:szCs w:val="24"/>
        </w:rPr>
        <w:t>the legal model, which depicts judicial decision making as the product of the interplay between law and fact</w:t>
      </w:r>
      <w:r w:rsidR="001B11C6">
        <w:rPr>
          <w:rFonts w:cs="Times New Roman"/>
          <w:szCs w:val="24"/>
        </w:rPr>
        <w:t xml:space="preserve"> (Segal and </w:t>
      </w:r>
      <w:proofErr w:type="spellStart"/>
      <w:r w:rsidR="001B11C6">
        <w:rPr>
          <w:rFonts w:cs="Times New Roman"/>
          <w:szCs w:val="24"/>
        </w:rPr>
        <w:t>Spaeth</w:t>
      </w:r>
      <w:proofErr w:type="spellEnd"/>
      <w:r w:rsidR="001B11C6">
        <w:rPr>
          <w:rFonts w:cs="Times New Roman"/>
          <w:szCs w:val="24"/>
        </w:rPr>
        <w:t xml:space="preserve">, </w:t>
      </w:r>
      <w:r w:rsidR="001B11C6" w:rsidRPr="0088316B">
        <w:rPr>
          <w:rFonts w:cs="Times New Roman"/>
          <w:szCs w:val="24"/>
        </w:rPr>
        <w:t>48)</w:t>
      </w:r>
      <w:r w:rsidR="001B11C6">
        <w:rPr>
          <w:rFonts w:cs="Times New Roman"/>
          <w:szCs w:val="24"/>
        </w:rPr>
        <w:t xml:space="preserve">.  </w:t>
      </w:r>
      <w:r w:rsidRPr="0088316B">
        <w:rPr>
          <w:rFonts w:cs="Times New Roman"/>
          <w:szCs w:val="24"/>
        </w:rPr>
        <w:t xml:space="preserve">The attitudinal model posits that judges have fixed ideological preferences, and that case outcomes are a product of the summing of the preferences of the participating judges, with legal norms serving only to rationalize outcomes after the fact (Kearney and Merrill 2000, 748; Segal and </w:t>
      </w:r>
      <w:proofErr w:type="spellStart"/>
      <w:r w:rsidRPr="0088316B">
        <w:rPr>
          <w:rFonts w:cs="Times New Roman"/>
          <w:szCs w:val="24"/>
        </w:rPr>
        <w:t>Spaeth</w:t>
      </w:r>
      <w:proofErr w:type="spellEnd"/>
      <w:r w:rsidRPr="0088316B">
        <w:rPr>
          <w:rFonts w:cs="Times New Roman"/>
          <w:szCs w:val="24"/>
        </w:rPr>
        <w:t xml:space="preserve"> 1993).  Many scholars hypothesize that if the attitudinal model is correct, then no amicus influence should be detected because judges simply vote their attitudes and ideologies (e.g., Kearney </w:t>
      </w:r>
      <w:r w:rsidR="000D6839">
        <w:rPr>
          <w:rFonts w:cs="Times New Roman"/>
          <w:szCs w:val="24"/>
        </w:rPr>
        <w:t>and</w:t>
      </w:r>
      <w:r w:rsidRPr="0088316B">
        <w:rPr>
          <w:rFonts w:cs="Times New Roman"/>
          <w:szCs w:val="24"/>
        </w:rPr>
        <w:t xml:space="preserve"> Merrill 2000; </w:t>
      </w:r>
      <w:proofErr w:type="spellStart"/>
      <w:r w:rsidRPr="0088316B">
        <w:rPr>
          <w:rFonts w:cs="Times New Roman"/>
          <w:szCs w:val="24"/>
        </w:rPr>
        <w:t>Laroche</w:t>
      </w:r>
      <w:proofErr w:type="spellEnd"/>
      <w:r w:rsidRPr="0088316B">
        <w:rPr>
          <w:rFonts w:cs="Times New Roman"/>
          <w:szCs w:val="24"/>
        </w:rPr>
        <w:t xml:space="preserve"> 2009). </w:t>
      </w:r>
    </w:p>
    <w:p w:rsidR="00D50941" w:rsidRDefault="004B4017" w:rsidP="00D50941">
      <w:pPr>
        <w:spacing w:line="480" w:lineRule="auto"/>
        <w:ind w:left="0" w:firstLine="720"/>
      </w:pPr>
      <w:r>
        <w:lastRenderedPageBreak/>
        <w:t xml:space="preserve">Collins (2008) explains that </w:t>
      </w:r>
      <w:r w:rsidR="00D50941">
        <w:t>the attitudinal model may still allow for amicus influence insofar as the amicus brief reinforces or bolsters judges’ pursuit of their policy preferences.</w:t>
      </w:r>
      <w:r w:rsidR="00D50941" w:rsidRPr="00805DA7">
        <w:t xml:space="preserve"> </w:t>
      </w:r>
      <w:r w:rsidR="00D50941">
        <w:t xml:space="preserve"> Collins cites social psychology research in support of this claim.  For example, “when confronted with ideologically congruent information, receivers are less motivated to develop counterarguments or ignore this information and instead use this information to develop thoughts favorable to their ideological predispositions” (93).  Yet, when confronted with information that contradicts our predetermined attitudes, we tend to ignore or discount that information.  Thus, Collins posits the “Attitudinal Congruence Hypothesis:  As the number of liberal (conservative) amicus curiae briefs increases, so too will the likelihood of observing a liberal (conservative) justice cast a liberal (conservative) vote” (93).   Notably</w:t>
      </w:r>
      <w:r w:rsidR="000D6839">
        <w:t>,</w:t>
      </w:r>
      <w:r w:rsidR="00D50941">
        <w:t xml:space="preserve"> however, under the attitudinal congruence hypothesis, justices will </w:t>
      </w:r>
      <w:r w:rsidR="00D50941" w:rsidRPr="00283E86">
        <w:rPr>
          <w:i/>
        </w:rPr>
        <w:t>not</w:t>
      </w:r>
      <w:r w:rsidR="00D50941">
        <w:t xml:space="preserve"> be more likely to vote against their policy preferences simply because more briefs are filed supporting the position that the judge is not inclined to agree with.</w:t>
      </w:r>
    </w:p>
    <w:p w:rsidR="00D50941" w:rsidRDefault="00D50941" w:rsidP="00D50941">
      <w:pPr>
        <w:spacing w:line="480" w:lineRule="auto"/>
        <w:ind w:left="0" w:firstLine="720"/>
      </w:pPr>
      <w:r>
        <w:t xml:space="preserve">Also of note, the attitudinal model </w:t>
      </w:r>
      <w:r w:rsidR="00535B79">
        <w:t>applies mainly</w:t>
      </w:r>
      <w:r w:rsidRPr="00A02BA1">
        <w:t xml:space="preserve"> to those justices who have relatively extreme policy</w:t>
      </w:r>
      <w:r w:rsidR="00535B79">
        <w:t xml:space="preserve"> preferences, and thus, is less predictive of</w:t>
      </w:r>
      <w:r w:rsidRPr="00A02BA1">
        <w:t xml:space="preserve"> the moderate justices on the Cour</w:t>
      </w:r>
      <w:r>
        <w:t>t.   Under the attitudinal model</w:t>
      </w:r>
      <w:r w:rsidRPr="00A02BA1">
        <w:t xml:space="preserve">, the expected influence of amicus briefs on moderate justices is the same as the </w:t>
      </w:r>
      <w:r>
        <w:t>in the information/</w:t>
      </w:r>
      <w:r w:rsidRPr="00A02BA1">
        <w:t>legal persuasion hypothesis.  This is because the p</w:t>
      </w:r>
      <w:r w:rsidR="001B11C6">
        <w:t>references of moderate justices</w:t>
      </w:r>
      <w:r w:rsidRPr="00A02BA1">
        <w:t xml:space="preserve"> should not be extreme enough to mediate the influence of amicus briefs.   Instead, moderate justices are expected to respond to the presence of amicus briefs by becoming more likely to vote consistent with the positions advocated by the briefs (Collins</w:t>
      </w:r>
      <w:r>
        <w:t xml:space="preserve"> 2008</w:t>
      </w:r>
      <w:r w:rsidRPr="00A02BA1">
        <w:t xml:space="preserve">, 96-97).  </w:t>
      </w:r>
    </w:p>
    <w:p w:rsidR="00535B79" w:rsidRDefault="00535B79" w:rsidP="00D50941">
      <w:pPr>
        <w:spacing w:line="480" w:lineRule="auto"/>
        <w:ind w:left="0" w:firstLine="720"/>
      </w:pPr>
    </w:p>
    <w:p w:rsidR="001B11C6" w:rsidRDefault="001B11C6" w:rsidP="00D50941">
      <w:pPr>
        <w:spacing w:line="480" w:lineRule="auto"/>
        <w:ind w:left="0" w:firstLine="720"/>
      </w:pPr>
    </w:p>
    <w:p w:rsidR="001B11C6" w:rsidRPr="006B3CBB" w:rsidRDefault="001B11C6" w:rsidP="00D50941">
      <w:pPr>
        <w:spacing w:line="480" w:lineRule="auto"/>
        <w:ind w:left="0" w:firstLine="720"/>
      </w:pPr>
    </w:p>
    <w:p w:rsidR="00D50941" w:rsidRDefault="00D50941" w:rsidP="00D50941">
      <w:pPr>
        <w:pStyle w:val="ListParagraph"/>
        <w:numPr>
          <w:ilvl w:val="1"/>
          <w:numId w:val="7"/>
        </w:numPr>
        <w:spacing w:line="480" w:lineRule="auto"/>
        <w:rPr>
          <w:b/>
          <w:szCs w:val="24"/>
        </w:rPr>
      </w:pPr>
      <w:r>
        <w:rPr>
          <w:b/>
          <w:szCs w:val="24"/>
        </w:rPr>
        <w:lastRenderedPageBreak/>
        <w:t>Legal Model:  “Information” or “Legal Persuasion” Hypothesis</w:t>
      </w:r>
    </w:p>
    <w:p w:rsidR="00D50941" w:rsidRDefault="00D50941" w:rsidP="00D50941">
      <w:pPr>
        <w:spacing w:line="480" w:lineRule="auto"/>
        <w:ind w:left="0" w:firstLine="720"/>
      </w:pPr>
      <w:r>
        <w:rPr>
          <w:szCs w:val="24"/>
        </w:rPr>
        <w:t xml:space="preserve">Simply put, the legal model states that sources of law, precedents, and legal arguments influence judicial decision-making (Kearney </w:t>
      </w:r>
      <w:r w:rsidR="000D6839">
        <w:rPr>
          <w:szCs w:val="24"/>
        </w:rPr>
        <w:t>and</w:t>
      </w:r>
      <w:r>
        <w:rPr>
          <w:szCs w:val="24"/>
        </w:rPr>
        <w:t xml:space="preserve"> Merrill 2000).  </w:t>
      </w:r>
      <w:r>
        <w:t>The traditional view of the legal model understands judges to be neutral decision-makers who set their personal preferences aside when rendering their decisions.  The justices are thus expected to rule consistent with their legal training by attempting to discover correct legal answers (Collins 2008, 9).   Under the legal model, amicus briefs are influential to the extent they provide quality information related to the legal issues presented in a case (</w:t>
      </w:r>
      <w:proofErr w:type="spellStart"/>
      <w:r>
        <w:t>Simard</w:t>
      </w:r>
      <w:proofErr w:type="spellEnd"/>
      <w:r>
        <w:t xml:space="preserve"> 2007, 682).</w:t>
      </w:r>
    </w:p>
    <w:p w:rsidR="00D50941" w:rsidRDefault="00D50941" w:rsidP="00D50941">
      <w:pPr>
        <w:spacing w:line="480" w:lineRule="auto"/>
        <w:ind w:left="0" w:firstLine="720"/>
      </w:pPr>
      <w:r>
        <w:t>A nuanced variant of this model is proposed by Collins (2008) – the “legal persuasion” model – in which the justices are influenced by the information they receive from amici, including information about both the legal and broader policy consequences of their decisions.   Collins contends the legal persuasion model is more realistic in that in takes into account the indeterminate nature of the law, without discounting the importance of the la</w:t>
      </w:r>
      <w:r w:rsidR="006D5A9B">
        <w:t xml:space="preserve">w to judicial decision-making. </w:t>
      </w:r>
      <w:r>
        <w:t xml:space="preserve"> The USSC</w:t>
      </w:r>
      <w:r w:rsidR="00535B79">
        <w:t xml:space="preserve"> justices look</w:t>
      </w:r>
      <w:r>
        <w:t xml:space="preserve"> to amicus briefs to pro</w:t>
      </w:r>
      <w:r w:rsidR="00535B79">
        <w:t>vide social science evidence along with policy and</w:t>
      </w:r>
      <w:r>
        <w:t xml:space="preserve"> other</w:t>
      </w:r>
      <w:r w:rsidR="00535B79">
        <w:t xml:space="preserve"> extra-legal</w:t>
      </w:r>
      <w:r>
        <w:t xml:space="preserve"> arguments by which to gauge the impact of their decisions upon society.  Collins argues that amicus briefs “present the justices with numerous alternatives or reframed legal arguments … [which] serve to persuade the justices that the amici’s preferred disposition is the decision most consistent with their legal training” (pg. 90).  </w:t>
      </w:r>
    </w:p>
    <w:p w:rsidR="00D50941" w:rsidRDefault="00D50941" w:rsidP="00D50941">
      <w:pPr>
        <w:spacing w:line="480" w:lineRule="auto"/>
        <w:ind w:left="0" w:firstLine="720"/>
      </w:pPr>
      <w:r>
        <w:t xml:space="preserve">In this way, justices use amicus briefs to aid their efforts to reach the best and most accurate legal conclusions.  It is the subjective and indeterminate nature of the law that opens the door for interest groups to influence judicial choices via the submission of amicus briefs.  </w:t>
      </w:r>
      <w:r>
        <w:rPr>
          <w:szCs w:val="24"/>
        </w:rPr>
        <w:t xml:space="preserve">Under the legal persuasion model, </w:t>
      </w:r>
      <w:r>
        <w:t>amicus briefs are effective because they provide courts with a</w:t>
      </w:r>
      <w:r w:rsidR="001B11C6">
        <w:t>dded information that buttress</w:t>
      </w:r>
      <w:r>
        <w:t xml:space="preserve"> the arguments of the direct litigants (Collins 2004, 815; </w:t>
      </w:r>
      <w:proofErr w:type="spellStart"/>
      <w:r>
        <w:t>Simard</w:t>
      </w:r>
      <w:proofErr w:type="spellEnd"/>
      <w:r>
        <w:t xml:space="preserve"> 2007).  </w:t>
      </w:r>
      <w:r>
        <w:lastRenderedPageBreak/>
        <w:t>Such information can come in many forms:  the presentation of legal arguments from another perspective; the presentation of policy consequences of particular legal interpretations; providing common interpretation of relevant laws; and presenting social science information that is lacking from the appellate record (</w:t>
      </w:r>
      <w:proofErr w:type="spellStart"/>
      <w:r>
        <w:t>Simard</w:t>
      </w:r>
      <w:proofErr w:type="spellEnd"/>
      <w:r>
        <w:t xml:space="preserve"> 2007-08, 682).  The </w:t>
      </w:r>
      <w:r>
        <w:rPr>
          <w:szCs w:val="24"/>
        </w:rPr>
        <w:t>information/legal persuasion hypothesis flows out of the legal model:</w:t>
      </w:r>
      <w:r>
        <w:t xml:space="preserve"> a positive correlation should exist between the number of briefs filed in a particular ideological direction, and the justice’s likelihood of voting in that direction, regardless of the justice’s ideology</w:t>
      </w:r>
    </w:p>
    <w:p w:rsidR="005D7643" w:rsidRPr="00805DA7" w:rsidRDefault="005D7643" w:rsidP="00D50941">
      <w:pPr>
        <w:spacing w:line="480" w:lineRule="auto"/>
        <w:ind w:left="0" w:firstLine="720"/>
      </w:pPr>
    </w:p>
    <w:p w:rsidR="00D50941" w:rsidRDefault="00D50941" w:rsidP="00D50941">
      <w:pPr>
        <w:pStyle w:val="ListParagraph"/>
        <w:numPr>
          <w:ilvl w:val="1"/>
          <w:numId w:val="7"/>
        </w:numPr>
        <w:spacing w:line="480" w:lineRule="auto"/>
        <w:rPr>
          <w:b/>
          <w:szCs w:val="24"/>
        </w:rPr>
      </w:pPr>
      <w:r>
        <w:rPr>
          <w:b/>
          <w:szCs w:val="24"/>
        </w:rPr>
        <w:t>Interest Group Model:  “Affected Groups” Hypothesis</w:t>
      </w:r>
    </w:p>
    <w:p w:rsidR="00D50941" w:rsidRPr="00BD56CB" w:rsidRDefault="00D50941" w:rsidP="00D50941">
      <w:pPr>
        <w:autoSpaceDE w:val="0"/>
        <w:autoSpaceDN w:val="0"/>
        <w:adjustRightInd w:val="0"/>
        <w:spacing w:line="480" w:lineRule="auto"/>
        <w:ind w:left="0" w:firstLine="720"/>
        <w:rPr>
          <w:rFonts w:cs="Times New Roman"/>
          <w:szCs w:val="24"/>
        </w:rPr>
      </w:pPr>
      <w:r>
        <w:rPr>
          <w:szCs w:val="24"/>
        </w:rPr>
        <w:t>At its core, the interest group</w:t>
      </w:r>
      <w:r w:rsidR="001B11C6">
        <w:rPr>
          <w:szCs w:val="24"/>
        </w:rPr>
        <w:t xml:space="preserve"> model is essentially a public o</w:t>
      </w:r>
      <w:r>
        <w:rPr>
          <w:szCs w:val="24"/>
        </w:rPr>
        <w:t xml:space="preserve">pinion based explanation for amicus influence.  The larger the number of cosigners on an amicus brief, the stronger the public support appears for the position advocated by the brief.  </w:t>
      </w:r>
      <w:r w:rsidRPr="00067C8D">
        <w:rPr>
          <w:rFonts w:cs="Times New Roman"/>
          <w:szCs w:val="24"/>
        </w:rPr>
        <w:t xml:space="preserve">Much prior literature has shown that the justices of the USSC care about public opinion out of their concern for institutional legitimacy and policy enforcement (e.g., Collins 2004; Epstein </w:t>
      </w:r>
      <w:r w:rsidR="000D6839">
        <w:rPr>
          <w:rFonts w:cs="Times New Roman"/>
          <w:szCs w:val="24"/>
        </w:rPr>
        <w:t>and</w:t>
      </w:r>
      <w:r w:rsidRPr="00067C8D">
        <w:rPr>
          <w:rFonts w:cs="Times New Roman"/>
          <w:szCs w:val="24"/>
        </w:rPr>
        <w:t xml:space="preserve"> Knight 1998; Stimson, </w:t>
      </w:r>
      <w:proofErr w:type="spellStart"/>
      <w:r w:rsidRPr="00067C8D">
        <w:rPr>
          <w:rFonts w:cs="Times New Roman"/>
          <w:szCs w:val="24"/>
        </w:rPr>
        <w:t>MacKuen</w:t>
      </w:r>
      <w:proofErr w:type="spellEnd"/>
      <w:r w:rsidRPr="00067C8D">
        <w:rPr>
          <w:rFonts w:cs="Times New Roman"/>
          <w:szCs w:val="24"/>
        </w:rPr>
        <w:t xml:space="preserve"> </w:t>
      </w:r>
      <w:r w:rsidR="000D6839">
        <w:rPr>
          <w:rFonts w:cs="Times New Roman"/>
          <w:szCs w:val="24"/>
        </w:rPr>
        <w:t>and</w:t>
      </w:r>
      <w:r w:rsidRPr="00067C8D">
        <w:rPr>
          <w:rFonts w:cs="Times New Roman"/>
          <w:szCs w:val="24"/>
        </w:rPr>
        <w:t xml:space="preserve"> Erickson 1995; </w:t>
      </w:r>
      <w:proofErr w:type="spellStart"/>
      <w:r w:rsidRPr="00067C8D">
        <w:rPr>
          <w:rFonts w:cs="Times New Roman"/>
          <w:szCs w:val="24"/>
        </w:rPr>
        <w:t>Flemming</w:t>
      </w:r>
      <w:proofErr w:type="spellEnd"/>
      <w:r w:rsidRPr="00067C8D">
        <w:rPr>
          <w:rFonts w:cs="Times New Roman"/>
          <w:szCs w:val="24"/>
        </w:rPr>
        <w:t xml:space="preserve"> </w:t>
      </w:r>
      <w:r w:rsidR="000D6839">
        <w:rPr>
          <w:rFonts w:cs="Times New Roman"/>
          <w:szCs w:val="24"/>
        </w:rPr>
        <w:t>and</w:t>
      </w:r>
      <w:r w:rsidRPr="00067C8D">
        <w:rPr>
          <w:rFonts w:cs="Times New Roman"/>
          <w:szCs w:val="24"/>
        </w:rPr>
        <w:t xml:space="preserve"> Wood 1997; </w:t>
      </w:r>
      <w:proofErr w:type="spellStart"/>
      <w:r w:rsidRPr="00067C8D">
        <w:rPr>
          <w:rFonts w:cs="Times New Roman"/>
          <w:szCs w:val="24"/>
        </w:rPr>
        <w:t>Mishler</w:t>
      </w:r>
      <w:proofErr w:type="spellEnd"/>
      <w:r w:rsidRPr="00067C8D">
        <w:rPr>
          <w:rFonts w:cs="Times New Roman"/>
          <w:szCs w:val="24"/>
        </w:rPr>
        <w:t xml:space="preserve"> </w:t>
      </w:r>
      <w:r w:rsidR="000D6839">
        <w:rPr>
          <w:rFonts w:cs="Times New Roman"/>
          <w:szCs w:val="24"/>
        </w:rPr>
        <w:t>and</w:t>
      </w:r>
      <w:r w:rsidRPr="00067C8D">
        <w:rPr>
          <w:rFonts w:cs="Times New Roman"/>
          <w:szCs w:val="24"/>
        </w:rPr>
        <w:t xml:space="preserve"> Sheehan 1993).  This truth is</w:t>
      </w:r>
      <w:r>
        <w:rPr>
          <w:rFonts w:cs="Times New Roman"/>
          <w:szCs w:val="24"/>
        </w:rPr>
        <w:t xml:space="preserve"> concisely</w:t>
      </w:r>
      <w:r w:rsidR="001B11C6">
        <w:rPr>
          <w:rFonts w:cs="Times New Roman"/>
          <w:szCs w:val="24"/>
        </w:rPr>
        <w:t xml:space="preserve"> stated by </w:t>
      </w:r>
      <w:proofErr w:type="spellStart"/>
      <w:r w:rsidR="001B11C6">
        <w:rPr>
          <w:rFonts w:cs="Times New Roman"/>
          <w:szCs w:val="24"/>
        </w:rPr>
        <w:t>Caldeir</w:t>
      </w:r>
      <w:r w:rsidRPr="00067C8D">
        <w:rPr>
          <w:rFonts w:cs="Times New Roman"/>
          <w:szCs w:val="24"/>
        </w:rPr>
        <w:t>a</w:t>
      </w:r>
      <w:proofErr w:type="spellEnd"/>
      <w:r w:rsidRPr="00067C8D">
        <w:rPr>
          <w:rFonts w:cs="Times New Roman"/>
          <w:szCs w:val="24"/>
        </w:rPr>
        <w:t xml:space="preserve"> (1986,</w:t>
      </w:r>
      <w:r>
        <w:rPr>
          <w:rFonts w:cs="Times New Roman"/>
          <w:szCs w:val="24"/>
        </w:rPr>
        <w:t xml:space="preserve"> 1209</w:t>
      </w:r>
      <w:r w:rsidRPr="00067C8D">
        <w:rPr>
          <w:rFonts w:cs="Times New Roman"/>
          <w:szCs w:val="24"/>
        </w:rPr>
        <w:t xml:space="preserve">): </w:t>
      </w:r>
      <w:r>
        <w:rPr>
          <w:rFonts w:cs="Times New Roman"/>
          <w:szCs w:val="24"/>
        </w:rPr>
        <w:t>the USSC</w:t>
      </w:r>
      <w:r w:rsidRPr="00067C8D">
        <w:rPr>
          <w:rFonts w:cs="Times New Roman"/>
          <w:szCs w:val="24"/>
        </w:rPr>
        <w:t xml:space="preserve"> “must depend to an extraordinary extent on the confidence, or at least the acquiescence, of the public.”</w:t>
      </w:r>
      <w:r>
        <w:rPr>
          <w:rFonts w:cs="Times New Roman"/>
          <w:szCs w:val="24"/>
        </w:rPr>
        <w:t xml:space="preserve">  To the extent that the USSC cares about its democratic legitimacy, it should recognize the value of including affected groups within the process and providing them an opportunity to influence the outcome (</w:t>
      </w:r>
      <w:proofErr w:type="spellStart"/>
      <w:r>
        <w:rPr>
          <w:rFonts w:cs="Times New Roman"/>
          <w:szCs w:val="24"/>
        </w:rPr>
        <w:t>Simard</w:t>
      </w:r>
      <w:proofErr w:type="spellEnd"/>
      <w:r>
        <w:rPr>
          <w:rFonts w:cs="Times New Roman"/>
          <w:szCs w:val="24"/>
        </w:rPr>
        <w:t xml:space="preserve"> 2007, 682).</w:t>
      </w:r>
    </w:p>
    <w:p w:rsidR="00D50941" w:rsidRDefault="00D50941" w:rsidP="00D50941">
      <w:pPr>
        <w:spacing w:line="480" w:lineRule="auto"/>
        <w:ind w:left="0" w:firstLine="720"/>
        <w:rPr>
          <w:szCs w:val="24"/>
        </w:rPr>
      </w:pPr>
      <w:r>
        <w:rPr>
          <w:szCs w:val="24"/>
        </w:rPr>
        <w:t xml:space="preserve">The interest group model is cogently described by Kearney </w:t>
      </w:r>
      <w:r w:rsidR="000D6839">
        <w:rPr>
          <w:szCs w:val="24"/>
        </w:rPr>
        <w:t>and</w:t>
      </w:r>
      <w:r>
        <w:rPr>
          <w:szCs w:val="24"/>
        </w:rPr>
        <w:t xml:space="preserve"> Merrill:</w:t>
      </w:r>
    </w:p>
    <w:p w:rsidR="00D50941" w:rsidRDefault="00D50941" w:rsidP="00D50941">
      <w:pPr>
        <w:autoSpaceDE w:val="0"/>
        <w:autoSpaceDN w:val="0"/>
        <w:adjustRightInd w:val="0"/>
        <w:ind w:firstLine="0"/>
        <w:rPr>
          <w:rFonts w:cs="Times New Roman"/>
          <w:szCs w:val="24"/>
        </w:rPr>
      </w:pPr>
      <w:r w:rsidRPr="00EA27D3">
        <w:rPr>
          <w:rFonts w:cs="Times New Roman"/>
          <w:szCs w:val="24"/>
        </w:rPr>
        <w:t>Insofar as the Justices are assumed to try to resolve cases in accordance</w:t>
      </w:r>
      <w:r>
        <w:rPr>
          <w:rFonts w:cs="Times New Roman"/>
          <w:szCs w:val="24"/>
        </w:rPr>
        <w:t xml:space="preserve"> </w:t>
      </w:r>
      <w:r w:rsidRPr="00EA27D3">
        <w:rPr>
          <w:rFonts w:cs="Times New Roman"/>
          <w:szCs w:val="24"/>
        </w:rPr>
        <w:t>with the weight of public opinion, they should look to</w:t>
      </w:r>
      <w:r>
        <w:rPr>
          <w:rFonts w:cs="Times New Roman"/>
          <w:szCs w:val="24"/>
        </w:rPr>
        <w:t xml:space="preserve"> </w:t>
      </w:r>
      <w:r w:rsidRPr="00EA27D3">
        <w:rPr>
          <w:rFonts w:cs="Times New Roman"/>
          <w:szCs w:val="24"/>
        </w:rPr>
        <w:t>amicus briefs as a barometer of opinion on both sides of the issue.</w:t>
      </w:r>
      <w:r>
        <w:rPr>
          <w:rFonts w:cs="Times New Roman"/>
          <w:szCs w:val="24"/>
        </w:rPr>
        <w:t xml:space="preserve"> </w:t>
      </w:r>
      <w:r w:rsidRPr="00EA27D3">
        <w:rPr>
          <w:rFonts w:cs="Times New Roman"/>
          <w:szCs w:val="24"/>
        </w:rPr>
        <w:t>Moreover, the information that amicus briefs convey about organized</w:t>
      </w:r>
      <w:r>
        <w:rPr>
          <w:rFonts w:cs="Times New Roman"/>
          <w:szCs w:val="24"/>
        </w:rPr>
        <w:t xml:space="preserve"> </w:t>
      </w:r>
      <w:r w:rsidRPr="00EA27D3">
        <w:rPr>
          <w:rFonts w:cs="Times New Roman"/>
          <w:szCs w:val="24"/>
        </w:rPr>
        <w:t>opinion is such that it can largely be assimilated simply by</w:t>
      </w:r>
      <w:r>
        <w:rPr>
          <w:rFonts w:cs="Times New Roman"/>
          <w:szCs w:val="24"/>
        </w:rPr>
        <w:t xml:space="preserve"> </w:t>
      </w:r>
      <w:r w:rsidRPr="00EA27D3">
        <w:rPr>
          <w:rFonts w:cs="Times New Roman"/>
          <w:szCs w:val="24"/>
        </w:rPr>
        <w:t>looking at the cover of the brief. The Justices can scan the covers</w:t>
      </w:r>
      <w:r>
        <w:rPr>
          <w:rFonts w:cs="Times New Roman"/>
          <w:szCs w:val="24"/>
        </w:rPr>
        <w:t xml:space="preserve"> </w:t>
      </w:r>
      <w:r w:rsidRPr="00EA27D3">
        <w:rPr>
          <w:rFonts w:cs="Times New Roman"/>
          <w:szCs w:val="24"/>
        </w:rPr>
        <w:t>of the briefs to see which organizations care strongly about the</w:t>
      </w:r>
      <w:r>
        <w:rPr>
          <w:rFonts w:cs="Times New Roman"/>
          <w:szCs w:val="24"/>
        </w:rPr>
        <w:t xml:space="preserve"> </w:t>
      </w:r>
      <w:r w:rsidRPr="00EA27D3">
        <w:rPr>
          <w:rFonts w:cs="Times New Roman"/>
          <w:szCs w:val="24"/>
        </w:rPr>
        <w:t>issue on either side. The fact that the organization saw fit to file the</w:t>
      </w:r>
      <w:r>
        <w:rPr>
          <w:rFonts w:cs="Times New Roman"/>
          <w:szCs w:val="24"/>
        </w:rPr>
        <w:t xml:space="preserve"> </w:t>
      </w:r>
      <w:r w:rsidRPr="00EA27D3">
        <w:rPr>
          <w:rFonts w:cs="Times New Roman"/>
          <w:szCs w:val="24"/>
        </w:rPr>
        <w:lastRenderedPageBreak/>
        <w:t>brief is the important datum, not the legal arguments or the background</w:t>
      </w:r>
      <w:r>
        <w:rPr>
          <w:rFonts w:cs="Times New Roman"/>
          <w:szCs w:val="24"/>
        </w:rPr>
        <w:t xml:space="preserve"> </w:t>
      </w:r>
      <w:r w:rsidRPr="00EA27D3">
        <w:rPr>
          <w:rFonts w:cs="Times New Roman"/>
          <w:szCs w:val="24"/>
        </w:rPr>
        <w:t>information set forth between the covers of the brief</w:t>
      </w:r>
      <w:r>
        <w:rPr>
          <w:rFonts w:cs="Times New Roman"/>
          <w:szCs w:val="24"/>
        </w:rPr>
        <w:t xml:space="preserve"> </w:t>
      </w:r>
      <w:r>
        <w:rPr>
          <w:szCs w:val="24"/>
        </w:rPr>
        <w:t>(2000, 785)</w:t>
      </w:r>
      <w:r>
        <w:rPr>
          <w:rFonts w:cs="Times New Roman"/>
          <w:szCs w:val="24"/>
        </w:rPr>
        <w:t>.</w:t>
      </w:r>
    </w:p>
    <w:p w:rsidR="00D50941" w:rsidRPr="00EA27D3" w:rsidRDefault="00D50941" w:rsidP="00D50941">
      <w:pPr>
        <w:autoSpaceDE w:val="0"/>
        <w:autoSpaceDN w:val="0"/>
        <w:adjustRightInd w:val="0"/>
        <w:ind w:left="0" w:firstLine="0"/>
        <w:rPr>
          <w:rFonts w:cs="Times New Roman"/>
          <w:szCs w:val="24"/>
        </w:rPr>
      </w:pPr>
    </w:p>
    <w:p w:rsidR="00D50941" w:rsidRDefault="00D50941" w:rsidP="00D50941">
      <w:pPr>
        <w:spacing w:line="480" w:lineRule="auto"/>
        <w:ind w:left="0" w:firstLine="720"/>
      </w:pPr>
      <w:r>
        <w:rPr>
          <w:szCs w:val="24"/>
        </w:rPr>
        <w:t xml:space="preserve">Thus, the interest group model </w:t>
      </w:r>
      <w:r>
        <w:t xml:space="preserve">holds that amicus briefs are influential because they signal to the USSC </w:t>
      </w:r>
      <w:r w:rsidR="00DE408D">
        <w:t xml:space="preserve">which and </w:t>
      </w:r>
      <w:r>
        <w:t>how many groups and individuals will be affected by the decision (Collins 2004).  It is the mere presence of a large number of interests on one side relative to the other that is the mechanism of amici influence (Collins 2004, 814).   In short, the interest group model suggests that amici have utility not because of the legal arguments or information they provide, but simply because they are participating as brief filers or cosigners (</w:t>
      </w:r>
      <w:proofErr w:type="spellStart"/>
      <w:r>
        <w:t>Simard</w:t>
      </w:r>
      <w:proofErr w:type="spellEnd"/>
      <w:r>
        <w:t xml:space="preserve"> 2007, 281).  The affected </w:t>
      </w:r>
      <w:proofErr w:type="gramStart"/>
      <w:r>
        <w:t>groups</w:t>
      </w:r>
      <w:proofErr w:type="gramEnd"/>
      <w:r>
        <w:t xml:space="preserve"> hypothesis flows from this model: “an advantage of amicus participants, relative to one’s opponent, will increase the likelihood of litigation success” (Collins 2004, 814-15).   If the justices respond to the number of amicus cosigners on amicus briefs, then it would appear that public opinion matters to th</w:t>
      </w:r>
      <w:r w:rsidR="005D7643">
        <w:t xml:space="preserve">e USSC. </w:t>
      </w:r>
      <w:r>
        <w:t xml:space="preserve"> On the other hand, if, consistent with the information/legal persuasion hypothesis, the justices value the information content of the briefs, it is expected that an advantage of amicus briefs, relative to one’s opponent, will increase the likelihood of litigation success, irrespective of the number of cosigners on the briefs (Collins 2008, 179).</w:t>
      </w:r>
    </w:p>
    <w:p w:rsidR="005D7643" w:rsidRDefault="005D7643" w:rsidP="00D50941">
      <w:pPr>
        <w:spacing w:line="480" w:lineRule="auto"/>
        <w:ind w:left="0" w:firstLine="720"/>
      </w:pPr>
    </w:p>
    <w:p w:rsidR="00D50941" w:rsidRPr="00C30E00" w:rsidRDefault="00D50941" w:rsidP="00D50941">
      <w:pPr>
        <w:pStyle w:val="ListParagraph"/>
        <w:numPr>
          <w:ilvl w:val="1"/>
          <w:numId w:val="7"/>
        </w:numPr>
        <w:spacing w:line="480" w:lineRule="auto"/>
        <w:rPr>
          <w:b/>
          <w:szCs w:val="24"/>
        </w:rPr>
      </w:pPr>
      <w:r w:rsidRPr="00C30E00">
        <w:rPr>
          <w:b/>
          <w:szCs w:val="24"/>
        </w:rPr>
        <w:t xml:space="preserve">Empirical Evidence </w:t>
      </w:r>
    </w:p>
    <w:p w:rsidR="00D50941" w:rsidRDefault="00F122E7" w:rsidP="00D50941">
      <w:pPr>
        <w:spacing w:line="480" w:lineRule="auto"/>
        <w:ind w:left="0" w:firstLine="720"/>
      </w:pPr>
      <w:r>
        <w:t>To test whether the information/l</w:t>
      </w:r>
      <w:r w:rsidR="00D50941">
        <w:t xml:space="preserve">egal </w:t>
      </w:r>
      <w:r>
        <w:t>p</w:t>
      </w:r>
      <w:r w:rsidR="005D7643">
        <w:t>ersuasion</w:t>
      </w:r>
      <w:r>
        <w:t xml:space="preserve"> hypothesis or the affected </w:t>
      </w:r>
      <w:proofErr w:type="gramStart"/>
      <w:r>
        <w:t>g</w:t>
      </w:r>
      <w:r w:rsidR="00D50941">
        <w:t>roup</w:t>
      </w:r>
      <w:r>
        <w:t>s</w:t>
      </w:r>
      <w:proofErr w:type="gramEnd"/>
      <w:r>
        <w:t xml:space="preserve"> h</w:t>
      </w:r>
      <w:r w:rsidR="00D50941">
        <w:t>ypothesis is a better explanation of amicus influence, Collins (2004) designed a study to see if the number of amicus briefs, or the number</w:t>
      </w:r>
      <w:r>
        <w:t xml:space="preserve"> of amicus brief cosigners, are</w:t>
      </w:r>
      <w:r w:rsidR="00D50941">
        <w:t xml:space="preserve"> more influential on USSC case outcomes.  If the information hypothesis is accurate, then a greater number of briefs will have more of an impact, while if the affected </w:t>
      </w:r>
      <w:proofErr w:type="gramStart"/>
      <w:r w:rsidR="00D50941">
        <w:t>groups</w:t>
      </w:r>
      <w:proofErr w:type="gramEnd"/>
      <w:r w:rsidR="00D50941">
        <w:t xml:space="preserve"> hypothesis is accurate, then greater numbers of cosigners will have more of an impact. While not necessarily providing more </w:t>
      </w:r>
      <w:r>
        <w:lastRenderedPageBreak/>
        <w:t>information to the USSC</w:t>
      </w:r>
      <w:r w:rsidR="00D50941">
        <w:t xml:space="preserve">, having more amicus brief </w:t>
      </w:r>
      <w:r>
        <w:t>cosigners does provide the USSC</w:t>
      </w:r>
      <w:r w:rsidR="00D50941">
        <w:t xml:space="preserve"> with a means of assessing the number of groups which will be affected by the decision (and may serve as a crude barometer of public opinion).  Controlling for other kn</w:t>
      </w:r>
      <w:r>
        <w:t>own influences on USSC decision-making (e.g., SG</w:t>
      </w:r>
      <w:r w:rsidR="00D50941">
        <w:t xml:space="preserve"> participation; party resources; ideological congruence; lower court direction; lower court conflict), Collins’ (2004) results indicate that it is the number of amicus briefs, and not the number of cosigner</w:t>
      </w:r>
      <w:r>
        <w:t>s of briefs, that have an impact</w:t>
      </w:r>
      <w:r w:rsidR="00D50941">
        <w:t xml:space="preserve">.  Thus, the affected group hypothesis was not supported, but the informational hypothesis was moderately supported. </w:t>
      </w:r>
      <w:r w:rsidR="00CA2D38">
        <w:t xml:space="preserve">  This indicates that the legal model better captures the reality of amicus impact than the interest group model.</w:t>
      </w:r>
    </w:p>
    <w:p w:rsidR="00D50941" w:rsidRDefault="00D50941" w:rsidP="00D50941">
      <w:pPr>
        <w:spacing w:line="480" w:lineRule="auto"/>
        <w:ind w:left="0" w:firstLine="720"/>
        <w:rPr>
          <w:szCs w:val="24"/>
        </w:rPr>
      </w:pPr>
      <w:r>
        <w:rPr>
          <w:szCs w:val="24"/>
        </w:rPr>
        <w:t>In a more rigorous and comprehensive study, Collins (2008) confirms his earlier findings failing to garner empirical support for the interest group model of amicus influence: “the justices do not respond to the number of cosigners on amicus briefs but do respond to the number of amicus briefs” (179-80).  Significantly, however, Collins does find that not only do amicu</w:t>
      </w:r>
      <w:r w:rsidR="00F122E7">
        <w:rPr>
          <w:szCs w:val="24"/>
        </w:rPr>
        <w:t>s briefs influence the decision-</w:t>
      </w:r>
      <w:r>
        <w:rPr>
          <w:szCs w:val="24"/>
        </w:rPr>
        <w:t xml:space="preserve">making of </w:t>
      </w:r>
      <w:r w:rsidR="00F122E7">
        <w:rPr>
          <w:szCs w:val="24"/>
        </w:rPr>
        <w:t xml:space="preserve">USSC </w:t>
      </w:r>
      <w:r>
        <w:rPr>
          <w:szCs w:val="24"/>
        </w:rPr>
        <w:t xml:space="preserve">justices, but also that for the overwhelming majority of the USSC, ideology does </w:t>
      </w:r>
      <w:r w:rsidRPr="00DC00BF">
        <w:rPr>
          <w:i/>
          <w:szCs w:val="24"/>
        </w:rPr>
        <w:t>not</w:t>
      </w:r>
      <w:r>
        <w:rPr>
          <w:szCs w:val="24"/>
        </w:rPr>
        <w:t xml:space="preserve"> act as a mediating variable conditioning how the justices process the information contained in amicus briefs (pg. 172-73).  Regardless of ideology, a justice is more likely to vote conservatively the greater the number of conservative amicus briefs filed, and conversely, a justice is more likely to vote liberally the greater the number of liberal briefs</w:t>
      </w:r>
      <w:r w:rsidR="005D7643">
        <w:rPr>
          <w:szCs w:val="24"/>
        </w:rPr>
        <w:t xml:space="preserve"> filed.  It is notable, however, </w:t>
      </w:r>
      <w:r>
        <w:rPr>
          <w:szCs w:val="24"/>
        </w:rPr>
        <w:t>t</w:t>
      </w:r>
      <w:r w:rsidR="00F122E7">
        <w:rPr>
          <w:szCs w:val="24"/>
        </w:rPr>
        <w:t>hat this amicus brief effect was</w:t>
      </w:r>
      <w:r>
        <w:rPr>
          <w:szCs w:val="24"/>
        </w:rPr>
        <w:t xml:space="preserve"> attenuated in both the conservative and liberal ideological extremes of the USSC.   Furthe</w:t>
      </w:r>
      <w:r w:rsidR="00F122E7">
        <w:rPr>
          <w:szCs w:val="24"/>
        </w:rPr>
        <w:t>r, the only justices found no</w:t>
      </w:r>
      <w:r>
        <w:rPr>
          <w:szCs w:val="24"/>
        </w:rPr>
        <w:t xml:space="preserve">t </w:t>
      </w:r>
      <w:r w:rsidR="00F122E7">
        <w:rPr>
          <w:szCs w:val="24"/>
        </w:rPr>
        <w:t xml:space="preserve">to </w:t>
      </w:r>
      <w:r>
        <w:rPr>
          <w:szCs w:val="24"/>
        </w:rPr>
        <w:t xml:space="preserve">be influenced by attitudinally incongruent briefs were extremely </w:t>
      </w:r>
      <w:r w:rsidR="00F122E7">
        <w:rPr>
          <w:szCs w:val="24"/>
        </w:rPr>
        <w:t>conservative justices.  This is</w:t>
      </w:r>
      <w:r>
        <w:rPr>
          <w:szCs w:val="24"/>
        </w:rPr>
        <w:t xml:space="preserve"> Coll</w:t>
      </w:r>
      <w:r w:rsidR="00F122E7">
        <w:rPr>
          <w:szCs w:val="24"/>
        </w:rPr>
        <w:t>ins’ only finding that supports</w:t>
      </w:r>
      <w:r>
        <w:rPr>
          <w:szCs w:val="24"/>
        </w:rPr>
        <w:t xml:space="preserve"> the attitudinal explanation for amicus influence.  </w:t>
      </w:r>
    </w:p>
    <w:p w:rsidR="00CA2D38" w:rsidRDefault="00D50941" w:rsidP="00CA2D38">
      <w:pPr>
        <w:spacing w:line="480" w:lineRule="auto"/>
        <w:ind w:left="0" w:firstLine="720"/>
        <w:rPr>
          <w:szCs w:val="24"/>
        </w:rPr>
      </w:pPr>
      <w:proofErr w:type="gramStart"/>
      <w:r>
        <w:rPr>
          <w:szCs w:val="24"/>
        </w:rPr>
        <w:lastRenderedPageBreak/>
        <w:t xml:space="preserve">Taken as a whole, Collins </w:t>
      </w:r>
      <w:r w:rsidR="005D7643">
        <w:rPr>
          <w:szCs w:val="24"/>
        </w:rPr>
        <w:t>(2008) shows that the decision-</w:t>
      </w:r>
      <w:r>
        <w:rPr>
          <w:szCs w:val="24"/>
        </w:rPr>
        <w:t>making of the vast majority of the USSC justices is more than simply a function of the justices attitudes and values (as the attitudinal model would predict).</w:t>
      </w:r>
      <w:proofErr w:type="gramEnd"/>
      <w:r>
        <w:rPr>
          <w:szCs w:val="24"/>
        </w:rPr>
        <w:t xml:space="preserve">  Collins’ findings provide strong evidence that justices engage in “top-down cognition” – i.e., a justice responds to the persuasive arguments presented by amici that are attitudinally incongruent with the justice’s ideology because the justice aims to reach accurate legal answers.  Further, Collins (2008, 111) finds that the justices who sit at or near the ideological center of the Court are especially susceptible to the persuasive legal arguments contained in amicus briefs.  Such evidence bolsters the utility of targeting the median (swing) vote through amicus briefs (Ennis 1984; </w:t>
      </w:r>
      <w:proofErr w:type="spellStart"/>
      <w:r>
        <w:rPr>
          <w:szCs w:val="24"/>
        </w:rPr>
        <w:t>Kolbert</w:t>
      </w:r>
      <w:proofErr w:type="spellEnd"/>
      <w:r>
        <w:rPr>
          <w:szCs w:val="24"/>
        </w:rPr>
        <w:t xml:space="preserve"> 1989).  </w:t>
      </w:r>
    </w:p>
    <w:p w:rsidR="009E79CE" w:rsidRPr="00CA2D38" w:rsidRDefault="0052483C" w:rsidP="00CA2D38">
      <w:pPr>
        <w:spacing w:line="480" w:lineRule="auto"/>
        <w:ind w:left="0" w:firstLine="720"/>
        <w:rPr>
          <w:szCs w:val="24"/>
        </w:rPr>
      </w:pPr>
      <w:r>
        <w:rPr>
          <w:szCs w:val="24"/>
        </w:rPr>
        <w:t>On the whole</w:t>
      </w:r>
      <w:r w:rsidR="00D50941">
        <w:rPr>
          <w:szCs w:val="24"/>
        </w:rPr>
        <w:t>, Collins</w:t>
      </w:r>
      <w:r w:rsidR="005D7643">
        <w:rPr>
          <w:szCs w:val="24"/>
        </w:rPr>
        <w:t>’</w:t>
      </w:r>
      <w:r w:rsidR="00D50941">
        <w:rPr>
          <w:szCs w:val="24"/>
        </w:rPr>
        <w:t xml:space="preserve"> (2008) comprehensive study provides support for the legal persuasion model of judicial decision-making, as it shows that justices – even those not attitudinally predisposed to the amici’s arguments – respond to the information conveyed in amicus</w:t>
      </w:r>
      <w:r w:rsidR="00F122E7">
        <w:rPr>
          <w:szCs w:val="24"/>
        </w:rPr>
        <w:t xml:space="preserve"> briefs</w:t>
      </w:r>
      <w:r w:rsidR="00D50941">
        <w:rPr>
          <w:szCs w:val="24"/>
        </w:rPr>
        <w:t>.  Ultimately, Collins concludes that the law matters and that the legal persuasion model best explains the influence o</w:t>
      </w:r>
      <w:r w:rsidR="00F122E7">
        <w:rPr>
          <w:szCs w:val="24"/>
        </w:rPr>
        <w:t>f amicus briefs on the USSC</w:t>
      </w:r>
      <w:r w:rsidR="00CA2D38">
        <w:rPr>
          <w:szCs w:val="24"/>
        </w:rPr>
        <w:t xml:space="preserve">.  </w:t>
      </w:r>
      <w:r w:rsidR="0060471A">
        <w:rPr>
          <w:szCs w:val="24"/>
        </w:rPr>
        <w:t xml:space="preserve">However, the research of </w:t>
      </w:r>
      <w:r>
        <w:rPr>
          <w:rFonts w:cs="Times New Roman"/>
          <w:szCs w:val="24"/>
        </w:rPr>
        <w:t>Box-</w:t>
      </w:r>
      <w:proofErr w:type="spellStart"/>
      <w:r>
        <w:rPr>
          <w:rFonts w:cs="Times New Roman"/>
          <w:szCs w:val="24"/>
        </w:rPr>
        <w:t>Steffensmeier</w:t>
      </w:r>
      <w:proofErr w:type="spellEnd"/>
      <w:r>
        <w:rPr>
          <w:rFonts w:cs="Times New Roman"/>
          <w:szCs w:val="24"/>
        </w:rPr>
        <w:t xml:space="preserve">, Christenson, and </w:t>
      </w:r>
      <w:proofErr w:type="spellStart"/>
      <w:r>
        <w:rPr>
          <w:rFonts w:cs="Times New Roman"/>
          <w:szCs w:val="24"/>
        </w:rPr>
        <w:t>Hitt</w:t>
      </w:r>
      <w:proofErr w:type="spellEnd"/>
      <w:r>
        <w:rPr>
          <w:rFonts w:cs="Times New Roman"/>
          <w:szCs w:val="24"/>
        </w:rPr>
        <w:t xml:space="preserve"> (2013)</w:t>
      </w:r>
      <w:r>
        <w:rPr>
          <w:szCs w:val="24"/>
        </w:rPr>
        <w:t xml:space="preserve">, </w:t>
      </w:r>
      <w:r w:rsidR="0060471A">
        <w:rPr>
          <w:szCs w:val="24"/>
        </w:rPr>
        <w:t xml:space="preserve">discussed above, provides </w:t>
      </w:r>
      <w:r w:rsidR="009E79CE">
        <w:rPr>
          <w:szCs w:val="24"/>
        </w:rPr>
        <w:t xml:space="preserve">an important qualification to </w:t>
      </w:r>
      <w:r w:rsidR="0060471A">
        <w:rPr>
          <w:szCs w:val="24"/>
        </w:rPr>
        <w:t>Collins’</w:t>
      </w:r>
      <w:r w:rsidR="009E79CE">
        <w:rPr>
          <w:szCs w:val="24"/>
        </w:rPr>
        <w:t xml:space="preserve"> general conclusion that the legal </w:t>
      </w:r>
      <w:r w:rsidR="00F122E7">
        <w:rPr>
          <w:szCs w:val="24"/>
        </w:rPr>
        <w:t xml:space="preserve">persuasion </w:t>
      </w:r>
      <w:r w:rsidR="009E79CE">
        <w:rPr>
          <w:szCs w:val="24"/>
        </w:rPr>
        <w:t>model best explains amicus influence.  Their findings suggest that whether the legal model or attitudinal model better explains amicus influence depends on both the power of the amici and the ideology of the justice.</w:t>
      </w:r>
      <w:r w:rsidR="00CA2D38">
        <w:rPr>
          <w:szCs w:val="24"/>
        </w:rPr>
        <w:t xml:space="preserve">  </w:t>
      </w:r>
      <w:r w:rsidR="00CA2D38" w:rsidRPr="009E79CE">
        <w:rPr>
          <w:szCs w:val="24"/>
        </w:rPr>
        <w:t xml:space="preserve">Specifically, recall that </w:t>
      </w:r>
      <w:r w:rsidR="00CA2D38" w:rsidRPr="009E79CE">
        <w:rPr>
          <w:rFonts w:cs="Times New Roman"/>
          <w:szCs w:val="24"/>
        </w:rPr>
        <w:t>Box-</w:t>
      </w:r>
      <w:proofErr w:type="spellStart"/>
      <w:r w:rsidR="00CA2D38" w:rsidRPr="009E79CE">
        <w:rPr>
          <w:rFonts w:cs="Times New Roman"/>
          <w:szCs w:val="24"/>
        </w:rPr>
        <w:t>Steffensmeier</w:t>
      </w:r>
      <w:proofErr w:type="spellEnd"/>
      <w:r w:rsidR="00CA2D38" w:rsidRPr="009E79CE">
        <w:rPr>
          <w:rFonts w:cs="Times New Roman"/>
          <w:szCs w:val="24"/>
        </w:rPr>
        <w:t xml:space="preserve"> et al. find that liberal and conservative justices respond differently to the presence of powerful interest groups of the opposing ideology. The more conservative justices tend to view the presence of a powerful liberal amicus group as a signal to vote against the party that group supports.  This particular finding undermines the legal persuasion model of decision making and supports the attitudinal model.  At the same time, </w:t>
      </w:r>
      <w:r w:rsidR="00CA2D38" w:rsidRPr="009E79CE">
        <w:rPr>
          <w:rFonts w:cs="Times New Roman"/>
          <w:szCs w:val="24"/>
        </w:rPr>
        <w:lastRenderedPageBreak/>
        <w:t>liberal justices are more likely to vote conservatively in cases involving a powerful conservative amicus.  This finding is supportive of the legal persuasion model.</w:t>
      </w:r>
      <w:r w:rsidR="00CA2D38">
        <w:rPr>
          <w:szCs w:val="24"/>
        </w:rPr>
        <w:t xml:space="preserve">   </w:t>
      </w:r>
      <w:r w:rsidR="00A86BD6">
        <w:rPr>
          <w:szCs w:val="24"/>
        </w:rPr>
        <w:t>Similarly,</w:t>
      </w:r>
      <w:r w:rsidR="0040008C">
        <w:rPr>
          <w:szCs w:val="24"/>
        </w:rPr>
        <w:t xml:space="preserve"> the research of Corley, Collins, and </w:t>
      </w:r>
      <w:proofErr w:type="spellStart"/>
      <w:r w:rsidR="0040008C">
        <w:rPr>
          <w:szCs w:val="24"/>
        </w:rPr>
        <w:t>Hamner</w:t>
      </w:r>
      <w:proofErr w:type="spellEnd"/>
      <w:r w:rsidR="00A86BD6">
        <w:rPr>
          <w:szCs w:val="24"/>
        </w:rPr>
        <w:t xml:space="preserve"> (2013), disc</w:t>
      </w:r>
      <w:r>
        <w:rPr>
          <w:szCs w:val="24"/>
        </w:rPr>
        <w:t xml:space="preserve">ussed above, and </w:t>
      </w:r>
      <w:proofErr w:type="spellStart"/>
      <w:r>
        <w:rPr>
          <w:szCs w:val="24"/>
        </w:rPr>
        <w:t>Unah</w:t>
      </w:r>
      <w:proofErr w:type="spellEnd"/>
      <w:r>
        <w:rPr>
          <w:szCs w:val="24"/>
        </w:rPr>
        <w:t xml:space="preserve"> and Hancock (2006), discussed below</w:t>
      </w:r>
      <w:r w:rsidR="0040008C">
        <w:rPr>
          <w:szCs w:val="24"/>
        </w:rPr>
        <w:t xml:space="preserve"> in Ch. 3, indicate</w:t>
      </w:r>
      <w:r>
        <w:rPr>
          <w:szCs w:val="24"/>
        </w:rPr>
        <w:t xml:space="preserve"> that amici have less impact in salient cases, as justices are more likely to </w:t>
      </w:r>
      <w:r w:rsidR="0040008C">
        <w:rPr>
          <w:szCs w:val="24"/>
        </w:rPr>
        <w:t xml:space="preserve">decide consistently with </w:t>
      </w:r>
      <w:r>
        <w:rPr>
          <w:szCs w:val="24"/>
        </w:rPr>
        <w:t>their attitudes in such cases.</w:t>
      </w:r>
      <w:r w:rsidR="00A86BD6">
        <w:rPr>
          <w:szCs w:val="24"/>
        </w:rPr>
        <w:t xml:space="preserve"> </w:t>
      </w:r>
      <w:r w:rsidR="00CA2D38">
        <w:rPr>
          <w:szCs w:val="24"/>
        </w:rPr>
        <w:t xml:space="preserve">In short, </w:t>
      </w:r>
      <w:r w:rsidR="00A86BD6">
        <w:rPr>
          <w:szCs w:val="24"/>
        </w:rPr>
        <w:t>which model</w:t>
      </w:r>
      <w:r w:rsidR="00F122E7">
        <w:rPr>
          <w:szCs w:val="24"/>
        </w:rPr>
        <w:t xml:space="preserve"> of decision-making</w:t>
      </w:r>
      <w:r w:rsidR="00A86BD6">
        <w:rPr>
          <w:szCs w:val="24"/>
        </w:rPr>
        <w:t xml:space="preserve"> best explains the impact of amicus curiae depends on the </w:t>
      </w:r>
      <w:r>
        <w:rPr>
          <w:szCs w:val="24"/>
        </w:rPr>
        <w:t xml:space="preserve">case </w:t>
      </w:r>
      <w:r w:rsidR="00A86BD6">
        <w:rPr>
          <w:szCs w:val="24"/>
        </w:rPr>
        <w:t>context and the actors involved.</w:t>
      </w:r>
    </w:p>
    <w:p w:rsidR="0060471A" w:rsidRDefault="0060471A" w:rsidP="00D50941">
      <w:pPr>
        <w:spacing w:line="480" w:lineRule="auto"/>
        <w:ind w:left="0" w:firstLine="720"/>
        <w:rPr>
          <w:szCs w:val="24"/>
        </w:rPr>
      </w:pPr>
    </w:p>
    <w:p w:rsidR="00CE67C9" w:rsidRDefault="00CE67C9" w:rsidP="00D50941">
      <w:pPr>
        <w:spacing w:line="480" w:lineRule="auto"/>
        <w:ind w:left="0" w:firstLine="720"/>
        <w:rPr>
          <w:szCs w:val="24"/>
        </w:rPr>
      </w:pPr>
    </w:p>
    <w:p w:rsidR="0048512A" w:rsidRDefault="0048512A" w:rsidP="00CE67C9">
      <w:pPr>
        <w:spacing w:line="480" w:lineRule="auto"/>
        <w:ind w:left="0" w:firstLine="0"/>
        <w:rPr>
          <w:b/>
          <w:sz w:val="32"/>
          <w:szCs w:val="32"/>
          <w:u w:val="single"/>
        </w:rPr>
      </w:pPr>
    </w:p>
    <w:p w:rsidR="000A4321" w:rsidRDefault="000A4321" w:rsidP="00CE67C9">
      <w:pPr>
        <w:spacing w:line="480" w:lineRule="auto"/>
        <w:ind w:left="0" w:firstLine="0"/>
        <w:rPr>
          <w:b/>
          <w:sz w:val="32"/>
          <w:szCs w:val="32"/>
          <w:u w:val="single"/>
        </w:rPr>
      </w:pPr>
    </w:p>
    <w:p w:rsidR="0040008C" w:rsidRDefault="0040008C" w:rsidP="00CE67C9">
      <w:pPr>
        <w:spacing w:line="480" w:lineRule="auto"/>
        <w:ind w:left="0" w:firstLine="0"/>
        <w:rPr>
          <w:b/>
          <w:sz w:val="32"/>
          <w:szCs w:val="32"/>
          <w:u w:val="single"/>
        </w:rPr>
      </w:pPr>
    </w:p>
    <w:p w:rsidR="0040008C" w:rsidRDefault="0040008C" w:rsidP="00CE67C9">
      <w:pPr>
        <w:spacing w:line="480" w:lineRule="auto"/>
        <w:ind w:left="0" w:firstLine="0"/>
        <w:rPr>
          <w:b/>
          <w:sz w:val="32"/>
          <w:szCs w:val="32"/>
          <w:u w:val="single"/>
        </w:rPr>
      </w:pPr>
    </w:p>
    <w:p w:rsidR="0040008C" w:rsidRDefault="0040008C" w:rsidP="00CE67C9">
      <w:pPr>
        <w:spacing w:line="480" w:lineRule="auto"/>
        <w:ind w:left="0" w:firstLine="0"/>
        <w:rPr>
          <w:b/>
          <w:sz w:val="32"/>
          <w:szCs w:val="32"/>
          <w:u w:val="single"/>
        </w:rPr>
      </w:pPr>
    </w:p>
    <w:p w:rsidR="006171B4" w:rsidRDefault="006171B4" w:rsidP="00CE67C9">
      <w:pPr>
        <w:spacing w:line="480" w:lineRule="auto"/>
        <w:ind w:left="0" w:firstLine="0"/>
        <w:rPr>
          <w:b/>
          <w:sz w:val="32"/>
          <w:szCs w:val="32"/>
          <w:u w:val="single"/>
        </w:rPr>
      </w:pPr>
    </w:p>
    <w:p w:rsidR="006171B4" w:rsidRDefault="006171B4" w:rsidP="00CE67C9">
      <w:pPr>
        <w:spacing w:line="480" w:lineRule="auto"/>
        <w:ind w:left="0" w:firstLine="0"/>
        <w:rPr>
          <w:b/>
          <w:sz w:val="32"/>
          <w:szCs w:val="32"/>
          <w:u w:val="single"/>
        </w:rPr>
      </w:pPr>
    </w:p>
    <w:p w:rsidR="00F122E7" w:rsidRDefault="00F122E7" w:rsidP="00CE67C9">
      <w:pPr>
        <w:spacing w:line="480" w:lineRule="auto"/>
        <w:ind w:left="0" w:firstLine="0"/>
        <w:rPr>
          <w:b/>
          <w:sz w:val="32"/>
          <w:szCs w:val="32"/>
          <w:u w:val="single"/>
        </w:rPr>
      </w:pPr>
    </w:p>
    <w:p w:rsidR="00F122E7" w:rsidRDefault="00F122E7" w:rsidP="00CE67C9">
      <w:pPr>
        <w:spacing w:line="480" w:lineRule="auto"/>
        <w:ind w:left="0" w:firstLine="0"/>
        <w:rPr>
          <w:b/>
          <w:sz w:val="32"/>
          <w:szCs w:val="32"/>
          <w:u w:val="single"/>
        </w:rPr>
      </w:pPr>
    </w:p>
    <w:p w:rsidR="00F122E7" w:rsidRDefault="00F122E7" w:rsidP="00CE67C9">
      <w:pPr>
        <w:spacing w:line="480" w:lineRule="auto"/>
        <w:ind w:left="0" w:firstLine="0"/>
        <w:rPr>
          <w:b/>
          <w:sz w:val="32"/>
          <w:szCs w:val="32"/>
          <w:u w:val="single"/>
        </w:rPr>
      </w:pPr>
    </w:p>
    <w:p w:rsidR="00F122E7" w:rsidRDefault="00F122E7" w:rsidP="00CE67C9">
      <w:pPr>
        <w:spacing w:line="480" w:lineRule="auto"/>
        <w:ind w:left="0" w:firstLine="0"/>
        <w:rPr>
          <w:b/>
          <w:sz w:val="32"/>
          <w:szCs w:val="32"/>
          <w:u w:val="single"/>
        </w:rPr>
      </w:pPr>
    </w:p>
    <w:p w:rsidR="00F122E7" w:rsidRDefault="00F122E7" w:rsidP="00CE67C9">
      <w:pPr>
        <w:spacing w:line="480" w:lineRule="auto"/>
        <w:ind w:left="0" w:firstLine="0"/>
        <w:rPr>
          <w:b/>
          <w:sz w:val="32"/>
          <w:szCs w:val="32"/>
          <w:u w:val="single"/>
        </w:rPr>
      </w:pPr>
    </w:p>
    <w:p w:rsidR="00CE67C9" w:rsidRPr="00296A8E" w:rsidRDefault="00296A8E" w:rsidP="00296A8E">
      <w:pPr>
        <w:spacing w:line="480" w:lineRule="auto"/>
        <w:ind w:left="0" w:firstLine="0"/>
        <w:jc w:val="center"/>
        <w:rPr>
          <w:b/>
          <w:sz w:val="32"/>
          <w:szCs w:val="32"/>
        </w:rPr>
      </w:pPr>
      <w:r w:rsidRPr="00296A8E">
        <w:rPr>
          <w:b/>
          <w:sz w:val="32"/>
          <w:szCs w:val="32"/>
        </w:rPr>
        <w:lastRenderedPageBreak/>
        <w:t>Chapter 2</w:t>
      </w:r>
      <w:r>
        <w:rPr>
          <w:b/>
          <w:sz w:val="32"/>
          <w:szCs w:val="32"/>
        </w:rPr>
        <w:t>:</w:t>
      </w:r>
      <w:r w:rsidR="00CE67C9" w:rsidRPr="00296A8E">
        <w:rPr>
          <w:b/>
          <w:sz w:val="32"/>
          <w:szCs w:val="32"/>
        </w:rPr>
        <w:t xml:space="preserve"> The Roberts Court</w:t>
      </w:r>
    </w:p>
    <w:p w:rsidR="00BE2E20" w:rsidRDefault="00B03C9D" w:rsidP="00296A8E">
      <w:pPr>
        <w:spacing w:line="480" w:lineRule="auto"/>
        <w:ind w:left="0" w:firstLine="720"/>
        <w:rPr>
          <w:rFonts w:cs="Times New Roman"/>
          <w:szCs w:val="24"/>
        </w:rPr>
      </w:pPr>
      <w:r>
        <w:rPr>
          <w:szCs w:val="24"/>
        </w:rPr>
        <w:t>In order to provide context and frame the subsequent description and analysis of am</w:t>
      </w:r>
      <w:r w:rsidR="00141CF5">
        <w:rPr>
          <w:szCs w:val="24"/>
        </w:rPr>
        <w:t>icus participation and impact</w:t>
      </w:r>
      <w:r>
        <w:rPr>
          <w:szCs w:val="24"/>
        </w:rPr>
        <w:t xml:space="preserve"> on the Roberts Court, it is </w:t>
      </w:r>
      <w:r w:rsidR="00585F09">
        <w:rPr>
          <w:szCs w:val="24"/>
        </w:rPr>
        <w:t>appropriate to include a brief overview</w:t>
      </w:r>
      <w:r>
        <w:rPr>
          <w:szCs w:val="24"/>
        </w:rPr>
        <w:t xml:space="preserve">, along with descriptive statistics, of the Roberts Court era (2005 – 2012 terms of the USSC).  </w:t>
      </w:r>
      <w:r w:rsidR="00BE2E20">
        <w:rPr>
          <w:rFonts w:cs="Times New Roman"/>
          <w:szCs w:val="24"/>
        </w:rPr>
        <w:t>The Roberts Court has seen four new justices join its ranks since its inception</w:t>
      </w:r>
      <w:r w:rsidR="00FF52B6">
        <w:rPr>
          <w:rFonts w:cs="Times New Roman"/>
          <w:szCs w:val="24"/>
        </w:rPr>
        <w:t>.  Two justices were appointed by President Bush – Roberts and Alito – and two wer</w:t>
      </w:r>
      <w:r w:rsidR="00141CF5">
        <w:rPr>
          <w:rFonts w:cs="Times New Roman"/>
          <w:szCs w:val="24"/>
        </w:rPr>
        <w:t xml:space="preserve">e appointed by President Obama – </w:t>
      </w:r>
      <w:r w:rsidR="007756E3">
        <w:rPr>
          <w:rFonts w:cs="Times New Roman"/>
          <w:szCs w:val="24"/>
        </w:rPr>
        <w:t>Sotomayor and Kagan</w:t>
      </w:r>
      <w:r w:rsidR="00FF52B6">
        <w:rPr>
          <w:rFonts w:cs="Times New Roman"/>
          <w:szCs w:val="24"/>
        </w:rPr>
        <w:t>.</w:t>
      </w:r>
      <w:r w:rsidR="007D1B07">
        <w:rPr>
          <w:rFonts w:cs="Times New Roman"/>
          <w:szCs w:val="24"/>
        </w:rPr>
        <w:t xml:space="preserve">  Of the </w:t>
      </w:r>
      <w:r w:rsidR="00C81C9C">
        <w:rPr>
          <w:rFonts w:cs="Times New Roman"/>
          <w:szCs w:val="24"/>
        </w:rPr>
        <w:t>eleven</w:t>
      </w:r>
      <w:r w:rsidR="007D1B07">
        <w:rPr>
          <w:rFonts w:cs="Times New Roman"/>
          <w:szCs w:val="24"/>
        </w:rPr>
        <w:t xml:space="preserve"> justices who have served on the Roberts Court since its inception</w:t>
      </w:r>
      <w:r w:rsidR="00FE68EC">
        <w:rPr>
          <w:rFonts w:cs="Times New Roman"/>
          <w:szCs w:val="24"/>
        </w:rPr>
        <w:t xml:space="preserve"> in 2005</w:t>
      </w:r>
      <w:r w:rsidR="00C81C9C">
        <w:rPr>
          <w:rFonts w:cs="Times New Roman"/>
          <w:szCs w:val="24"/>
        </w:rPr>
        <w:t>, seven</w:t>
      </w:r>
      <w:r w:rsidR="007D1B07">
        <w:rPr>
          <w:rFonts w:cs="Times New Roman"/>
          <w:szCs w:val="24"/>
        </w:rPr>
        <w:t xml:space="preserve"> have been appointed by Republican presidents (Stevens, Souter, Scalia, Thomas, Alito, Kennedy, and Roberts), while only four have been appointed by Democratic Presidents (Ginsburg, Breyer, Sotomayor, and Kagan). </w:t>
      </w:r>
      <w:r w:rsidR="006A186D">
        <w:rPr>
          <w:rFonts w:cs="Times New Roman"/>
          <w:szCs w:val="24"/>
        </w:rPr>
        <w:t xml:space="preserve"> The advantage of Republican appointees on the Roberts Court provides an indication of its conservative leaning.  </w:t>
      </w:r>
      <w:r w:rsidR="009C7CEB">
        <w:rPr>
          <w:rFonts w:cs="Times New Roman"/>
          <w:szCs w:val="24"/>
        </w:rPr>
        <w:t>There is general consensus amongst scholars and pr</w:t>
      </w:r>
      <w:r w:rsidR="00206A47">
        <w:rPr>
          <w:rFonts w:cs="Times New Roman"/>
          <w:szCs w:val="24"/>
        </w:rPr>
        <w:t>actitioners of the justices whom</w:t>
      </w:r>
      <w:r w:rsidR="009C7CEB">
        <w:rPr>
          <w:rFonts w:cs="Times New Roman"/>
          <w:szCs w:val="24"/>
        </w:rPr>
        <w:t xml:space="preserve"> constitute the left and right of the Roberts Court.  Justices Scalia, Thomas, Alito, and </w:t>
      </w:r>
      <w:proofErr w:type="gramStart"/>
      <w:r w:rsidR="009C7CEB">
        <w:rPr>
          <w:rFonts w:cs="Times New Roman"/>
          <w:szCs w:val="24"/>
        </w:rPr>
        <w:t>R</w:t>
      </w:r>
      <w:r w:rsidR="009D576D">
        <w:rPr>
          <w:rFonts w:cs="Times New Roman"/>
          <w:szCs w:val="24"/>
        </w:rPr>
        <w:t>oberts</w:t>
      </w:r>
      <w:proofErr w:type="gramEnd"/>
      <w:r w:rsidR="009D576D">
        <w:rPr>
          <w:rFonts w:cs="Times New Roman"/>
          <w:szCs w:val="24"/>
        </w:rPr>
        <w:t xml:space="preserve"> make</w:t>
      </w:r>
      <w:r w:rsidR="00206A47">
        <w:rPr>
          <w:rFonts w:cs="Times New Roman"/>
          <w:szCs w:val="24"/>
        </w:rPr>
        <w:t xml:space="preserve">-up the </w:t>
      </w:r>
      <w:r w:rsidR="009C7CEB">
        <w:rPr>
          <w:rFonts w:cs="Times New Roman"/>
          <w:szCs w:val="24"/>
        </w:rPr>
        <w:t xml:space="preserve">conservative wing of the Roberts Court, while current Justices Ginsburg, Breyer, Sotomayor, and Kagan (and formerly Souter and Stevens) </w:t>
      </w:r>
      <w:r w:rsidR="00206A47">
        <w:rPr>
          <w:rFonts w:cs="Times New Roman"/>
          <w:szCs w:val="24"/>
        </w:rPr>
        <w:t xml:space="preserve">occupy </w:t>
      </w:r>
      <w:r w:rsidR="009C7CEB">
        <w:rPr>
          <w:rFonts w:cs="Times New Roman"/>
          <w:szCs w:val="24"/>
        </w:rPr>
        <w:t xml:space="preserve">the liberal camp.  </w:t>
      </w:r>
      <w:r w:rsidR="00206A47">
        <w:rPr>
          <w:rFonts w:cs="Times New Roman"/>
          <w:szCs w:val="24"/>
        </w:rPr>
        <w:t xml:space="preserve"> Justice Kennedy</w:t>
      </w:r>
      <w:r w:rsidR="009D576D">
        <w:rPr>
          <w:rFonts w:cs="Times New Roman"/>
          <w:szCs w:val="24"/>
        </w:rPr>
        <w:t xml:space="preserve"> typically falls in the middle </w:t>
      </w:r>
      <w:r w:rsidR="00206A47">
        <w:rPr>
          <w:rFonts w:cs="Times New Roman"/>
          <w:szCs w:val="24"/>
        </w:rPr>
        <w:t>of these two camps – the metaphorical “swing” justice of the Roberts Court.</w:t>
      </w:r>
    </w:p>
    <w:p w:rsidR="00206A47" w:rsidRDefault="00206A47" w:rsidP="00206A47">
      <w:pPr>
        <w:spacing w:line="480" w:lineRule="auto"/>
        <w:ind w:left="0" w:firstLine="0"/>
        <w:rPr>
          <w:rFonts w:cs="Times New Roman"/>
          <w:szCs w:val="24"/>
        </w:rPr>
      </w:pPr>
    </w:p>
    <w:p w:rsidR="00206A47" w:rsidRPr="00993243" w:rsidRDefault="00993243" w:rsidP="00206A47">
      <w:pPr>
        <w:pStyle w:val="ListParagraph"/>
        <w:numPr>
          <w:ilvl w:val="0"/>
          <w:numId w:val="38"/>
        </w:numPr>
        <w:spacing w:line="480" w:lineRule="auto"/>
        <w:jc w:val="both"/>
        <w:rPr>
          <w:b/>
          <w:szCs w:val="24"/>
        </w:rPr>
      </w:pPr>
      <w:r>
        <w:rPr>
          <w:b/>
          <w:szCs w:val="24"/>
        </w:rPr>
        <w:t>Literature and</w:t>
      </w:r>
      <w:r w:rsidR="00206A47" w:rsidRPr="00993243">
        <w:rPr>
          <w:b/>
          <w:szCs w:val="24"/>
        </w:rPr>
        <w:t xml:space="preserve"> Case Law Review</w:t>
      </w:r>
    </w:p>
    <w:p w:rsidR="00585F09" w:rsidRDefault="00FE68EC" w:rsidP="00774291">
      <w:pPr>
        <w:spacing w:line="480" w:lineRule="auto"/>
        <w:ind w:left="0" w:firstLine="720"/>
        <w:rPr>
          <w:rFonts w:cs="Times New Roman"/>
          <w:szCs w:val="24"/>
        </w:rPr>
      </w:pPr>
      <w:r>
        <w:rPr>
          <w:rFonts w:cs="Times New Roman"/>
          <w:szCs w:val="24"/>
        </w:rPr>
        <w:t>One constant on the Robert</w:t>
      </w:r>
      <w:r w:rsidR="00585F09">
        <w:rPr>
          <w:rFonts w:cs="Times New Roman"/>
          <w:szCs w:val="24"/>
        </w:rPr>
        <w:t xml:space="preserve">s Court has been the </w:t>
      </w:r>
      <w:r w:rsidR="00956FCB">
        <w:rPr>
          <w:rFonts w:cs="Times New Roman"/>
          <w:szCs w:val="24"/>
        </w:rPr>
        <w:t xml:space="preserve">reliability of </w:t>
      </w:r>
      <w:r>
        <w:rPr>
          <w:rFonts w:cs="Times New Roman"/>
          <w:szCs w:val="24"/>
        </w:rPr>
        <w:t>Justice Kennedy as the pivotal “swing” vote.</w:t>
      </w:r>
      <w:r w:rsidR="001964D3">
        <w:rPr>
          <w:rFonts w:cs="Times New Roman"/>
          <w:szCs w:val="24"/>
        </w:rPr>
        <w:t xml:space="preserve">   In this vein, </w:t>
      </w:r>
      <w:r w:rsidR="001964D3">
        <w:rPr>
          <w:rFonts w:cs="Times New Roman"/>
          <w:i/>
          <w:szCs w:val="24"/>
        </w:rPr>
        <w:t xml:space="preserve">Time </w:t>
      </w:r>
      <w:r w:rsidR="00DB2C6B">
        <w:rPr>
          <w:rFonts w:cs="Times New Roman"/>
          <w:i/>
          <w:szCs w:val="24"/>
        </w:rPr>
        <w:t>Magazine</w:t>
      </w:r>
      <w:r w:rsidR="001964D3">
        <w:rPr>
          <w:rFonts w:cs="Times New Roman"/>
          <w:szCs w:val="24"/>
        </w:rPr>
        <w:t xml:space="preserve"> (2012) has labeled Justice Kennedy “The Decider.”</w:t>
      </w:r>
      <w:r w:rsidR="00EE23D3">
        <w:rPr>
          <w:rFonts w:cs="Times New Roman"/>
          <w:szCs w:val="24"/>
        </w:rPr>
        <w:t xml:space="preserve">  </w:t>
      </w:r>
      <w:r w:rsidR="00956FCB">
        <w:rPr>
          <w:rFonts w:cs="Times New Roman"/>
          <w:szCs w:val="24"/>
        </w:rPr>
        <w:t>In fact, K</w:t>
      </w:r>
      <w:r w:rsidR="00206A47">
        <w:rPr>
          <w:rFonts w:cs="Times New Roman"/>
          <w:szCs w:val="24"/>
        </w:rPr>
        <w:t xml:space="preserve">ennedy has played the role of </w:t>
      </w:r>
      <w:r w:rsidR="00956FCB">
        <w:rPr>
          <w:rFonts w:cs="Times New Roman"/>
          <w:szCs w:val="24"/>
        </w:rPr>
        <w:t>what Epstein &amp; Jacobi</w:t>
      </w:r>
      <w:r w:rsidR="00C24463">
        <w:rPr>
          <w:rFonts w:cs="Times New Roman"/>
          <w:szCs w:val="24"/>
        </w:rPr>
        <w:t xml:space="preserve"> (2008, 41)</w:t>
      </w:r>
      <w:r w:rsidR="00956FCB">
        <w:rPr>
          <w:rFonts w:cs="Times New Roman"/>
          <w:szCs w:val="24"/>
        </w:rPr>
        <w:t xml:space="preserve"> refer to as a “super-median”: a member of the Court “so powerful that they [are] able to exert significant control over the outcome and content of the Court’s decisions</w:t>
      </w:r>
      <w:r w:rsidR="00C24463">
        <w:rPr>
          <w:rFonts w:cs="Times New Roman"/>
          <w:szCs w:val="24"/>
        </w:rPr>
        <w:t>.</w:t>
      </w:r>
      <w:r w:rsidR="00956FCB">
        <w:rPr>
          <w:rFonts w:cs="Times New Roman"/>
          <w:szCs w:val="24"/>
        </w:rPr>
        <w:t xml:space="preserve">”  </w:t>
      </w:r>
      <w:proofErr w:type="spellStart"/>
      <w:r w:rsidR="00EE23D3">
        <w:rPr>
          <w:rFonts w:cs="Times New Roman"/>
          <w:szCs w:val="24"/>
        </w:rPr>
        <w:t>SCOTUSblog</w:t>
      </w:r>
      <w:proofErr w:type="spellEnd"/>
      <w:r w:rsidR="0021160C">
        <w:rPr>
          <w:rFonts w:cs="Times New Roman"/>
          <w:szCs w:val="24"/>
        </w:rPr>
        <w:t xml:space="preserve"> (2013, 2012</w:t>
      </w:r>
      <w:r w:rsidR="00EE23D3">
        <w:rPr>
          <w:rFonts w:cs="Times New Roman"/>
          <w:szCs w:val="24"/>
        </w:rPr>
        <w:t xml:space="preserve">) </w:t>
      </w:r>
      <w:r w:rsidR="00EE23D3">
        <w:rPr>
          <w:rFonts w:cs="Times New Roman"/>
          <w:szCs w:val="24"/>
        </w:rPr>
        <w:lastRenderedPageBreak/>
        <w:t>reports that Kennedy has been the justice most likely to be in the majority of</w:t>
      </w:r>
      <w:r w:rsidR="009D576D">
        <w:rPr>
          <w:rFonts w:cs="Times New Roman"/>
          <w:szCs w:val="24"/>
        </w:rPr>
        <w:t xml:space="preserve"> a</w:t>
      </w:r>
      <w:r w:rsidR="00EE23D3">
        <w:rPr>
          <w:rFonts w:cs="Times New Roman"/>
          <w:szCs w:val="24"/>
        </w:rPr>
        <w:t xml:space="preserve"> 5-4 decision </w:t>
      </w:r>
      <w:r w:rsidR="009D576D">
        <w:rPr>
          <w:rFonts w:cs="Times New Roman"/>
          <w:szCs w:val="24"/>
        </w:rPr>
        <w:t>each</w:t>
      </w:r>
      <w:r w:rsidR="0021160C">
        <w:rPr>
          <w:rFonts w:cs="Times New Roman"/>
          <w:szCs w:val="24"/>
        </w:rPr>
        <w:t xml:space="preserve"> term of the</w:t>
      </w:r>
      <w:r w:rsidR="00EE23D3">
        <w:rPr>
          <w:rFonts w:cs="Times New Roman"/>
          <w:szCs w:val="24"/>
        </w:rPr>
        <w:t xml:space="preserve"> Roberts Court.  Kennedy joined the majority coalition in </w:t>
      </w:r>
      <w:r w:rsidR="0021160C">
        <w:rPr>
          <w:rFonts w:cs="Times New Roman"/>
          <w:szCs w:val="24"/>
        </w:rPr>
        <w:t xml:space="preserve">87 percent </w:t>
      </w:r>
      <w:r w:rsidR="00EE23D3">
        <w:rPr>
          <w:rFonts w:cs="Times New Roman"/>
          <w:szCs w:val="24"/>
        </w:rPr>
        <w:t>of the Roberts Court’</w:t>
      </w:r>
      <w:r w:rsidR="0021160C">
        <w:rPr>
          <w:rFonts w:cs="Times New Roman"/>
          <w:szCs w:val="24"/>
        </w:rPr>
        <w:t>s 5-4 decision</w:t>
      </w:r>
      <w:r w:rsidR="009D576D">
        <w:rPr>
          <w:rFonts w:cs="Times New Roman"/>
          <w:szCs w:val="24"/>
        </w:rPr>
        <w:t>s</w:t>
      </w:r>
      <w:r w:rsidR="0021160C">
        <w:rPr>
          <w:rFonts w:cs="Times New Roman"/>
          <w:szCs w:val="24"/>
        </w:rPr>
        <w:t xml:space="preserve"> in 2012</w:t>
      </w:r>
      <w:r w:rsidR="00EE23D3">
        <w:rPr>
          <w:rFonts w:cs="Times New Roman"/>
          <w:szCs w:val="24"/>
        </w:rPr>
        <w:t xml:space="preserve">, </w:t>
      </w:r>
      <w:r w:rsidR="0021160C">
        <w:rPr>
          <w:rFonts w:cs="Times New Roman"/>
          <w:szCs w:val="24"/>
        </w:rPr>
        <w:t xml:space="preserve">80 percent in 2011, </w:t>
      </w:r>
      <w:r w:rsidR="00EE23D3">
        <w:rPr>
          <w:rFonts w:cs="Times New Roman"/>
          <w:szCs w:val="24"/>
        </w:rPr>
        <w:t xml:space="preserve">88 percent in 2010, 69 percent in 2009, 78 percent in 2008, </w:t>
      </w:r>
      <w:r w:rsidR="0021160C">
        <w:rPr>
          <w:rFonts w:cs="Times New Roman"/>
          <w:szCs w:val="24"/>
        </w:rPr>
        <w:t xml:space="preserve">67 percent in 2007, </w:t>
      </w:r>
      <w:r w:rsidR="00EE23D3">
        <w:rPr>
          <w:rFonts w:cs="Times New Roman"/>
          <w:szCs w:val="24"/>
        </w:rPr>
        <w:t>100 percent in 2006</w:t>
      </w:r>
      <w:r w:rsidR="0021160C">
        <w:rPr>
          <w:rFonts w:cs="Times New Roman"/>
          <w:szCs w:val="24"/>
        </w:rPr>
        <w:t>, and 75 percent in 2005</w:t>
      </w:r>
      <w:r w:rsidR="00EE23D3">
        <w:rPr>
          <w:rFonts w:cs="Times New Roman"/>
          <w:szCs w:val="24"/>
        </w:rPr>
        <w:t>.  Justice Kennedy is also the justice at the Roberts Court most likely to appe</w:t>
      </w:r>
      <w:r w:rsidR="0021160C">
        <w:rPr>
          <w:rFonts w:cs="Times New Roman"/>
          <w:szCs w:val="24"/>
        </w:rPr>
        <w:t>ar in a majority opinion, regardless of vote tally:  91 percent of cases in the majority in 2012, 93 percent in 2011 and 2010, 91 percent in 2009, 92 percent in 2008, and 86 percent in 2007.</w:t>
      </w:r>
      <w:r w:rsidR="009C7CEB">
        <w:rPr>
          <w:rFonts w:cs="Times New Roman"/>
          <w:szCs w:val="24"/>
        </w:rPr>
        <w:t xml:space="preserve">   </w:t>
      </w:r>
    </w:p>
    <w:p w:rsidR="009C7CEB" w:rsidRDefault="009C7CEB" w:rsidP="00774291">
      <w:pPr>
        <w:spacing w:line="480" w:lineRule="auto"/>
        <w:ind w:left="0" w:firstLine="720"/>
        <w:rPr>
          <w:rFonts w:cs="Times New Roman"/>
          <w:szCs w:val="24"/>
        </w:rPr>
      </w:pPr>
      <w:r>
        <w:rPr>
          <w:rFonts w:cs="Times New Roman"/>
          <w:szCs w:val="24"/>
        </w:rPr>
        <w:t>While Justice Kennedy is viewed as the median or “swing” justice on the</w:t>
      </w:r>
      <w:r w:rsidR="009D576D">
        <w:rPr>
          <w:rFonts w:cs="Times New Roman"/>
          <w:szCs w:val="24"/>
        </w:rPr>
        <w:t xml:space="preserve"> Roberts Court, he generally </w:t>
      </w:r>
      <w:r>
        <w:rPr>
          <w:rFonts w:cs="Times New Roman"/>
          <w:szCs w:val="24"/>
        </w:rPr>
        <w:t>align</w:t>
      </w:r>
      <w:r w:rsidR="009D576D">
        <w:rPr>
          <w:rFonts w:cs="Times New Roman"/>
          <w:szCs w:val="24"/>
        </w:rPr>
        <w:t>s</w:t>
      </w:r>
      <w:r>
        <w:rPr>
          <w:rFonts w:cs="Times New Roman"/>
          <w:szCs w:val="24"/>
        </w:rPr>
        <w:t xml:space="preserve"> himself </w:t>
      </w:r>
      <w:r w:rsidR="00CC6642">
        <w:rPr>
          <w:rFonts w:cs="Times New Roman"/>
          <w:szCs w:val="24"/>
        </w:rPr>
        <w:t>with the conservative wing of the USSC</w:t>
      </w:r>
      <w:r w:rsidR="002C610F">
        <w:rPr>
          <w:rFonts w:cs="Times New Roman"/>
          <w:szCs w:val="24"/>
        </w:rPr>
        <w:t>, siding almost twice as often with the co</w:t>
      </w:r>
      <w:r w:rsidR="009D576D">
        <w:rPr>
          <w:rFonts w:cs="Times New Roman"/>
          <w:szCs w:val="24"/>
        </w:rPr>
        <w:t>nservatives as with the liberals</w:t>
      </w:r>
      <w:r w:rsidR="00CC6642">
        <w:rPr>
          <w:rFonts w:cs="Times New Roman"/>
          <w:szCs w:val="24"/>
        </w:rPr>
        <w:t xml:space="preserve">. </w:t>
      </w:r>
      <w:r w:rsidR="002C610F">
        <w:rPr>
          <w:rFonts w:cs="Times New Roman"/>
          <w:szCs w:val="24"/>
        </w:rPr>
        <w:t>A</w:t>
      </w:r>
      <w:r>
        <w:rPr>
          <w:rFonts w:cs="Times New Roman"/>
          <w:szCs w:val="24"/>
        </w:rPr>
        <w:t>ccording to the Martin-Quinn judicial ideology scores,</w:t>
      </w:r>
      <w:r>
        <w:rPr>
          <w:rStyle w:val="FootnoteReference"/>
          <w:rFonts w:cs="Times New Roman"/>
          <w:szCs w:val="24"/>
        </w:rPr>
        <w:footnoteReference w:id="27"/>
      </w:r>
      <w:r>
        <w:rPr>
          <w:rFonts w:cs="Times New Roman"/>
          <w:szCs w:val="24"/>
        </w:rPr>
        <w:t xml:space="preserve"> developed by judicial scholars Andrew Quinn and Kevin Martin, </w:t>
      </w:r>
      <w:r w:rsidR="00CC6642">
        <w:rPr>
          <w:rFonts w:cs="Times New Roman"/>
          <w:szCs w:val="24"/>
        </w:rPr>
        <w:t>Justice Kennedy is very conservative by historical standards for the median justice of the USSC.   Thus, while Kennedy is typically viewed as the median of the Roberts Court, his is not necessarily viewed as a true moderate.</w:t>
      </w:r>
      <w:r w:rsidR="00FA3417">
        <w:rPr>
          <w:rFonts w:cs="Times New Roman"/>
          <w:szCs w:val="24"/>
        </w:rPr>
        <w:t xml:space="preserve">  Perhaps the most accurate description of Justice Kennedy’s ideology is provided by Knowles (2009), who, in her boo</w:t>
      </w:r>
      <w:r w:rsidR="00206A47">
        <w:rPr>
          <w:rFonts w:cs="Times New Roman"/>
          <w:szCs w:val="24"/>
        </w:rPr>
        <w:t>k</w:t>
      </w:r>
      <w:r w:rsidR="009D576D">
        <w:rPr>
          <w:rFonts w:cs="Times New Roman"/>
          <w:szCs w:val="24"/>
        </w:rPr>
        <w:t xml:space="preserve"> </w:t>
      </w:r>
      <w:r w:rsidR="00FA3417">
        <w:rPr>
          <w:rFonts w:cs="Times New Roman"/>
          <w:szCs w:val="24"/>
        </w:rPr>
        <w:t xml:space="preserve">– </w:t>
      </w:r>
      <w:r w:rsidR="00FA3417">
        <w:rPr>
          <w:rFonts w:cs="Times New Roman"/>
          <w:i/>
          <w:szCs w:val="24"/>
        </w:rPr>
        <w:t xml:space="preserve">The Tie Goes to Freedom: Justice Anthony M. Kennedy on Liberty </w:t>
      </w:r>
      <w:r w:rsidR="00206A47">
        <w:rPr>
          <w:rFonts w:cs="Times New Roman"/>
          <w:szCs w:val="24"/>
        </w:rPr>
        <w:t>–</w:t>
      </w:r>
      <w:r w:rsidR="009D576D">
        <w:rPr>
          <w:rFonts w:cs="Times New Roman"/>
          <w:szCs w:val="24"/>
        </w:rPr>
        <w:t xml:space="preserve"> characterizes Kennedy’s</w:t>
      </w:r>
      <w:r w:rsidR="00FA3417">
        <w:rPr>
          <w:rFonts w:cs="Times New Roman"/>
          <w:szCs w:val="24"/>
        </w:rPr>
        <w:t xml:space="preserve"> jurisprudence as “modestly libertarian.”  Knowles</w:t>
      </w:r>
      <w:r w:rsidR="004060CD">
        <w:rPr>
          <w:rFonts w:cs="Times New Roman"/>
          <w:szCs w:val="24"/>
        </w:rPr>
        <w:t xml:space="preserve"> (2009, 5)</w:t>
      </w:r>
      <w:r w:rsidR="00FA3417">
        <w:rPr>
          <w:rFonts w:cs="Times New Roman"/>
          <w:szCs w:val="24"/>
        </w:rPr>
        <w:t xml:space="preserve"> goes on to qualify this label by asserting that Kennedy</w:t>
      </w:r>
      <w:r w:rsidR="00206A47">
        <w:rPr>
          <w:rFonts w:cs="Times New Roman"/>
          <w:szCs w:val="24"/>
        </w:rPr>
        <w:t>’s</w:t>
      </w:r>
      <w:r w:rsidR="00FA3417">
        <w:rPr>
          <w:rFonts w:cs="Times New Roman"/>
          <w:szCs w:val="24"/>
        </w:rPr>
        <w:t xml:space="preserve"> </w:t>
      </w:r>
      <w:r w:rsidR="004060CD">
        <w:rPr>
          <w:rFonts w:cs="Times New Roman"/>
          <w:szCs w:val="24"/>
        </w:rPr>
        <w:t xml:space="preserve">documented </w:t>
      </w:r>
      <w:r w:rsidR="00FA3417">
        <w:rPr>
          <w:rFonts w:cs="Times New Roman"/>
          <w:szCs w:val="24"/>
        </w:rPr>
        <w:t xml:space="preserve">embrace of judicial activism (i.e., his willingness to strike down state and federal laws) is </w:t>
      </w:r>
      <w:r w:rsidR="004060CD">
        <w:rPr>
          <w:rFonts w:cs="Times New Roman"/>
          <w:szCs w:val="24"/>
        </w:rPr>
        <w:t>part and parcel of his modestly libertarian philosophy: “his requirement that governmental actions pass far more stringent tests when they impinge upon liberty in ways that demean the individual, negatively affect a person’s dignity, diminish personal responsibility, or treat in a particular way because of their race is entirely consistent with the tenets of libertarian thought.”</w:t>
      </w:r>
    </w:p>
    <w:p w:rsidR="00FE68EC" w:rsidRPr="00CC6642" w:rsidRDefault="00CC6642" w:rsidP="00CC6642">
      <w:pPr>
        <w:spacing w:line="480" w:lineRule="auto"/>
        <w:ind w:left="0" w:firstLine="0"/>
        <w:rPr>
          <w:rFonts w:cs="Times New Roman"/>
          <w:szCs w:val="24"/>
        </w:rPr>
      </w:pPr>
      <w:r>
        <w:rPr>
          <w:rFonts w:cs="Times New Roman"/>
          <w:color w:val="FF0000"/>
          <w:szCs w:val="24"/>
        </w:rPr>
        <w:lastRenderedPageBreak/>
        <w:tab/>
      </w:r>
      <w:r>
        <w:rPr>
          <w:rFonts w:cs="Times New Roman"/>
          <w:szCs w:val="24"/>
        </w:rPr>
        <w:t xml:space="preserve">According to the Martin-Quinn judicial ideology scores, </w:t>
      </w:r>
      <w:r w:rsidR="002C610F">
        <w:rPr>
          <w:rFonts w:cs="Times New Roman"/>
          <w:szCs w:val="24"/>
        </w:rPr>
        <w:t xml:space="preserve">which go back to 1937, </w:t>
      </w:r>
      <w:r>
        <w:rPr>
          <w:rFonts w:cs="Times New Roman"/>
          <w:szCs w:val="24"/>
        </w:rPr>
        <w:t>the Roberts Court is</w:t>
      </w:r>
      <w:r w:rsidR="002C610F">
        <w:rPr>
          <w:rFonts w:cs="Times New Roman"/>
          <w:szCs w:val="24"/>
        </w:rPr>
        <w:t xml:space="preserve"> </w:t>
      </w:r>
      <w:r>
        <w:rPr>
          <w:rFonts w:cs="Times New Roman"/>
          <w:szCs w:val="24"/>
        </w:rPr>
        <w:t xml:space="preserve">the most conservative of the modern USSC era.  Many USSC observers agree with this statistical conclusion. </w:t>
      </w:r>
      <w:r w:rsidR="002C610F">
        <w:rPr>
          <w:rFonts w:cs="Times New Roman"/>
          <w:szCs w:val="24"/>
        </w:rPr>
        <w:t xml:space="preserve"> The conservative orientation of the Roberts Court can be explained by </w:t>
      </w:r>
      <w:r w:rsidR="00585F09">
        <w:rPr>
          <w:rFonts w:cs="Times New Roman"/>
          <w:szCs w:val="24"/>
        </w:rPr>
        <w:t>the following factors</w:t>
      </w:r>
      <w:r w:rsidR="002C610F">
        <w:rPr>
          <w:rFonts w:cs="Times New Roman"/>
          <w:szCs w:val="24"/>
        </w:rPr>
        <w:t xml:space="preserve">: (1) the rightward shift of public opinion over time, which has, in turn, impacted the USSC; (2) the replacement of the more moderate Justice Sandra Day O’Connor with the more conservative Justice Samuel Alito; and (3) the numerical advantage of Republican appointees on the USSC. </w:t>
      </w:r>
    </w:p>
    <w:p w:rsidR="001B1A62" w:rsidRDefault="001B1A62" w:rsidP="001B1A62">
      <w:pPr>
        <w:spacing w:line="480" w:lineRule="auto"/>
        <w:ind w:left="0" w:firstLine="720"/>
        <w:rPr>
          <w:szCs w:val="24"/>
        </w:rPr>
      </w:pPr>
      <w:r>
        <w:rPr>
          <w:szCs w:val="24"/>
        </w:rPr>
        <w:t>In his statements before the Senate Judiciary Committee during his confirmation hearing</w:t>
      </w:r>
      <w:r>
        <w:t xml:space="preserve"> during 2005</w:t>
      </w:r>
      <w:r>
        <w:rPr>
          <w:szCs w:val="24"/>
        </w:rPr>
        <w:t xml:space="preserve">, Chief Justice John Roberts pledged to respect the other branches of government as co-equals, </w:t>
      </w:r>
      <w:r w:rsidR="00897932">
        <w:rPr>
          <w:szCs w:val="24"/>
        </w:rPr>
        <w:t xml:space="preserve">to </w:t>
      </w:r>
      <w:r>
        <w:rPr>
          <w:szCs w:val="24"/>
        </w:rPr>
        <w:t xml:space="preserve">make a renewed push for consensus on the USSC, to reach narrow rulings designed to build broad coalitions, and to seek a jurisprudence characterized by modesty and humility (Winkler 2012).   He likened the role of USSC justices to umpires: </w:t>
      </w:r>
    </w:p>
    <w:p w:rsidR="001B1A62" w:rsidRDefault="001B1A62" w:rsidP="001B1A62">
      <w:pPr>
        <w:ind w:firstLine="0"/>
      </w:pPr>
      <w:r>
        <w:rPr>
          <w:szCs w:val="24"/>
        </w:rPr>
        <w:t>Umpires don’t make the rules; they apply them.  The role of an umpire and a judge is critical. They make sure everybody plays by the rules.  But it is a limited role. Nobody ever went to a ballgame to see</w:t>
      </w:r>
      <w:r>
        <w:t xml:space="preserve"> the umpire … I will remember that it’s my job to call balls and strikes and not to pitch or bat (Roberts 2005).</w:t>
      </w:r>
    </w:p>
    <w:p w:rsidR="00585F09" w:rsidRDefault="00585F09" w:rsidP="00585F09">
      <w:pPr>
        <w:spacing w:line="480" w:lineRule="auto"/>
        <w:ind w:left="0" w:firstLine="0"/>
        <w:rPr>
          <w:rFonts w:cs="Times New Roman"/>
          <w:szCs w:val="24"/>
        </w:rPr>
      </w:pPr>
    </w:p>
    <w:p w:rsidR="00585F09" w:rsidRDefault="001B1A62" w:rsidP="00585F09">
      <w:pPr>
        <w:spacing w:line="480" w:lineRule="auto"/>
        <w:ind w:left="0" w:firstLine="720"/>
        <w:rPr>
          <w:rFonts w:cs="Times New Roman"/>
          <w:color w:val="FF0000"/>
          <w:szCs w:val="24"/>
        </w:rPr>
      </w:pPr>
      <w:r>
        <w:rPr>
          <w:rFonts w:cs="Times New Roman"/>
          <w:szCs w:val="24"/>
        </w:rPr>
        <w:t xml:space="preserve">Critics of the Roberts Court claim that Chief Justice Roberts has led a Court that has not lived up to his promises by frequently ignoring or changing precedent </w:t>
      </w:r>
      <w:r w:rsidR="00575589">
        <w:rPr>
          <w:rFonts w:cs="Times New Roman"/>
          <w:szCs w:val="24"/>
        </w:rPr>
        <w:t>with which it disagrees</w:t>
      </w:r>
      <w:r w:rsidR="00781BBE">
        <w:rPr>
          <w:rFonts w:cs="Times New Roman"/>
          <w:szCs w:val="24"/>
        </w:rPr>
        <w:t xml:space="preserve"> (e.g., Coyle 2013; Winkler 2012; </w:t>
      </w:r>
      <w:proofErr w:type="spellStart"/>
      <w:r w:rsidR="00781BBE">
        <w:rPr>
          <w:rFonts w:cs="Times New Roman"/>
          <w:szCs w:val="24"/>
        </w:rPr>
        <w:t>Toobin</w:t>
      </w:r>
      <w:proofErr w:type="spellEnd"/>
      <w:r w:rsidR="00781BBE">
        <w:rPr>
          <w:rFonts w:cs="Times New Roman"/>
          <w:szCs w:val="24"/>
        </w:rPr>
        <w:t xml:space="preserve"> 2009; </w:t>
      </w:r>
      <w:r w:rsidR="00575589">
        <w:rPr>
          <w:rFonts w:cs="Times New Roman"/>
          <w:szCs w:val="24"/>
        </w:rPr>
        <w:t xml:space="preserve">Nichol 2011; </w:t>
      </w:r>
      <w:r w:rsidR="00781BBE">
        <w:rPr>
          <w:rFonts w:cs="Times New Roman"/>
          <w:szCs w:val="24"/>
        </w:rPr>
        <w:t>Greenhouse 2013)</w:t>
      </w:r>
      <w:r>
        <w:rPr>
          <w:rFonts w:cs="Times New Roman"/>
          <w:szCs w:val="24"/>
        </w:rPr>
        <w:t>.  Such critics point to controversial rulings of the Roberts Court striking down limits on corporate and union campaign spending, allowing for new restrictions on abortion, curtailing the reach of environmental protection regulations, striking down gun regulations, and rolling back civil rights protections in the area of race</w:t>
      </w:r>
      <w:r w:rsidR="00781BBE">
        <w:rPr>
          <w:rFonts w:cs="Times New Roman"/>
          <w:szCs w:val="24"/>
        </w:rPr>
        <w:t>, particularly involving affirmative action and voting rights,</w:t>
      </w:r>
      <w:r>
        <w:rPr>
          <w:rFonts w:cs="Times New Roman"/>
          <w:szCs w:val="24"/>
        </w:rPr>
        <w:t xml:space="preserve"> as evidence of th</w:t>
      </w:r>
      <w:r w:rsidR="00781BBE">
        <w:rPr>
          <w:rFonts w:cs="Times New Roman"/>
          <w:szCs w:val="24"/>
        </w:rPr>
        <w:t>is claim.</w:t>
      </w:r>
      <w:r w:rsidR="00E615FB">
        <w:rPr>
          <w:rFonts w:cs="Times New Roman"/>
          <w:szCs w:val="24"/>
        </w:rPr>
        <w:t xml:space="preserve"> </w:t>
      </w:r>
      <w:r w:rsidR="00585F09">
        <w:rPr>
          <w:rFonts w:cs="Times New Roman"/>
          <w:color w:val="FF0000"/>
          <w:szCs w:val="24"/>
        </w:rPr>
        <w:t xml:space="preserve"> </w:t>
      </w:r>
    </w:p>
    <w:p w:rsidR="001B1A62" w:rsidRPr="00BC468C" w:rsidRDefault="00585F09" w:rsidP="00585F09">
      <w:pPr>
        <w:spacing w:line="480" w:lineRule="auto"/>
        <w:ind w:left="0" w:firstLine="720"/>
        <w:rPr>
          <w:rFonts w:cs="Times New Roman"/>
          <w:szCs w:val="24"/>
        </w:rPr>
      </w:pPr>
      <w:r>
        <w:rPr>
          <w:rFonts w:cs="Times New Roman"/>
          <w:szCs w:val="24"/>
        </w:rPr>
        <w:lastRenderedPageBreak/>
        <w:t>Other scholars disagree with this characterization of the Roberts Court as activist and ultra-conservative</w:t>
      </w:r>
      <w:r w:rsidR="00D346EF">
        <w:rPr>
          <w:rFonts w:cs="Times New Roman"/>
          <w:szCs w:val="24"/>
        </w:rPr>
        <w:t xml:space="preserve"> (e.g., Adler 2010, Rhodes 2011)</w:t>
      </w:r>
      <w:r>
        <w:rPr>
          <w:rFonts w:cs="Times New Roman"/>
          <w:szCs w:val="24"/>
        </w:rPr>
        <w:t xml:space="preserve">.  For example, in an empirical and doctrinal analysis comparing the Roberts Court to its predecessor Courts, Rhodes (2011) concludes that </w:t>
      </w:r>
      <w:r w:rsidR="00232D40">
        <w:rPr>
          <w:rFonts w:cs="Times New Roman"/>
          <w:szCs w:val="24"/>
        </w:rPr>
        <w:t>the Roberts Court has</w:t>
      </w:r>
      <w:r>
        <w:rPr>
          <w:rFonts w:cs="Times New Roman"/>
          <w:szCs w:val="24"/>
        </w:rPr>
        <w:t xml:space="preserve"> a better record of adhering to constitutional precedent than any other Court over the past 50 years</w:t>
      </w:r>
      <w:r w:rsidR="00232D40">
        <w:rPr>
          <w:rFonts w:cs="Times New Roman"/>
          <w:szCs w:val="24"/>
        </w:rPr>
        <w:t>, and that it invalidates fewer state and local laws than any of these Courts as well</w:t>
      </w:r>
      <w:r>
        <w:rPr>
          <w:rFonts w:cs="Times New Roman"/>
          <w:szCs w:val="24"/>
        </w:rPr>
        <w:t>.  Given his findings, Rhodes’ concludes that the decisions of the Roberts Court typically evidence the principle of judicial minimalism: the Roberts Court avoids constitutional questions when possible, respects the holdings of prior decisions, and</w:t>
      </w:r>
      <w:r w:rsidR="00D346EF">
        <w:rPr>
          <w:rFonts w:cs="Times New Roman"/>
          <w:szCs w:val="24"/>
        </w:rPr>
        <w:t xml:space="preserve"> relies on incremental</w:t>
      </w:r>
      <w:r w:rsidR="00232D40">
        <w:rPr>
          <w:rFonts w:cs="Times New Roman"/>
          <w:szCs w:val="24"/>
        </w:rPr>
        <w:t xml:space="preserve"> and narrow</w:t>
      </w:r>
      <w:r w:rsidR="00D346EF">
        <w:rPr>
          <w:rFonts w:cs="Times New Roman"/>
          <w:szCs w:val="24"/>
        </w:rPr>
        <w:t xml:space="preserve"> approach to constitutional rule-making and statutory interpretation.</w:t>
      </w:r>
      <w:r w:rsidR="00232D40">
        <w:rPr>
          <w:rFonts w:cs="Times New Roman"/>
          <w:szCs w:val="24"/>
        </w:rPr>
        <w:t xml:space="preserve">   Seen in this context, it is understandable why the Roberts Court has shown a propensity to decide more civil procedure cases than its predecessors, placing a renewed emphasis on legal disputes involving questions of pleadings, class actions, joinder, choice of law, personal jurisdiction, subject matter jurisdiction, and appellate rev</w:t>
      </w:r>
      <w:r w:rsidR="00EC3717">
        <w:rPr>
          <w:rFonts w:cs="Times New Roman"/>
          <w:szCs w:val="24"/>
        </w:rPr>
        <w:t>iew (Rhodes 2011; Wasserman 2012</w:t>
      </w:r>
      <w:r w:rsidR="00232D40">
        <w:rPr>
          <w:rFonts w:cs="Times New Roman"/>
          <w:szCs w:val="24"/>
        </w:rPr>
        <w:t>).</w:t>
      </w:r>
      <w:r w:rsidR="00BC468C">
        <w:rPr>
          <w:rFonts w:cs="Times New Roman"/>
          <w:szCs w:val="24"/>
        </w:rPr>
        <w:t xml:space="preserve">  Even </w:t>
      </w:r>
      <w:r w:rsidR="00BC468C">
        <w:rPr>
          <w:rFonts w:cs="Times New Roman"/>
          <w:i/>
          <w:szCs w:val="24"/>
        </w:rPr>
        <w:t xml:space="preserve">New York Times </w:t>
      </w:r>
      <w:r w:rsidR="00BC468C">
        <w:rPr>
          <w:rFonts w:cs="Times New Roman"/>
          <w:szCs w:val="24"/>
        </w:rPr>
        <w:t xml:space="preserve">columnist Adam </w:t>
      </w:r>
      <w:proofErr w:type="spellStart"/>
      <w:r w:rsidR="00BC468C">
        <w:rPr>
          <w:rFonts w:cs="Times New Roman"/>
          <w:szCs w:val="24"/>
        </w:rPr>
        <w:t>Liptak</w:t>
      </w:r>
      <w:proofErr w:type="spellEnd"/>
      <w:r w:rsidR="00BC468C">
        <w:rPr>
          <w:rFonts w:cs="Times New Roman"/>
          <w:szCs w:val="24"/>
        </w:rPr>
        <w:t xml:space="preserve"> (2013b), a consistent critic of the Roberts Court as activist and too far right, acknowledges that the most recent t</w:t>
      </w:r>
      <w:r w:rsidR="003D14A5">
        <w:rPr>
          <w:rFonts w:cs="Times New Roman"/>
          <w:szCs w:val="24"/>
        </w:rPr>
        <w:t>erm of the Roberts Court (2012)</w:t>
      </w:r>
      <w:r w:rsidR="00BC468C">
        <w:rPr>
          <w:rFonts w:cs="Times New Roman"/>
          <w:szCs w:val="24"/>
        </w:rPr>
        <w:t xml:space="preserve"> evidenced</w:t>
      </w:r>
      <w:r w:rsidR="00B72530">
        <w:rPr>
          <w:rFonts w:cs="Times New Roman"/>
          <w:szCs w:val="24"/>
        </w:rPr>
        <w:t xml:space="preserve"> a form of </w:t>
      </w:r>
      <w:r w:rsidR="00EF2CFD">
        <w:rPr>
          <w:rFonts w:cs="Times New Roman"/>
          <w:szCs w:val="24"/>
        </w:rPr>
        <w:t xml:space="preserve">judicial modesty:  </w:t>
      </w:r>
      <w:r w:rsidR="00BC468C">
        <w:rPr>
          <w:rFonts w:cs="Times New Roman"/>
          <w:szCs w:val="24"/>
        </w:rPr>
        <w:t xml:space="preserve">the USSC “declined to do away with affirmative action, gave Congress another shot at salvaging the Voting Rights Act, and refused to find a constitutional right to same-sex marriage.” </w:t>
      </w:r>
      <w:r w:rsidR="003D14A5">
        <w:rPr>
          <w:rFonts w:cs="Times New Roman"/>
          <w:szCs w:val="24"/>
        </w:rPr>
        <w:t xml:space="preserve"> </w:t>
      </w:r>
      <w:proofErr w:type="spellStart"/>
      <w:r w:rsidR="003D14A5">
        <w:rPr>
          <w:rFonts w:cs="Times New Roman"/>
          <w:szCs w:val="24"/>
        </w:rPr>
        <w:t>Liptak</w:t>
      </w:r>
      <w:proofErr w:type="spellEnd"/>
      <w:r w:rsidR="003D14A5">
        <w:rPr>
          <w:rFonts w:cs="Times New Roman"/>
          <w:szCs w:val="24"/>
        </w:rPr>
        <w:t xml:space="preserve"> even goes on to describe Chief Justice Roberts</w:t>
      </w:r>
      <w:r w:rsidR="00EB76C6">
        <w:rPr>
          <w:rFonts w:cs="Times New Roman"/>
          <w:szCs w:val="24"/>
        </w:rPr>
        <w:t>’</w:t>
      </w:r>
      <w:r w:rsidR="003D14A5">
        <w:rPr>
          <w:rFonts w:cs="Times New Roman"/>
          <w:szCs w:val="24"/>
        </w:rPr>
        <w:t xml:space="preserve"> leadership as “patient and methodical” and one which takes “the long view,” proceeding incrementally. </w:t>
      </w:r>
    </w:p>
    <w:p w:rsidR="00764CE2" w:rsidRDefault="00232D40" w:rsidP="00BA7956">
      <w:pPr>
        <w:spacing w:line="480" w:lineRule="auto"/>
        <w:ind w:left="0" w:firstLine="720"/>
        <w:rPr>
          <w:rFonts w:cs="Times New Roman"/>
          <w:color w:val="FF0000"/>
          <w:szCs w:val="24"/>
        </w:rPr>
      </w:pPr>
      <w:r>
        <w:rPr>
          <w:rFonts w:cs="Times New Roman"/>
          <w:szCs w:val="24"/>
        </w:rPr>
        <w:t>Of course, t</w:t>
      </w:r>
      <w:r w:rsidR="00E615FB">
        <w:rPr>
          <w:rFonts w:cs="Times New Roman"/>
          <w:szCs w:val="24"/>
        </w:rPr>
        <w:t>he Roberts Court has issued its fa</w:t>
      </w:r>
      <w:r w:rsidR="009F4FFC">
        <w:rPr>
          <w:rFonts w:cs="Times New Roman"/>
          <w:szCs w:val="24"/>
        </w:rPr>
        <w:t>ir share of controversial, high-</w:t>
      </w:r>
      <w:r w:rsidR="00E615FB">
        <w:rPr>
          <w:rFonts w:cs="Times New Roman"/>
          <w:szCs w:val="24"/>
        </w:rPr>
        <w:t>p</w:t>
      </w:r>
      <w:r w:rsidR="00C2464A">
        <w:rPr>
          <w:rFonts w:cs="Times New Roman"/>
          <w:szCs w:val="24"/>
        </w:rPr>
        <w:t xml:space="preserve">rofile decisions, the most notable of which has been the 2012 decision involving the PPACA, discussed in the introduction. </w:t>
      </w:r>
      <w:r w:rsidR="009F4FFC">
        <w:rPr>
          <w:rFonts w:cs="Times New Roman"/>
          <w:szCs w:val="24"/>
        </w:rPr>
        <w:t xml:space="preserve"> </w:t>
      </w:r>
      <w:r w:rsidR="00D06240">
        <w:rPr>
          <w:rFonts w:cs="Times New Roman"/>
          <w:szCs w:val="24"/>
        </w:rPr>
        <w:t>I</w:t>
      </w:r>
      <w:r w:rsidR="00E615FB">
        <w:rPr>
          <w:rFonts w:cs="Times New Roman"/>
          <w:szCs w:val="24"/>
        </w:rPr>
        <w:t xml:space="preserve">n the area of campaign finance, the Roberts Court has left its mark by striking down or narrowing campaign finance laws in the name of the First Amendment’s </w:t>
      </w:r>
      <w:r w:rsidR="00E615FB">
        <w:rPr>
          <w:rFonts w:cs="Times New Roman"/>
          <w:szCs w:val="24"/>
        </w:rPr>
        <w:lastRenderedPageBreak/>
        <w:t xml:space="preserve">protection of political speech, most notably in </w:t>
      </w:r>
      <w:r w:rsidR="00E615FB">
        <w:rPr>
          <w:rFonts w:cs="Times New Roman"/>
          <w:i/>
          <w:szCs w:val="24"/>
        </w:rPr>
        <w:t xml:space="preserve">Citizens United v. FEC </w:t>
      </w:r>
      <w:r w:rsidR="00E615FB">
        <w:rPr>
          <w:rFonts w:cs="Times New Roman"/>
          <w:szCs w:val="24"/>
        </w:rPr>
        <w:t xml:space="preserve">(2009). </w:t>
      </w:r>
      <w:r w:rsidR="00E615FB">
        <w:rPr>
          <w:rStyle w:val="FootnoteReference"/>
          <w:rFonts w:cs="Times New Roman"/>
          <w:szCs w:val="24"/>
        </w:rPr>
        <w:footnoteReference w:id="28"/>
      </w:r>
      <w:r w:rsidR="00E615FB">
        <w:rPr>
          <w:rFonts w:cs="Times New Roman"/>
          <w:szCs w:val="24"/>
        </w:rPr>
        <w:t xml:space="preserve">  </w:t>
      </w:r>
      <w:r w:rsidR="00764CE2">
        <w:rPr>
          <w:rFonts w:cs="Times New Roman"/>
          <w:szCs w:val="24"/>
        </w:rPr>
        <w:t xml:space="preserve">In the area of gun control, the Roberts Court </w:t>
      </w:r>
      <w:r w:rsidR="00D06240">
        <w:rPr>
          <w:rFonts w:cs="Times New Roman"/>
          <w:szCs w:val="24"/>
        </w:rPr>
        <w:t xml:space="preserve">has </w:t>
      </w:r>
      <w:r w:rsidR="00764CE2">
        <w:rPr>
          <w:rFonts w:cs="Times New Roman"/>
          <w:szCs w:val="24"/>
        </w:rPr>
        <w:t>struck down laws that</w:t>
      </w:r>
      <w:r w:rsidR="0069024B">
        <w:rPr>
          <w:rFonts w:cs="Times New Roman"/>
          <w:szCs w:val="24"/>
        </w:rPr>
        <w:t xml:space="preserve"> ban</w:t>
      </w:r>
      <w:r w:rsidR="00764CE2">
        <w:rPr>
          <w:rFonts w:cs="Times New Roman"/>
          <w:szCs w:val="24"/>
        </w:rPr>
        <w:t xml:space="preserve"> the possession of hand guns as violating the Second Amendment’s right to bear arms for purposes of self-defense in</w:t>
      </w:r>
      <w:r w:rsidR="00764CE2">
        <w:rPr>
          <w:i/>
          <w:iCs/>
        </w:rPr>
        <w:t xml:space="preserve"> District of Columbia v. Heller </w:t>
      </w:r>
      <w:r w:rsidR="00764CE2">
        <w:rPr>
          <w:iCs/>
        </w:rPr>
        <w:t xml:space="preserve">(2008) and </w:t>
      </w:r>
      <w:r w:rsidR="00764CE2">
        <w:rPr>
          <w:i/>
          <w:iCs/>
        </w:rPr>
        <w:t xml:space="preserve">McDonald v. City of Chicago </w:t>
      </w:r>
      <w:r w:rsidR="00764CE2">
        <w:rPr>
          <w:iCs/>
        </w:rPr>
        <w:t xml:space="preserve">(2010). </w:t>
      </w:r>
      <w:r w:rsidR="009F4FFC">
        <w:rPr>
          <w:iCs/>
        </w:rPr>
        <w:t xml:space="preserve">  In </w:t>
      </w:r>
      <w:r w:rsidR="009F4FFC">
        <w:rPr>
          <w:i/>
          <w:iCs/>
        </w:rPr>
        <w:t xml:space="preserve">Arizona v. United States </w:t>
      </w:r>
      <w:r w:rsidR="009F4FFC">
        <w:rPr>
          <w:iCs/>
        </w:rPr>
        <w:t>(2011)</w:t>
      </w:r>
      <w:r w:rsidR="009F4FFC">
        <w:rPr>
          <w:i/>
          <w:iCs/>
        </w:rPr>
        <w:t xml:space="preserve"> </w:t>
      </w:r>
      <w:r w:rsidR="009F4FFC">
        <w:rPr>
          <w:iCs/>
        </w:rPr>
        <w:t xml:space="preserve">the Roberts Court struck down </w:t>
      </w:r>
      <w:r w:rsidR="00EA44F4">
        <w:rPr>
          <w:iCs/>
        </w:rPr>
        <w:t xml:space="preserve">most aspects of </w:t>
      </w:r>
      <w:r w:rsidR="009F4FFC">
        <w:rPr>
          <w:iCs/>
        </w:rPr>
        <w:t>Arizona’s</w:t>
      </w:r>
      <w:r w:rsidR="00BA7956">
        <w:rPr>
          <w:iCs/>
        </w:rPr>
        <w:t xml:space="preserve"> highly-publicized</w:t>
      </w:r>
      <w:r w:rsidR="009F4FFC">
        <w:rPr>
          <w:iCs/>
        </w:rPr>
        <w:t xml:space="preserve"> immigration law</w:t>
      </w:r>
      <w:r w:rsidR="00EA44F4">
        <w:rPr>
          <w:iCs/>
        </w:rPr>
        <w:t xml:space="preserve"> on the ground that they were preempted by existing federal law</w:t>
      </w:r>
      <w:r w:rsidR="009F4FFC">
        <w:rPr>
          <w:iCs/>
        </w:rPr>
        <w:t xml:space="preserve">, while allowing the portion pertaining to immigrant status checks to remain. </w:t>
      </w:r>
      <w:r w:rsidR="007043AC">
        <w:rPr>
          <w:iCs/>
        </w:rPr>
        <w:t xml:space="preserve"> In the</w:t>
      </w:r>
      <w:r w:rsidR="009F4FFC">
        <w:rPr>
          <w:iCs/>
        </w:rPr>
        <w:t xml:space="preserve"> case</w:t>
      </w:r>
      <w:r w:rsidR="007043AC">
        <w:rPr>
          <w:iCs/>
        </w:rPr>
        <w:t>s</w:t>
      </w:r>
      <w:r w:rsidR="009F4FFC">
        <w:rPr>
          <w:iCs/>
        </w:rPr>
        <w:t xml:space="preserve"> of </w:t>
      </w:r>
      <w:proofErr w:type="spellStart"/>
      <w:r w:rsidR="007043AC">
        <w:rPr>
          <w:i/>
          <w:iCs/>
        </w:rPr>
        <w:t>Hamdan</w:t>
      </w:r>
      <w:proofErr w:type="spellEnd"/>
      <w:r w:rsidR="007043AC">
        <w:rPr>
          <w:i/>
          <w:iCs/>
        </w:rPr>
        <w:t xml:space="preserve"> v. Rumsfeld </w:t>
      </w:r>
      <w:r w:rsidR="007043AC">
        <w:rPr>
          <w:iCs/>
        </w:rPr>
        <w:t xml:space="preserve">(2006) and </w:t>
      </w:r>
      <w:proofErr w:type="spellStart"/>
      <w:r w:rsidR="009F4FFC" w:rsidRPr="009F4FFC">
        <w:rPr>
          <w:i/>
          <w:iCs/>
        </w:rPr>
        <w:t>Boumediene</w:t>
      </w:r>
      <w:proofErr w:type="spellEnd"/>
      <w:r w:rsidR="009F4FFC" w:rsidRPr="009F4FFC">
        <w:rPr>
          <w:i/>
          <w:iCs/>
        </w:rPr>
        <w:t xml:space="preserve"> v. Bush</w:t>
      </w:r>
      <w:r w:rsidR="009F4FFC">
        <w:rPr>
          <w:iCs/>
        </w:rPr>
        <w:t xml:space="preserve"> (2006</w:t>
      </w:r>
      <w:r w:rsidR="00D06240">
        <w:rPr>
          <w:iCs/>
        </w:rPr>
        <w:t xml:space="preserve">) the Roberts Court pushed back against broad war power claims of the Executive branch, </w:t>
      </w:r>
      <w:r w:rsidR="007043AC">
        <w:rPr>
          <w:iCs/>
        </w:rPr>
        <w:t xml:space="preserve">stating that military tribunals for Guantanamo detainees violate military law and the Geneva Conventions, and </w:t>
      </w:r>
      <w:r w:rsidR="00D06240">
        <w:rPr>
          <w:iCs/>
        </w:rPr>
        <w:t>striking down a portion of the Mili</w:t>
      </w:r>
      <w:r w:rsidR="00BA7956">
        <w:rPr>
          <w:iCs/>
        </w:rPr>
        <w:t>tary Commissions Act of 2006 by</w:t>
      </w:r>
      <w:r w:rsidR="00D06240">
        <w:rPr>
          <w:iCs/>
        </w:rPr>
        <w:t xml:space="preserve"> ruling </w:t>
      </w:r>
      <w:r w:rsidR="009F4FFC">
        <w:rPr>
          <w:iCs/>
        </w:rPr>
        <w:t>that Guantanamo</w:t>
      </w:r>
      <w:r w:rsidR="00D06240">
        <w:rPr>
          <w:iCs/>
        </w:rPr>
        <w:t xml:space="preserve"> terror</w:t>
      </w:r>
      <w:r w:rsidR="009F4FFC">
        <w:rPr>
          <w:iCs/>
        </w:rPr>
        <w:t xml:space="preserve"> detainees have a right to seek their release in federal courts</w:t>
      </w:r>
      <w:r w:rsidR="00D06240">
        <w:rPr>
          <w:iCs/>
        </w:rPr>
        <w:t xml:space="preserve"> via </w:t>
      </w:r>
      <w:r w:rsidR="00BA7956" w:rsidRPr="00D06240">
        <w:rPr>
          <w:i/>
          <w:iCs/>
        </w:rPr>
        <w:t>habeas</w:t>
      </w:r>
      <w:r w:rsidR="00D06240" w:rsidRPr="00D06240">
        <w:rPr>
          <w:i/>
          <w:iCs/>
        </w:rPr>
        <w:t xml:space="preserve"> corpus</w:t>
      </w:r>
      <w:r w:rsidR="00D06240">
        <w:rPr>
          <w:iCs/>
        </w:rPr>
        <w:t xml:space="preserve"> relief</w:t>
      </w:r>
      <w:r w:rsidR="009F4FFC">
        <w:rPr>
          <w:iCs/>
        </w:rPr>
        <w:t xml:space="preserve">.  </w:t>
      </w:r>
      <w:r w:rsidR="00D06240">
        <w:rPr>
          <w:iCs/>
        </w:rPr>
        <w:t xml:space="preserve">Lastly, </w:t>
      </w:r>
      <w:r w:rsidR="009F4FFC">
        <w:rPr>
          <w:iCs/>
        </w:rPr>
        <w:t>in its most rec</w:t>
      </w:r>
      <w:r w:rsidR="00D06240">
        <w:rPr>
          <w:iCs/>
        </w:rPr>
        <w:t xml:space="preserve">ent term </w:t>
      </w:r>
      <w:r w:rsidR="009F4FFC">
        <w:rPr>
          <w:iCs/>
        </w:rPr>
        <w:t>the Roberts Court issued la</w:t>
      </w:r>
      <w:r w:rsidR="0069024B">
        <w:rPr>
          <w:iCs/>
        </w:rPr>
        <w:t>ndmark decisions regarding same-</w:t>
      </w:r>
      <w:r w:rsidR="009F4FFC">
        <w:rPr>
          <w:iCs/>
        </w:rPr>
        <w:t>sex marriage, invalidating that portion of the federal Defense of Marriage Act which denies federal benefits to married gay and lesbian couples in those states where same-sex marriage is legal</w:t>
      </w:r>
      <w:r w:rsidR="00EA44F4">
        <w:rPr>
          <w:iCs/>
        </w:rPr>
        <w:t xml:space="preserve"> on equal protec</w:t>
      </w:r>
      <w:r w:rsidR="00BA7956">
        <w:rPr>
          <w:iCs/>
        </w:rPr>
        <w:t>tion and due process grounds (</w:t>
      </w:r>
      <w:r w:rsidR="00EA44F4">
        <w:rPr>
          <w:i/>
          <w:iCs/>
        </w:rPr>
        <w:t xml:space="preserve">United States v. Windsor </w:t>
      </w:r>
      <w:r w:rsidR="00EA44F4">
        <w:rPr>
          <w:iCs/>
        </w:rPr>
        <w:t>(2013)</w:t>
      </w:r>
      <w:r w:rsidR="00BA7956">
        <w:rPr>
          <w:iCs/>
        </w:rPr>
        <w:t>)</w:t>
      </w:r>
      <w:r w:rsidR="00EA44F4">
        <w:rPr>
          <w:iCs/>
        </w:rPr>
        <w:t>; and holding that a federal district court ruling that struck down California’s Proposition 8 ban on same-sex marria</w:t>
      </w:r>
      <w:r w:rsidR="00897932">
        <w:rPr>
          <w:iCs/>
        </w:rPr>
        <w:t>ge could not</w:t>
      </w:r>
      <w:r w:rsidR="00EA44F4">
        <w:rPr>
          <w:iCs/>
        </w:rPr>
        <w:t xml:space="preserve"> be challenged because the ban’s supp</w:t>
      </w:r>
      <w:r w:rsidR="00BA7956">
        <w:rPr>
          <w:iCs/>
        </w:rPr>
        <w:t>orters lacked legal standing (</w:t>
      </w:r>
      <w:r w:rsidR="00EA44F4">
        <w:rPr>
          <w:i/>
          <w:iCs/>
        </w:rPr>
        <w:t xml:space="preserve">Hollingsworth v. Perry </w:t>
      </w:r>
      <w:r w:rsidR="00EA44F4">
        <w:rPr>
          <w:iCs/>
        </w:rPr>
        <w:t>(2013)</w:t>
      </w:r>
      <w:r w:rsidR="00BA7956">
        <w:rPr>
          <w:iCs/>
        </w:rPr>
        <w:t>)</w:t>
      </w:r>
      <w:r w:rsidR="00EA44F4">
        <w:rPr>
          <w:iCs/>
        </w:rPr>
        <w:t>.</w:t>
      </w:r>
    </w:p>
    <w:p w:rsidR="007756E3" w:rsidRDefault="005E5627" w:rsidP="005E5627">
      <w:pPr>
        <w:spacing w:line="480" w:lineRule="auto"/>
        <w:ind w:left="0" w:firstLine="720"/>
        <w:rPr>
          <w:rFonts w:cs="Times New Roman"/>
          <w:color w:val="FF0000"/>
          <w:szCs w:val="24"/>
        </w:rPr>
      </w:pPr>
      <w:r>
        <w:rPr>
          <w:rFonts w:cs="Times New Roman"/>
          <w:szCs w:val="24"/>
        </w:rPr>
        <w:t xml:space="preserve">A review of the literature indicates that the Roberts Court </w:t>
      </w:r>
      <w:proofErr w:type="gramStart"/>
      <w:r>
        <w:rPr>
          <w:rFonts w:cs="Times New Roman"/>
          <w:szCs w:val="24"/>
        </w:rPr>
        <w:t>has</w:t>
      </w:r>
      <w:proofErr w:type="gramEnd"/>
      <w:r w:rsidR="003F500D">
        <w:rPr>
          <w:rFonts w:cs="Times New Roman"/>
          <w:szCs w:val="24"/>
        </w:rPr>
        <w:t xml:space="preserve"> left an indelible mark in four</w:t>
      </w:r>
      <w:r>
        <w:rPr>
          <w:rFonts w:cs="Times New Roman"/>
          <w:szCs w:val="24"/>
        </w:rPr>
        <w:t xml:space="preserve"> particular areas of the law:  bus</w:t>
      </w:r>
      <w:r w:rsidR="00E615FB">
        <w:rPr>
          <w:rFonts w:cs="Times New Roman"/>
          <w:szCs w:val="24"/>
        </w:rPr>
        <w:t xml:space="preserve">iness, the First Amendment, </w:t>
      </w:r>
      <w:r>
        <w:rPr>
          <w:rFonts w:cs="Times New Roman"/>
          <w:szCs w:val="24"/>
        </w:rPr>
        <w:t>criminal procedure</w:t>
      </w:r>
      <w:r w:rsidR="00D06240">
        <w:rPr>
          <w:rFonts w:cs="Times New Roman"/>
          <w:szCs w:val="24"/>
        </w:rPr>
        <w:t xml:space="preserve">, and federalism </w:t>
      </w:r>
      <w:r>
        <w:rPr>
          <w:rFonts w:cs="Times New Roman"/>
          <w:szCs w:val="24"/>
        </w:rPr>
        <w:t xml:space="preserve">(e.g., Howard 2012).   The decisions of the Roberts Court involving business interests seemed to have attracted the most attention and commentary of USSC observers. </w:t>
      </w:r>
      <w:r w:rsidR="00774291" w:rsidRPr="00DF311F">
        <w:rPr>
          <w:rFonts w:cs="Times New Roman"/>
          <w:szCs w:val="24"/>
        </w:rPr>
        <w:t xml:space="preserve">The Roberts </w:t>
      </w:r>
      <w:r w:rsidR="00774291" w:rsidRPr="00DF311F">
        <w:rPr>
          <w:rFonts w:cs="Times New Roman"/>
          <w:szCs w:val="24"/>
        </w:rPr>
        <w:lastRenderedPageBreak/>
        <w:t>Court is generally rega</w:t>
      </w:r>
      <w:r w:rsidR="00774291">
        <w:rPr>
          <w:rFonts w:cs="Times New Roman"/>
          <w:szCs w:val="24"/>
        </w:rPr>
        <w:t>rded as being business-friendly</w:t>
      </w:r>
      <w:r w:rsidR="00774291" w:rsidRPr="00DF311F">
        <w:rPr>
          <w:rFonts w:cs="Times New Roman"/>
          <w:szCs w:val="24"/>
        </w:rPr>
        <w:t xml:space="preserve"> in comparison with previous Courts</w:t>
      </w:r>
      <w:r w:rsidR="00774291">
        <w:rPr>
          <w:rFonts w:cs="Times New Roman"/>
          <w:szCs w:val="24"/>
        </w:rPr>
        <w:t xml:space="preserve"> </w:t>
      </w:r>
      <w:r w:rsidR="00774291" w:rsidRPr="00DF311F">
        <w:rPr>
          <w:rFonts w:cs="Times New Roman"/>
          <w:szCs w:val="24"/>
        </w:rPr>
        <w:t>(</w:t>
      </w:r>
      <w:r w:rsidR="00670050">
        <w:rPr>
          <w:rFonts w:cs="Times New Roman"/>
          <w:szCs w:val="24"/>
        </w:rPr>
        <w:t xml:space="preserve">Epstein, </w:t>
      </w:r>
      <w:proofErr w:type="spellStart"/>
      <w:r w:rsidR="00670050">
        <w:rPr>
          <w:rFonts w:cs="Times New Roman"/>
          <w:szCs w:val="24"/>
        </w:rPr>
        <w:t>Landes</w:t>
      </w:r>
      <w:proofErr w:type="spellEnd"/>
      <w:r w:rsidR="00670050">
        <w:rPr>
          <w:rFonts w:cs="Times New Roman"/>
          <w:szCs w:val="24"/>
        </w:rPr>
        <w:t xml:space="preserve">, and Posner 2013; </w:t>
      </w:r>
      <w:r w:rsidR="0032105D">
        <w:rPr>
          <w:rFonts w:cs="Times New Roman"/>
          <w:szCs w:val="24"/>
        </w:rPr>
        <w:t xml:space="preserve">Coyle 2013; </w:t>
      </w:r>
      <w:r w:rsidR="00774291" w:rsidRPr="00DF311F">
        <w:rPr>
          <w:rFonts w:cs="Times New Roman"/>
          <w:szCs w:val="24"/>
        </w:rPr>
        <w:t xml:space="preserve">Franklin 2009; </w:t>
      </w:r>
      <w:proofErr w:type="spellStart"/>
      <w:r w:rsidR="00774291" w:rsidRPr="00DF311F">
        <w:rPr>
          <w:rFonts w:cs="Times New Roman"/>
          <w:szCs w:val="24"/>
        </w:rPr>
        <w:t>Chemerins</w:t>
      </w:r>
      <w:r w:rsidR="00774291">
        <w:rPr>
          <w:rFonts w:cs="Times New Roman"/>
          <w:szCs w:val="24"/>
        </w:rPr>
        <w:t>ky</w:t>
      </w:r>
      <w:proofErr w:type="spellEnd"/>
      <w:r w:rsidR="00774291">
        <w:rPr>
          <w:rFonts w:cs="Times New Roman"/>
          <w:szCs w:val="24"/>
        </w:rPr>
        <w:t xml:space="preserve"> 2008; Rosen 2008; </w:t>
      </w:r>
      <w:proofErr w:type="spellStart"/>
      <w:r w:rsidR="00897932">
        <w:rPr>
          <w:rFonts w:cs="Times New Roman"/>
          <w:szCs w:val="24"/>
        </w:rPr>
        <w:t>Liptak</w:t>
      </w:r>
      <w:proofErr w:type="spellEnd"/>
      <w:r w:rsidR="00897932">
        <w:rPr>
          <w:rFonts w:cs="Times New Roman"/>
          <w:szCs w:val="24"/>
        </w:rPr>
        <w:t xml:space="preserve"> </w:t>
      </w:r>
      <w:r w:rsidR="00774291">
        <w:rPr>
          <w:rFonts w:cs="Times New Roman"/>
          <w:szCs w:val="24"/>
        </w:rPr>
        <w:t>2013</w:t>
      </w:r>
      <w:r w:rsidR="003A59B0">
        <w:rPr>
          <w:rFonts w:cs="Times New Roman"/>
          <w:szCs w:val="24"/>
        </w:rPr>
        <w:t>a</w:t>
      </w:r>
      <w:r w:rsidR="00774291">
        <w:rPr>
          <w:rFonts w:cs="Times New Roman"/>
          <w:szCs w:val="24"/>
        </w:rPr>
        <w:t xml:space="preserve">; </w:t>
      </w:r>
      <w:proofErr w:type="spellStart"/>
      <w:r w:rsidR="00774291">
        <w:rPr>
          <w:rFonts w:cs="Times New Roman"/>
          <w:szCs w:val="24"/>
        </w:rPr>
        <w:t>Liptak</w:t>
      </w:r>
      <w:proofErr w:type="spellEnd"/>
      <w:r w:rsidR="00774291">
        <w:rPr>
          <w:rFonts w:cs="Times New Roman"/>
          <w:szCs w:val="24"/>
        </w:rPr>
        <w:t xml:space="preserve"> 2010</w:t>
      </w:r>
      <w:r w:rsidR="00774291" w:rsidRPr="00DF311F">
        <w:rPr>
          <w:rFonts w:cs="Times New Roman"/>
          <w:szCs w:val="24"/>
        </w:rPr>
        <w:t xml:space="preserve">). </w:t>
      </w:r>
      <w:r w:rsidR="00F4571B">
        <w:rPr>
          <w:rFonts w:cs="Times New Roman"/>
          <w:szCs w:val="24"/>
        </w:rPr>
        <w:t xml:space="preserve"> For example, USSC observer and </w:t>
      </w:r>
      <w:r w:rsidR="00F4571B" w:rsidRPr="00897932">
        <w:rPr>
          <w:rFonts w:cs="Times New Roman"/>
          <w:i/>
          <w:szCs w:val="24"/>
        </w:rPr>
        <w:t>New York Times</w:t>
      </w:r>
      <w:r w:rsidR="00F4571B">
        <w:rPr>
          <w:rFonts w:cs="Times New Roman"/>
          <w:szCs w:val="24"/>
        </w:rPr>
        <w:t xml:space="preserve"> Columnist Adam </w:t>
      </w:r>
      <w:proofErr w:type="spellStart"/>
      <w:r w:rsidR="00F4571B">
        <w:rPr>
          <w:rFonts w:cs="Times New Roman"/>
          <w:szCs w:val="24"/>
        </w:rPr>
        <w:t>Liptak</w:t>
      </w:r>
      <w:proofErr w:type="spellEnd"/>
      <w:r w:rsidR="00F4571B">
        <w:rPr>
          <w:rFonts w:cs="Times New Roman"/>
          <w:szCs w:val="24"/>
        </w:rPr>
        <w:t xml:space="preserve"> (2013</w:t>
      </w:r>
      <w:r w:rsidR="003A59B0">
        <w:rPr>
          <w:rFonts w:cs="Times New Roman"/>
          <w:szCs w:val="24"/>
        </w:rPr>
        <w:t>a</w:t>
      </w:r>
      <w:r w:rsidR="00F4571B">
        <w:rPr>
          <w:rFonts w:cs="Times New Roman"/>
          <w:szCs w:val="24"/>
        </w:rPr>
        <w:t xml:space="preserve">) </w:t>
      </w:r>
      <w:proofErr w:type="gramStart"/>
      <w:r w:rsidR="00F4571B">
        <w:rPr>
          <w:rFonts w:cs="Times New Roman"/>
          <w:szCs w:val="24"/>
        </w:rPr>
        <w:t>claims</w:t>
      </w:r>
      <w:proofErr w:type="gramEnd"/>
      <w:r w:rsidR="00F4571B">
        <w:rPr>
          <w:rFonts w:cs="Times New Roman"/>
          <w:szCs w:val="24"/>
        </w:rPr>
        <w:t xml:space="preserve"> that the Roberts Court is</w:t>
      </w:r>
      <w:r w:rsidR="00897932">
        <w:rPr>
          <w:rFonts w:cs="Times New Roman"/>
          <w:szCs w:val="24"/>
        </w:rPr>
        <w:t xml:space="preserve"> friendlier to business than </w:t>
      </w:r>
      <w:r w:rsidR="00F4571B">
        <w:rPr>
          <w:rFonts w:cs="Times New Roman"/>
          <w:szCs w:val="24"/>
        </w:rPr>
        <w:t xml:space="preserve">any Court since World War II.   As evidence of this, </w:t>
      </w:r>
      <w:proofErr w:type="spellStart"/>
      <w:r w:rsidR="00F4571B">
        <w:rPr>
          <w:rFonts w:cs="Times New Roman"/>
          <w:szCs w:val="24"/>
        </w:rPr>
        <w:t>Liptak</w:t>
      </w:r>
      <w:proofErr w:type="spellEnd"/>
      <w:r w:rsidR="00B7169D">
        <w:rPr>
          <w:rFonts w:cs="Times New Roman"/>
          <w:szCs w:val="24"/>
        </w:rPr>
        <w:t xml:space="preserve"> (2013</w:t>
      </w:r>
      <w:r w:rsidR="003A59B0">
        <w:rPr>
          <w:rFonts w:cs="Times New Roman"/>
          <w:szCs w:val="24"/>
        </w:rPr>
        <w:t>a</w:t>
      </w:r>
      <w:r w:rsidR="00B7169D">
        <w:rPr>
          <w:rFonts w:cs="Times New Roman"/>
          <w:szCs w:val="24"/>
        </w:rPr>
        <w:t>)</w:t>
      </w:r>
      <w:r w:rsidR="00F4571B">
        <w:rPr>
          <w:rFonts w:cs="Times New Roman"/>
          <w:szCs w:val="24"/>
        </w:rPr>
        <w:t xml:space="preserve"> claims the following: “In the eight years since Chief Justice Roberts joined the Court, it has allowed corporations to spend freely in elections in the </w:t>
      </w:r>
      <w:r w:rsidR="00F4571B" w:rsidRPr="00F4571B">
        <w:rPr>
          <w:rFonts w:cs="Times New Roman"/>
          <w:i/>
          <w:szCs w:val="24"/>
        </w:rPr>
        <w:t>Citizens United</w:t>
      </w:r>
      <w:r w:rsidR="00F4571B">
        <w:rPr>
          <w:rFonts w:cs="Times New Roman"/>
          <w:szCs w:val="24"/>
        </w:rPr>
        <w:t xml:space="preserve"> case, has shielded them from class actions</w:t>
      </w:r>
      <w:r w:rsidR="00D06240">
        <w:rPr>
          <w:rStyle w:val="FootnoteReference"/>
          <w:rFonts w:cs="Times New Roman"/>
          <w:szCs w:val="24"/>
        </w:rPr>
        <w:footnoteReference w:id="29"/>
      </w:r>
      <w:r w:rsidR="00F4571B">
        <w:rPr>
          <w:rFonts w:cs="Times New Roman"/>
          <w:szCs w:val="24"/>
        </w:rPr>
        <w:t xml:space="preserve"> and human rights suits,</w:t>
      </w:r>
      <w:r w:rsidR="00D06240">
        <w:rPr>
          <w:rStyle w:val="FootnoteReference"/>
          <w:rFonts w:cs="Times New Roman"/>
          <w:szCs w:val="24"/>
        </w:rPr>
        <w:footnoteReference w:id="30"/>
      </w:r>
      <w:r w:rsidR="00F4571B">
        <w:rPr>
          <w:rFonts w:cs="Times New Roman"/>
          <w:szCs w:val="24"/>
        </w:rPr>
        <w:t xml:space="preserve"> and has made arbitration the favored way to resolve many disputes.</w:t>
      </w:r>
      <w:r w:rsidR="00754DD4">
        <w:rPr>
          <w:rStyle w:val="FootnoteReference"/>
          <w:rFonts w:cs="Times New Roman"/>
          <w:szCs w:val="24"/>
        </w:rPr>
        <w:footnoteReference w:id="31"/>
      </w:r>
      <w:r w:rsidR="00F4571B">
        <w:rPr>
          <w:rFonts w:cs="Times New Roman"/>
          <w:szCs w:val="24"/>
        </w:rPr>
        <w:t>”</w:t>
      </w:r>
      <w:r w:rsidR="00670050">
        <w:rPr>
          <w:rFonts w:cs="Times New Roman"/>
          <w:szCs w:val="24"/>
        </w:rPr>
        <w:t xml:space="preserve">  </w:t>
      </w:r>
      <w:r w:rsidR="00774291" w:rsidRPr="00DF311F">
        <w:rPr>
          <w:rFonts w:cs="Times New Roman"/>
          <w:szCs w:val="24"/>
        </w:rPr>
        <w:t>More specifically, one observer has noted that the Roberts Court tends to be skeptical about attempt</w:t>
      </w:r>
      <w:r w:rsidR="00922C2D">
        <w:rPr>
          <w:rFonts w:cs="Times New Roman"/>
          <w:szCs w:val="24"/>
        </w:rPr>
        <w:t>s</w:t>
      </w:r>
      <w:r w:rsidR="00774291" w:rsidRPr="00DF311F">
        <w:rPr>
          <w:rFonts w:cs="Times New Roman"/>
          <w:szCs w:val="24"/>
        </w:rPr>
        <w:t xml:space="preserve"> to r</w:t>
      </w:r>
      <w:r w:rsidR="00922C2D">
        <w:rPr>
          <w:rFonts w:cs="Times New Roman"/>
          <w:szCs w:val="24"/>
        </w:rPr>
        <w:t xml:space="preserve">egulate business via litigation, </w:t>
      </w:r>
      <w:r w:rsidR="00774291" w:rsidRPr="00DF311F">
        <w:rPr>
          <w:rFonts w:cs="Times New Roman"/>
          <w:szCs w:val="24"/>
        </w:rPr>
        <w:t>and</w:t>
      </w:r>
      <w:r w:rsidR="00774291">
        <w:rPr>
          <w:rFonts w:cs="Times New Roman"/>
          <w:szCs w:val="24"/>
        </w:rPr>
        <w:t xml:space="preserve"> that</w:t>
      </w:r>
      <w:r w:rsidR="00774291" w:rsidRPr="00DF311F">
        <w:rPr>
          <w:rFonts w:cs="Times New Roman"/>
          <w:szCs w:val="24"/>
        </w:rPr>
        <w:t xml:space="preserve"> business defendants, not business parties in general, are the primary beneficiaries of the Roberts Court (Franklin 2009, at 1021).</w:t>
      </w:r>
      <w:r w:rsidR="00774291" w:rsidRPr="00DF311F">
        <w:rPr>
          <w:rFonts w:cs="Times New Roman"/>
          <w:color w:val="FF0000"/>
          <w:szCs w:val="24"/>
        </w:rPr>
        <w:t xml:space="preserve"> </w:t>
      </w:r>
    </w:p>
    <w:p w:rsidR="00B7169D" w:rsidRDefault="00DB7CA7" w:rsidP="005E5627">
      <w:pPr>
        <w:spacing w:line="480" w:lineRule="auto"/>
        <w:ind w:left="0" w:firstLine="720"/>
        <w:rPr>
          <w:rFonts w:cs="Times New Roman"/>
          <w:szCs w:val="24"/>
        </w:rPr>
      </w:pPr>
      <w:r>
        <w:rPr>
          <w:rFonts w:cs="Times New Roman"/>
          <w:szCs w:val="24"/>
        </w:rPr>
        <w:t xml:space="preserve">Epstein, </w:t>
      </w:r>
      <w:proofErr w:type="spellStart"/>
      <w:r>
        <w:rPr>
          <w:rFonts w:cs="Times New Roman"/>
          <w:szCs w:val="24"/>
        </w:rPr>
        <w:t>Landes</w:t>
      </w:r>
      <w:proofErr w:type="spellEnd"/>
      <w:r>
        <w:rPr>
          <w:rFonts w:cs="Times New Roman"/>
          <w:szCs w:val="24"/>
        </w:rPr>
        <w:t xml:space="preserve">, and Posner (2013) provide confirmation of the pro-business orientation of the Roberts Court. </w:t>
      </w:r>
      <w:r>
        <w:rPr>
          <w:rFonts w:cs="Times New Roman"/>
          <w:color w:val="FF0000"/>
          <w:szCs w:val="24"/>
        </w:rPr>
        <w:t xml:space="preserve"> </w:t>
      </w:r>
      <w:r>
        <w:rPr>
          <w:rFonts w:cs="Times New Roman"/>
          <w:szCs w:val="24"/>
        </w:rPr>
        <w:t xml:space="preserve">In what is perhaps </w:t>
      </w:r>
      <w:r w:rsidR="00B7169D">
        <w:rPr>
          <w:rFonts w:cs="Times New Roman"/>
          <w:szCs w:val="24"/>
        </w:rPr>
        <w:t>the most comprehensive and methodologically sophisticated study to date regarding the influence of business on the USSC</w:t>
      </w:r>
      <w:r>
        <w:rPr>
          <w:rFonts w:cs="Times New Roman"/>
          <w:szCs w:val="24"/>
        </w:rPr>
        <w:t xml:space="preserve"> from 1946 to 2011</w:t>
      </w:r>
      <w:r w:rsidR="00B7169D">
        <w:rPr>
          <w:rFonts w:cs="Times New Roman"/>
          <w:szCs w:val="24"/>
        </w:rPr>
        <w:t xml:space="preserve">, Epstein, </w:t>
      </w:r>
      <w:proofErr w:type="spellStart"/>
      <w:r w:rsidR="00B7169D">
        <w:rPr>
          <w:rFonts w:cs="Times New Roman"/>
          <w:szCs w:val="24"/>
        </w:rPr>
        <w:t>Landes</w:t>
      </w:r>
      <w:proofErr w:type="spellEnd"/>
      <w:r w:rsidR="00B7169D">
        <w:rPr>
          <w:rFonts w:cs="Times New Roman"/>
          <w:szCs w:val="24"/>
        </w:rPr>
        <w:t>, and Posner find that</w:t>
      </w:r>
      <w:r>
        <w:rPr>
          <w:rFonts w:cs="Times New Roman"/>
          <w:szCs w:val="24"/>
        </w:rPr>
        <w:t xml:space="preserve"> the Roberts Court has been more friendly to business generally than prior Courts and that five of the ten justices who have been the most favorable to business over this time period are currently serving on the Roberts Court, including the top two justices – Samuel Alito and John Roberts.</w:t>
      </w:r>
    </w:p>
    <w:p w:rsidR="005E5627" w:rsidRDefault="00E615FB" w:rsidP="00DB7CA7">
      <w:pPr>
        <w:spacing w:line="480" w:lineRule="auto"/>
        <w:ind w:left="0" w:firstLine="720"/>
        <w:rPr>
          <w:rFonts w:cs="Times New Roman"/>
          <w:szCs w:val="24"/>
        </w:rPr>
      </w:pPr>
      <w:r>
        <w:rPr>
          <w:rFonts w:cs="Times New Roman"/>
          <w:szCs w:val="24"/>
        </w:rPr>
        <w:t xml:space="preserve">The Roberts Court </w:t>
      </w:r>
      <w:r w:rsidR="005E5627">
        <w:rPr>
          <w:rFonts w:cs="Times New Roman"/>
          <w:szCs w:val="24"/>
        </w:rPr>
        <w:t xml:space="preserve">also </w:t>
      </w:r>
      <w:r>
        <w:rPr>
          <w:rFonts w:cs="Times New Roman"/>
          <w:szCs w:val="24"/>
        </w:rPr>
        <w:t>stands out in</w:t>
      </w:r>
      <w:r w:rsidR="005E5627">
        <w:rPr>
          <w:rFonts w:cs="Times New Roman"/>
          <w:szCs w:val="24"/>
        </w:rPr>
        <w:t xml:space="preserve"> the realm of the First Amendment</w:t>
      </w:r>
      <w:r w:rsidR="001E21B5">
        <w:rPr>
          <w:rFonts w:cs="Times New Roman"/>
          <w:szCs w:val="24"/>
        </w:rPr>
        <w:t>, particularly freedom of expression</w:t>
      </w:r>
      <w:r w:rsidR="005E5627">
        <w:rPr>
          <w:rFonts w:cs="Times New Roman"/>
          <w:szCs w:val="24"/>
        </w:rPr>
        <w:t xml:space="preserve">.  Former Solicitor General Ken Starr (2011) has declared that the Roberts Court is “the most free speech Court in American history,” and ACLU’s legal director Steve </w:t>
      </w:r>
      <w:r w:rsidR="005E5627">
        <w:rPr>
          <w:rFonts w:cs="Times New Roman"/>
          <w:szCs w:val="24"/>
        </w:rPr>
        <w:lastRenderedPageBreak/>
        <w:t>Shapiro has acknowledged the “expansive view of the First Amendment” (Howard 2012, 82) taken by the Roberts Court.</w:t>
      </w:r>
      <w:r w:rsidR="00712EAF">
        <w:rPr>
          <w:rFonts w:cs="Times New Roman"/>
          <w:szCs w:val="24"/>
        </w:rPr>
        <w:t xml:space="preserve">   </w:t>
      </w:r>
      <w:r w:rsidR="001E21B5">
        <w:rPr>
          <w:rFonts w:cs="Times New Roman"/>
          <w:szCs w:val="24"/>
        </w:rPr>
        <w:t xml:space="preserve">In addition to the controversial </w:t>
      </w:r>
      <w:r w:rsidR="001E21B5">
        <w:rPr>
          <w:rFonts w:cs="Times New Roman"/>
          <w:i/>
          <w:szCs w:val="24"/>
        </w:rPr>
        <w:t xml:space="preserve">Citizens United </w:t>
      </w:r>
      <w:r w:rsidR="00897932">
        <w:rPr>
          <w:rFonts w:cs="Times New Roman"/>
          <w:szCs w:val="24"/>
        </w:rPr>
        <w:t>ruling</w:t>
      </w:r>
      <w:r w:rsidR="00EF2CFD">
        <w:rPr>
          <w:rFonts w:cs="Times New Roman"/>
          <w:szCs w:val="24"/>
        </w:rPr>
        <w:t xml:space="preserve">, protecting the spending </w:t>
      </w:r>
      <w:r w:rsidR="001E21B5">
        <w:rPr>
          <w:rFonts w:cs="Times New Roman"/>
          <w:szCs w:val="24"/>
        </w:rPr>
        <w:t xml:space="preserve">rights of corporations and unions in campaigns, the Roberts Court has issued many other significant rulings fortifying protections of speech. </w:t>
      </w:r>
      <w:r w:rsidR="00712EAF">
        <w:rPr>
          <w:rFonts w:cs="Times New Roman"/>
          <w:szCs w:val="24"/>
        </w:rPr>
        <w:t xml:space="preserve">For example, in </w:t>
      </w:r>
      <w:r w:rsidR="00712EAF">
        <w:rPr>
          <w:rFonts w:cs="Times New Roman"/>
          <w:i/>
          <w:szCs w:val="24"/>
        </w:rPr>
        <w:t xml:space="preserve">United States v. Stevens </w:t>
      </w:r>
      <w:r w:rsidR="00712EAF">
        <w:rPr>
          <w:rFonts w:cs="Times New Roman"/>
          <w:szCs w:val="24"/>
        </w:rPr>
        <w:t>(2010), the Roberts Court protected offensive and appalling speech involving videos depicting animal cruelty.</w:t>
      </w:r>
      <w:r w:rsidR="00263A9E">
        <w:rPr>
          <w:rFonts w:cs="Times New Roman"/>
          <w:szCs w:val="24"/>
        </w:rPr>
        <w:t xml:space="preserve"> </w:t>
      </w:r>
      <w:r w:rsidR="00EF2CFD">
        <w:rPr>
          <w:rFonts w:cs="Times New Roman"/>
          <w:szCs w:val="24"/>
        </w:rPr>
        <w:t xml:space="preserve"> </w:t>
      </w:r>
      <w:r w:rsidR="00263A9E">
        <w:rPr>
          <w:rFonts w:cs="Times New Roman"/>
          <w:szCs w:val="24"/>
        </w:rPr>
        <w:t xml:space="preserve">Similarly, in </w:t>
      </w:r>
      <w:r w:rsidR="00263A9E">
        <w:rPr>
          <w:rFonts w:cs="Times New Roman"/>
          <w:i/>
          <w:szCs w:val="24"/>
        </w:rPr>
        <w:t xml:space="preserve">Brown v. </w:t>
      </w:r>
      <w:r w:rsidR="00263A9E" w:rsidRPr="00263A9E">
        <w:rPr>
          <w:rFonts w:cs="Times New Roman"/>
          <w:i/>
          <w:szCs w:val="24"/>
        </w:rPr>
        <w:t>Entertainment Merchants Association</w:t>
      </w:r>
      <w:r w:rsidR="00263A9E">
        <w:rPr>
          <w:rFonts w:cs="Times New Roman"/>
          <w:szCs w:val="24"/>
        </w:rPr>
        <w:t xml:space="preserve"> </w:t>
      </w:r>
      <w:r w:rsidR="00BA7956">
        <w:rPr>
          <w:rFonts w:cs="Times New Roman"/>
          <w:szCs w:val="24"/>
        </w:rPr>
        <w:t xml:space="preserve">(2011), the USSC </w:t>
      </w:r>
      <w:r w:rsidR="00263A9E">
        <w:rPr>
          <w:rFonts w:cs="Times New Roman"/>
          <w:szCs w:val="24"/>
        </w:rPr>
        <w:t>struck down a California law prohibiting the sale or rental of violent video games to minors based on the First Amendment.  I</w:t>
      </w:r>
      <w:r w:rsidR="00712EAF">
        <w:rPr>
          <w:rFonts w:cs="Times New Roman"/>
          <w:szCs w:val="24"/>
        </w:rPr>
        <w:t xml:space="preserve">n </w:t>
      </w:r>
      <w:r w:rsidR="00712EAF" w:rsidRPr="00712EAF">
        <w:rPr>
          <w:rFonts w:cs="Times New Roman"/>
          <w:i/>
          <w:szCs w:val="24"/>
        </w:rPr>
        <w:t>Snyder v. Phelps</w:t>
      </w:r>
      <w:r w:rsidR="00712EAF">
        <w:rPr>
          <w:rFonts w:cs="Times New Roman"/>
          <w:szCs w:val="24"/>
        </w:rPr>
        <w:t xml:space="preserve"> (2011), the USSC said that protests and</w:t>
      </w:r>
      <w:r w:rsidR="00897932">
        <w:rPr>
          <w:rFonts w:cs="Times New Roman"/>
          <w:szCs w:val="24"/>
        </w:rPr>
        <w:t xml:space="preserve"> picketing by the controversial </w:t>
      </w:r>
      <w:proofErr w:type="spellStart"/>
      <w:r w:rsidR="00712EAF">
        <w:rPr>
          <w:rFonts w:cs="Times New Roman"/>
          <w:szCs w:val="24"/>
        </w:rPr>
        <w:t>Westboro</w:t>
      </w:r>
      <w:proofErr w:type="spellEnd"/>
      <w:r w:rsidR="00712EAF">
        <w:rPr>
          <w:rFonts w:cs="Times New Roman"/>
          <w:szCs w:val="24"/>
        </w:rPr>
        <w:t xml:space="preserve"> Baptist Church at military funerals was protected speech despite the tendency of such actions to arouse contempt.</w:t>
      </w:r>
      <w:r w:rsidR="000B1C9B">
        <w:rPr>
          <w:rFonts w:cs="Times New Roman"/>
          <w:szCs w:val="24"/>
        </w:rPr>
        <w:t xml:space="preserve">  And in </w:t>
      </w:r>
      <w:r w:rsidR="000B1C9B" w:rsidRPr="000B1C9B">
        <w:rPr>
          <w:rFonts w:cs="Times New Roman"/>
          <w:i/>
          <w:szCs w:val="24"/>
        </w:rPr>
        <w:t>United States v. Alvarez</w:t>
      </w:r>
      <w:r w:rsidR="000B1C9B">
        <w:rPr>
          <w:rFonts w:cs="Times New Roman"/>
          <w:szCs w:val="24"/>
        </w:rPr>
        <w:t xml:space="preserve"> (2011), the USSC struck down the Stolen Valor Act, which made it illegal to lie about military decorations.</w:t>
      </w:r>
      <w:r>
        <w:rPr>
          <w:rFonts w:cs="Times New Roman"/>
          <w:szCs w:val="24"/>
        </w:rPr>
        <w:t xml:space="preserve"> </w:t>
      </w:r>
      <w:r w:rsidR="009C7CEB">
        <w:rPr>
          <w:rFonts w:cs="Times New Roman"/>
          <w:szCs w:val="24"/>
        </w:rPr>
        <w:t xml:space="preserve"> </w:t>
      </w:r>
    </w:p>
    <w:p w:rsidR="001E21B5" w:rsidRPr="009C7CEB" w:rsidRDefault="001E21B5" w:rsidP="00DB7CA7">
      <w:pPr>
        <w:spacing w:line="480" w:lineRule="auto"/>
        <w:ind w:left="0" w:firstLine="720"/>
        <w:rPr>
          <w:rFonts w:cs="Times New Roman"/>
          <w:color w:val="FF0000"/>
          <w:szCs w:val="24"/>
        </w:rPr>
      </w:pPr>
      <w:r>
        <w:rPr>
          <w:rFonts w:cs="Times New Roman"/>
          <w:szCs w:val="24"/>
        </w:rPr>
        <w:t>However, the picture is not entirely rosy</w:t>
      </w:r>
      <w:r w:rsidR="00327DFA">
        <w:rPr>
          <w:rFonts w:cs="Times New Roman"/>
          <w:szCs w:val="24"/>
        </w:rPr>
        <w:t xml:space="preserve"> at the Roberts Court</w:t>
      </w:r>
      <w:r>
        <w:rPr>
          <w:rFonts w:cs="Times New Roman"/>
          <w:szCs w:val="24"/>
        </w:rPr>
        <w:t xml:space="preserve"> for proponents of an absolute and all-encompassing protection of speech. </w:t>
      </w:r>
      <w:r w:rsidR="00327DFA">
        <w:rPr>
          <w:rFonts w:cs="Times New Roman"/>
          <w:szCs w:val="24"/>
        </w:rPr>
        <w:t xml:space="preserve"> The Roberts Court has issued opinions curtailing student speech (</w:t>
      </w:r>
      <w:r w:rsidR="00327DFA">
        <w:rPr>
          <w:rFonts w:cs="Times New Roman"/>
          <w:i/>
          <w:szCs w:val="24"/>
        </w:rPr>
        <w:t xml:space="preserve">Morse v. Frederick </w:t>
      </w:r>
      <w:r w:rsidR="00327DFA">
        <w:rPr>
          <w:rFonts w:cs="Times New Roman"/>
          <w:szCs w:val="24"/>
        </w:rPr>
        <w:t>(2007)), government employee speech (</w:t>
      </w:r>
      <w:proofErr w:type="spellStart"/>
      <w:r w:rsidR="00327DFA">
        <w:rPr>
          <w:rFonts w:cs="Times New Roman"/>
          <w:i/>
          <w:szCs w:val="24"/>
        </w:rPr>
        <w:t>Garcetti</w:t>
      </w:r>
      <w:proofErr w:type="spellEnd"/>
      <w:r w:rsidR="00327DFA">
        <w:rPr>
          <w:rFonts w:cs="Times New Roman"/>
          <w:i/>
          <w:szCs w:val="24"/>
        </w:rPr>
        <w:t xml:space="preserve"> v. Ceballos </w:t>
      </w:r>
      <w:r w:rsidR="00327DFA">
        <w:rPr>
          <w:rFonts w:cs="Times New Roman"/>
          <w:szCs w:val="24"/>
        </w:rPr>
        <w:t>(2006)), and prisoner speech (</w:t>
      </w:r>
      <w:r w:rsidR="00327DFA">
        <w:rPr>
          <w:rFonts w:cs="Times New Roman"/>
          <w:i/>
          <w:szCs w:val="24"/>
        </w:rPr>
        <w:t xml:space="preserve">Beard v. Banks </w:t>
      </w:r>
      <w:r w:rsidR="00327DFA">
        <w:rPr>
          <w:rFonts w:cs="Times New Roman"/>
          <w:szCs w:val="24"/>
        </w:rPr>
        <w:t xml:space="preserve">(2006)).  </w:t>
      </w:r>
      <w:r w:rsidRPr="00327DFA">
        <w:rPr>
          <w:rFonts w:cs="Times New Roman"/>
          <w:szCs w:val="24"/>
        </w:rPr>
        <w:t>All</w:t>
      </w:r>
      <w:r>
        <w:rPr>
          <w:rFonts w:cs="Times New Roman"/>
          <w:szCs w:val="24"/>
        </w:rPr>
        <w:t xml:space="preserve"> in all, the Roberts Court </w:t>
      </w:r>
      <w:proofErr w:type="gramStart"/>
      <w:r>
        <w:rPr>
          <w:rFonts w:cs="Times New Roman"/>
          <w:szCs w:val="24"/>
        </w:rPr>
        <w:t>has</w:t>
      </w:r>
      <w:proofErr w:type="gramEnd"/>
      <w:r>
        <w:rPr>
          <w:rFonts w:cs="Times New Roman"/>
          <w:szCs w:val="24"/>
        </w:rPr>
        <w:t xml:space="preserve"> issued 30 opinions pertaining to freedom of expression during its first eight terms.  According to USSC observer Ronald Collins (2013), the Roberts Court affirmed a First Amendment free expression claim in 13 of these 30 opinions; it was unanimous in seven of the cases in which it denied such claims; it divided 5-4 in six of the 30 cases; and the Chief Justice along with Justices Kennedy and Scalia authored two-thirds of these opinions</w:t>
      </w:r>
      <w:r w:rsidR="00327DFA">
        <w:rPr>
          <w:rFonts w:cs="Times New Roman"/>
          <w:szCs w:val="24"/>
        </w:rPr>
        <w:t xml:space="preserve">, with the Chief Justice in the lead, authoring 10 of the 30 </w:t>
      </w:r>
      <w:r w:rsidR="00D51AB8">
        <w:rPr>
          <w:rFonts w:cs="Times New Roman"/>
          <w:szCs w:val="24"/>
        </w:rPr>
        <w:t>opinions</w:t>
      </w:r>
      <w:r>
        <w:rPr>
          <w:rFonts w:cs="Times New Roman"/>
          <w:szCs w:val="24"/>
        </w:rPr>
        <w:t xml:space="preserve">. </w:t>
      </w:r>
    </w:p>
    <w:p w:rsidR="003F500D" w:rsidRDefault="00754DD4" w:rsidP="00BD4E1B">
      <w:pPr>
        <w:spacing w:line="480" w:lineRule="auto"/>
        <w:ind w:left="0" w:firstLine="720"/>
        <w:rPr>
          <w:rFonts w:cs="Times New Roman"/>
          <w:szCs w:val="24"/>
        </w:rPr>
      </w:pPr>
      <w:r>
        <w:rPr>
          <w:rFonts w:cs="Times New Roman"/>
          <w:szCs w:val="24"/>
        </w:rPr>
        <w:lastRenderedPageBreak/>
        <w:t>The Roberts Court’s criminal procedure decisions cannot be lumped together and characterized as generally conservative or generally liberal.  Instead, they evidence shifting coalitions that vary across the ideological spectrum.  Nevertheless, some d</w:t>
      </w:r>
      <w:r w:rsidR="000B1C9B">
        <w:rPr>
          <w:rFonts w:cs="Times New Roman"/>
          <w:szCs w:val="24"/>
        </w:rPr>
        <w:t xml:space="preserve">istinctive trends in the criminal procedure jurisprudence of the Roberts Court are manifest. </w:t>
      </w:r>
      <w:r w:rsidR="003F500D">
        <w:rPr>
          <w:rFonts w:cs="Times New Roman"/>
          <w:szCs w:val="24"/>
        </w:rPr>
        <w:t xml:space="preserve"> Criminal defendants, the accused, and those in prison have achieved some substantial victories.  For examples, i</w:t>
      </w:r>
      <w:r w:rsidR="000B1C9B">
        <w:rPr>
          <w:rFonts w:cs="Times New Roman"/>
          <w:szCs w:val="24"/>
        </w:rPr>
        <w:t xml:space="preserve">n </w:t>
      </w:r>
      <w:r w:rsidR="000B1C9B">
        <w:rPr>
          <w:rFonts w:cs="Times New Roman"/>
          <w:i/>
          <w:szCs w:val="24"/>
        </w:rPr>
        <w:t xml:space="preserve">Roper v. Simmons </w:t>
      </w:r>
      <w:r w:rsidR="000B1C9B">
        <w:rPr>
          <w:rFonts w:cs="Times New Roman"/>
          <w:szCs w:val="24"/>
        </w:rPr>
        <w:t xml:space="preserve">(2005), </w:t>
      </w:r>
      <w:r w:rsidR="000B1C9B">
        <w:rPr>
          <w:rFonts w:cs="Times New Roman"/>
          <w:i/>
          <w:szCs w:val="24"/>
        </w:rPr>
        <w:t xml:space="preserve">Graham v. Florida </w:t>
      </w:r>
      <w:r w:rsidR="000B1C9B">
        <w:rPr>
          <w:rFonts w:cs="Times New Roman"/>
          <w:szCs w:val="24"/>
        </w:rPr>
        <w:t xml:space="preserve">(2010), and </w:t>
      </w:r>
      <w:r w:rsidR="000B1C9B">
        <w:rPr>
          <w:rFonts w:cs="Times New Roman"/>
          <w:i/>
          <w:szCs w:val="24"/>
        </w:rPr>
        <w:t xml:space="preserve">Miller v. Alabama </w:t>
      </w:r>
      <w:r w:rsidR="000B1C9B">
        <w:rPr>
          <w:rFonts w:cs="Times New Roman"/>
          <w:szCs w:val="24"/>
        </w:rPr>
        <w:t>(2012), the Roberts Court curtailed states’ power to punish juvenile offenders.</w:t>
      </w:r>
      <w:r w:rsidR="00E51C29">
        <w:rPr>
          <w:rFonts w:cs="Times New Roman"/>
          <w:szCs w:val="24"/>
        </w:rPr>
        <w:t xml:space="preserve"> </w:t>
      </w:r>
      <w:r w:rsidR="003F500D">
        <w:rPr>
          <w:rFonts w:cs="Times New Roman"/>
          <w:szCs w:val="24"/>
        </w:rPr>
        <w:t xml:space="preserve">  In </w:t>
      </w:r>
      <w:r w:rsidR="003F500D">
        <w:rPr>
          <w:rFonts w:cs="Times New Roman"/>
          <w:i/>
          <w:szCs w:val="24"/>
        </w:rPr>
        <w:t xml:space="preserve">Kennedy v. </w:t>
      </w:r>
      <w:r w:rsidR="00F603A5">
        <w:rPr>
          <w:rFonts w:cs="Times New Roman"/>
          <w:i/>
          <w:szCs w:val="24"/>
        </w:rPr>
        <w:t>Louisiana</w:t>
      </w:r>
      <w:r w:rsidR="003F500D">
        <w:rPr>
          <w:rFonts w:cs="Times New Roman"/>
          <w:i/>
          <w:szCs w:val="24"/>
        </w:rPr>
        <w:t xml:space="preserve"> </w:t>
      </w:r>
      <w:r w:rsidR="003F500D">
        <w:rPr>
          <w:rFonts w:cs="Times New Roman"/>
          <w:szCs w:val="24"/>
        </w:rPr>
        <w:t xml:space="preserve">(2008), the Court barred the death penalty for child rape.  And in </w:t>
      </w:r>
      <w:r w:rsidR="003F500D">
        <w:rPr>
          <w:rFonts w:cs="Times New Roman"/>
          <w:i/>
          <w:szCs w:val="24"/>
        </w:rPr>
        <w:t xml:space="preserve">Brown v. Plata </w:t>
      </w:r>
      <w:r w:rsidR="003F500D">
        <w:rPr>
          <w:rFonts w:cs="Times New Roman"/>
          <w:szCs w:val="24"/>
        </w:rPr>
        <w:t>(2010)</w:t>
      </w:r>
      <w:r w:rsidR="00897932">
        <w:rPr>
          <w:rFonts w:cs="Times New Roman"/>
          <w:szCs w:val="24"/>
        </w:rPr>
        <w:t xml:space="preserve">, the Roberts Court ordered </w:t>
      </w:r>
      <w:r w:rsidR="003F500D">
        <w:rPr>
          <w:rFonts w:cs="Times New Roman"/>
          <w:szCs w:val="24"/>
        </w:rPr>
        <w:t>California prisons to reduce overcrowding to improve health conditions.</w:t>
      </w:r>
      <w:r>
        <w:rPr>
          <w:rFonts w:cs="Times New Roman"/>
          <w:szCs w:val="24"/>
        </w:rPr>
        <w:t xml:space="preserve">  The Roberts Court has also afforded criminal defendants greater protections against out-of-court testimonial statements, denials of their choice of</w:t>
      </w:r>
      <w:r w:rsidR="00F603A5">
        <w:rPr>
          <w:rFonts w:cs="Times New Roman"/>
          <w:szCs w:val="24"/>
        </w:rPr>
        <w:t xml:space="preserve"> counsel, punishment</w:t>
      </w:r>
      <w:r>
        <w:rPr>
          <w:rFonts w:cs="Times New Roman"/>
          <w:szCs w:val="24"/>
        </w:rPr>
        <w:t xml:space="preserve"> enhancements without jury findings, and ineffective counsel (Rhodes 2011, 60).  </w:t>
      </w:r>
    </w:p>
    <w:p w:rsidR="00BD4E1B" w:rsidRDefault="00BD4E1B" w:rsidP="00BD4E1B">
      <w:pPr>
        <w:spacing w:line="480" w:lineRule="auto"/>
        <w:ind w:left="0" w:firstLine="720"/>
        <w:rPr>
          <w:rFonts w:cs="Times New Roman"/>
          <w:szCs w:val="24"/>
        </w:rPr>
      </w:pPr>
      <w:r>
        <w:rPr>
          <w:rFonts w:cs="Times New Roman"/>
          <w:szCs w:val="24"/>
        </w:rPr>
        <w:t xml:space="preserve">In search and seizure cases implicating the Fourth Amendment, </w:t>
      </w:r>
      <w:r w:rsidR="00C86D14">
        <w:rPr>
          <w:rFonts w:cs="Times New Roman"/>
          <w:szCs w:val="24"/>
        </w:rPr>
        <w:t xml:space="preserve">the Roberts Court </w:t>
      </w:r>
      <w:proofErr w:type="gramStart"/>
      <w:r w:rsidR="00C86D14">
        <w:rPr>
          <w:rFonts w:cs="Times New Roman"/>
          <w:szCs w:val="24"/>
        </w:rPr>
        <w:t>has</w:t>
      </w:r>
      <w:proofErr w:type="gramEnd"/>
      <w:r w:rsidR="00C86D14">
        <w:rPr>
          <w:rFonts w:cs="Times New Roman"/>
          <w:szCs w:val="24"/>
        </w:rPr>
        <w:t xml:space="preserve"> struggled to find a unifying principle to guide its jurisprudence.</w:t>
      </w:r>
      <w:r w:rsidR="00E51C29">
        <w:rPr>
          <w:rFonts w:cs="Times New Roman"/>
          <w:szCs w:val="24"/>
        </w:rPr>
        <w:t xml:space="preserve">  </w:t>
      </w:r>
      <w:r w:rsidR="00E30F65">
        <w:rPr>
          <w:rFonts w:cs="Times New Roman"/>
          <w:szCs w:val="24"/>
        </w:rPr>
        <w:t>In this vein, l</w:t>
      </w:r>
      <w:r w:rsidR="00C86D14">
        <w:rPr>
          <w:rFonts w:cs="Times New Roman"/>
          <w:szCs w:val="24"/>
        </w:rPr>
        <w:t xml:space="preserve">aw professor Erwin </w:t>
      </w:r>
      <w:proofErr w:type="spellStart"/>
      <w:r w:rsidR="00C86D14">
        <w:rPr>
          <w:rFonts w:cs="Times New Roman"/>
          <w:szCs w:val="24"/>
        </w:rPr>
        <w:t>Chemerinsky</w:t>
      </w:r>
      <w:proofErr w:type="spellEnd"/>
      <w:r w:rsidR="00E30F65">
        <w:rPr>
          <w:rFonts w:cs="Times New Roman"/>
          <w:szCs w:val="24"/>
        </w:rPr>
        <w:t xml:space="preserve"> (2012)</w:t>
      </w:r>
      <w:r w:rsidR="00C86D14">
        <w:rPr>
          <w:rFonts w:cs="Times New Roman"/>
          <w:szCs w:val="24"/>
        </w:rPr>
        <w:t xml:space="preserve"> claims the following regarding the Roberts Court approach to the Fourth Amendment</w:t>
      </w:r>
      <w:r w:rsidR="00C86D14" w:rsidRPr="00C86D14">
        <w:rPr>
          <w:rFonts w:cs="Times New Roman"/>
          <w:szCs w:val="24"/>
        </w:rPr>
        <w:t xml:space="preserve">:  </w:t>
      </w:r>
      <w:r w:rsidR="00C86D14" w:rsidRPr="00C86D14">
        <w:rPr>
          <w:szCs w:val="24"/>
        </w:rPr>
        <w:t>“I have long thought that the Suprem</w:t>
      </w:r>
      <w:r w:rsidR="00C86D14">
        <w:rPr>
          <w:szCs w:val="24"/>
        </w:rPr>
        <w:t>e Court’s Fourth Amendment deci</w:t>
      </w:r>
      <w:r w:rsidR="00C86D14" w:rsidRPr="00C86D14">
        <w:rPr>
          <w:szCs w:val="24"/>
        </w:rPr>
        <w:t>sions can be explained by a simple predictive principle: if the justices can imagine it happening to them, then i</w:t>
      </w:r>
      <w:r w:rsidR="00C86D14">
        <w:rPr>
          <w:szCs w:val="24"/>
        </w:rPr>
        <w:t>t violates the Fourth Amendment.”</w:t>
      </w:r>
      <w:r>
        <w:rPr>
          <w:rFonts w:cs="Times New Roman"/>
          <w:szCs w:val="24"/>
        </w:rPr>
        <w:t xml:space="preserve">   For example, the Court has struggled to coalesce around a rationale for how the Fourth Amendment applies in this new technological era. In </w:t>
      </w:r>
      <w:r>
        <w:rPr>
          <w:rFonts w:cs="Times New Roman"/>
          <w:i/>
          <w:szCs w:val="24"/>
        </w:rPr>
        <w:t xml:space="preserve">United States v. Jones </w:t>
      </w:r>
      <w:r>
        <w:rPr>
          <w:rFonts w:cs="Times New Roman"/>
          <w:szCs w:val="24"/>
        </w:rPr>
        <w:t xml:space="preserve">(2012), the USSC held that attaching a GPS tracking device to a vehicle and then using that device to monitor the vehicle’s movements constituted a search under the Fourth Amendment, but split as to why.  Some of the justices viewed the government action as a form of trespass, others as a violation of a citizen’s reasonable expectation of privacy. </w:t>
      </w:r>
    </w:p>
    <w:p w:rsidR="00BD4E1B" w:rsidRPr="003873BA" w:rsidRDefault="00DB2A63" w:rsidP="00BD4E1B">
      <w:pPr>
        <w:spacing w:line="480" w:lineRule="auto"/>
        <w:ind w:left="0" w:firstLine="720"/>
        <w:rPr>
          <w:rFonts w:cs="Times New Roman"/>
          <w:szCs w:val="24"/>
        </w:rPr>
      </w:pPr>
      <w:r>
        <w:rPr>
          <w:rFonts w:cs="Times New Roman"/>
          <w:szCs w:val="24"/>
        </w:rPr>
        <w:lastRenderedPageBreak/>
        <w:t>Four</w:t>
      </w:r>
      <w:r w:rsidR="00BD4E1B">
        <w:rPr>
          <w:rFonts w:cs="Times New Roman"/>
          <w:szCs w:val="24"/>
        </w:rPr>
        <w:t xml:space="preserve"> search and seizure cases from the most recent term of the Roberts Court provide further evidence of the highly context-dependent nature of these Fourth Amendment rulings.</w:t>
      </w:r>
      <w:r>
        <w:rPr>
          <w:rFonts w:cs="Times New Roman"/>
          <w:szCs w:val="24"/>
        </w:rPr>
        <w:t xml:space="preserve">  In </w:t>
      </w:r>
      <w:r>
        <w:rPr>
          <w:rFonts w:cs="Times New Roman"/>
          <w:i/>
          <w:szCs w:val="24"/>
        </w:rPr>
        <w:t xml:space="preserve">Florida v. </w:t>
      </w:r>
      <w:proofErr w:type="spellStart"/>
      <w:r>
        <w:rPr>
          <w:rFonts w:cs="Times New Roman"/>
          <w:i/>
          <w:szCs w:val="24"/>
        </w:rPr>
        <w:t>Jardines</w:t>
      </w:r>
      <w:proofErr w:type="spellEnd"/>
      <w:r>
        <w:rPr>
          <w:rFonts w:cs="Times New Roman"/>
          <w:i/>
          <w:szCs w:val="24"/>
        </w:rPr>
        <w:t xml:space="preserve"> </w:t>
      </w:r>
      <w:r>
        <w:rPr>
          <w:rFonts w:cs="Times New Roman"/>
          <w:szCs w:val="24"/>
        </w:rPr>
        <w:t xml:space="preserve">(2013), a 5-4 Court ruled that bringing a trained police dog onto someone’s front porch for purposes of obtaining evidence with which to secure a warrant is a search in violation of the Fourth Amendment.  However, the Roberts Court was unanimous in </w:t>
      </w:r>
      <w:r>
        <w:rPr>
          <w:rFonts w:cs="Times New Roman"/>
          <w:i/>
          <w:szCs w:val="24"/>
        </w:rPr>
        <w:t xml:space="preserve">Florida v. Harris </w:t>
      </w:r>
      <w:r>
        <w:rPr>
          <w:rFonts w:cs="Times New Roman"/>
          <w:szCs w:val="24"/>
        </w:rPr>
        <w:t xml:space="preserve">(2013), ruling that when the police provide evidence of a drug-sniffing dog’s satisfactory performance in a certification or training program, the dog’s alert can provide probable cause to search a vehicle in the absence of a warrant.  In </w:t>
      </w:r>
      <w:r w:rsidRPr="00DB2A63">
        <w:rPr>
          <w:rFonts w:cs="Times New Roman"/>
          <w:i/>
          <w:szCs w:val="24"/>
        </w:rPr>
        <w:t>Missouri v. McNeely</w:t>
      </w:r>
      <w:r>
        <w:rPr>
          <w:rFonts w:cs="Times New Roman"/>
          <w:szCs w:val="24"/>
        </w:rPr>
        <w:t xml:space="preserve"> (2013), the USSC ruled 5-4 </w:t>
      </w:r>
      <w:r w:rsidR="0069024B">
        <w:rPr>
          <w:rFonts w:cs="Times New Roman"/>
          <w:szCs w:val="24"/>
        </w:rPr>
        <w:t>that</w:t>
      </w:r>
      <w:r>
        <w:rPr>
          <w:rFonts w:cs="Times New Roman"/>
          <w:szCs w:val="24"/>
        </w:rPr>
        <w:t xml:space="preserve"> nonconsensual, warrantless blood draws</w:t>
      </w:r>
      <w:r w:rsidR="00F603A5">
        <w:rPr>
          <w:rFonts w:cs="Times New Roman"/>
          <w:szCs w:val="24"/>
        </w:rPr>
        <w:t xml:space="preserve"> in drunk-driving cases violate</w:t>
      </w:r>
      <w:r>
        <w:rPr>
          <w:rFonts w:cs="Times New Roman"/>
          <w:szCs w:val="24"/>
        </w:rPr>
        <w:t xml:space="preserve"> a person’s right to be free from unreasonable searches and seizures.  </w:t>
      </w:r>
      <w:r w:rsidR="0069024B">
        <w:rPr>
          <w:rFonts w:cs="Times New Roman"/>
          <w:szCs w:val="24"/>
        </w:rPr>
        <w:t>On the other hand</w:t>
      </w:r>
      <w:r>
        <w:rPr>
          <w:rFonts w:cs="Times New Roman"/>
          <w:szCs w:val="24"/>
        </w:rPr>
        <w:t xml:space="preserve">, in </w:t>
      </w:r>
      <w:r>
        <w:rPr>
          <w:rFonts w:cs="Times New Roman"/>
          <w:i/>
          <w:szCs w:val="24"/>
        </w:rPr>
        <w:t>Maryland v. King</w:t>
      </w:r>
      <w:r w:rsidR="003873BA">
        <w:rPr>
          <w:rFonts w:cs="Times New Roman"/>
          <w:i/>
          <w:szCs w:val="24"/>
        </w:rPr>
        <w:t xml:space="preserve"> </w:t>
      </w:r>
      <w:r w:rsidR="003873BA">
        <w:rPr>
          <w:rFonts w:cs="Times New Roman"/>
          <w:szCs w:val="24"/>
        </w:rPr>
        <w:t>(2013), the Roberts Court ruled 5-4 that taking and analyzing a cheek swab of an arrestee’s DNA is reasonable and is not a violation of the Fourth Amendment, as it is akin fingerprinting and photographing.   In summary, in the same term, the Roberts Court ruled that dog searches are unconstitutional in absence of a warrant at someone’s front por</w:t>
      </w:r>
      <w:r w:rsidR="00922C2D">
        <w:rPr>
          <w:rFonts w:cs="Times New Roman"/>
          <w:szCs w:val="24"/>
        </w:rPr>
        <w:t>ch, but constitutional if involving the sniffing of a vehicle</w:t>
      </w:r>
      <w:r w:rsidR="00F603A5">
        <w:rPr>
          <w:rFonts w:cs="Times New Roman"/>
          <w:szCs w:val="24"/>
        </w:rPr>
        <w:t xml:space="preserve">.  And the Court </w:t>
      </w:r>
      <w:r w:rsidR="003873BA">
        <w:rPr>
          <w:rFonts w:cs="Times New Roman"/>
          <w:szCs w:val="24"/>
        </w:rPr>
        <w:t>ruled that warrantless blood draws of suspected drunk drivers are unconstitutional, but that DNA swabs of arrestee’s are constitutional.</w:t>
      </w:r>
    </w:p>
    <w:p w:rsidR="00BD4E1B" w:rsidRDefault="003F500D" w:rsidP="0069024B">
      <w:pPr>
        <w:spacing w:line="480" w:lineRule="auto"/>
        <w:ind w:left="0" w:firstLine="720"/>
      </w:pPr>
      <w:r>
        <w:rPr>
          <w:rFonts w:cs="Times New Roman"/>
          <w:szCs w:val="24"/>
        </w:rPr>
        <w:t>I</w:t>
      </w:r>
      <w:r w:rsidR="000C1306">
        <w:rPr>
          <w:rFonts w:cs="Times New Roman"/>
          <w:szCs w:val="24"/>
        </w:rPr>
        <w:t xml:space="preserve">n the context of inmates, </w:t>
      </w:r>
      <w:r w:rsidR="007756E3">
        <w:rPr>
          <w:rFonts w:cs="Times New Roman"/>
          <w:szCs w:val="24"/>
        </w:rPr>
        <w:t xml:space="preserve">the Roberts Court has </w:t>
      </w:r>
      <w:r w:rsidR="000C1306">
        <w:rPr>
          <w:rFonts w:cs="Times New Roman"/>
          <w:szCs w:val="24"/>
        </w:rPr>
        <w:t>been unwilling to embrace more expansive Fourth Amendment protections</w:t>
      </w:r>
      <w:r>
        <w:rPr>
          <w:rFonts w:cs="Times New Roman"/>
          <w:szCs w:val="24"/>
        </w:rPr>
        <w:t>, tending to give deference to the decisions of law enforcement authorities in the field</w:t>
      </w:r>
      <w:r w:rsidR="000C1306">
        <w:rPr>
          <w:rFonts w:cs="Times New Roman"/>
          <w:szCs w:val="24"/>
        </w:rPr>
        <w:t xml:space="preserve">.  For example, in </w:t>
      </w:r>
      <w:r w:rsidR="000C1306">
        <w:rPr>
          <w:rFonts w:cs="Times New Roman"/>
          <w:i/>
          <w:szCs w:val="24"/>
        </w:rPr>
        <w:t>Florence v. Board of Chosen Freeholders of Burlington County</w:t>
      </w:r>
      <w:r w:rsidR="00F603A5">
        <w:rPr>
          <w:rFonts w:cs="Times New Roman"/>
          <w:i/>
          <w:szCs w:val="24"/>
        </w:rPr>
        <w:t xml:space="preserve"> </w:t>
      </w:r>
      <w:r w:rsidR="00F603A5">
        <w:rPr>
          <w:rFonts w:cs="Times New Roman"/>
          <w:szCs w:val="24"/>
        </w:rPr>
        <w:t>(2012)</w:t>
      </w:r>
      <w:r>
        <w:rPr>
          <w:rFonts w:cs="Times New Roman"/>
          <w:szCs w:val="24"/>
        </w:rPr>
        <w:t>, the Roberts Court held</w:t>
      </w:r>
      <w:r w:rsidR="000C1306">
        <w:rPr>
          <w:rFonts w:cs="Times New Roman"/>
          <w:szCs w:val="24"/>
        </w:rPr>
        <w:t xml:space="preserve"> that jailhouse strip-searches do not require reasonable suspicion</w:t>
      </w:r>
      <w:r w:rsidR="001B47DB">
        <w:rPr>
          <w:rFonts w:cs="Times New Roman"/>
          <w:szCs w:val="24"/>
        </w:rPr>
        <w:t>, even</w:t>
      </w:r>
      <w:r w:rsidR="000C1306">
        <w:rPr>
          <w:rFonts w:cs="Times New Roman"/>
          <w:szCs w:val="24"/>
        </w:rPr>
        <w:t xml:space="preserve"> for minor offenses.</w:t>
      </w:r>
      <w:r w:rsidR="007756E3">
        <w:rPr>
          <w:rFonts w:cs="Times New Roman"/>
          <w:szCs w:val="24"/>
        </w:rPr>
        <w:t xml:space="preserve"> </w:t>
      </w:r>
      <w:r w:rsidR="00F603A5">
        <w:rPr>
          <w:rFonts w:cs="Times New Roman"/>
          <w:szCs w:val="24"/>
        </w:rPr>
        <w:t xml:space="preserve"> </w:t>
      </w:r>
      <w:r>
        <w:rPr>
          <w:rFonts w:cs="Times New Roman"/>
          <w:szCs w:val="24"/>
        </w:rPr>
        <w:t xml:space="preserve">Regarding warrants and the exclusionary rule, the Roberts Court seems to be moving away from a categorical warrant requirement towards case-by-case reasonableness determinations, and away from the conclusion that all errors by law </w:t>
      </w:r>
      <w:r>
        <w:rPr>
          <w:rFonts w:cs="Times New Roman"/>
          <w:szCs w:val="24"/>
        </w:rPr>
        <w:lastRenderedPageBreak/>
        <w:t>enforcement authorities should result in the suppression of evidence at trial</w:t>
      </w:r>
      <w:r w:rsidR="00423FF6">
        <w:rPr>
          <w:rFonts w:cs="Times New Roman"/>
          <w:szCs w:val="24"/>
        </w:rPr>
        <w:t xml:space="preserve"> (O’Neill 2009)</w:t>
      </w:r>
      <w:r>
        <w:rPr>
          <w:rFonts w:cs="Times New Roman"/>
          <w:szCs w:val="24"/>
        </w:rPr>
        <w:t>.   For example, i</w:t>
      </w:r>
      <w:r w:rsidR="00E30F65">
        <w:rPr>
          <w:rFonts w:cs="Times New Roman"/>
          <w:szCs w:val="24"/>
        </w:rPr>
        <w:t xml:space="preserve">n </w:t>
      </w:r>
      <w:r w:rsidR="00E30F65">
        <w:rPr>
          <w:rFonts w:cs="Times New Roman"/>
          <w:i/>
          <w:szCs w:val="24"/>
        </w:rPr>
        <w:t>Hudson v. Michigan</w:t>
      </w:r>
      <w:r w:rsidR="00E30F65">
        <w:rPr>
          <w:rFonts w:cs="Times New Roman"/>
          <w:szCs w:val="24"/>
        </w:rPr>
        <w:t xml:space="preserve"> (2006)</w:t>
      </w:r>
      <w:r w:rsidR="00E30F65">
        <w:rPr>
          <w:rFonts w:cs="Times New Roman"/>
          <w:i/>
          <w:szCs w:val="24"/>
        </w:rPr>
        <w:t xml:space="preserve">, </w:t>
      </w:r>
      <w:r w:rsidR="00E30F65">
        <w:rPr>
          <w:rFonts w:cs="Times New Roman"/>
          <w:szCs w:val="24"/>
        </w:rPr>
        <w:t xml:space="preserve">the Court held that evidence need not be suppressed simply because law enforcement authorities violated the knock-and-announce rule.  And in </w:t>
      </w:r>
      <w:r w:rsidR="00E30F65">
        <w:rPr>
          <w:rFonts w:cs="Times New Roman"/>
          <w:i/>
          <w:szCs w:val="24"/>
        </w:rPr>
        <w:t>United States v. Herring</w:t>
      </w:r>
      <w:r w:rsidR="005834AF">
        <w:rPr>
          <w:rFonts w:cs="Times New Roman"/>
          <w:i/>
          <w:szCs w:val="24"/>
        </w:rPr>
        <w:t xml:space="preserve"> </w:t>
      </w:r>
      <w:r w:rsidR="005834AF">
        <w:rPr>
          <w:rFonts w:cs="Times New Roman"/>
          <w:szCs w:val="24"/>
        </w:rPr>
        <w:t>(2009)</w:t>
      </w:r>
      <w:r w:rsidR="00E30F65">
        <w:t xml:space="preserve">, the USSC limited the use of the exclusionary rule to reckless or intentional mistakes by police, </w:t>
      </w:r>
      <w:r w:rsidR="00F603A5">
        <w:t xml:space="preserve">saying </w:t>
      </w:r>
      <w:r w:rsidR="00E30F65">
        <w:t>that the</w:t>
      </w:r>
      <w:r w:rsidR="00F603A5">
        <w:t xml:space="preserve"> exclusionary</w:t>
      </w:r>
      <w:r w:rsidR="00E30F65">
        <w:t xml:space="preserve"> rule did not apply to mistakes made in “good-faith.”</w:t>
      </w:r>
    </w:p>
    <w:p w:rsidR="00B72530" w:rsidRDefault="00B72530" w:rsidP="0069024B">
      <w:pPr>
        <w:spacing w:line="480" w:lineRule="auto"/>
        <w:ind w:left="0" w:firstLine="720"/>
      </w:pPr>
      <w:r>
        <w:t xml:space="preserve">Lastly, in the area of federalism, the Roberts Court </w:t>
      </w:r>
      <w:proofErr w:type="gramStart"/>
      <w:r>
        <w:t>has</w:t>
      </w:r>
      <w:proofErr w:type="gramEnd"/>
      <w:r>
        <w:t xml:space="preserve"> departed in some noticeable ways from the Rehnquist Court. </w:t>
      </w:r>
      <w:r w:rsidR="005834AF">
        <w:t xml:space="preserve"> </w:t>
      </w:r>
      <w:r>
        <w:t>With its rulings, the Rehnquist Court helped to bring about the “new federalism” – a renewed emphasis on the role of the states in our federal system of government and an attempt to put some teeth back into the Ten</w:t>
      </w:r>
      <w:r w:rsidR="005834AF">
        <w:t>th Amendment, which some contend</w:t>
      </w:r>
      <w:r>
        <w:t xml:space="preserve"> had become almost an afterthought.   The Rehnquist Court had a reliable bloc of five conservative pro-state justices who helped to bring about this “new federalism” era.  However, the Roberts Court </w:t>
      </w:r>
      <w:proofErr w:type="gramStart"/>
      <w:r>
        <w:t>has</w:t>
      </w:r>
      <w:proofErr w:type="gramEnd"/>
      <w:r>
        <w:t xml:space="preserve"> no such consistent alignment of justices.  At the Roberts Court, the conservative justices are often as likely to favor the federal government as the states (</w:t>
      </w:r>
      <w:proofErr w:type="spellStart"/>
      <w:r>
        <w:t>Shortell</w:t>
      </w:r>
      <w:proofErr w:type="spellEnd"/>
      <w:r>
        <w:t xml:space="preserve"> 2012).   </w:t>
      </w:r>
    </w:p>
    <w:p w:rsidR="00B72530" w:rsidRDefault="00B72530" w:rsidP="0069024B">
      <w:pPr>
        <w:spacing w:line="480" w:lineRule="auto"/>
        <w:ind w:left="0" w:firstLine="720"/>
      </w:pPr>
      <w:r>
        <w:t xml:space="preserve">According to </w:t>
      </w:r>
      <w:proofErr w:type="spellStart"/>
      <w:r>
        <w:t>Shortell</w:t>
      </w:r>
      <w:proofErr w:type="spellEnd"/>
      <w:r>
        <w:t xml:space="preserve"> (2012), the Roberts Court </w:t>
      </w:r>
      <w:proofErr w:type="gramStart"/>
      <w:r>
        <w:t>has</w:t>
      </w:r>
      <w:proofErr w:type="gramEnd"/>
      <w:r>
        <w:t xml:space="preserve"> departed from its predecesso</w:t>
      </w:r>
      <w:r w:rsidR="003D14A5">
        <w:t>r in three primary ways in the realm of federalism</w:t>
      </w:r>
      <w:r>
        <w:t xml:space="preserve">. First, the Roberts Court </w:t>
      </w:r>
      <w:proofErr w:type="gramStart"/>
      <w:r>
        <w:t>has</w:t>
      </w:r>
      <w:proofErr w:type="gramEnd"/>
      <w:r>
        <w:t xml:space="preserve"> focused its federalism decisions on the doctrine of preemption, instead of the Commerce Clause and sovereign immunity (as did the Rehnquist Court).  Second, the Roberts Court, unlike the Rehnquist Court, </w:t>
      </w:r>
      <w:proofErr w:type="gramStart"/>
      <w:r>
        <w:t>has</w:t>
      </w:r>
      <w:proofErr w:type="gramEnd"/>
      <w:r>
        <w:t xml:space="preserve"> chosen to focus on questions of statutory interpretation rather than constitutional interpretation. </w:t>
      </w:r>
      <w:r w:rsidR="003D14A5">
        <w:t xml:space="preserve"> Third, with the replacement of Justices Rehnquist and O’Connor, the Roberts Court lacks an identifiable group of justices who are strong supporters of state authority, who have experience with state government, and who come from the western conservative tradition.</w:t>
      </w:r>
    </w:p>
    <w:p w:rsidR="00965BFB" w:rsidRDefault="006A76D5" w:rsidP="00BA43FA">
      <w:pPr>
        <w:spacing w:line="480" w:lineRule="auto"/>
        <w:ind w:left="0" w:firstLine="720"/>
      </w:pPr>
      <w:r>
        <w:lastRenderedPageBreak/>
        <w:t xml:space="preserve">Many important </w:t>
      </w:r>
      <w:r w:rsidR="00D51AB8">
        <w:t xml:space="preserve">federalism cases </w:t>
      </w:r>
      <w:r>
        <w:t xml:space="preserve">have been decided by the Roberts Court.  </w:t>
      </w:r>
      <w:r w:rsidR="00D51AB8">
        <w:t xml:space="preserve">First, in </w:t>
      </w:r>
      <w:r w:rsidR="00D51AB8">
        <w:rPr>
          <w:i/>
        </w:rPr>
        <w:t xml:space="preserve">Gonzalez v. Oregon </w:t>
      </w:r>
      <w:r w:rsidR="00D51AB8">
        <w:t>(2006), th</w:t>
      </w:r>
      <w:r w:rsidR="00BA43FA">
        <w:t>e USSC ruled 6-3 that the U.S. Attorney G</w:t>
      </w:r>
      <w:r w:rsidR="00D51AB8">
        <w:t xml:space="preserve">eneral was not authorized to suspend the licenses of doctors prescribing a lethal dose of medication under Oregon’s physician-assisted suicide law.  While this was a victory for “state’s rights,” it did not fit neatly within typically ideological lines, as supporters of euthanasia are typically viewed as liberal. Likewise, in </w:t>
      </w:r>
      <w:r w:rsidR="00D51AB8">
        <w:rPr>
          <w:i/>
        </w:rPr>
        <w:t xml:space="preserve">Wyeth v. Levine </w:t>
      </w:r>
      <w:r w:rsidR="00D51AB8">
        <w:t>(2008), the liberal justices were joined by Kennedy and Thomas in holding that a Vermont medical liability law was not preempted by FDA</w:t>
      </w:r>
      <w:r w:rsidR="00965BFB">
        <w:t xml:space="preserve"> requirement, with the effect of allowing failure-to-warn suits in state courts against drug-manufacturers d</w:t>
      </w:r>
      <w:r>
        <w:t>espite federal regulation.  This result also blurred</w:t>
      </w:r>
      <w:r w:rsidR="00965BFB">
        <w:t xml:space="preserve"> ideological lines, as it was another victory for state’</w:t>
      </w:r>
      <w:r>
        <w:t>s rights, but one that reached a conclusion embraced by more liberals than conservatives</w:t>
      </w:r>
      <w:r w:rsidR="00965BFB">
        <w:t xml:space="preserve">.  </w:t>
      </w:r>
    </w:p>
    <w:p w:rsidR="00D51AB8" w:rsidRDefault="00965BFB" w:rsidP="0069024B">
      <w:pPr>
        <w:spacing w:line="480" w:lineRule="auto"/>
        <w:ind w:left="0" w:firstLine="720"/>
      </w:pPr>
      <w:r>
        <w:t>On the other hand,</w:t>
      </w:r>
      <w:r w:rsidR="00C12D2C">
        <w:t xml:space="preserve"> in the following cases, the Roberts Court ruled in favor of federal preemption, with the conservative bloc of justices joining the majority in each. </w:t>
      </w:r>
      <w:r>
        <w:t xml:space="preserve"> </w:t>
      </w:r>
      <w:r w:rsidR="00C12D2C">
        <w:t>I</w:t>
      </w:r>
      <w:r>
        <w:t xml:space="preserve">n </w:t>
      </w:r>
      <w:proofErr w:type="spellStart"/>
      <w:r>
        <w:rPr>
          <w:i/>
        </w:rPr>
        <w:t>Riegel</w:t>
      </w:r>
      <w:proofErr w:type="spellEnd"/>
      <w:r>
        <w:rPr>
          <w:i/>
        </w:rPr>
        <w:t xml:space="preserve"> v. Medtronic, Inc. </w:t>
      </w:r>
      <w:r>
        <w:t xml:space="preserve">(2008), the USSC 8-1 barred state court lawsuits for FDA-approved medical devices, concluding that federal law preempted state tort law.  Likewise in </w:t>
      </w:r>
      <w:r>
        <w:rPr>
          <w:i/>
        </w:rPr>
        <w:t xml:space="preserve">PLIVA, Inc. v. </w:t>
      </w:r>
      <w:proofErr w:type="spellStart"/>
      <w:r>
        <w:rPr>
          <w:i/>
        </w:rPr>
        <w:t>Mensing</w:t>
      </w:r>
      <w:proofErr w:type="spellEnd"/>
      <w:r>
        <w:rPr>
          <w:i/>
        </w:rPr>
        <w:t xml:space="preserve"> </w:t>
      </w:r>
      <w:r>
        <w:t xml:space="preserve">(2011), the USSC favored federal preemption, blocking state court lawsuits over warning labels for generic drug manufacturers in a 5-4 decision along traditional conservative-liberal lines.  Once again, in </w:t>
      </w:r>
      <w:r>
        <w:rPr>
          <w:i/>
        </w:rPr>
        <w:t xml:space="preserve">AT&amp;T Mobility v. Concepcion </w:t>
      </w:r>
      <w:r>
        <w:t xml:space="preserve">(2011), the USSC divided along traditional conservative-liberal lines, ruling 5-4 </w:t>
      </w:r>
      <w:r w:rsidR="00C12D2C">
        <w:t xml:space="preserve">that federal law preempted state class action lawsuits under arbitration agreements.  And in </w:t>
      </w:r>
      <w:r w:rsidR="00C12D2C">
        <w:rPr>
          <w:i/>
        </w:rPr>
        <w:t xml:space="preserve">National Meat Association v. Harris </w:t>
      </w:r>
      <w:r w:rsidR="00C12D2C">
        <w:t>(2012)</w:t>
      </w:r>
      <w:r w:rsidR="00C12D2C">
        <w:rPr>
          <w:i/>
        </w:rPr>
        <w:t xml:space="preserve">, </w:t>
      </w:r>
      <w:r w:rsidR="00C12D2C">
        <w:t>the USSC unanimously struck down a California slaughterhouse regulation law on federal preemption grounds.</w:t>
      </w:r>
      <w:r w:rsidR="006A76D5">
        <w:t xml:space="preserve">  The federal government prevailed in these cases, in which the outcome was generally welcomed by conservatives, and frowned upon by </w:t>
      </w:r>
      <w:r w:rsidR="00BA43FA">
        <w:t xml:space="preserve">many </w:t>
      </w:r>
      <w:r w:rsidR="006A76D5">
        <w:t>liberals.</w:t>
      </w:r>
    </w:p>
    <w:p w:rsidR="00C12D2C" w:rsidRDefault="00C12D2C" w:rsidP="0069024B">
      <w:pPr>
        <w:spacing w:line="480" w:lineRule="auto"/>
        <w:ind w:left="0" w:firstLine="720"/>
      </w:pPr>
      <w:r>
        <w:lastRenderedPageBreak/>
        <w:t>Thus, the Roberts Court federalism cases do not fall neatly along traditional liberal-conservative fault lines.  As further corroboration of this point, one</w:t>
      </w:r>
      <w:r w:rsidR="00F603A5">
        <w:t xml:space="preserve"> </w:t>
      </w:r>
      <w:proofErr w:type="gramStart"/>
      <w:r w:rsidR="00F603A5">
        <w:t>need</w:t>
      </w:r>
      <w:proofErr w:type="gramEnd"/>
      <w:r w:rsidR="00F603A5">
        <w:t xml:space="preserve"> look no further than</w:t>
      </w:r>
      <w:r w:rsidR="00D02660">
        <w:t xml:space="preserve"> </w:t>
      </w:r>
      <w:r>
        <w:t xml:space="preserve">the highest profile cases of the last two terms of the Roberts Court.  </w:t>
      </w:r>
      <w:r w:rsidR="00C2464A">
        <w:t xml:space="preserve"> The PPACA case, discussed in the introduction</w:t>
      </w:r>
      <w:r>
        <w:t>, resulted in the Roberts Court coming down o</w:t>
      </w:r>
      <w:r w:rsidR="006A76D5">
        <w:t>n the side of federal Congressional taxing power</w:t>
      </w:r>
      <w:r w:rsidR="00D02660">
        <w:t xml:space="preserve"> (5-4)</w:t>
      </w:r>
      <w:r>
        <w:t xml:space="preserve"> against the states on the main constitutional question regarding the individual mandate</w:t>
      </w:r>
      <w:r w:rsidR="00D02660">
        <w:t>.  However, the USSC</w:t>
      </w:r>
      <w:r>
        <w:t xml:space="preserve"> took the side of the states</w:t>
      </w:r>
      <w:r w:rsidR="00D02660">
        <w:t xml:space="preserve"> (6-3)</w:t>
      </w:r>
      <w:r>
        <w:t xml:space="preserve"> in the Medicaid state co</w:t>
      </w:r>
      <w:r w:rsidR="006A76D5">
        <w:t>ercion argument</w:t>
      </w:r>
      <w:r w:rsidR="005834AF">
        <w:t>, narrowing the PPACA’s Medicaid expansion</w:t>
      </w:r>
      <w:r w:rsidR="006A76D5">
        <w:t xml:space="preserve">.  Likewise, </w:t>
      </w:r>
      <w:r w:rsidR="00D02660">
        <w:t>the</w:t>
      </w:r>
      <w:r>
        <w:t xml:space="preserve"> 2012 Arizona immigra</w:t>
      </w:r>
      <w:r w:rsidR="006A76D5">
        <w:t xml:space="preserve">tion law case </w:t>
      </w:r>
      <w:r>
        <w:t>found the liberal justices, joined by Justices Kennedy and Roberts, prevailing in striking down most provisions of Arizona’s immigration law on preemption grounds.</w:t>
      </w:r>
      <w:r w:rsidR="00D02660">
        <w:t xml:space="preserve">  Justice Kennedy, writing for the Court, emphasized the federal government’s “broad, undoubted power over immigration.”  These two cases wer</w:t>
      </w:r>
      <w:r w:rsidR="000C41DC">
        <w:t>e clear, although not</w:t>
      </w:r>
      <w:r w:rsidR="00D02660">
        <w:t xml:space="preserve"> complete, victorie</w:t>
      </w:r>
      <w:r w:rsidR="006A76D5">
        <w:t xml:space="preserve">s for federal power, </w:t>
      </w:r>
      <w:r w:rsidR="000C41DC">
        <w:t>and</w:t>
      </w:r>
      <w:r w:rsidR="00D02660">
        <w:t xml:space="preserve"> were widely cheered by liberals and resoundingly criticized by conservatives. </w:t>
      </w:r>
    </w:p>
    <w:p w:rsidR="00D02660" w:rsidRPr="00954513" w:rsidRDefault="00D02660" w:rsidP="0023289A">
      <w:pPr>
        <w:spacing w:line="480" w:lineRule="auto"/>
        <w:ind w:left="0" w:firstLine="720"/>
      </w:pPr>
      <w:r>
        <w:t>Similarly, the major twin decisions of the 2012 term</w:t>
      </w:r>
      <w:r w:rsidR="005834AF">
        <w:t xml:space="preserve"> involving same-sex marriage</w:t>
      </w:r>
      <w:r>
        <w:t xml:space="preserve">, </w:t>
      </w:r>
      <w:r>
        <w:rPr>
          <w:i/>
        </w:rPr>
        <w:t xml:space="preserve">United States v. Windsor </w:t>
      </w:r>
      <w:r>
        <w:t xml:space="preserve">(2013) and </w:t>
      </w:r>
      <w:r>
        <w:rPr>
          <w:i/>
        </w:rPr>
        <w:t xml:space="preserve">Hollingsworth v. Perry </w:t>
      </w:r>
      <w:r>
        <w:t>(2013), were seen as big victories for state’s rights</w:t>
      </w:r>
      <w:r w:rsidR="00954513">
        <w:t>,</w:t>
      </w:r>
      <w:r>
        <w:t xml:space="preserve"> but also as liberal victories</w:t>
      </w:r>
      <w:r w:rsidR="006A76D5">
        <w:t xml:space="preserve"> (</w:t>
      </w:r>
      <w:r w:rsidR="00954513">
        <w:t>and conservative defeats</w:t>
      </w:r>
      <w:r w:rsidR="006A76D5">
        <w:t>)</w:t>
      </w:r>
      <w:r w:rsidR="00BA43FA">
        <w:t xml:space="preserve"> regarding social policy</w:t>
      </w:r>
      <w:r>
        <w:t xml:space="preserve">. </w:t>
      </w:r>
      <w:r w:rsidR="00954513">
        <w:t xml:space="preserve"> In </w:t>
      </w:r>
      <w:r w:rsidR="00954513">
        <w:rPr>
          <w:i/>
        </w:rPr>
        <w:t xml:space="preserve">Windsor, </w:t>
      </w:r>
      <w:r w:rsidR="00954513">
        <w:t>Justice Kennedy, writi</w:t>
      </w:r>
      <w:r w:rsidR="0023289A">
        <w:t xml:space="preserve">ng the majority opinion for deeply divided </w:t>
      </w:r>
      <w:r w:rsidR="00954513">
        <w:t>5-4 Court, held that</w:t>
      </w:r>
      <w:r w:rsidR="00954513">
        <w:rPr>
          <w:i/>
        </w:rPr>
        <w:t xml:space="preserve"> </w:t>
      </w:r>
      <w:r w:rsidR="00954513">
        <w:t xml:space="preserve">the federal DOMA was unconstitutional, in part, on federalism rationale, as the regulation and definition of marriage is within the realm and authority of the separate states.  In </w:t>
      </w:r>
      <w:r w:rsidR="00954513">
        <w:rPr>
          <w:i/>
        </w:rPr>
        <w:t>Hollingsworth</w:t>
      </w:r>
      <w:r w:rsidR="00954513">
        <w:t xml:space="preserve">, the USSC also ruled 5-4 that private parties do not have standing to defend a state statute where state officials have chosen not to do so.  So once again, in a high profile case implicating federalism, the Roberts </w:t>
      </w:r>
      <w:r w:rsidR="006A76D5">
        <w:t xml:space="preserve">Court came down on the state’s rights side on the fence in a federalism case to reach a liberal decision.  </w:t>
      </w:r>
      <w:r w:rsidR="0023289A">
        <w:t>Finally, in</w:t>
      </w:r>
      <w:r w:rsidR="006A76D5">
        <w:t xml:space="preserve"> the other major case of the 2012 term –</w:t>
      </w:r>
      <w:r w:rsidR="0023289A">
        <w:t xml:space="preserve"> </w:t>
      </w:r>
      <w:r w:rsidR="0023289A">
        <w:rPr>
          <w:i/>
        </w:rPr>
        <w:t>Shelby</w:t>
      </w:r>
      <w:r w:rsidR="005834AF">
        <w:rPr>
          <w:i/>
        </w:rPr>
        <w:t xml:space="preserve"> </w:t>
      </w:r>
      <w:r w:rsidR="005834AF">
        <w:rPr>
          <w:i/>
        </w:rPr>
        <w:lastRenderedPageBreak/>
        <w:t>County</w:t>
      </w:r>
      <w:r w:rsidR="0023289A">
        <w:rPr>
          <w:i/>
        </w:rPr>
        <w:t xml:space="preserve"> v. Holder </w:t>
      </w:r>
      <w:r w:rsidR="006A76D5">
        <w:t>(2013) –</w:t>
      </w:r>
      <w:r w:rsidR="0023289A">
        <w:t xml:space="preserve"> a fractured 5-4 Court dividing along expected lines, </w:t>
      </w:r>
      <w:r w:rsidR="006A76D5">
        <w:t>ruling</w:t>
      </w:r>
      <w:r w:rsidR="0023289A">
        <w:t xml:space="preserve"> that section 4(b) of the Voting Rights Act of </w:t>
      </w:r>
      <w:r w:rsidR="006A76D5">
        <w:t>1965</w:t>
      </w:r>
      <w:r w:rsidR="0023289A">
        <w:t xml:space="preserve"> was unconstitutional on principles of federalism and equal state sovereignty, saying that the formula used to identify state and local governments that have to abide by federal preclearance requirements was out-of-date, resulting in unequal treatment.  This was victory for proponents of state’s rights, and was a decision widely hailed by conservatives and decried by liberals. </w:t>
      </w:r>
    </w:p>
    <w:p w:rsidR="004A0D23" w:rsidRDefault="006A76D5" w:rsidP="0069024B">
      <w:pPr>
        <w:spacing w:line="480" w:lineRule="auto"/>
        <w:ind w:left="0" w:firstLine="720"/>
      </w:pPr>
      <w:r>
        <w:t>Thus, analyzing a sample of the most notable federalism cases decided by the Roberts Court, leads one to the conclusion that these cases do always not fall along easily identifiable ideological fault lines.</w:t>
      </w:r>
      <w:r w:rsidR="00535D34">
        <w:t xml:space="preserve">  Sometimes the liberal justices embrace</w:t>
      </w:r>
      <w:r>
        <w:t xml:space="preserve"> a state’s rights position, and sometimes the opposite, and likewise with conservatives. </w:t>
      </w:r>
      <w:r w:rsidR="004A0D23">
        <w:t xml:space="preserve"> The Roberts Court has not settled on a consistent rationale or voting bloc in these cases, instead balancing the question of the proper division of federal and state powers as the context and legal arguments of the case dictate.</w:t>
      </w:r>
    </w:p>
    <w:p w:rsidR="00E53389" w:rsidRDefault="004A0D23" w:rsidP="0069024B">
      <w:pPr>
        <w:spacing w:line="480" w:lineRule="auto"/>
        <w:ind w:left="0" w:firstLine="720"/>
      </w:pPr>
      <w:r>
        <w:t xml:space="preserve">In conclusion, </w:t>
      </w:r>
      <w:r w:rsidR="00535D34">
        <w:t xml:space="preserve">the Roberts Court </w:t>
      </w:r>
      <w:proofErr w:type="gramStart"/>
      <w:r w:rsidR="00535D34">
        <w:t>is</w:t>
      </w:r>
      <w:proofErr w:type="gramEnd"/>
      <w:r w:rsidR="00535D34">
        <w:t xml:space="preserve"> still relatively young, entering</w:t>
      </w:r>
      <w:r w:rsidR="00405FDA">
        <w:t xml:space="preserve"> only</w:t>
      </w:r>
      <w:r w:rsidR="00535D34">
        <w:t xml:space="preserve"> its ninth year.  </w:t>
      </w:r>
      <w:r w:rsidR="00405FDA">
        <w:t xml:space="preserve">It is still developing its identity and its jurisprudence.  </w:t>
      </w:r>
      <w:r w:rsidR="00535D34">
        <w:t>As with every Court, it has its champions and its detractors.  Some view the Roberts Court as activist; some view it</w:t>
      </w:r>
      <w:r w:rsidR="00405FDA">
        <w:t xml:space="preserve"> as minimalist and restrained. </w:t>
      </w:r>
      <w:r w:rsidR="00535D34">
        <w:t xml:space="preserve"> Some view the Court as </w:t>
      </w:r>
      <w:r w:rsidR="00405FDA">
        <w:t xml:space="preserve">too </w:t>
      </w:r>
      <w:r w:rsidR="00535D34">
        <w:t xml:space="preserve">far right; others view it as modestly conservative.  </w:t>
      </w:r>
      <w:r w:rsidR="00405FDA">
        <w:t xml:space="preserve">Some view the Roberts Court as one in which politicians masquerade as judges; while others view the Roberts Court as a body who is dedicated to following the law wherever it leads – akin to umpires simply calling balls and strikes with no interest in the outcome of the game.  It is most likely, of course, that the truth lies somewhere between these two extremes. </w:t>
      </w:r>
      <w:r>
        <w:t xml:space="preserve"> </w:t>
      </w:r>
      <w:r w:rsidR="00405FDA">
        <w:t>This truth is evidenced by the fact that both conservatives and liberals tend to complain about the Court – it is either not conservative</w:t>
      </w:r>
      <w:r w:rsidR="00F603A5">
        <w:t xml:space="preserve"> enough</w:t>
      </w:r>
      <w:r w:rsidR="00405FDA">
        <w:t xml:space="preserve"> or not liberal enough for each of these groups.   The variation in the Roberts Court’s opinions indicate that tryin</w:t>
      </w:r>
      <w:r w:rsidR="0096048A">
        <w:t xml:space="preserve">g to predict judicial votes and case outcomes </w:t>
      </w:r>
      <w:r w:rsidR="0096048A">
        <w:lastRenderedPageBreak/>
        <w:t>based upon a purely ideological and simplistic conservative-liberal dichotomy is often inaccurate, as it fails to take into account the influence of case context, other branches of government, public opinion, and the nuanced and complex nature of legal controversies and arguments</w:t>
      </w:r>
      <w:r w:rsidR="00BA43FA">
        <w:t>.  If this is true</w:t>
      </w:r>
      <w:r w:rsidR="0096048A">
        <w:t>, then it opens the door to for amici to influence the justice’s decisions.</w:t>
      </w:r>
    </w:p>
    <w:p w:rsidR="0096048A" w:rsidRDefault="0096048A" w:rsidP="0069024B">
      <w:pPr>
        <w:spacing w:line="480" w:lineRule="auto"/>
        <w:ind w:left="0" w:firstLine="720"/>
        <w:rPr>
          <w:rFonts w:cs="Times New Roman"/>
          <w:color w:val="FF0000"/>
          <w:szCs w:val="24"/>
        </w:rPr>
      </w:pPr>
    </w:p>
    <w:p w:rsidR="00327DFA" w:rsidRPr="00993243" w:rsidRDefault="00F603A5" w:rsidP="00327DFA">
      <w:pPr>
        <w:pStyle w:val="ListParagraph"/>
        <w:numPr>
          <w:ilvl w:val="0"/>
          <w:numId w:val="38"/>
        </w:numPr>
        <w:spacing w:line="480" w:lineRule="auto"/>
        <w:rPr>
          <w:rFonts w:cs="Times New Roman"/>
          <w:b/>
          <w:szCs w:val="24"/>
        </w:rPr>
      </w:pPr>
      <w:r w:rsidRPr="00993243">
        <w:rPr>
          <w:rFonts w:cs="Times New Roman"/>
          <w:b/>
          <w:szCs w:val="24"/>
        </w:rPr>
        <w:t>Descriptive Statistics on</w:t>
      </w:r>
      <w:r w:rsidR="00BC468C" w:rsidRPr="00993243">
        <w:rPr>
          <w:rFonts w:cs="Times New Roman"/>
          <w:b/>
          <w:szCs w:val="24"/>
        </w:rPr>
        <w:t xml:space="preserve"> the Roberts Court</w:t>
      </w:r>
      <w:r w:rsidR="00717635" w:rsidRPr="00993243">
        <w:rPr>
          <w:rFonts w:cs="Times New Roman"/>
          <w:b/>
          <w:szCs w:val="24"/>
        </w:rPr>
        <w:t xml:space="preserve"> and Comparison To Past Courts</w:t>
      </w:r>
    </w:p>
    <w:p w:rsidR="008E2239" w:rsidRDefault="00D269F2" w:rsidP="00B03C9D">
      <w:pPr>
        <w:spacing w:line="480" w:lineRule="auto"/>
        <w:ind w:left="0" w:firstLine="720"/>
      </w:pPr>
      <w:r>
        <w:rPr>
          <w:szCs w:val="24"/>
        </w:rPr>
        <w:t>The following tables and graphs</w:t>
      </w:r>
      <w:r w:rsidR="00B03C9D">
        <w:rPr>
          <w:szCs w:val="24"/>
        </w:rPr>
        <w:t xml:space="preserve"> </w:t>
      </w:r>
      <w:r>
        <w:rPr>
          <w:szCs w:val="24"/>
        </w:rPr>
        <w:t>provide a</w:t>
      </w:r>
      <w:r w:rsidR="00B03C9D">
        <w:rPr>
          <w:szCs w:val="24"/>
        </w:rPr>
        <w:t xml:space="preserve"> detailed picture of the behavior of the Roberts Court in comparison to past Courts</w:t>
      </w:r>
      <w:r>
        <w:rPr>
          <w:szCs w:val="24"/>
        </w:rPr>
        <w:t xml:space="preserve">.  </w:t>
      </w:r>
      <w:r w:rsidR="00FE6F79">
        <w:rPr>
          <w:szCs w:val="24"/>
        </w:rPr>
        <w:t xml:space="preserve"> In the following tables and graphs, I use the data contained in the </w:t>
      </w:r>
      <w:proofErr w:type="spellStart"/>
      <w:r w:rsidR="00FE6F79">
        <w:t>Spaeth</w:t>
      </w:r>
      <w:proofErr w:type="spellEnd"/>
      <w:r w:rsidR="00FE6F79">
        <w:t xml:space="preserve"> US Supreme Court Database (SCDB) 2013 Release 01 (accessed at </w:t>
      </w:r>
      <w:hyperlink r:id="rId10" w:history="1">
        <w:r w:rsidR="00FE6F79" w:rsidRPr="007D460F">
          <w:rPr>
            <w:rStyle w:val="Hyperlink"/>
          </w:rPr>
          <w:t>http://scdb.wustl.edu/index.php</w:t>
        </w:r>
      </w:hyperlink>
      <w:r w:rsidR="00FE6F79">
        <w:t>). The SCDB contains over two hundred pieces of information abou</w:t>
      </w:r>
      <w:r w:rsidR="00BA43FA">
        <w:t>t each case decided by the USSC</w:t>
      </w:r>
      <w:r w:rsidR="00FE6F79">
        <w:t xml:space="preserve"> between the 1953 and 2012 terms.  Specifically, I use the case citation as the unit of analysis,</w:t>
      </w:r>
      <w:r w:rsidR="008E2239">
        <w:t xml:space="preserve"> unless otherwise noted,</w:t>
      </w:r>
      <w:r w:rsidR="00FE6F79">
        <w:t xml:space="preserve"> and consider all orally-argued cases</w:t>
      </w:r>
      <w:r w:rsidR="00B3382F">
        <w:rPr>
          <w:rStyle w:val="FootnoteReference"/>
        </w:rPr>
        <w:footnoteReference w:id="32"/>
      </w:r>
      <w:r w:rsidR="00FE6F79">
        <w:t xml:space="preserve"> before the USSC during the 2005 – 2012 terms. </w:t>
      </w:r>
    </w:p>
    <w:p w:rsidR="00B415C4" w:rsidRDefault="008E2239" w:rsidP="00B62C72">
      <w:pPr>
        <w:spacing w:line="480" w:lineRule="auto"/>
        <w:ind w:left="0" w:firstLine="720"/>
        <w:rPr>
          <w:szCs w:val="24"/>
        </w:rPr>
      </w:pPr>
      <w:r>
        <w:tab/>
      </w:r>
      <w:r w:rsidR="00864D28">
        <w:t>Figure</w:t>
      </w:r>
      <w:r w:rsidRPr="008E2239">
        <w:t xml:space="preserve"> </w:t>
      </w:r>
      <w:r w:rsidR="00C43BC5">
        <w:t>2</w:t>
      </w:r>
      <w:r w:rsidR="002C11DF">
        <w:t>.</w:t>
      </w:r>
      <w:r w:rsidRPr="008E2239">
        <w:t>1 shows the total number</w:t>
      </w:r>
      <w:r w:rsidR="00B94EA7">
        <w:rPr>
          <w:szCs w:val="24"/>
        </w:rPr>
        <w:t xml:space="preserve"> of cases decided each term, </w:t>
      </w:r>
      <w:r w:rsidRPr="008E2239">
        <w:rPr>
          <w:szCs w:val="24"/>
        </w:rPr>
        <w:t>and</w:t>
      </w:r>
      <w:r w:rsidR="00B94EA7">
        <w:rPr>
          <w:szCs w:val="24"/>
        </w:rPr>
        <w:t xml:space="preserve"> the</w:t>
      </w:r>
      <w:r w:rsidRPr="008E2239">
        <w:rPr>
          <w:szCs w:val="24"/>
        </w:rPr>
        <w:t xml:space="preserve"> total number of cases over</w:t>
      </w:r>
      <w:r w:rsidR="00B94EA7">
        <w:rPr>
          <w:szCs w:val="24"/>
        </w:rPr>
        <w:t xml:space="preserve"> the</w:t>
      </w:r>
      <w:r w:rsidRPr="008E2239">
        <w:rPr>
          <w:szCs w:val="24"/>
        </w:rPr>
        <w:t xml:space="preserve"> entire Roberts Court era</w:t>
      </w:r>
      <w:r>
        <w:rPr>
          <w:szCs w:val="24"/>
        </w:rPr>
        <w:t xml:space="preserve">.  During this eight year period, the </w:t>
      </w:r>
      <w:r w:rsidR="00085EC4">
        <w:rPr>
          <w:szCs w:val="24"/>
        </w:rPr>
        <w:t xml:space="preserve">Roberts </w:t>
      </w:r>
      <w:r>
        <w:rPr>
          <w:szCs w:val="24"/>
        </w:rPr>
        <w:t xml:space="preserve">Court decided 586 </w:t>
      </w:r>
      <w:r w:rsidR="00B03C9D">
        <w:rPr>
          <w:szCs w:val="24"/>
        </w:rPr>
        <w:t>total case</w:t>
      </w:r>
      <w:r w:rsidR="003B1849">
        <w:rPr>
          <w:szCs w:val="24"/>
        </w:rPr>
        <w:t>s, for an average of 73.25 cases per term.</w:t>
      </w:r>
      <w:r>
        <w:rPr>
          <w:szCs w:val="24"/>
        </w:rPr>
        <w:t xml:space="preserve">  </w:t>
      </w:r>
      <w:r w:rsidR="00B62C72">
        <w:rPr>
          <w:szCs w:val="24"/>
        </w:rPr>
        <w:t>In comparison, during the 19 terms of the Rehnquist Court (1986-2004), the Court decided 1,878 cases, for an average of 98.84 cases per term.  During the 17 terms of the Burger Court (1969-1985), the Court decided 2,439 cases, for an average of 143.47 cases per term. And during the 16 terms of the Warren Court (1953-1968), the Court decided 1,816 cases, for an average of 113.5 per term.  Thus, the Roberts Court took on the lowest case volume of the most recent Courts, and the Burger Court</w:t>
      </w:r>
    </w:p>
    <w:p w:rsidR="00B62C72" w:rsidRPr="00B62C72" w:rsidRDefault="00B62C72" w:rsidP="00B62C72">
      <w:pPr>
        <w:spacing w:line="480" w:lineRule="auto"/>
        <w:ind w:left="0" w:firstLine="720"/>
        <w:rPr>
          <w:szCs w:val="24"/>
        </w:rPr>
      </w:pPr>
    </w:p>
    <w:p w:rsidR="00864D28" w:rsidRPr="00864D28" w:rsidRDefault="00C43BC5" w:rsidP="008E2239">
      <w:pPr>
        <w:spacing w:line="480" w:lineRule="auto"/>
        <w:ind w:left="0" w:firstLine="0"/>
        <w:rPr>
          <w:b/>
          <w:szCs w:val="24"/>
        </w:rPr>
      </w:pPr>
      <w:proofErr w:type="gramStart"/>
      <w:r>
        <w:rPr>
          <w:b/>
          <w:szCs w:val="24"/>
        </w:rPr>
        <w:lastRenderedPageBreak/>
        <w:t>Figure 2</w:t>
      </w:r>
      <w:r w:rsidR="00864D28" w:rsidRPr="00864D28">
        <w:rPr>
          <w:b/>
          <w:szCs w:val="24"/>
        </w:rPr>
        <w:t>.1.</w:t>
      </w:r>
      <w:proofErr w:type="gramEnd"/>
      <w:r w:rsidR="00864D28" w:rsidRPr="00864D28">
        <w:rPr>
          <w:b/>
          <w:szCs w:val="24"/>
        </w:rPr>
        <w:t xml:space="preserve"> Number of Orally-Argued Cases Decided Per Term at Roberts Court</w:t>
      </w:r>
    </w:p>
    <w:p w:rsidR="00141CF5" w:rsidRDefault="00141CF5" w:rsidP="008E2239">
      <w:pPr>
        <w:spacing w:line="480" w:lineRule="auto"/>
        <w:ind w:left="0" w:firstLine="0"/>
        <w:rPr>
          <w:szCs w:val="24"/>
        </w:rPr>
      </w:pPr>
      <w:r>
        <w:rPr>
          <w:noProof/>
          <w:szCs w:val="24"/>
        </w:rPr>
        <w:drawing>
          <wp:inline distT="0" distB="0" distL="0" distR="0" wp14:anchorId="43556346" wp14:editId="3DCE4427">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415C4" w:rsidRDefault="00B415C4" w:rsidP="000663A2">
      <w:pPr>
        <w:spacing w:line="480" w:lineRule="auto"/>
        <w:ind w:left="0" w:firstLine="720"/>
        <w:rPr>
          <w:szCs w:val="24"/>
        </w:rPr>
      </w:pPr>
    </w:p>
    <w:p w:rsidR="001D7B82" w:rsidRDefault="00085EC4" w:rsidP="00B62C72">
      <w:pPr>
        <w:spacing w:line="480" w:lineRule="auto"/>
        <w:ind w:left="0" w:firstLine="0"/>
        <w:rPr>
          <w:szCs w:val="24"/>
        </w:rPr>
      </w:pPr>
      <w:proofErr w:type="gramStart"/>
      <w:r>
        <w:rPr>
          <w:szCs w:val="24"/>
        </w:rPr>
        <w:t>took</w:t>
      </w:r>
      <w:proofErr w:type="gramEnd"/>
      <w:r>
        <w:rPr>
          <w:szCs w:val="24"/>
        </w:rPr>
        <w:t xml:space="preserve"> on the highest case volume (practically doubling the Roberts Court in cases decided per term).</w:t>
      </w:r>
    </w:p>
    <w:p w:rsidR="009C3E1A" w:rsidRPr="009C3E1A" w:rsidRDefault="009C3E1A" w:rsidP="00B62C72">
      <w:pPr>
        <w:spacing w:line="480" w:lineRule="auto"/>
        <w:ind w:left="0" w:firstLine="720"/>
        <w:rPr>
          <w:szCs w:val="24"/>
        </w:rPr>
      </w:pPr>
      <w:r>
        <w:rPr>
          <w:szCs w:val="24"/>
        </w:rPr>
        <w:t>Figure 2.2 shows the number of</w:t>
      </w:r>
      <w:r>
        <w:rPr>
          <w:b/>
          <w:color w:val="00B050"/>
          <w:szCs w:val="24"/>
        </w:rPr>
        <w:t xml:space="preserve"> </w:t>
      </w:r>
      <w:r w:rsidRPr="008E2239">
        <w:rPr>
          <w:szCs w:val="24"/>
        </w:rPr>
        <w:t>cases decided in a conservative and liberal direction each term and over the entire period</w:t>
      </w:r>
      <w:r>
        <w:rPr>
          <w:szCs w:val="24"/>
        </w:rPr>
        <w:t xml:space="preserve"> of the Roberts Court.  Of the Roberts Court 586 cases, 317 (54.10 percent) were conservative, 262 (44.71 percent were liberal), and 7 (1.19 percent) were unspecifiable.  In comparison, of the 1,878 cases decided during the Rehnquist Court, 1,007 (53.62 percent) were conservative, 839 (44.68 percent) were liberal, and 32 (1.70 percent) were unspecifiable.  Of the 2,439 cases decided during the Burger Court, 1,319 (54.08 percent) were conservative, 1,093 (44.81 percent) were liberal, and 27 (1.11 percent) were unspecifiable. Thus, the Roberts, Rehnquist, and Burger Courts are virtually the same in terms of the split of cases decided conservatively versus the split of cases decided liberally.  This is a notable finding, as it would indicate that the ideological bent of the USSC (in terms of its decisional outcomes) has </w:t>
      </w:r>
    </w:p>
    <w:p w:rsidR="00D269F2" w:rsidRPr="002C7791" w:rsidRDefault="00C43BC5" w:rsidP="00CE67C9">
      <w:pPr>
        <w:spacing w:line="480" w:lineRule="auto"/>
        <w:ind w:left="0" w:firstLine="0"/>
        <w:rPr>
          <w:b/>
          <w:szCs w:val="24"/>
        </w:rPr>
      </w:pPr>
      <w:r>
        <w:rPr>
          <w:b/>
          <w:noProof/>
        </w:rPr>
        <w:lastRenderedPageBreak/>
        <w:t>Figure 2.2</w:t>
      </w:r>
      <w:r w:rsidR="00B415C4">
        <w:rPr>
          <w:b/>
          <w:noProof/>
        </w:rPr>
        <w:t>.</w:t>
      </w:r>
      <w:r w:rsidR="002C7791" w:rsidRPr="002C7791">
        <w:rPr>
          <w:b/>
          <w:noProof/>
        </w:rPr>
        <w:t xml:space="preserve">  Number of Liberal and Conservative Decision</w:t>
      </w:r>
      <w:r w:rsidR="003A56BF">
        <w:rPr>
          <w:b/>
          <w:noProof/>
        </w:rPr>
        <w:t>s</w:t>
      </w:r>
      <w:r>
        <w:rPr>
          <w:b/>
          <w:noProof/>
        </w:rPr>
        <w:t xml:space="preserve"> Per Term at Roberts Court</w:t>
      </w:r>
    </w:p>
    <w:p w:rsidR="00864D28" w:rsidRDefault="00864D28" w:rsidP="00864D28">
      <w:pPr>
        <w:spacing w:line="480" w:lineRule="auto"/>
        <w:ind w:left="0" w:firstLine="0"/>
        <w:rPr>
          <w:szCs w:val="24"/>
        </w:rPr>
      </w:pPr>
      <w:r>
        <w:rPr>
          <w:noProof/>
          <w:szCs w:val="24"/>
        </w:rPr>
        <w:drawing>
          <wp:inline distT="0" distB="0" distL="0" distR="0" wp14:anchorId="2D197033" wp14:editId="43F21ACF">
            <wp:extent cx="5486400" cy="3200400"/>
            <wp:effectExtent l="0" t="0" r="0" b="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415C4" w:rsidRDefault="00B415C4" w:rsidP="00B62C72">
      <w:pPr>
        <w:spacing w:line="480" w:lineRule="auto"/>
        <w:ind w:left="0" w:firstLine="0"/>
        <w:rPr>
          <w:szCs w:val="24"/>
        </w:rPr>
      </w:pPr>
    </w:p>
    <w:p w:rsidR="00B62C72" w:rsidRDefault="00B62C72" w:rsidP="00B62C72">
      <w:pPr>
        <w:spacing w:line="480" w:lineRule="auto"/>
        <w:ind w:left="0" w:firstLine="0"/>
        <w:rPr>
          <w:szCs w:val="24"/>
        </w:rPr>
      </w:pPr>
      <w:proofErr w:type="gramStart"/>
      <w:r>
        <w:rPr>
          <w:szCs w:val="24"/>
        </w:rPr>
        <w:t>remained</w:t>
      </w:r>
      <w:proofErr w:type="gramEnd"/>
      <w:r>
        <w:rPr>
          <w:szCs w:val="24"/>
        </w:rPr>
        <w:t xml:space="preserve"> stable and slightly conservative for over the last 40 years.  In contrast, of its 1,816 cases, the Warren Court decided 614 cases conservatively (33.81 percent), 1,182 cases liberally (65.09 percent), and 20 cases (1.10 percent) were unspecifiable. Clearly, the Warren Court was the most liberal of the USSC Courts over the last 60 years.</w:t>
      </w:r>
    </w:p>
    <w:p w:rsidR="00B62C72" w:rsidRPr="00B62C72" w:rsidRDefault="00B62C72" w:rsidP="00B62C72">
      <w:pPr>
        <w:spacing w:line="480" w:lineRule="auto"/>
        <w:ind w:left="0" w:firstLine="720"/>
        <w:rPr>
          <w:szCs w:val="24"/>
        </w:rPr>
      </w:pPr>
      <w:r>
        <w:rPr>
          <w:szCs w:val="24"/>
        </w:rPr>
        <w:t xml:space="preserve">Figure 2.3 depicts the </w:t>
      </w:r>
      <w:r w:rsidRPr="000663A2">
        <w:rPr>
          <w:szCs w:val="24"/>
        </w:rPr>
        <w:t>percentage of cases in which the Roberts Court struck down laws as unconstitutional</w:t>
      </w:r>
      <w:r>
        <w:rPr>
          <w:szCs w:val="24"/>
        </w:rPr>
        <w:t xml:space="preserve"> compared to prior Courts</w:t>
      </w:r>
      <w:r w:rsidRPr="000663A2">
        <w:rPr>
          <w:szCs w:val="24"/>
        </w:rPr>
        <w:t>.</w:t>
      </w:r>
      <w:r>
        <w:rPr>
          <w:szCs w:val="24"/>
        </w:rPr>
        <w:t xml:space="preserve">   The Roberts Court struck down laws as unconstitutional in 22 of the 586 cases (or 3.75 percent of cases).  In comparison, the Rehnquist Court struck down laws as unconstitutional in 119 of the 1,878 cases (or 6.34 percent of cases).   The Burger Court struck down laws as unconstitutional in 217 of its 2,439 cases (or 8.9 percent of cases).  The Warren Court struck down laws as unconstitutional in 127 of its 1,816 cases (or 7.0 percent of cases).   Thus, the Rehnquist Court struck down laws at a higher rate than the Roberts Court, the Warren Court struck down laws at a higher rate than the Rehnquist Court, and </w:t>
      </w:r>
    </w:p>
    <w:p w:rsidR="006E1478" w:rsidRPr="00844463" w:rsidRDefault="00844463" w:rsidP="003B1849">
      <w:pPr>
        <w:spacing w:line="480" w:lineRule="auto"/>
        <w:ind w:left="0" w:firstLine="0"/>
        <w:rPr>
          <w:b/>
          <w:szCs w:val="24"/>
        </w:rPr>
      </w:pPr>
      <w:proofErr w:type="gramStart"/>
      <w:r w:rsidRPr="00844463">
        <w:rPr>
          <w:b/>
          <w:szCs w:val="24"/>
        </w:rPr>
        <w:lastRenderedPageBreak/>
        <w:t xml:space="preserve">Figure </w:t>
      </w:r>
      <w:r w:rsidR="00C43BC5">
        <w:rPr>
          <w:b/>
          <w:szCs w:val="24"/>
        </w:rPr>
        <w:t>2</w:t>
      </w:r>
      <w:r w:rsidRPr="00844463">
        <w:rPr>
          <w:b/>
          <w:szCs w:val="24"/>
        </w:rPr>
        <w:t>.3.</w:t>
      </w:r>
      <w:proofErr w:type="gramEnd"/>
      <w:r w:rsidRPr="00844463">
        <w:rPr>
          <w:b/>
          <w:szCs w:val="24"/>
        </w:rPr>
        <w:t xml:space="preserve">  Perce</w:t>
      </w:r>
      <w:r w:rsidR="00C43BC5">
        <w:rPr>
          <w:b/>
          <w:szCs w:val="24"/>
        </w:rPr>
        <w:t>ntage of Cases Striking Down Laws as Unconstitutional at USSC</w:t>
      </w:r>
    </w:p>
    <w:p w:rsidR="002C7791" w:rsidRDefault="002C7791" w:rsidP="003B1849">
      <w:pPr>
        <w:spacing w:line="480" w:lineRule="auto"/>
        <w:ind w:left="0" w:firstLine="0"/>
        <w:rPr>
          <w:szCs w:val="24"/>
        </w:rPr>
      </w:pPr>
      <w:r>
        <w:rPr>
          <w:noProof/>
          <w:szCs w:val="24"/>
        </w:rPr>
        <w:drawing>
          <wp:inline distT="0" distB="0" distL="0" distR="0" wp14:anchorId="39FB5F93" wp14:editId="7B8E6536">
            <wp:extent cx="5486400" cy="3200400"/>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62C72" w:rsidRDefault="00B62C72" w:rsidP="00B62C72">
      <w:pPr>
        <w:spacing w:line="480" w:lineRule="auto"/>
        <w:ind w:left="0" w:firstLine="0"/>
        <w:rPr>
          <w:szCs w:val="24"/>
        </w:rPr>
      </w:pPr>
    </w:p>
    <w:p w:rsidR="00B62C72" w:rsidRDefault="00B62C72" w:rsidP="00B62C72">
      <w:pPr>
        <w:spacing w:line="480" w:lineRule="auto"/>
        <w:ind w:left="0" w:firstLine="0"/>
        <w:rPr>
          <w:rFonts w:cs="Times New Roman"/>
          <w:szCs w:val="24"/>
        </w:rPr>
      </w:pPr>
      <w:proofErr w:type="gramStart"/>
      <w:r>
        <w:rPr>
          <w:szCs w:val="24"/>
        </w:rPr>
        <w:t>the</w:t>
      </w:r>
      <w:proofErr w:type="gramEnd"/>
      <w:r>
        <w:rPr>
          <w:szCs w:val="24"/>
        </w:rPr>
        <w:t xml:space="preserve"> Burger Court struck down laws at a higher rate than the Warren Court.   If one measures judicial activism by the percentage of cases where laws are struck down, the Burger Court was the most activist, and the Roberts Court the least activist in the USSC’s last 60 years.</w:t>
      </w:r>
    </w:p>
    <w:p w:rsidR="00C54E69" w:rsidRDefault="006F7338" w:rsidP="000663A2">
      <w:pPr>
        <w:spacing w:line="480" w:lineRule="auto"/>
        <w:ind w:left="0" w:firstLine="720"/>
        <w:rPr>
          <w:rFonts w:cs="Times New Roman"/>
          <w:szCs w:val="24"/>
        </w:rPr>
      </w:pPr>
      <w:r>
        <w:rPr>
          <w:rFonts w:cs="Times New Roman"/>
          <w:szCs w:val="24"/>
        </w:rPr>
        <w:t xml:space="preserve">This result contradicts the </w:t>
      </w:r>
      <w:r w:rsidR="00B94EA7">
        <w:rPr>
          <w:rFonts w:cs="Times New Roman"/>
          <w:szCs w:val="24"/>
        </w:rPr>
        <w:t>narrative</w:t>
      </w:r>
      <w:r>
        <w:rPr>
          <w:rFonts w:cs="Times New Roman"/>
          <w:szCs w:val="24"/>
        </w:rPr>
        <w:t xml:space="preserve"> that</w:t>
      </w:r>
      <w:r w:rsidR="00B94EA7">
        <w:rPr>
          <w:rFonts w:cs="Times New Roman"/>
          <w:szCs w:val="24"/>
        </w:rPr>
        <w:t xml:space="preserve"> is advanced </w:t>
      </w:r>
      <w:r w:rsidR="00C54E69">
        <w:rPr>
          <w:rFonts w:cs="Times New Roman"/>
          <w:szCs w:val="24"/>
        </w:rPr>
        <w:t>among some USSC observers that the Roberts Co</w:t>
      </w:r>
      <w:r>
        <w:rPr>
          <w:rFonts w:cs="Times New Roman"/>
          <w:szCs w:val="24"/>
        </w:rPr>
        <w:t xml:space="preserve">urt </w:t>
      </w:r>
      <w:proofErr w:type="gramStart"/>
      <w:r>
        <w:rPr>
          <w:rFonts w:cs="Times New Roman"/>
          <w:szCs w:val="24"/>
        </w:rPr>
        <w:t>is</w:t>
      </w:r>
      <w:proofErr w:type="gramEnd"/>
      <w:r>
        <w:rPr>
          <w:rFonts w:cs="Times New Roman"/>
          <w:szCs w:val="24"/>
        </w:rPr>
        <w:t xml:space="preserve"> an activist one.  Further empirica</w:t>
      </w:r>
      <w:r w:rsidR="00B94EA7">
        <w:rPr>
          <w:rFonts w:cs="Times New Roman"/>
          <w:szCs w:val="24"/>
        </w:rPr>
        <w:t>l contradiction of this narrative</w:t>
      </w:r>
      <w:r>
        <w:rPr>
          <w:rFonts w:cs="Times New Roman"/>
          <w:szCs w:val="24"/>
        </w:rPr>
        <w:t xml:space="preserve"> is provided by Epstein </w:t>
      </w:r>
      <w:r w:rsidR="000D6839">
        <w:rPr>
          <w:rFonts w:cs="Times New Roman"/>
          <w:szCs w:val="24"/>
        </w:rPr>
        <w:t>and</w:t>
      </w:r>
      <w:r>
        <w:rPr>
          <w:rFonts w:cs="Times New Roman"/>
          <w:szCs w:val="24"/>
        </w:rPr>
        <w:t xml:space="preserve"> Martin (2011).  In a </w:t>
      </w:r>
      <w:r w:rsidR="00C54E69">
        <w:rPr>
          <w:rFonts w:cs="Times New Roman"/>
          <w:szCs w:val="24"/>
        </w:rPr>
        <w:t>study analyzing the 1969 – 2009 terms of the USSC, Ep</w:t>
      </w:r>
      <w:r>
        <w:rPr>
          <w:rFonts w:cs="Times New Roman"/>
          <w:szCs w:val="24"/>
        </w:rPr>
        <w:t xml:space="preserve">stein and Martin </w:t>
      </w:r>
      <w:r w:rsidR="00C54E69">
        <w:rPr>
          <w:rFonts w:cs="Times New Roman"/>
          <w:szCs w:val="24"/>
        </w:rPr>
        <w:t>conclude that the Roberts Court does not differ significantly in its level of activism from its predecessors.  Epstein and Martin demonstrate that a clear pattern emerges from analysis of the Burger, Rehnquist, and Roberts Courts: liberal justices exercise judicial restraint when confronted with liberal laws, but are much more likely to strike down conservative laws.  Conversely, conservative justices exercise judicial restraint when confronted with conservative laws, but are much more likely to st</w:t>
      </w:r>
      <w:r w:rsidR="00B94EA7">
        <w:rPr>
          <w:rFonts w:cs="Times New Roman"/>
          <w:szCs w:val="24"/>
        </w:rPr>
        <w:t>rike down liberal laws.  Yet Epstein and Martin do find that</w:t>
      </w:r>
      <w:r w:rsidR="00C54E69">
        <w:rPr>
          <w:rFonts w:cs="Times New Roman"/>
          <w:szCs w:val="24"/>
        </w:rPr>
        <w:t xml:space="preserve"> </w:t>
      </w:r>
      <w:r w:rsidR="00C54E69">
        <w:rPr>
          <w:rFonts w:cs="Times New Roman"/>
          <w:szCs w:val="24"/>
        </w:rPr>
        <w:lastRenderedPageBreak/>
        <w:t>liberal justices on the Roberts Court are less willing to strike down liberal laws than liberal justices on predecessor Courts, and similarly, conservative justices on the Roberts Court are less willing to strike down conservative laws than conservative justices on predecessor Courts.   This suggest</w:t>
      </w:r>
      <w:r w:rsidR="00B94EA7">
        <w:rPr>
          <w:rFonts w:cs="Times New Roman"/>
          <w:szCs w:val="24"/>
        </w:rPr>
        <w:t>s</w:t>
      </w:r>
      <w:r w:rsidR="00C54E69">
        <w:rPr>
          <w:rFonts w:cs="Times New Roman"/>
          <w:szCs w:val="24"/>
        </w:rPr>
        <w:t xml:space="preserve"> an increasing ideological polarization on the USSC, but this suggestion comes with a caveat: liberal justices on the Roberts Court are also less likely to strike conservative laws than liberal justices on the Rehnquist Court. </w:t>
      </w:r>
      <w:r w:rsidR="00B94EA7">
        <w:rPr>
          <w:rFonts w:cs="Times New Roman"/>
          <w:szCs w:val="24"/>
        </w:rPr>
        <w:t xml:space="preserve"> </w:t>
      </w:r>
      <w:r w:rsidR="00C54E69">
        <w:rPr>
          <w:rFonts w:cs="Times New Roman"/>
          <w:szCs w:val="24"/>
        </w:rPr>
        <w:t>Interestingly, Justice Kennedy, the “super median” justice on the Roberts Court, is more likely to strike down liberal laws than conservative laws.</w:t>
      </w:r>
      <w:r>
        <w:rPr>
          <w:rFonts w:cs="Times New Roman"/>
          <w:szCs w:val="24"/>
        </w:rPr>
        <w:t xml:space="preserve">  This finding would help to explain the Roberts Court modest conservative bent.</w:t>
      </w:r>
    </w:p>
    <w:p w:rsidR="00B62C72" w:rsidRDefault="00B62C72" w:rsidP="00B62C72">
      <w:pPr>
        <w:spacing w:line="480" w:lineRule="auto"/>
        <w:ind w:left="0" w:firstLine="720"/>
        <w:rPr>
          <w:szCs w:val="24"/>
        </w:rPr>
      </w:pPr>
      <w:r>
        <w:rPr>
          <w:szCs w:val="24"/>
        </w:rPr>
        <w:t>Figure 2.4</w:t>
      </w:r>
      <w:r w:rsidRPr="00B3382F">
        <w:rPr>
          <w:szCs w:val="24"/>
        </w:rPr>
        <w:t xml:space="preserve"> shows the percentage of cases in which the Roberts Court ruled in favor of petitioner.  </w:t>
      </w:r>
      <w:r>
        <w:rPr>
          <w:szCs w:val="24"/>
        </w:rPr>
        <w:t>In 381 cases (65.02 percent</w:t>
      </w:r>
      <w:r w:rsidRPr="00B3382F">
        <w:rPr>
          <w:szCs w:val="24"/>
        </w:rPr>
        <w:t xml:space="preserve">), the </w:t>
      </w:r>
      <w:r>
        <w:rPr>
          <w:szCs w:val="24"/>
        </w:rPr>
        <w:t xml:space="preserve">Roberts </w:t>
      </w:r>
      <w:r w:rsidRPr="00B3382F">
        <w:rPr>
          <w:szCs w:val="24"/>
        </w:rPr>
        <w:t>Court ruled in favor of the petitioner.  In comparison, the Rehnquist Court ruled in favor of the p</w:t>
      </w:r>
      <w:r>
        <w:rPr>
          <w:szCs w:val="24"/>
        </w:rPr>
        <w:t>etitioner in 1,118 cases (59.53 percent</w:t>
      </w:r>
      <w:r w:rsidRPr="00B3382F">
        <w:rPr>
          <w:szCs w:val="24"/>
        </w:rPr>
        <w:t xml:space="preserve">). </w:t>
      </w:r>
      <w:r>
        <w:rPr>
          <w:szCs w:val="24"/>
        </w:rPr>
        <w:t xml:space="preserve"> The Burger Court ruled in favor of the petitioner in 1,560 cases (63.96 percent).   Lastly, the Warren Court ruled in favor of the petitioner in 1,180 cases (64.98 percent).  Thus, over the last 60 years, the USSC rules in favor of the petitioner about 60-65 percent of the time on average.  It is clear then that petitioners have the upper hand at the USSC, and this advantage spans across various natural Courts.</w:t>
      </w:r>
    </w:p>
    <w:p w:rsidR="00B62C72" w:rsidRDefault="00B62C72" w:rsidP="00B62C72">
      <w:pPr>
        <w:spacing w:line="480" w:lineRule="auto"/>
        <w:ind w:left="0" w:firstLine="720"/>
        <w:rPr>
          <w:szCs w:val="24"/>
        </w:rPr>
      </w:pPr>
      <w:r>
        <w:rPr>
          <w:szCs w:val="24"/>
        </w:rPr>
        <w:t>Figure</w:t>
      </w:r>
      <w:r w:rsidRPr="00B3382F">
        <w:rPr>
          <w:szCs w:val="24"/>
        </w:rPr>
        <w:t xml:space="preserve"> </w:t>
      </w:r>
      <w:r>
        <w:rPr>
          <w:szCs w:val="24"/>
        </w:rPr>
        <w:t>2.</w:t>
      </w:r>
      <w:r w:rsidRPr="00B3382F">
        <w:rPr>
          <w:szCs w:val="24"/>
        </w:rPr>
        <w:t xml:space="preserve">5 shows the percentage of cases in which the Roberts Court formally altered precedent.  </w:t>
      </w:r>
      <w:r>
        <w:rPr>
          <w:szCs w:val="24"/>
        </w:rPr>
        <w:t>In 575 of the cases (98.12 percent</w:t>
      </w:r>
      <w:r w:rsidRPr="00B3382F">
        <w:rPr>
          <w:szCs w:val="24"/>
        </w:rPr>
        <w:t xml:space="preserve">), the </w:t>
      </w:r>
      <w:r>
        <w:rPr>
          <w:szCs w:val="24"/>
        </w:rPr>
        <w:t xml:space="preserve">Roberts </w:t>
      </w:r>
      <w:r w:rsidRPr="00B3382F">
        <w:rPr>
          <w:szCs w:val="24"/>
        </w:rPr>
        <w:t xml:space="preserve">Court made no determinable alteration of precedent, </w:t>
      </w:r>
      <w:r>
        <w:rPr>
          <w:szCs w:val="24"/>
        </w:rPr>
        <w:t>compared to only 10 cases (1.71 percent</w:t>
      </w:r>
      <w:r w:rsidRPr="00B3382F">
        <w:rPr>
          <w:szCs w:val="24"/>
        </w:rPr>
        <w:t>) in which precedent was formally altered.  In comparison, the Rehnquist Court made no determinable alteration of precedent in 1,833 cases (97.60</w:t>
      </w:r>
      <w:r>
        <w:rPr>
          <w:szCs w:val="24"/>
        </w:rPr>
        <w:t xml:space="preserve"> percent</w:t>
      </w:r>
      <w:r w:rsidRPr="00B3382F">
        <w:rPr>
          <w:szCs w:val="24"/>
        </w:rPr>
        <w:t>), compared to only 45 cases (2.4</w:t>
      </w:r>
      <w:r>
        <w:rPr>
          <w:szCs w:val="24"/>
        </w:rPr>
        <w:t xml:space="preserve"> percent</w:t>
      </w:r>
      <w:r w:rsidRPr="00B3382F">
        <w:rPr>
          <w:szCs w:val="24"/>
        </w:rPr>
        <w:t>) in which precedent was formally altered.</w:t>
      </w:r>
      <w:r>
        <w:rPr>
          <w:szCs w:val="24"/>
        </w:rPr>
        <w:t xml:space="preserve">  The Burger Court made no determinable alteration of precedent in 2,392 cases (98.07 percent), compared to only 47 cases (1.93 percent) in which precedent was </w:t>
      </w:r>
    </w:p>
    <w:p w:rsidR="00844463" w:rsidRPr="00B62C72" w:rsidRDefault="00C43BC5" w:rsidP="00B62C72">
      <w:pPr>
        <w:spacing w:line="480" w:lineRule="auto"/>
        <w:ind w:left="0" w:firstLine="0"/>
        <w:rPr>
          <w:szCs w:val="24"/>
        </w:rPr>
      </w:pPr>
      <w:proofErr w:type="gramStart"/>
      <w:r>
        <w:rPr>
          <w:b/>
          <w:szCs w:val="24"/>
        </w:rPr>
        <w:lastRenderedPageBreak/>
        <w:t>Figure 2</w:t>
      </w:r>
      <w:r w:rsidR="00844463">
        <w:rPr>
          <w:b/>
          <w:szCs w:val="24"/>
        </w:rPr>
        <w:t>.4.</w:t>
      </w:r>
      <w:proofErr w:type="gramEnd"/>
      <w:r w:rsidR="00844463">
        <w:rPr>
          <w:b/>
          <w:szCs w:val="24"/>
        </w:rPr>
        <w:t xml:space="preserve">  Percentage </w:t>
      </w:r>
      <w:r w:rsidR="003A56BF">
        <w:rPr>
          <w:b/>
          <w:szCs w:val="24"/>
        </w:rPr>
        <w:t>o</w:t>
      </w:r>
      <w:r w:rsidR="00844463">
        <w:rPr>
          <w:b/>
          <w:szCs w:val="24"/>
        </w:rPr>
        <w:t xml:space="preserve">f Cases </w:t>
      </w:r>
      <w:r w:rsidR="003A56BF">
        <w:rPr>
          <w:b/>
          <w:szCs w:val="24"/>
        </w:rPr>
        <w:t>i</w:t>
      </w:r>
      <w:r w:rsidR="00844463">
        <w:rPr>
          <w:b/>
          <w:szCs w:val="24"/>
        </w:rPr>
        <w:t>n</w:t>
      </w:r>
      <w:r w:rsidR="003A56BF">
        <w:rPr>
          <w:b/>
          <w:szCs w:val="24"/>
        </w:rPr>
        <w:t xml:space="preserve"> Which USSC Ruled i</w:t>
      </w:r>
      <w:r w:rsidR="00844463">
        <w:rPr>
          <w:b/>
          <w:szCs w:val="24"/>
        </w:rPr>
        <w:t>n</w:t>
      </w:r>
      <w:r w:rsidR="003A56BF">
        <w:rPr>
          <w:b/>
          <w:szCs w:val="24"/>
        </w:rPr>
        <w:t xml:space="preserve"> Favor o</w:t>
      </w:r>
      <w:r w:rsidR="00844463">
        <w:rPr>
          <w:b/>
          <w:szCs w:val="24"/>
        </w:rPr>
        <w:t>f Petitioner</w:t>
      </w:r>
    </w:p>
    <w:p w:rsidR="00844463" w:rsidRPr="00844463" w:rsidRDefault="00844463" w:rsidP="00844463">
      <w:pPr>
        <w:spacing w:line="480" w:lineRule="auto"/>
        <w:ind w:left="0" w:firstLine="0"/>
        <w:rPr>
          <w:b/>
          <w:szCs w:val="24"/>
        </w:rPr>
      </w:pPr>
      <w:r>
        <w:rPr>
          <w:b/>
          <w:noProof/>
          <w:szCs w:val="24"/>
        </w:rPr>
        <w:drawing>
          <wp:inline distT="0" distB="0" distL="0" distR="0" wp14:anchorId="20CDCE84" wp14:editId="12786836">
            <wp:extent cx="5486400" cy="3200400"/>
            <wp:effectExtent l="0" t="0" r="0"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62C72" w:rsidRDefault="00B62C72" w:rsidP="003A56BF">
      <w:pPr>
        <w:spacing w:line="480" w:lineRule="auto"/>
        <w:ind w:left="0" w:firstLine="0"/>
        <w:rPr>
          <w:b/>
          <w:color w:val="00B050"/>
          <w:szCs w:val="24"/>
        </w:rPr>
      </w:pPr>
    </w:p>
    <w:p w:rsidR="0082221A" w:rsidRDefault="0082221A" w:rsidP="003A56BF">
      <w:pPr>
        <w:spacing w:line="480" w:lineRule="auto"/>
        <w:ind w:left="0" w:firstLine="0"/>
        <w:rPr>
          <w:szCs w:val="24"/>
        </w:rPr>
      </w:pPr>
    </w:p>
    <w:p w:rsidR="003A56BF" w:rsidRDefault="00C43BC5" w:rsidP="003A56BF">
      <w:pPr>
        <w:spacing w:line="480" w:lineRule="auto"/>
        <w:ind w:left="0" w:firstLine="0"/>
        <w:rPr>
          <w:b/>
          <w:szCs w:val="24"/>
        </w:rPr>
      </w:pPr>
      <w:proofErr w:type="gramStart"/>
      <w:r>
        <w:rPr>
          <w:b/>
          <w:szCs w:val="24"/>
        </w:rPr>
        <w:t>Figure 2</w:t>
      </w:r>
      <w:r w:rsidR="003A56BF" w:rsidRPr="003A56BF">
        <w:rPr>
          <w:b/>
          <w:szCs w:val="24"/>
        </w:rPr>
        <w:t>.5.</w:t>
      </w:r>
      <w:proofErr w:type="gramEnd"/>
      <w:r w:rsidR="003A56BF" w:rsidRPr="003A56BF">
        <w:rPr>
          <w:b/>
          <w:szCs w:val="24"/>
        </w:rPr>
        <w:t xml:space="preserve">  Percentage of Cases in Which USSC Formally Altered Precedent</w:t>
      </w:r>
    </w:p>
    <w:p w:rsidR="00B415C4" w:rsidRDefault="003A56BF" w:rsidP="00B62C72">
      <w:pPr>
        <w:spacing w:line="480" w:lineRule="auto"/>
        <w:ind w:left="0" w:firstLine="0"/>
        <w:rPr>
          <w:b/>
          <w:szCs w:val="24"/>
        </w:rPr>
      </w:pPr>
      <w:r>
        <w:rPr>
          <w:b/>
          <w:noProof/>
          <w:szCs w:val="24"/>
        </w:rPr>
        <w:drawing>
          <wp:inline distT="0" distB="0" distL="0" distR="0" wp14:anchorId="30429352" wp14:editId="051A7102">
            <wp:extent cx="5486400" cy="3200400"/>
            <wp:effectExtent l="0" t="0" r="0" b="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62C72" w:rsidRDefault="00B62C72" w:rsidP="00B62C72">
      <w:pPr>
        <w:spacing w:line="480" w:lineRule="auto"/>
        <w:ind w:left="0" w:firstLine="0"/>
        <w:rPr>
          <w:szCs w:val="24"/>
        </w:rPr>
      </w:pPr>
      <w:proofErr w:type="gramStart"/>
      <w:r>
        <w:rPr>
          <w:szCs w:val="24"/>
        </w:rPr>
        <w:lastRenderedPageBreak/>
        <w:t>formally</w:t>
      </w:r>
      <w:proofErr w:type="gramEnd"/>
      <w:r>
        <w:rPr>
          <w:szCs w:val="24"/>
        </w:rPr>
        <w:t xml:space="preserve"> altered.  Lastly, the Warren Court made no determinable alteration of precedent in 1,773 cases (97.63 percent), compared to only 43 cases (2.37 percent) in which precedent was formally altered.   Therefore, while each of these Courts is similar in terms of their percentage of altering precedents, the Rehnquist and Warren Courts were most willing to alter precedent, and the Roberts Court has been least willing to alter precedent.  This finding provides further confirmation that the Roberts Court is not activist compared to its predecessors; if anything, it is more restrained.</w:t>
      </w:r>
    </w:p>
    <w:p w:rsidR="0082221A" w:rsidRDefault="0082221A" w:rsidP="0082221A">
      <w:pPr>
        <w:spacing w:line="480" w:lineRule="auto"/>
        <w:ind w:left="0" w:firstLine="720"/>
        <w:rPr>
          <w:szCs w:val="24"/>
        </w:rPr>
      </w:pPr>
      <w:r>
        <w:rPr>
          <w:szCs w:val="24"/>
        </w:rPr>
        <w:t>Figure 2.6</w:t>
      </w:r>
      <w:r w:rsidRPr="00B3382F">
        <w:rPr>
          <w:szCs w:val="24"/>
        </w:rPr>
        <w:t xml:space="preserve"> details the percentage of five vote majority cases and unanimously decided cases occurring in the Roberts Court.  153 of the 586 cases (26.11</w:t>
      </w:r>
      <w:r>
        <w:rPr>
          <w:szCs w:val="24"/>
        </w:rPr>
        <w:t xml:space="preserve"> percent</w:t>
      </w:r>
      <w:r w:rsidRPr="00B3382F">
        <w:rPr>
          <w:szCs w:val="24"/>
        </w:rPr>
        <w:t>) were decided by only a five vote majority coalition, whereas 197 (33.62</w:t>
      </w:r>
      <w:r>
        <w:rPr>
          <w:szCs w:val="24"/>
        </w:rPr>
        <w:t xml:space="preserve"> percent</w:t>
      </w:r>
      <w:r w:rsidRPr="00B3382F">
        <w:rPr>
          <w:szCs w:val="24"/>
        </w:rPr>
        <w:t>) were decided by a unanimous vote of all nine justices.   Notably, 91 of the 153</w:t>
      </w:r>
      <w:r>
        <w:rPr>
          <w:szCs w:val="24"/>
        </w:rPr>
        <w:t xml:space="preserve"> five vote majority cases (59.5 percent</w:t>
      </w:r>
      <w:r w:rsidRPr="00B3382F">
        <w:rPr>
          <w:szCs w:val="24"/>
        </w:rPr>
        <w:t>) were decided conservatively, while 59 of the</w:t>
      </w:r>
      <w:r>
        <w:rPr>
          <w:szCs w:val="24"/>
        </w:rPr>
        <w:t xml:space="preserve"> five vote majority cases (38.6 percent</w:t>
      </w:r>
      <w:r w:rsidRPr="00B3382F">
        <w:rPr>
          <w:szCs w:val="24"/>
        </w:rPr>
        <w:t>) were decided liberally.  Of the 197 unanimous n</w:t>
      </w:r>
      <w:r>
        <w:rPr>
          <w:szCs w:val="24"/>
        </w:rPr>
        <w:t>ine vote decisions, 95 (or 48.2 percent</w:t>
      </w:r>
      <w:r w:rsidRPr="00B3382F">
        <w:rPr>
          <w:szCs w:val="24"/>
        </w:rPr>
        <w:t xml:space="preserve">) were conservative, while 99 </w:t>
      </w:r>
      <w:r>
        <w:rPr>
          <w:szCs w:val="24"/>
        </w:rPr>
        <w:t>(or 50.3 percent</w:t>
      </w:r>
      <w:r w:rsidRPr="00B3382F">
        <w:rPr>
          <w:szCs w:val="24"/>
        </w:rPr>
        <w:t>) were liberal.</w:t>
      </w:r>
      <w:r>
        <w:rPr>
          <w:szCs w:val="24"/>
        </w:rPr>
        <w:t xml:space="preserve">  </w:t>
      </w:r>
    </w:p>
    <w:p w:rsidR="0082221A" w:rsidRDefault="0082221A" w:rsidP="0082221A">
      <w:pPr>
        <w:spacing w:line="480" w:lineRule="auto"/>
        <w:ind w:left="0" w:firstLine="720"/>
        <w:rPr>
          <w:szCs w:val="24"/>
        </w:rPr>
      </w:pPr>
      <w:r>
        <w:rPr>
          <w:szCs w:val="24"/>
        </w:rPr>
        <w:t>In comparison, 417 of the 1,878 cases (22.2 percent) decided by the Rehnquist Court</w:t>
      </w:r>
      <w:r w:rsidRPr="00B3382F">
        <w:rPr>
          <w:szCs w:val="24"/>
        </w:rPr>
        <w:t xml:space="preserve"> </w:t>
      </w:r>
      <w:r>
        <w:rPr>
          <w:szCs w:val="24"/>
        </w:rPr>
        <w:t>were only by a five vote majority, whereas 680 of the 1,878 (36.2 percent) were decided by a unanimous vote of all nine justices. Notably, 253 of the 417 five vote majority cases (60.7 percent</w:t>
      </w:r>
      <w:r w:rsidRPr="00B3382F">
        <w:rPr>
          <w:szCs w:val="24"/>
        </w:rPr>
        <w:t xml:space="preserve">) were </w:t>
      </w:r>
      <w:r>
        <w:rPr>
          <w:szCs w:val="24"/>
        </w:rPr>
        <w:t>decided conservatively, while 162</w:t>
      </w:r>
      <w:r w:rsidRPr="00B3382F">
        <w:rPr>
          <w:szCs w:val="24"/>
        </w:rPr>
        <w:t xml:space="preserve"> of th</w:t>
      </w:r>
      <w:r>
        <w:rPr>
          <w:szCs w:val="24"/>
        </w:rPr>
        <w:t>e five vote majority cases (38.8 percent</w:t>
      </w:r>
      <w:r w:rsidRPr="00B3382F">
        <w:rPr>
          <w:szCs w:val="24"/>
        </w:rPr>
        <w:t>) were decided liberally.</w:t>
      </w:r>
      <w:r>
        <w:rPr>
          <w:szCs w:val="24"/>
        </w:rPr>
        <w:t xml:space="preserve"> </w:t>
      </w:r>
      <w:r w:rsidRPr="00B3382F">
        <w:rPr>
          <w:szCs w:val="24"/>
        </w:rPr>
        <w:t xml:space="preserve">Of </w:t>
      </w:r>
      <w:r>
        <w:rPr>
          <w:szCs w:val="24"/>
        </w:rPr>
        <w:t>the 680</w:t>
      </w:r>
      <w:r w:rsidRPr="00B3382F">
        <w:rPr>
          <w:szCs w:val="24"/>
        </w:rPr>
        <w:t xml:space="preserve"> u</w:t>
      </w:r>
      <w:r>
        <w:rPr>
          <w:szCs w:val="24"/>
        </w:rPr>
        <w:t>nanimous nine vote decisions, 331 (or 48.7 percent) were conservative, while 339 (or 49.9 percent</w:t>
      </w:r>
      <w:r w:rsidRPr="00B3382F">
        <w:rPr>
          <w:szCs w:val="24"/>
        </w:rPr>
        <w:t>) were liberal.</w:t>
      </w:r>
      <w:r>
        <w:rPr>
          <w:szCs w:val="24"/>
        </w:rPr>
        <w:t xml:space="preserve">  </w:t>
      </w:r>
    </w:p>
    <w:p w:rsidR="0082221A" w:rsidRPr="0082221A" w:rsidRDefault="0082221A" w:rsidP="0082221A">
      <w:pPr>
        <w:spacing w:line="480" w:lineRule="auto"/>
        <w:ind w:left="0" w:firstLine="720"/>
        <w:rPr>
          <w:szCs w:val="24"/>
        </w:rPr>
      </w:pPr>
      <w:r>
        <w:rPr>
          <w:szCs w:val="24"/>
        </w:rPr>
        <w:t xml:space="preserve">At the Burger Court, 515 of the 2,439 cases (21.12 percent) were decided by a five vote majority, while 595 (24.4 percent) were decided by a unanimous vote of all nine justices.  309 of the 515 five vote majority cases (60.0 percent) were decided conservatively, while 206 (40.0 </w:t>
      </w:r>
    </w:p>
    <w:p w:rsidR="00C10763" w:rsidRDefault="00C43BC5" w:rsidP="00C10763">
      <w:pPr>
        <w:spacing w:line="480" w:lineRule="auto"/>
        <w:ind w:left="0" w:firstLine="0"/>
        <w:rPr>
          <w:b/>
          <w:szCs w:val="24"/>
        </w:rPr>
      </w:pPr>
      <w:proofErr w:type="gramStart"/>
      <w:r>
        <w:rPr>
          <w:b/>
          <w:szCs w:val="24"/>
        </w:rPr>
        <w:lastRenderedPageBreak/>
        <w:t>Figure 2</w:t>
      </w:r>
      <w:r w:rsidR="00C10763" w:rsidRPr="00C10763">
        <w:rPr>
          <w:b/>
          <w:szCs w:val="24"/>
        </w:rPr>
        <w:t>.6.</w:t>
      </w:r>
      <w:proofErr w:type="gramEnd"/>
      <w:r w:rsidR="00C10763" w:rsidRPr="00C10763">
        <w:rPr>
          <w:b/>
          <w:szCs w:val="24"/>
        </w:rPr>
        <w:t xml:space="preserve"> Percentage of Five Vote Majority </w:t>
      </w:r>
      <w:r w:rsidR="0082221A">
        <w:rPr>
          <w:b/>
          <w:szCs w:val="24"/>
        </w:rPr>
        <w:t>and Unanimous Cases at the USSC</w:t>
      </w:r>
    </w:p>
    <w:p w:rsidR="00C10763" w:rsidRPr="00C10763" w:rsidRDefault="00C10763" w:rsidP="00C10763">
      <w:pPr>
        <w:spacing w:line="480" w:lineRule="auto"/>
        <w:ind w:left="0" w:firstLine="0"/>
        <w:rPr>
          <w:b/>
          <w:szCs w:val="24"/>
        </w:rPr>
      </w:pPr>
      <w:r>
        <w:rPr>
          <w:b/>
          <w:noProof/>
          <w:szCs w:val="24"/>
        </w:rPr>
        <w:drawing>
          <wp:inline distT="0" distB="0" distL="0" distR="0" wp14:anchorId="626E0063" wp14:editId="3111CBAE">
            <wp:extent cx="5486400" cy="3200400"/>
            <wp:effectExtent l="0" t="0" r="0" b="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2221A" w:rsidRDefault="0082221A" w:rsidP="0082221A">
      <w:pPr>
        <w:spacing w:line="480" w:lineRule="auto"/>
        <w:ind w:left="0" w:firstLine="0"/>
        <w:rPr>
          <w:szCs w:val="24"/>
        </w:rPr>
      </w:pPr>
    </w:p>
    <w:p w:rsidR="0082221A" w:rsidRDefault="0082221A" w:rsidP="0082221A">
      <w:pPr>
        <w:spacing w:line="480" w:lineRule="auto"/>
        <w:ind w:left="0" w:firstLine="0"/>
        <w:rPr>
          <w:szCs w:val="24"/>
        </w:rPr>
      </w:pPr>
      <w:proofErr w:type="gramStart"/>
      <w:r>
        <w:rPr>
          <w:szCs w:val="24"/>
        </w:rPr>
        <w:t>percent</w:t>
      </w:r>
      <w:proofErr w:type="gramEnd"/>
      <w:r>
        <w:rPr>
          <w:szCs w:val="24"/>
        </w:rPr>
        <w:t>) of the five vote majority cases were decided liberally.  Of the 595 unanimous nine vote decisions, 266 (44.76 percent) were decided conservatively, and 323 (54.3 percent) were liberal.</w:t>
      </w:r>
    </w:p>
    <w:p w:rsidR="00D94834" w:rsidRDefault="00D94834" w:rsidP="00D94834">
      <w:pPr>
        <w:spacing w:line="480" w:lineRule="auto"/>
        <w:ind w:left="0" w:firstLine="720"/>
        <w:rPr>
          <w:szCs w:val="24"/>
        </w:rPr>
      </w:pPr>
      <w:r>
        <w:rPr>
          <w:szCs w:val="24"/>
        </w:rPr>
        <w:t>At the Warren Court</w:t>
      </w:r>
      <w:r w:rsidR="00C43BC5">
        <w:rPr>
          <w:szCs w:val="24"/>
        </w:rPr>
        <w:t>, 326 of the 1,816 cases (17.95 percent</w:t>
      </w:r>
      <w:r>
        <w:rPr>
          <w:szCs w:val="24"/>
        </w:rPr>
        <w:t>) were decided by a five vote majority, wh</w:t>
      </w:r>
      <w:r w:rsidR="00C43BC5">
        <w:rPr>
          <w:szCs w:val="24"/>
        </w:rPr>
        <w:t>ile 453 (24.94 percent</w:t>
      </w:r>
      <w:r>
        <w:rPr>
          <w:szCs w:val="24"/>
        </w:rPr>
        <w:t>) were decided by a unanimous vote of all nine justices.  142 of the 326</w:t>
      </w:r>
      <w:r w:rsidR="00C43BC5">
        <w:rPr>
          <w:szCs w:val="24"/>
        </w:rPr>
        <w:t xml:space="preserve"> five vote majority cases (43.6 percent</w:t>
      </w:r>
      <w:r>
        <w:rPr>
          <w:szCs w:val="24"/>
        </w:rPr>
        <w:t xml:space="preserve">) were decided </w:t>
      </w:r>
      <w:r w:rsidR="00C43BC5">
        <w:rPr>
          <w:szCs w:val="24"/>
        </w:rPr>
        <w:t>conservatively, while 182 (55.8 percent</w:t>
      </w:r>
      <w:r>
        <w:rPr>
          <w:szCs w:val="24"/>
        </w:rPr>
        <w:t xml:space="preserve">) of the five </w:t>
      </w:r>
      <w:proofErr w:type="gramStart"/>
      <w:r>
        <w:rPr>
          <w:szCs w:val="24"/>
        </w:rPr>
        <w:t>vote</w:t>
      </w:r>
      <w:proofErr w:type="gramEnd"/>
      <w:r>
        <w:rPr>
          <w:szCs w:val="24"/>
        </w:rPr>
        <w:t xml:space="preserve"> majority cases were decided liberally.  Of the 453 unanimous nine vote </w:t>
      </w:r>
      <w:r w:rsidR="00C43BC5">
        <w:rPr>
          <w:szCs w:val="24"/>
        </w:rPr>
        <w:t>decisions, 101 (22.3 percent</w:t>
      </w:r>
      <w:r>
        <w:rPr>
          <w:szCs w:val="24"/>
        </w:rPr>
        <w:t>) were decide</w:t>
      </w:r>
      <w:r w:rsidR="00C43BC5">
        <w:rPr>
          <w:szCs w:val="24"/>
        </w:rPr>
        <w:t>d conservatively, and 346 (76.4 percent</w:t>
      </w:r>
      <w:r>
        <w:rPr>
          <w:szCs w:val="24"/>
        </w:rPr>
        <w:t>) were liberal.</w:t>
      </w:r>
    </w:p>
    <w:p w:rsidR="00B30D19" w:rsidRDefault="00D94834" w:rsidP="006E1478">
      <w:pPr>
        <w:spacing w:line="480" w:lineRule="auto"/>
        <w:ind w:left="0" w:firstLine="720"/>
        <w:rPr>
          <w:szCs w:val="24"/>
        </w:rPr>
      </w:pPr>
      <w:r>
        <w:rPr>
          <w:szCs w:val="24"/>
        </w:rPr>
        <w:t>Therefore</w:t>
      </w:r>
      <w:r w:rsidR="00DE67A0">
        <w:rPr>
          <w:szCs w:val="24"/>
        </w:rPr>
        <w:t>, the Roberts, Rehnquist, and Burger Courts exhibited remarkable consistency in the percentage of five vote majority decisions that were decided conservatively – eac</w:t>
      </w:r>
      <w:r w:rsidR="00C43BC5">
        <w:rPr>
          <w:szCs w:val="24"/>
        </w:rPr>
        <w:t>h at about 60 percent</w:t>
      </w:r>
      <w:r w:rsidR="00B94EA7">
        <w:rPr>
          <w:szCs w:val="24"/>
        </w:rPr>
        <w:t>.  I</w:t>
      </w:r>
      <w:r w:rsidR="00DE67A0">
        <w:rPr>
          <w:szCs w:val="24"/>
        </w:rPr>
        <w:t>n close cases, these Courts swung conservatively in six out of ten cases.  But each of these conservative Courts were also slightly more likely to have their unanimous decisions</w:t>
      </w:r>
      <w:r w:rsidR="006F7338">
        <w:rPr>
          <w:szCs w:val="24"/>
        </w:rPr>
        <w:t xml:space="preserve"> be liberal</w:t>
      </w:r>
      <w:r w:rsidR="00DE67A0">
        <w:rPr>
          <w:szCs w:val="24"/>
        </w:rPr>
        <w:t>.  This observation is most noticeable at the Burger Court.</w:t>
      </w:r>
      <w:r>
        <w:rPr>
          <w:szCs w:val="24"/>
        </w:rPr>
        <w:t xml:space="preserve">   Not surprisingly</w:t>
      </w:r>
      <w:r w:rsidR="00C43BC5">
        <w:rPr>
          <w:szCs w:val="24"/>
        </w:rPr>
        <w:t xml:space="preserve"> given its </w:t>
      </w:r>
      <w:r w:rsidR="00C43BC5">
        <w:rPr>
          <w:szCs w:val="24"/>
        </w:rPr>
        <w:lastRenderedPageBreak/>
        <w:t>reputation</w:t>
      </w:r>
      <w:r>
        <w:rPr>
          <w:szCs w:val="24"/>
        </w:rPr>
        <w:t>, the Warren court was slightly more likely to issue liberal five vote majority decisions than the other Courts, and much more likely to issue unanimous l</w:t>
      </w:r>
      <w:r w:rsidR="00B94EA7">
        <w:rPr>
          <w:szCs w:val="24"/>
        </w:rPr>
        <w:t xml:space="preserve">iberal decisions.  Also worth highlighting </w:t>
      </w:r>
      <w:r>
        <w:rPr>
          <w:szCs w:val="24"/>
        </w:rPr>
        <w:t xml:space="preserve">is the fact that the </w:t>
      </w:r>
      <w:proofErr w:type="gramStart"/>
      <w:r>
        <w:rPr>
          <w:szCs w:val="24"/>
        </w:rPr>
        <w:t>percentage of five vote majority decisions continue</w:t>
      </w:r>
      <w:proofErr w:type="gramEnd"/>
      <w:r>
        <w:rPr>
          <w:szCs w:val="24"/>
        </w:rPr>
        <w:t xml:space="preserve"> to rise during each Court over the last sixty years.  The Roberts Court is the most likely of these Courts to issue a five vote majority opinion, which </w:t>
      </w:r>
      <w:r w:rsidR="000B6EA8">
        <w:rPr>
          <w:szCs w:val="24"/>
        </w:rPr>
        <w:t xml:space="preserve">would seem to indicate </w:t>
      </w:r>
      <w:r>
        <w:rPr>
          <w:szCs w:val="24"/>
        </w:rPr>
        <w:t xml:space="preserve">increasing </w:t>
      </w:r>
      <w:r w:rsidR="000B6EA8">
        <w:rPr>
          <w:szCs w:val="24"/>
        </w:rPr>
        <w:t>division and polarity on the USSC</w:t>
      </w:r>
      <w:r>
        <w:rPr>
          <w:szCs w:val="24"/>
        </w:rPr>
        <w:t xml:space="preserve">. </w:t>
      </w:r>
      <w:r w:rsidR="000B6EA8">
        <w:rPr>
          <w:szCs w:val="24"/>
        </w:rPr>
        <w:t xml:space="preserve">  </w:t>
      </w:r>
    </w:p>
    <w:p w:rsidR="00DE67A0" w:rsidRDefault="00C43BC5" w:rsidP="006E1478">
      <w:pPr>
        <w:spacing w:line="480" w:lineRule="auto"/>
        <w:ind w:left="0" w:firstLine="720"/>
        <w:rPr>
          <w:szCs w:val="24"/>
        </w:rPr>
      </w:pPr>
      <w:r>
        <w:rPr>
          <w:szCs w:val="24"/>
        </w:rPr>
        <w:t>However</w:t>
      </w:r>
      <w:r w:rsidR="000B6EA8">
        <w:rPr>
          <w:szCs w:val="24"/>
        </w:rPr>
        <w:t>, the Rehnquist and Roberts Courts were much more likely to issue unanimous nine vote decisions than the Burger or War</w:t>
      </w:r>
      <w:r w:rsidR="00603CAC">
        <w:rPr>
          <w:szCs w:val="24"/>
        </w:rPr>
        <w:t xml:space="preserve">ren Courts.   </w:t>
      </w:r>
      <w:r w:rsidR="00B94EA7">
        <w:rPr>
          <w:szCs w:val="24"/>
        </w:rPr>
        <w:t>Instead of increasing polarity, t</w:t>
      </w:r>
      <w:r w:rsidR="00603CAC">
        <w:rPr>
          <w:szCs w:val="24"/>
        </w:rPr>
        <w:t>his finding</w:t>
      </w:r>
      <w:r w:rsidR="000B6EA8">
        <w:rPr>
          <w:szCs w:val="24"/>
        </w:rPr>
        <w:t xml:space="preserve"> indicate</w:t>
      </w:r>
      <w:r w:rsidR="00603CAC">
        <w:rPr>
          <w:szCs w:val="24"/>
        </w:rPr>
        <w:t>s</w:t>
      </w:r>
      <w:r w:rsidR="000B6EA8">
        <w:rPr>
          <w:szCs w:val="24"/>
        </w:rPr>
        <w:t xml:space="preserve"> increasing like-mindedness on the USSC over the last 60 years.  Perhaps the USSC’s decreasing caseload also plays a role here, as the Roberts Court may be more likely to take the more difficult cases as its caseload decreases, increasing the possibilities for division on the USSC</w:t>
      </w:r>
      <w:r w:rsidR="0082221A">
        <w:rPr>
          <w:szCs w:val="24"/>
        </w:rPr>
        <w:t>.  If this is so</w:t>
      </w:r>
      <w:r w:rsidR="000B6EA8">
        <w:rPr>
          <w:szCs w:val="24"/>
        </w:rPr>
        <w:t xml:space="preserve">, then the fact that the Roberts </w:t>
      </w:r>
      <w:r w:rsidR="0082221A">
        <w:rPr>
          <w:szCs w:val="24"/>
        </w:rPr>
        <w:t>Court issues unanimous</w:t>
      </w:r>
      <w:r w:rsidR="000B6EA8">
        <w:rPr>
          <w:szCs w:val="24"/>
        </w:rPr>
        <w:t xml:space="preserve"> decisions in at least a third of its cases could be seen as quite an accomplishment in comparison to past Courts.</w:t>
      </w:r>
    </w:p>
    <w:p w:rsidR="00EA3226" w:rsidRPr="00EA3226" w:rsidRDefault="00FF017D" w:rsidP="0082221A">
      <w:pPr>
        <w:spacing w:line="480" w:lineRule="auto"/>
        <w:ind w:left="0" w:firstLine="720"/>
        <w:rPr>
          <w:szCs w:val="24"/>
        </w:rPr>
      </w:pPr>
      <w:r>
        <w:rPr>
          <w:szCs w:val="24"/>
        </w:rPr>
        <w:t>Lastly, Figure 2.7</w:t>
      </w:r>
      <w:r w:rsidRPr="00A13DE3">
        <w:rPr>
          <w:szCs w:val="24"/>
        </w:rPr>
        <w:t xml:space="preserve"> depicts the number of cases in separate issue areas considered by Roberts Court</w:t>
      </w:r>
      <w:r>
        <w:rPr>
          <w:szCs w:val="24"/>
        </w:rPr>
        <w:t>, along with the number of cases decided liberally or conservatively in each area.   It is apparent that criminal procedure, economic activity, civil rights, and judicial power cases dominate the Roberts Court docket</w:t>
      </w:r>
      <w:r w:rsidR="0082221A">
        <w:rPr>
          <w:szCs w:val="24"/>
        </w:rPr>
        <w:t>.   Further</w:t>
      </w:r>
      <w:r w:rsidR="00B415C4">
        <w:rPr>
          <w:szCs w:val="24"/>
        </w:rPr>
        <w:t>,</w:t>
      </w:r>
      <w:r>
        <w:rPr>
          <w:szCs w:val="24"/>
        </w:rPr>
        <w:t xml:space="preserve"> the Roberts Court </w:t>
      </w:r>
      <w:proofErr w:type="gramStart"/>
      <w:r>
        <w:rPr>
          <w:szCs w:val="24"/>
        </w:rPr>
        <w:t>is</w:t>
      </w:r>
      <w:proofErr w:type="gramEnd"/>
      <w:r>
        <w:rPr>
          <w:szCs w:val="24"/>
        </w:rPr>
        <w:t xml:space="preserve"> more likely to decide criminal procedure (56 percent), economic activity (61 percent), judicial power (59 percent), first amendment</w:t>
      </w:r>
      <w:r w:rsidR="00FC28A8">
        <w:rPr>
          <w:szCs w:val="24"/>
        </w:rPr>
        <w:t xml:space="preserve"> (69 percent)</w:t>
      </w:r>
      <w:r>
        <w:rPr>
          <w:szCs w:val="24"/>
        </w:rPr>
        <w:t>, and privacy</w:t>
      </w:r>
      <w:r w:rsidR="00FC28A8">
        <w:rPr>
          <w:szCs w:val="24"/>
        </w:rPr>
        <w:t xml:space="preserve"> (79 percent)</w:t>
      </w:r>
      <w:r>
        <w:rPr>
          <w:szCs w:val="24"/>
        </w:rPr>
        <w:t xml:space="preserve"> cases in a conservative direction.</w:t>
      </w:r>
      <w:r w:rsidR="00FC28A8">
        <w:rPr>
          <w:rStyle w:val="FootnoteReference"/>
          <w:szCs w:val="24"/>
        </w:rPr>
        <w:footnoteReference w:id="33"/>
      </w:r>
      <w:r>
        <w:rPr>
          <w:szCs w:val="24"/>
        </w:rPr>
        <w:t xml:space="preserve">  On the other hand, the Roberts Court </w:t>
      </w:r>
      <w:proofErr w:type="gramStart"/>
      <w:r>
        <w:rPr>
          <w:szCs w:val="24"/>
        </w:rPr>
        <w:t>is</w:t>
      </w:r>
      <w:proofErr w:type="gramEnd"/>
      <w:r>
        <w:rPr>
          <w:szCs w:val="24"/>
        </w:rPr>
        <w:t xml:space="preserve"> more likely to decide federalism</w:t>
      </w:r>
      <w:r w:rsidR="00FC28A8">
        <w:rPr>
          <w:szCs w:val="24"/>
        </w:rPr>
        <w:t xml:space="preserve"> (70 percent)</w:t>
      </w:r>
      <w:r>
        <w:rPr>
          <w:szCs w:val="24"/>
        </w:rPr>
        <w:t>, due process</w:t>
      </w:r>
      <w:r w:rsidR="00FC28A8">
        <w:rPr>
          <w:szCs w:val="24"/>
        </w:rPr>
        <w:t xml:space="preserve"> (79 percent)</w:t>
      </w:r>
      <w:r>
        <w:rPr>
          <w:szCs w:val="24"/>
        </w:rPr>
        <w:t>, and federal taxation</w:t>
      </w:r>
      <w:r w:rsidR="00FC28A8">
        <w:rPr>
          <w:szCs w:val="24"/>
        </w:rPr>
        <w:t xml:space="preserve"> (88 percent)</w:t>
      </w:r>
      <w:r>
        <w:rPr>
          <w:szCs w:val="24"/>
        </w:rPr>
        <w:t xml:space="preserve"> cases in a liberal direction. </w:t>
      </w:r>
      <w:r>
        <w:rPr>
          <w:b/>
          <w:color w:val="00B050"/>
          <w:szCs w:val="24"/>
        </w:rPr>
        <w:t xml:space="preserve">  </w:t>
      </w:r>
      <w:r>
        <w:rPr>
          <w:szCs w:val="24"/>
        </w:rPr>
        <w:t>Decisions involving civil rights, unions, and attorneys are essentially ideologically balanced at the Roberts Court.</w:t>
      </w:r>
    </w:p>
    <w:p w:rsidR="00C43BC5" w:rsidRPr="00757407" w:rsidRDefault="00FF017D" w:rsidP="00C43BC5">
      <w:pPr>
        <w:spacing w:line="480" w:lineRule="auto"/>
        <w:ind w:left="0" w:firstLine="0"/>
        <w:rPr>
          <w:b/>
          <w:szCs w:val="24"/>
        </w:rPr>
      </w:pPr>
      <w:proofErr w:type="gramStart"/>
      <w:r>
        <w:rPr>
          <w:b/>
          <w:szCs w:val="24"/>
        </w:rPr>
        <w:lastRenderedPageBreak/>
        <w:t>Figure 2.7</w:t>
      </w:r>
      <w:r w:rsidR="00C43BC5" w:rsidRPr="00757407">
        <w:rPr>
          <w:b/>
          <w:szCs w:val="24"/>
        </w:rPr>
        <w:t>.</w:t>
      </w:r>
      <w:proofErr w:type="gramEnd"/>
      <w:r w:rsidR="00C43BC5" w:rsidRPr="00757407">
        <w:rPr>
          <w:b/>
          <w:szCs w:val="24"/>
        </w:rPr>
        <w:t xml:space="preserve">  Number of Cases Decided by Issue Area </w:t>
      </w:r>
      <w:r w:rsidR="00757407" w:rsidRPr="00757407">
        <w:rPr>
          <w:b/>
          <w:szCs w:val="24"/>
        </w:rPr>
        <w:t xml:space="preserve">and Decision Direction </w:t>
      </w:r>
      <w:r w:rsidR="0082221A">
        <w:rPr>
          <w:b/>
          <w:szCs w:val="24"/>
        </w:rPr>
        <w:t>at Roberts Court</w:t>
      </w:r>
    </w:p>
    <w:p w:rsidR="00BE7D7D" w:rsidRPr="00A13DE3" w:rsidRDefault="000B1CEF" w:rsidP="000B1CEF">
      <w:pPr>
        <w:spacing w:line="480" w:lineRule="auto"/>
        <w:ind w:left="0" w:firstLine="0"/>
        <w:rPr>
          <w:szCs w:val="24"/>
        </w:rPr>
      </w:pPr>
      <w:r>
        <w:rPr>
          <w:noProof/>
          <w:szCs w:val="24"/>
        </w:rPr>
        <w:drawing>
          <wp:inline distT="0" distB="0" distL="0" distR="0" wp14:anchorId="12BF9367" wp14:editId="5A868AF1">
            <wp:extent cx="5572125" cy="4552950"/>
            <wp:effectExtent l="0" t="0" r="0"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13DE3" w:rsidRDefault="00A13DE3" w:rsidP="00A13DE3">
      <w:pPr>
        <w:spacing w:line="480" w:lineRule="auto"/>
        <w:ind w:left="0" w:firstLine="0"/>
        <w:rPr>
          <w:b/>
          <w:color w:val="00B050"/>
          <w:szCs w:val="24"/>
        </w:rPr>
      </w:pPr>
    </w:p>
    <w:p w:rsidR="0082221A" w:rsidRDefault="0082221A" w:rsidP="00A13DE3">
      <w:pPr>
        <w:spacing w:line="480" w:lineRule="auto"/>
        <w:ind w:left="0" w:firstLine="0"/>
        <w:rPr>
          <w:b/>
          <w:color w:val="00B050"/>
          <w:szCs w:val="24"/>
        </w:rPr>
      </w:pPr>
    </w:p>
    <w:p w:rsidR="000A7EFB" w:rsidRPr="00993243" w:rsidRDefault="000A7EFB" w:rsidP="000A7EFB">
      <w:pPr>
        <w:pStyle w:val="ListParagraph"/>
        <w:numPr>
          <w:ilvl w:val="0"/>
          <w:numId w:val="38"/>
        </w:numPr>
        <w:spacing w:line="480" w:lineRule="auto"/>
        <w:rPr>
          <w:b/>
          <w:szCs w:val="24"/>
        </w:rPr>
      </w:pPr>
      <w:r w:rsidRPr="00993243">
        <w:rPr>
          <w:b/>
          <w:szCs w:val="24"/>
        </w:rPr>
        <w:t>Conclusion</w:t>
      </w:r>
    </w:p>
    <w:p w:rsidR="0096048A" w:rsidRPr="0096048A" w:rsidRDefault="0096048A" w:rsidP="00A13DE3">
      <w:pPr>
        <w:spacing w:line="480" w:lineRule="auto"/>
        <w:ind w:left="0" w:firstLine="0"/>
        <w:rPr>
          <w:szCs w:val="24"/>
        </w:rPr>
      </w:pPr>
      <w:r>
        <w:rPr>
          <w:szCs w:val="24"/>
        </w:rPr>
        <w:tab/>
        <w:t xml:space="preserve">In conclusion, </w:t>
      </w:r>
      <w:r w:rsidR="00BA6696">
        <w:rPr>
          <w:szCs w:val="24"/>
        </w:rPr>
        <w:t xml:space="preserve">this chapter has provided an overview of the Roberts Court and its significant decisions, along with supporting descriptive statistics.  It should be evident from the above discussion that, while some have referred to the current USSC as Justice Kennedy’s Court given his prominence as the “swing” vote, </w:t>
      </w:r>
      <w:r w:rsidR="006A4486">
        <w:rPr>
          <w:szCs w:val="24"/>
        </w:rPr>
        <w:t>over its 9 years this manifestation</w:t>
      </w:r>
      <w:r w:rsidR="008E74C7">
        <w:rPr>
          <w:szCs w:val="24"/>
        </w:rPr>
        <w:t xml:space="preserve"> of the USSC has truly become </w:t>
      </w:r>
      <w:r w:rsidR="00BA6696">
        <w:rPr>
          <w:szCs w:val="24"/>
        </w:rPr>
        <w:t>the “Roberts Court</w:t>
      </w:r>
      <w:r w:rsidR="00B415C4">
        <w:rPr>
          <w:szCs w:val="24"/>
        </w:rPr>
        <w:t xml:space="preserve">,” </w:t>
      </w:r>
      <w:r w:rsidR="00BA6696">
        <w:rPr>
          <w:szCs w:val="24"/>
        </w:rPr>
        <w:t>bearing his fingerprints and led by his influence.  T</w:t>
      </w:r>
      <w:r>
        <w:rPr>
          <w:szCs w:val="24"/>
        </w:rPr>
        <w:t xml:space="preserve">he </w:t>
      </w:r>
      <w:r>
        <w:rPr>
          <w:szCs w:val="24"/>
        </w:rPr>
        <w:lastRenderedPageBreak/>
        <w:t>foregoing descriptive statistics show that the Roberts Court</w:t>
      </w:r>
      <w:r w:rsidR="00BA6696">
        <w:rPr>
          <w:szCs w:val="24"/>
        </w:rPr>
        <w:t>’s behavior is more alike its predecessors than it is different</w:t>
      </w:r>
      <w:r>
        <w:rPr>
          <w:szCs w:val="24"/>
        </w:rPr>
        <w:t>.  The differences</w:t>
      </w:r>
      <w:r w:rsidR="00BA6696">
        <w:rPr>
          <w:szCs w:val="24"/>
        </w:rPr>
        <w:t>, while not insignificant,</w:t>
      </w:r>
      <w:r>
        <w:rPr>
          <w:szCs w:val="24"/>
        </w:rPr>
        <w:t xml:space="preserve"> tend to lie at the margins.</w:t>
      </w:r>
      <w:r w:rsidR="00BA6696">
        <w:rPr>
          <w:szCs w:val="24"/>
        </w:rPr>
        <w:t xml:space="preserve"> </w:t>
      </w:r>
      <w:r w:rsidR="008E74C7">
        <w:rPr>
          <w:szCs w:val="24"/>
        </w:rPr>
        <w:t xml:space="preserve"> Yet, it is often the margins where critical distinctions are made and where major decisions and legal developments hang in the balance. </w:t>
      </w:r>
      <w:r w:rsidR="00BA6696">
        <w:rPr>
          <w:szCs w:val="24"/>
        </w:rPr>
        <w:t>The Roberts Court will continue to remain front and center in the public spotlight, as it will continue to be called upon to decide some of the most controversial legal, and ultimately political, disputes we face as a society.</w:t>
      </w:r>
      <w:r>
        <w:rPr>
          <w:szCs w:val="24"/>
        </w:rPr>
        <w:t xml:space="preserve"> </w:t>
      </w:r>
      <w:r w:rsidR="008E74C7">
        <w:rPr>
          <w:szCs w:val="24"/>
        </w:rPr>
        <w:t xml:space="preserve"> This being the case, the Roberts Court</w:t>
      </w:r>
      <w:r w:rsidR="00B415C4">
        <w:rPr>
          <w:szCs w:val="24"/>
        </w:rPr>
        <w:t xml:space="preserve"> will remain squarely within</w:t>
      </w:r>
      <w:r w:rsidR="008E74C7">
        <w:rPr>
          <w:szCs w:val="24"/>
        </w:rPr>
        <w:t xml:space="preserve"> amici cross-hairs, marked as a target for friendly fire.</w:t>
      </w:r>
    </w:p>
    <w:p w:rsidR="00A13DE3" w:rsidRDefault="00A13DE3" w:rsidP="00A13DE3">
      <w:pPr>
        <w:spacing w:line="480" w:lineRule="auto"/>
        <w:ind w:left="0" w:firstLine="0"/>
        <w:rPr>
          <w:b/>
          <w:color w:val="00B050"/>
          <w:szCs w:val="24"/>
        </w:rPr>
      </w:pPr>
    </w:p>
    <w:p w:rsidR="00A13DE3" w:rsidRDefault="00A13DE3" w:rsidP="00A13DE3">
      <w:pPr>
        <w:spacing w:line="480" w:lineRule="auto"/>
        <w:ind w:left="0" w:firstLine="0"/>
        <w:rPr>
          <w:b/>
          <w:color w:val="00B050"/>
          <w:szCs w:val="24"/>
        </w:rPr>
      </w:pPr>
    </w:p>
    <w:p w:rsidR="001A15D3" w:rsidRDefault="001A15D3" w:rsidP="00C43BC5">
      <w:pPr>
        <w:ind w:left="0" w:firstLine="0"/>
        <w:rPr>
          <w:b/>
          <w:sz w:val="32"/>
          <w:szCs w:val="32"/>
          <w:u w:val="single"/>
        </w:rPr>
      </w:pPr>
    </w:p>
    <w:p w:rsidR="001A15D3" w:rsidRDefault="001A15D3" w:rsidP="00D50941">
      <w:pPr>
        <w:ind w:hanging="720"/>
        <w:rPr>
          <w:b/>
          <w:sz w:val="32"/>
          <w:szCs w:val="32"/>
          <w:u w:val="single"/>
        </w:rPr>
      </w:pPr>
    </w:p>
    <w:p w:rsidR="001A15D3" w:rsidRDefault="001A15D3" w:rsidP="00D50941">
      <w:pPr>
        <w:ind w:hanging="720"/>
        <w:rPr>
          <w:b/>
          <w:sz w:val="32"/>
          <w:szCs w:val="32"/>
          <w:u w:val="single"/>
        </w:rPr>
      </w:pPr>
    </w:p>
    <w:p w:rsidR="00FC28A8" w:rsidRDefault="00FC28A8" w:rsidP="00D50941">
      <w:pPr>
        <w:ind w:hanging="720"/>
        <w:rPr>
          <w:b/>
          <w:sz w:val="32"/>
          <w:szCs w:val="32"/>
          <w:u w:val="single"/>
        </w:rPr>
      </w:pPr>
    </w:p>
    <w:p w:rsidR="00FC28A8" w:rsidRDefault="00FC28A8" w:rsidP="00D50941">
      <w:pPr>
        <w:ind w:hanging="720"/>
        <w:rPr>
          <w:b/>
          <w:sz w:val="32"/>
          <w:szCs w:val="32"/>
          <w:u w:val="single"/>
        </w:rPr>
      </w:pPr>
    </w:p>
    <w:p w:rsidR="00FC28A8" w:rsidRDefault="00FC28A8" w:rsidP="00D50941">
      <w:pPr>
        <w:ind w:hanging="720"/>
        <w:rPr>
          <w:b/>
          <w:sz w:val="32"/>
          <w:szCs w:val="32"/>
          <w:u w:val="single"/>
        </w:rPr>
      </w:pPr>
    </w:p>
    <w:p w:rsidR="00FC28A8" w:rsidRDefault="00FC28A8" w:rsidP="00D50941">
      <w:pPr>
        <w:ind w:hanging="720"/>
        <w:rPr>
          <w:b/>
          <w:sz w:val="32"/>
          <w:szCs w:val="32"/>
          <w:u w:val="single"/>
        </w:rPr>
      </w:pPr>
    </w:p>
    <w:p w:rsidR="00B02D93" w:rsidRDefault="00B02D93" w:rsidP="00D50941">
      <w:pPr>
        <w:ind w:hanging="720"/>
        <w:rPr>
          <w:b/>
          <w:sz w:val="32"/>
          <w:szCs w:val="32"/>
          <w:u w:val="single"/>
        </w:rPr>
      </w:pPr>
    </w:p>
    <w:p w:rsidR="00B02D93" w:rsidRDefault="00B02D93" w:rsidP="00D50941">
      <w:pPr>
        <w:ind w:hanging="720"/>
        <w:rPr>
          <w:b/>
          <w:sz w:val="32"/>
          <w:szCs w:val="32"/>
          <w:u w:val="single"/>
        </w:rPr>
      </w:pPr>
    </w:p>
    <w:p w:rsidR="00B02D93" w:rsidRDefault="00B02D93" w:rsidP="00D50941">
      <w:pPr>
        <w:ind w:hanging="720"/>
        <w:rPr>
          <w:b/>
          <w:sz w:val="32"/>
          <w:szCs w:val="32"/>
          <w:u w:val="single"/>
        </w:rPr>
      </w:pPr>
    </w:p>
    <w:p w:rsidR="00B02D93" w:rsidRDefault="00B02D93" w:rsidP="00D50941">
      <w:pPr>
        <w:ind w:hanging="720"/>
        <w:rPr>
          <w:b/>
          <w:sz w:val="32"/>
          <w:szCs w:val="32"/>
          <w:u w:val="single"/>
        </w:rPr>
      </w:pPr>
    </w:p>
    <w:p w:rsidR="00B02D93" w:rsidRDefault="00B02D93" w:rsidP="00D50941">
      <w:pPr>
        <w:ind w:hanging="720"/>
        <w:rPr>
          <w:b/>
          <w:sz w:val="32"/>
          <w:szCs w:val="32"/>
          <w:u w:val="single"/>
        </w:rPr>
      </w:pPr>
    </w:p>
    <w:p w:rsidR="00B02D93" w:rsidRDefault="00B02D93" w:rsidP="00D50941">
      <w:pPr>
        <w:ind w:hanging="720"/>
        <w:rPr>
          <w:b/>
          <w:sz w:val="32"/>
          <w:szCs w:val="32"/>
          <w:u w:val="single"/>
        </w:rPr>
      </w:pPr>
    </w:p>
    <w:p w:rsidR="00B02D93" w:rsidRDefault="00B02D93" w:rsidP="00D50941">
      <w:pPr>
        <w:ind w:hanging="720"/>
        <w:rPr>
          <w:b/>
          <w:sz w:val="32"/>
          <w:szCs w:val="32"/>
          <w:u w:val="single"/>
        </w:rPr>
      </w:pPr>
    </w:p>
    <w:p w:rsidR="00B02D93" w:rsidRDefault="00B02D93" w:rsidP="00D50941">
      <w:pPr>
        <w:ind w:hanging="720"/>
        <w:rPr>
          <w:b/>
          <w:sz w:val="32"/>
          <w:szCs w:val="32"/>
          <w:u w:val="single"/>
        </w:rPr>
      </w:pPr>
    </w:p>
    <w:p w:rsidR="00B02D93" w:rsidRDefault="00B02D93" w:rsidP="00D50941">
      <w:pPr>
        <w:ind w:hanging="720"/>
        <w:rPr>
          <w:b/>
          <w:sz w:val="32"/>
          <w:szCs w:val="32"/>
          <w:u w:val="single"/>
        </w:rPr>
      </w:pPr>
    </w:p>
    <w:p w:rsidR="00B02D93" w:rsidRDefault="00B02D93" w:rsidP="00D50941">
      <w:pPr>
        <w:ind w:hanging="720"/>
        <w:rPr>
          <w:b/>
          <w:sz w:val="32"/>
          <w:szCs w:val="32"/>
          <w:u w:val="single"/>
        </w:rPr>
      </w:pPr>
    </w:p>
    <w:p w:rsidR="00B02D93" w:rsidRDefault="00B02D93" w:rsidP="00D50941">
      <w:pPr>
        <w:ind w:hanging="720"/>
        <w:rPr>
          <w:b/>
          <w:sz w:val="32"/>
          <w:szCs w:val="32"/>
          <w:u w:val="single"/>
        </w:rPr>
      </w:pPr>
    </w:p>
    <w:p w:rsidR="00B02D93" w:rsidRDefault="00B02D93" w:rsidP="00D50941">
      <w:pPr>
        <w:ind w:hanging="720"/>
        <w:rPr>
          <w:b/>
          <w:sz w:val="32"/>
          <w:szCs w:val="32"/>
          <w:u w:val="single"/>
        </w:rPr>
      </w:pPr>
    </w:p>
    <w:p w:rsidR="003B3DAC" w:rsidRDefault="003B3DAC" w:rsidP="002E0062">
      <w:pPr>
        <w:ind w:left="0" w:firstLine="0"/>
        <w:rPr>
          <w:b/>
          <w:sz w:val="32"/>
          <w:szCs w:val="32"/>
          <w:u w:val="single"/>
        </w:rPr>
      </w:pPr>
    </w:p>
    <w:p w:rsidR="00D50941" w:rsidRPr="00296A8E" w:rsidRDefault="00296A8E" w:rsidP="00296A8E">
      <w:pPr>
        <w:ind w:left="0" w:firstLine="0"/>
        <w:jc w:val="center"/>
        <w:rPr>
          <w:sz w:val="32"/>
          <w:szCs w:val="32"/>
        </w:rPr>
      </w:pPr>
      <w:r>
        <w:rPr>
          <w:b/>
          <w:sz w:val="32"/>
          <w:szCs w:val="32"/>
        </w:rPr>
        <w:lastRenderedPageBreak/>
        <w:t>Chapter 3:</w:t>
      </w:r>
      <w:r w:rsidR="00D50941" w:rsidRPr="00296A8E">
        <w:rPr>
          <w:b/>
          <w:sz w:val="32"/>
          <w:szCs w:val="32"/>
        </w:rPr>
        <w:t xml:space="preserve">  Hypotheses</w:t>
      </w:r>
      <w:r w:rsidR="00510C65" w:rsidRPr="00296A8E">
        <w:rPr>
          <w:b/>
          <w:sz w:val="32"/>
          <w:szCs w:val="32"/>
        </w:rPr>
        <w:t xml:space="preserve"> </w:t>
      </w:r>
      <w:r w:rsidR="000D6839" w:rsidRPr="00296A8E">
        <w:rPr>
          <w:b/>
          <w:sz w:val="32"/>
          <w:szCs w:val="32"/>
        </w:rPr>
        <w:t>and</w:t>
      </w:r>
      <w:r w:rsidR="00510C65" w:rsidRPr="00296A8E">
        <w:rPr>
          <w:b/>
          <w:sz w:val="32"/>
          <w:szCs w:val="32"/>
        </w:rPr>
        <w:t xml:space="preserve"> Re</w:t>
      </w:r>
      <w:r w:rsidR="00FC28A8" w:rsidRPr="00296A8E">
        <w:rPr>
          <w:b/>
          <w:sz w:val="32"/>
          <w:szCs w:val="32"/>
        </w:rPr>
        <w:t>se</w:t>
      </w:r>
      <w:r w:rsidR="00510C65" w:rsidRPr="00296A8E">
        <w:rPr>
          <w:b/>
          <w:sz w:val="32"/>
          <w:szCs w:val="32"/>
        </w:rPr>
        <w:t>arch Design</w:t>
      </w:r>
    </w:p>
    <w:p w:rsidR="00D50941" w:rsidRPr="004728D5" w:rsidRDefault="00D50941" w:rsidP="00D50941">
      <w:pPr>
        <w:ind w:hanging="720"/>
        <w:rPr>
          <w:u w:val="single"/>
        </w:rPr>
      </w:pPr>
    </w:p>
    <w:p w:rsidR="00FC28A8" w:rsidRDefault="00D50941" w:rsidP="00D50941">
      <w:pPr>
        <w:spacing w:line="480" w:lineRule="auto"/>
        <w:ind w:left="0" w:firstLine="720"/>
      </w:pPr>
      <w:r>
        <w:t>I seek</w:t>
      </w:r>
      <w:r w:rsidRPr="00A02BA1">
        <w:t xml:space="preserve"> to determine if </w:t>
      </w:r>
      <w:r w:rsidR="002E0062">
        <w:t>prior</w:t>
      </w:r>
      <w:r w:rsidRPr="00A02BA1">
        <w:t xml:space="preserve"> findings of amici influence</w:t>
      </w:r>
      <w:r w:rsidR="00F16D03">
        <w:t xml:space="preserve"> on the Supreme Court</w:t>
      </w:r>
      <w:r w:rsidR="002E0062">
        <w:t xml:space="preserve"> (e.g., Collins 2008; 2007; Kearney &amp; Merrill 2000)</w:t>
      </w:r>
      <w:r w:rsidR="00F16D03">
        <w:t xml:space="preserve"> </w:t>
      </w:r>
      <w:r w:rsidR="00FC28A8">
        <w:t>hold true at</w:t>
      </w:r>
      <w:r>
        <w:t xml:space="preserve"> the Rob</w:t>
      </w:r>
      <w:r w:rsidR="00EA3226">
        <w:t>erts Court.  Collins’ findings (</w:t>
      </w:r>
      <w:r>
        <w:t xml:space="preserve">i.e., the presence of amicus briefs has a </w:t>
      </w:r>
      <w:r w:rsidR="006A4486">
        <w:t>discernible</w:t>
      </w:r>
      <w:r>
        <w:t xml:space="preserve"> impact on how individual justices vote on the merits of a case, even when controlling f</w:t>
      </w:r>
      <w:r w:rsidR="00EA3226">
        <w:t xml:space="preserve">or judicial ideology: </w:t>
      </w:r>
      <w:r>
        <w:t xml:space="preserve"> the provision of more liberal briefs enhances the probability of a liberal vote, and the provision of more conservative briefs by enhances the prob</w:t>
      </w:r>
      <w:r w:rsidR="00EA3226">
        <w:t xml:space="preserve">ability of a conservative vote) </w:t>
      </w:r>
      <w:r>
        <w:t>support the legal persuasion model of judicial decision making.  I expect to find simi</w:t>
      </w:r>
      <w:r w:rsidR="002E0062">
        <w:t>lar results for amicus impact</w:t>
      </w:r>
      <w:r>
        <w:t xml:space="preserve"> on the Roberts Court.  </w:t>
      </w:r>
      <w:r w:rsidR="00D90FC5" w:rsidRPr="004279EF">
        <w:rPr>
          <w:rFonts w:cs="Times New Roman"/>
          <w:szCs w:val="24"/>
        </w:rPr>
        <w:t>I expect that amicus briefs will influence the ideological direction of</w:t>
      </w:r>
      <w:r w:rsidR="00D90FC5">
        <w:rPr>
          <w:rFonts w:cs="Times New Roman"/>
          <w:szCs w:val="24"/>
        </w:rPr>
        <w:t xml:space="preserve"> each of </w:t>
      </w:r>
      <w:r w:rsidR="00D90FC5" w:rsidRPr="004279EF">
        <w:rPr>
          <w:rFonts w:cs="Times New Roman"/>
          <w:szCs w:val="24"/>
        </w:rPr>
        <w:t>the justice</w:t>
      </w:r>
      <w:r w:rsidR="0023583C">
        <w:rPr>
          <w:rFonts w:cs="Times New Roman"/>
          <w:szCs w:val="24"/>
        </w:rPr>
        <w:t>s’</w:t>
      </w:r>
      <w:r w:rsidR="00D90FC5" w:rsidRPr="004279EF">
        <w:rPr>
          <w:rFonts w:cs="Times New Roman"/>
          <w:szCs w:val="24"/>
        </w:rPr>
        <w:t xml:space="preserve"> vote</w:t>
      </w:r>
      <w:r w:rsidR="00D90FC5">
        <w:rPr>
          <w:rFonts w:cs="Times New Roman"/>
          <w:szCs w:val="24"/>
        </w:rPr>
        <w:t>s</w:t>
      </w:r>
      <w:r w:rsidR="00D90FC5" w:rsidRPr="004279EF">
        <w:rPr>
          <w:rFonts w:cs="Times New Roman"/>
          <w:szCs w:val="24"/>
        </w:rPr>
        <w:t>,</w:t>
      </w:r>
      <w:r w:rsidR="0023583C">
        <w:rPr>
          <w:rFonts w:cs="Times New Roman"/>
          <w:szCs w:val="24"/>
        </w:rPr>
        <w:t xml:space="preserve"> and</w:t>
      </w:r>
      <w:r w:rsidR="00D90FC5">
        <w:rPr>
          <w:rFonts w:cs="Times New Roman"/>
          <w:szCs w:val="24"/>
        </w:rPr>
        <w:t xml:space="preserve"> that this effect will become stronger the more ideologically moderate the justice.  This expectation is consistent with the legal persuasion model of judicial decision making, which suggests that </w:t>
      </w:r>
      <w:r w:rsidR="00D90FC5" w:rsidRPr="004279EF">
        <w:rPr>
          <w:rFonts w:cs="Times New Roman"/>
          <w:szCs w:val="24"/>
        </w:rPr>
        <w:t>a justice should respond to</w:t>
      </w:r>
      <w:r w:rsidR="00470875">
        <w:rPr>
          <w:rFonts w:cs="Times New Roman"/>
          <w:szCs w:val="24"/>
        </w:rPr>
        <w:t xml:space="preserve"> both</w:t>
      </w:r>
      <w:r w:rsidR="00D90FC5">
        <w:rPr>
          <w:rFonts w:cs="Times New Roman"/>
          <w:szCs w:val="24"/>
        </w:rPr>
        <w:t xml:space="preserve"> those briefs</w:t>
      </w:r>
      <w:r w:rsidR="00D90FC5" w:rsidRPr="004279EF">
        <w:rPr>
          <w:rFonts w:cs="Times New Roman"/>
          <w:szCs w:val="24"/>
        </w:rPr>
        <w:t xml:space="preserve"> which are in accord with his/her predispositions and attitudes and</w:t>
      </w:r>
      <w:r w:rsidR="00D90FC5">
        <w:rPr>
          <w:rFonts w:cs="Times New Roman"/>
          <w:szCs w:val="24"/>
        </w:rPr>
        <w:t xml:space="preserve"> as well as those</w:t>
      </w:r>
      <w:r w:rsidR="00D90FC5" w:rsidRPr="004279EF">
        <w:rPr>
          <w:rFonts w:cs="Times New Roman"/>
          <w:szCs w:val="24"/>
        </w:rPr>
        <w:t xml:space="preserve"> that do not align with his/her </w:t>
      </w:r>
      <w:r w:rsidR="00D90FC5">
        <w:rPr>
          <w:rFonts w:cs="Times New Roman"/>
          <w:szCs w:val="24"/>
        </w:rPr>
        <w:t xml:space="preserve">ideology. </w:t>
      </w:r>
      <w:r>
        <w:t xml:space="preserve"> </w:t>
      </w:r>
    </w:p>
    <w:p w:rsidR="00D50941" w:rsidRDefault="00D50941" w:rsidP="00EA3226">
      <w:pPr>
        <w:spacing w:line="480" w:lineRule="auto"/>
        <w:ind w:left="0" w:firstLine="720"/>
      </w:pPr>
      <w:r>
        <w:t>In addition, although Collins (2008; 2004) did not find that the number of amicus cosigners influences the justices of the USSC, consistent with the interest group model, I do expect to find such</w:t>
      </w:r>
      <w:r w:rsidR="00D90FC5">
        <w:t xml:space="preserve"> influence over justice votes.  </w:t>
      </w:r>
      <w:r w:rsidR="00D90FC5" w:rsidRPr="00FC28A8">
        <w:t xml:space="preserve">Moreover, although </w:t>
      </w:r>
      <w:r w:rsidR="00B94EA7">
        <w:t>also</w:t>
      </w:r>
      <w:r w:rsidR="00470875">
        <w:t xml:space="preserve"> </w:t>
      </w:r>
      <w:r w:rsidR="00D90FC5" w:rsidRPr="00FC28A8">
        <w:t>not modeled by Collins</w:t>
      </w:r>
      <w:r w:rsidR="00576E0A" w:rsidRPr="00FC28A8">
        <w:t xml:space="preserve"> (2008)</w:t>
      </w:r>
      <w:r w:rsidR="00D90FC5" w:rsidRPr="00FC28A8">
        <w:t>, I expect that prestigious amicus participants will have a greater influence o</w:t>
      </w:r>
      <w:r w:rsidR="00FC28A8" w:rsidRPr="00FC28A8">
        <w:t>n justice votes than other</w:t>
      </w:r>
      <w:r w:rsidR="00D90FC5" w:rsidRPr="00FC28A8">
        <w:t xml:space="preserve"> amici.  </w:t>
      </w:r>
      <w:r w:rsidRPr="00576E0A">
        <w:t>Lastly</w:t>
      </w:r>
      <w:r w:rsidR="00D90FC5" w:rsidRPr="00576E0A">
        <w:t xml:space="preserve">, </w:t>
      </w:r>
      <w:r w:rsidRPr="00576E0A">
        <w:t>I will explore whether a case’s political salience mediates the influence of amicus briefs on justice votes.  Unlike run of the mill cases, I expect that a politically salient case will condition the justices’ response to amicus briefs by enhancing the likelihood of an attitudinal vote by the justices.</w:t>
      </w:r>
      <w:r w:rsidR="00EA3226">
        <w:rPr>
          <w:color w:val="FF0000"/>
        </w:rPr>
        <w:t xml:space="preserve">  </w:t>
      </w:r>
    </w:p>
    <w:p w:rsidR="00470875" w:rsidRDefault="00470875" w:rsidP="00EA3226">
      <w:pPr>
        <w:spacing w:line="480" w:lineRule="auto"/>
        <w:ind w:left="0" w:firstLine="720"/>
      </w:pPr>
    </w:p>
    <w:p w:rsidR="002E0062" w:rsidRDefault="002E0062" w:rsidP="00EA3226">
      <w:pPr>
        <w:spacing w:line="480" w:lineRule="auto"/>
        <w:ind w:left="0" w:firstLine="720"/>
      </w:pPr>
    </w:p>
    <w:p w:rsidR="00470875" w:rsidRDefault="00470875" w:rsidP="00470875">
      <w:pPr>
        <w:pStyle w:val="ListParagraph"/>
        <w:numPr>
          <w:ilvl w:val="0"/>
          <w:numId w:val="36"/>
        </w:numPr>
        <w:spacing w:line="480" w:lineRule="auto"/>
        <w:rPr>
          <w:b/>
        </w:rPr>
      </w:pPr>
      <w:r w:rsidRPr="00993243">
        <w:rPr>
          <w:b/>
        </w:rPr>
        <w:lastRenderedPageBreak/>
        <w:t>Hypotheses</w:t>
      </w:r>
    </w:p>
    <w:p w:rsidR="00D50941" w:rsidRPr="00675487" w:rsidRDefault="00D50941" w:rsidP="00D50941">
      <w:pPr>
        <w:spacing w:line="480" w:lineRule="auto"/>
        <w:ind w:left="0" w:firstLine="0"/>
        <w:rPr>
          <w:b/>
        </w:rPr>
      </w:pPr>
      <w:r w:rsidRPr="00675487">
        <w:rPr>
          <w:b/>
        </w:rPr>
        <w:t>H1</w:t>
      </w:r>
      <w:r w:rsidR="0023583C" w:rsidRPr="00675487">
        <w:rPr>
          <w:b/>
        </w:rPr>
        <w:t xml:space="preserve"> </w:t>
      </w:r>
      <w:r w:rsidR="000D6839" w:rsidRPr="00675487">
        <w:rPr>
          <w:b/>
        </w:rPr>
        <w:t>and</w:t>
      </w:r>
      <w:r w:rsidR="0023583C" w:rsidRPr="00675487">
        <w:rPr>
          <w:b/>
        </w:rPr>
        <w:t xml:space="preserve"> H2</w:t>
      </w:r>
      <w:r w:rsidR="00585078" w:rsidRPr="00675487">
        <w:rPr>
          <w:b/>
        </w:rPr>
        <w:t xml:space="preserve"> </w:t>
      </w:r>
      <w:r w:rsidRPr="00675487">
        <w:rPr>
          <w:b/>
        </w:rPr>
        <w:t>[Information/</w:t>
      </w:r>
      <w:r w:rsidR="00585078" w:rsidRPr="00675487">
        <w:rPr>
          <w:b/>
        </w:rPr>
        <w:t>Le</w:t>
      </w:r>
      <w:r w:rsidR="00993243" w:rsidRPr="00675487">
        <w:rPr>
          <w:b/>
        </w:rPr>
        <w:t>gal Persuasion H</w:t>
      </w:r>
      <w:r w:rsidR="00585078" w:rsidRPr="00675487">
        <w:rPr>
          <w:b/>
        </w:rPr>
        <w:t>ypothese</w:t>
      </w:r>
      <w:r w:rsidRPr="00675487">
        <w:rPr>
          <w:b/>
        </w:rPr>
        <w:t xml:space="preserve">s]: </w:t>
      </w:r>
    </w:p>
    <w:p w:rsidR="00D50941" w:rsidRDefault="00D50941" w:rsidP="00D50941">
      <w:pPr>
        <w:pStyle w:val="ListParagraph"/>
        <w:numPr>
          <w:ilvl w:val="0"/>
          <w:numId w:val="23"/>
        </w:numPr>
        <w:spacing w:line="480" w:lineRule="auto"/>
      </w:pPr>
      <w:r>
        <w:t xml:space="preserve">H1: </w:t>
      </w:r>
      <w:r w:rsidRPr="00D96E5A">
        <w:t>As the n</w:t>
      </w:r>
      <w:r w:rsidR="00B1125F">
        <w:t xml:space="preserve">umber of liberal </w:t>
      </w:r>
      <w:r w:rsidRPr="00D96E5A">
        <w:t>amicus curiae briefs increases</w:t>
      </w:r>
      <w:r w:rsidR="00B1125F">
        <w:t xml:space="preserve"> relative to the number of conservative amicus briefs</w:t>
      </w:r>
      <w:r w:rsidRPr="00D96E5A">
        <w:t>, so too will the li</w:t>
      </w:r>
      <w:r w:rsidR="00B1125F">
        <w:t xml:space="preserve">kelihood of observing a liberal </w:t>
      </w:r>
      <w:r w:rsidRPr="00D96E5A">
        <w:t>vote, regardless of the justice’s ideology.</w:t>
      </w:r>
    </w:p>
    <w:p w:rsidR="00B1125F" w:rsidRPr="00D96E5A" w:rsidRDefault="00B1125F" w:rsidP="00D50941">
      <w:pPr>
        <w:pStyle w:val="ListParagraph"/>
        <w:numPr>
          <w:ilvl w:val="0"/>
          <w:numId w:val="23"/>
        </w:numPr>
        <w:spacing w:line="480" w:lineRule="auto"/>
      </w:pPr>
      <w:r>
        <w:t xml:space="preserve">H2: </w:t>
      </w:r>
      <w:r w:rsidRPr="00D96E5A">
        <w:t>As the n</w:t>
      </w:r>
      <w:r>
        <w:t xml:space="preserve">umber of conservative </w:t>
      </w:r>
      <w:r w:rsidRPr="00D96E5A">
        <w:t>amicus curiae briefs increases</w:t>
      </w:r>
      <w:r>
        <w:t xml:space="preserve"> relative to the number of liberal amicus briefs</w:t>
      </w:r>
      <w:r w:rsidRPr="00D96E5A">
        <w:t>, so too will the li</w:t>
      </w:r>
      <w:r>
        <w:t xml:space="preserve">kelihood of observing a conservative </w:t>
      </w:r>
      <w:r w:rsidRPr="00D96E5A">
        <w:t>vote, regardless of the justice’s ideology.</w:t>
      </w:r>
    </w:p>
    <w:p w:rsidR="00D50941" w:rsidRDefault="00D50941" w:rsidP="00D50941">
      <w:pPr>
        <w:spacing w:line="480" w:lineRule="auto"/>
        <w:ind w:left="0" w:firstLine="720"/>
      </w:pPr>
      <w:r w:rsidRPr="00D96E5A">
        <w:t>As explained by Collins (2008), the ration</w:t>
      </w:r>
      <w:r w:rsidR="00EA3226">
        <w:t>ale behind these hypothese</w:t>
      </w:r>
      <w:r w:rsidRPr="00D96E5A">
        <w:t>s is that justices, consistent with their legal training, explore alternative perspectives to reach what they believe to be the correct legal decision.  Amicus briefs thu</w:t>
      </w:r>
      <w:r>
        <w:t>s serve to convince the justice</w:t>
      </w:r>
      <w:r w:rsidRPr="00D96E5A">
        <w:t xml:space="preserve">s of the correctness of the amici’s position. </w:t>
      </w:r>
    </w:p>
    <w:p w:rsidR="003B3DAC" w:rsidRPr="003B3DAC" w:rsidRDefault="00B1125F" w:rsidP="003B3DAC">
      <w:pPr>
        <w:spacing w:line="480" w:lineRule="auto"/>
        <w:ind w:left="0" w:firstLine="720"/>
      </w:pPr>
      <w:r>
        <w:t>In addition to the informational content provided by their briefs, amici also serve</w:t>
      </w:r>
      <w:r w:rsidR="00D50941" w:rsidRPr="00D96E5A">
        <w:t xml:space="preserve"> as barometer</w:t>
      </w:r>
      <w:r w:rsidR="00EA3226">
        <w:t>s</w:t>
      </w:r>
      <w:r w:rsidR="00D50941" w:rsidRPr="00D96E5A">
        <w:t xml:space="preserve"> of public opinion via their involvement in a case. The USSC justices take public opinion into consideration when making decisions for strategic and reputational reasons (e.g., Kearney </w:t>
      </w:r>
      <w:r w:rsidR="000D6839">
        <w:t>and</w:t>
      </w:r>
      <w:r w:rsidR="00D50941" w:rsidRPr="00D96E5A">
        <w:t xml:space="preserve"> Merrill 2000).  </w:t>
      </w:r>
      <w:r w:rsidR="00EA3226">
        <w:t>Amici can serve as proxies of public opinion and as i</w:t>
      </w:r>
      <w:r w:rsidR="00D50941">
        <w:t>ndicator</w:t>
      </w:r>
      <w:r w:rsidR="00EA3226">
        <w:t>s</w:t>
      </w:r>
      <w:r w:rsidR="00D50941">
        <w:t xml:space="preserve"> of the array of social forces at play in the litigation.  </w:t>
      </w:r>
      <w:r w:rsidR="00D50941" w:rsidRPr="00D96E5A">
        <w:t xml:space="preserve">Because of this, the interest group model of amicus influence </w:t>
      </w:r>
      <w:r w:rsidR="00D50941" w:rsidRPr="00D96E5A">
        <w:rPr>
          <w:rFonts w:cs="Times New Roman"/>
          <w:szCs w:val="24"/>
        </w:rPr>
        <w:t xml:space="preserve">suggests that a justice should respond </w:t>
      </w:r>
      <w:r>
        <w:rPr>
          <w:rFonts w:cs="Times New Roman"/>
          <w:szCs w:val="24"/>
        </w:rPr>
        <w:t xml:space="preserve">positively </w:t>
      </w:r>
      <w:r w:rsidR="00D50941" w:rsidRPr="00D96E5A">
        <w:rPr>
          <w:rFonts w:cs="Times New Roman"/>
          <w:szCs w:val="24"/>
        </w:rPr>
        <w:t xml:space="preserve">to the number of amicus brief cosigners </w:t>
      </w:r>
      <w:r>
        <w:rPr>
          <w:rFonts w:cs="Times New Roman"/>
          <w:szCs w:val="24"/>
        </w:rPr>
        <w:t xml:space="preserve">in a case </w:t>
      </w:r>
      <w:r w:rsidR="00D50941" w:rsidRPr="00D96E5A">
        <w:rPr>
          <w:rFonts w:cs="Times New Roman"/>
          <w:szCs w:val="24"/>
        </w:rPr>
        <w:t>regardless of whethe</w:t>
      </w:r>
      <w:r>
        <w:rPr>
          <w:rFonts w:cs="Times New Roman"/>
          <w:szCs w:val="24"/>
        </w:rPr>
        <w:t>r or not they align with that justice’s</w:t>
      </w:r>
      <w:r w:rsidR="00D50941" w:rsidRPr="00D96E5A">
        <w:rPr>
          <w:rFonts w:cs="Times New Roman"/>
          <w:szCs w:val="24"/>
        </w:rPr>
        <w:t xml:space="preserve"> ideology.  </w:t>
      </w:r>
      <w:r w:rsidR="00EA3226">
        <w:t>Thus:</w:t>
      </w:r>
    </w:p>
    <w:p w:rsidR="00D50941" w:rsidRPr="00675487" w:rsidRDefault="0023583C" w:rsidP="00D50941">
      <w:pPr>
        <w:spacing w:line="480" w:lineRule="auto"/>
        <w:ind w:left="0" w:firstLine="0"/>
        <w:rPr>
          <w:b/>
        </w:rPr>
      </w:pPr>
      <w:r w:rsidRPr="00675487">
        <w:rPr>
          <w:b/>
        </w:rPr>
        <w:t xml:space="preserve">H3 </w:t>
      </w:r>
      <w:r w:rsidR="000D6839" w:rsidRPr="00675487">
        <w:rPr>
          <w:b/>
        </w:rPr>
        <w:t>and</w:t>
      </w:r>
      <w:r w:rsidRPr="00675487">
        <w:rPr>
          <w:b/>
        </w:rPr>
        <w:t xml:space="preserve"> H4</w:t>
      </w:r>
      <w:r w:rsidR="00585078" w:rsidRPr="00675487">
        <w:rPr>
          <w:b/>
        </w:rPr>
        <w:t xml:space="preserve"> </w:t>
      </w:r>
      <w:r w:rsidR="00D50941" w:rsidRPr="00675487">
        <w:rPr>
          <w:b/>
        </w:rPr>
        <w:t>[Affected Gro</w:t>
      </w:r>
      <w:r w:rsidRPr="00675487">
        <w:rPr>
          <w:b/>
        </w:rPr>
        <w:t>up Hypothese</w:t>
      </w:r>
      <w:r w:rsidR="00D50941" w:rsidRPr="00675487">
        <w:rPr>
          <w:b/>
        </w:rPr>
        <w:t xml:space="preserve">s]: </w:t>
      </w:r>
    </w:p>
    <w:p w:rsidR="00D50941" w:rsidRDefault="00B1125F" w:rsidP="00D50941">
      <w:pPr>
        <w:pStyle w:val="ListParagraph"/>
        <w:numPr>
          <w:ilvl w:val="0"/>
          <w:numId w:val="22"/>
        </w:numPr>
        <w:spacing w:line="480" w:lineRule="auto"/>
      </w:pPr>
      <w:r>
        <w:t>H3</w:t>
      </w:r>
      <w:r w:rsidR="00D50941">
        <w:t xml:space="preserve">: </w:t>
      </w:r>
      <w:r w:rsidR="00D50941" w:rsidRPr="00D96E5A">
        <w:t>As the number of liberal amicus curiae cosigners increases</w:t>
      </w:r>
      <w:r>
        <w:t xml:space="preserve"> relative to</w:t>
      </w:r>
      <w:r w:rsidR="00EA3226">
        <w:t xml:space="preserve"> the number of</w:t>
      </w:r>
      <w:r>
        <w:t xml:space="preserve"> conservative cosigners</w:t>
      </w:r>
      <w:r w:rsidR="00D50941" w:rsidRPr="00D96E5A">
        <w:t xml:space="preserve">, so too </w:t>
      </w:r>
      <w:proofErr w:type="gramStart"/>
      <w:r w:rsidR="00D50941" w:rsidRPr="00D96E5A">
        <w:t>will</w:t>
      </w:r>
      <w:proofErr w:type="gramEnd"/>
      <w:r w:rsidR="00D50941" w:rsidRPr="00D96E5A">
        <w:t xml:space="preserve"> the likelihood</w:t>
      </w:r>
      <w:r>
        <w:t xml:space="preserve"> of observing a liberal</w:t>
      </w:r>
      <w:r w:rsidR="00D50941" w:rsidRPr="00D96E5A">
        <w:t xml:space="preserve"> vote, regardless of the justice’s ideology.</w:t>
      </w:r>
    </w:p>
    <w:p w:rsidR="00B1125F" w:rsidRPr="00D96E5A" w:rsidRDefault="00B1125F" w:rsidP="00B1125F">
      <w:pPr>
        <w:pStyle w:val="ListParagraph"/>
        <w:numPr>
          <w:ilvl w:val="0"/>
          <w:numId w:val="22"/>
        </w:numPr>
        <w:spacing w:line="480" w:lineRule="auto"/>
      </w:pPr>
      <w:r>
        <w:lastRenderedPageBreak/>
        <w:t>H4: As the number of conservative</w:t>
      </w:r>
      <w:r w:rsidRPr="00D96E5A">
        <w:t xml:space="preserve"> amicus curiae cosigners increases</w:t>
      </w:r>
      <w:r>
        <w:t xml:space="preserve"> relative to</w:t>
      </w:r>
      <w:r w:rsidR="00EA3226">
        <w:t xml:space="preserve"> the number of</w:t>
      </w:r>
      <w:r>
        <w:t xml:space="preserve"> liberal cosigners</w:t>
      </w:r>
      <w:r w:rsidRPr="00D96E5A">
        <w:t xml:space="preserve">, so too </w:t>
      </w:r>
      <w:proofErr w:type="gramStart"/>
      <w:r w:rsidRPr="00D96E5A">
        <w:t>will</w:t>
      </w:r>
      <w:proofErr w:type="gramEnd"/>
      <w:r w:rsidRPr="00D96E5A">
        <w:t xml:space="preserve"> the likelihood</w:t>
      </w:r>
      <w:r>
        <w:t xml:space="preserve"> of observing a conservative</w:t>
      </w:r>
      <w:r w:rsidRPr="00D96E5A">
        <w:t xml:space="preserve"> vote, regardless of the justice’s ideology.</w:t>
      </w:r>
    </w:p>
    <w:p w:rsidR="00D50941" w:rsidRPr="00D96E5A" w:rsidRDefault="00D50941" w:rsidP="00D50941">
      <w:pPr>
        <w:spacing w:line="480" w:lineRule="auto"/>
        <w:ind w:left="0" w:firstLine="720"/>
      </w:pPr>
      <w:r w:rsidRPr="00D96E5A">
        <w:t>Finally, consistent with both the legal persuasion and interest group models of judicial decision making, I expect that justices who sit at or near the</w:t>
      </w:r>
      <w:r>
        <w:t xml:space="preserve"> ideological center of the USSC</w:t>
      </w:r>
      <w:r w:rsidR="002E0062">
        <w:t xml:space="preserve"> will be</w:t>
      </w:r>
      <w:r w:rsidRPr="00D96E5A">
        <w:t xml:space="preserve"> particularly susceptible to amicus influence as their attitudes are not as rigid. </w:t>
      </w:r>
      <w:r w:rsidR="00B1125F">
        <w:rPr>
          <w:color w:val="FF0000"/>
        </w:rPr>
        <w:t xml:space="preserve"> </w:t>
      </w:r>
      <w:r w:rsidR="00EA3226">
        <w:t>Thus:</w:t>
      </w:r>
    </w:p>
    <w:p w:rsidR="00D50941" w:rsidRPr="00675487" w:rsidRDefault="00585078" w:rsidP="00D50941">
      <w:pPr>
        <w:spacing w:line="480" w:lineRule="auto"/>
        <w:ind w:left="0" w:firstLine="0"/>
        <w:rPr>
          <w:b/>
        </w:rPr>
      </w:pPr>
      <w:r w:rsidRPr="00675487">
        <w:rPr>
          <w:b/>
        </w:rPr>
        <w:t>H5 and</w:t>
      </w:r>
      <w:r w:rsidR="002F5683" w:rsidRPr="00675487">
        <w:rPr>
          <w:b/>
        </w:rPr>
        <w:t xml:space="preserve"> H6</w:t>
      </w:r>
      <w:r w:rsidR="00D50941" w:rsidRPr="00675487">
        <w:rPr>
          <w:b/>
        </w:rPr>
        <w:t xml:space="preserve"> [Median Justice Information/Legal Persuasion Hypotheses]:  </w:t>
      </w:r>
    </w:p>
    <w:p w:rsidR="00D50941" w:rsidRPr="00D96E5A" w:rsidRDefault="002F5683" w:rsidP="00D50941">
      <w:pPr>
        <w:pStyle w:val="ListParagraph"/>
        <w:numPr>
          <w:ilvl w:val="0"/>
          <w:numId w:val="19"/>
        </w:numPr>
        <w:spacing w:line="480" w:lineRule="auto"/>
      </w:pPr>
      <w:r>
        <w:t>H5</w:t>
      </w:r>
      <w:r w:rsidR="00D50941" w:rsidRPr="00D96E5A">
        <w:t>:  The closer the justice is to the ideological center of the Court, the greater the likelihood that the justice casts a conservative vote as the number of conservative amicus briefs increases</w:t>
      </w:r>
      <w:r w:rsidR="00B6192E">
        <w:t xml:space="preserve"> relative to the number of liberal amicus briefs</w:t>
      </w:r>
      <w:r w:rsidR="00D50941" w:rsidRPr="00D96E5A">
        <w:t>.</w:t>
      </w:r>
    </w:p>
    <w:p w:rsidR="00D50941" w:rsidRPr="00D96E5A" w:rsidRDefault="002F5683" w:rsidP="00D50941">
      <w:pPr>
        <w:pStyle w:val="ListParagraph"/>
        <w:numPr>
          <w:ilvl w:val="0"/>
          <w:numId w:val="19"/>
        </w:numPr>
        <w:spacing w:line="480" w:lineRule="auto"/>
      </w:pPr>
      <w:r>
        <w:t>H6</w:t>
      </w:r>
      <w:r w:rsidR="00D50941" w:rsidRPr="00D96E5A">
        <w:t>:  The closer the justice is to the ideological center of the Court, the greater the likelihood that the justice casts a liberal vote as the number of liberal amicus briefs increases</w:t>
      </w:r>
      <w:r w:rsidR="00B6192E">
        <w:t xml:space="preserve"> relative to the number of conservative amicus briefs</w:t>
      </w:r>
      <w:r w:rsidR="00D50941" w:rsidRPr="00D96E5A">
        <w:t>.</w:t>
      </w:r>
    </w:p>
    <w:p w:rsidR="00D50941" w:rsidRPr="00675487" w:rsidRDefault="00585078" w:rsidP="00D50941">
      <w:pPr>
        <w:spacing w:line="480" w:lineRule="auto"/>
        <w:ind w:left="0" w:firstLine="0"/>
        <w:rPr>
          <w:b/>
        </w:rPr>
      </w:pPr>
      <w:r w:rsidRPr="00675487">
        <w:rPr>
          <w:b/>
        </w:rPr>
        <w:t>H7 and</w:t>
      </w:r>
      <w:r w:rsidR="002F5683" w:rsidRPr="00675487">
        <w:rPr>
          <w:b/>
        </w:rPr>
        <w:t xml:space="preserve"> H8</w:t>
      </w:r>
      <w:r w:rsidR="00D50941" w:rsidRPr="00675487">
        <w:rPr>
          <w:b/>
        </w:rPr>
        <w:t xml:space="preserve"> [Median Justice Affected Groups Hypotheses]:  </w:t>
      </w:r>
    </w:p>
    <w:p w:rsidR="00D50941" w:rsidRPr="003D46A0" w:rsidRDefault="002F5683" w:rsidP="00D50941">
      <w:pPr>
        <w:pStyle w:val="ListParagraph"/>
        <w:numPr>
          <w:ilvl w:val="0"/>
          <w:numId w:val="8"/>
        </w:numPr>
        <w:spacing w:line="480" w:lineRule="auto"/>
      </w:pPr>
      <w:r>
        <w:t>H7</w:t>
      </w:r>
      <w:r w:rsidR="00D50941" w:rsidRPr="00D96E5A">
        <w:t>: The closer the justice is to the ideological center of the Court, the greater the likelihood that the justice casts a conservative vote as the number of conservative amicus cosigners increases</w:t>
      </w:r>
      <w:r w:rsidR="00B6192E">
        <w:t xml:space="preserve"> relative to the number of liberal amicus cosigners</w:t>
      </w:r>
      <w:r w:rsidR="00D50941" w:rsidRPr="00D96E5A">
        <w:t>.</w:t>
      </w:r>
    </w:p>
    <w:p w:rsidR="00D50941" w:rsidRDefault="002F5683" w:rsidP="00D50941">
      <w:pPr>
        <w:pStyle w:val="ListParagraph"/>
        <w:numPr>
          <w:ilvl w:val="0"/>
          <w:numId w:val="8"/>
        </w:numPr>
        <w:spacing w:line="480" w:lineRule="auto"/>
      </w:pPr>
      <w:r>
        <w:t>H8</w:t>
      </w:r>
      <w:r w:rsidR="00D50941" w:rsidRPr="00D96E5A">
        <w:t>:  The closer the justice is to the ideological center of the Court, the greater the likelihood that the justice casts a liberal vote as the number of liberal amicus cosigners increases</w:t>
      </w:r>
      <w:r w:rsidR="00B6192E">
        <w:t xml:space="preserve"> relative to the number of conservative amicus cosigners</w:t>
      </w:r>
      <w:r w:rsidR="00D50941" w:rsidRPr="00D96E5A">
        <w:t>.</w:t>
      </w:r>
    </w:p>
    <w:p w:rsidR="00D50941" w:rsidRPr="00457064" w:rsidRDefault="00D50941" w:rsidP="00D50941">
      <w:pPr>
        <w:autoSpaceDE w:val="0"/>
        <w:autoSpaceDN w:val="0"/>
        <w:adjustRightInd w:val="0"/>
        <w:spacing w:line="480" w:lineRule="auto"/>
        <w:ind w:left="0" w:firstLine="720"/>
      </w:pPr>
      <w:r w:rsidRPr="00457064">
        <w:t xml:space="preserve">Prior research has shown that justices rely to a greater extent on their attitudes and </w:t>
      </w:r>
      <w:r w:rsidR="005C53F2">
        <w:t>ideological preferences in politically salient</w:t>
      </w:r>
      <w:r w:rsidRPr="00457064">
        <w:t xml:space="preserve"> cases than in </w:t>
      </w:r>
      <w:r w:rsidR="002F5683">
        <w:t>less salient</w:t>
      </w:r>
      <w:r w:rsidR="005C53F2">
        <w:t xml:space="preserve"> </w:t>
      </w:r>
      <w:r w:rsidRPr="00457064">
        <w:t xml:space="preserve">ones (e.g., </w:t>
      </w:r>
      <w:r>
        <w:t xml:space="preserve">Segal 1986; </w:t>
      </w:r>
      <w:proofErr w:type="spellStart"/>
      <w:r>
        <w:t>Spaeth</w:t>
      </w:r>
      <w:proofErr w:type="spellEnd"/>
      <w:r>
        <w:t xml:space="preserve"> </w:t>
      </w:r>
      <w:r w:rsidR="000D6839">
        <w:t>and</w:t>
      </w:r>
      <w:r>
        <w:t xml:space="preserve"> Segal 1999, 309-11; </w:t>
      </w:r>
      <w:proofErr w:type="spellStart"/>
      <w:r w:rsidRPr="00457064">
        <w:t>Unah</w:t>
      </w:r>
      <w:proofErr w:type="spellEnd"/>
      <w:r w:rsidRPr="00457064">
        <w:t xml:space="preserve"> and Hancock 2006; </w:t>
      </w:r>
      <w:proofErr w:type="spellStart"/>
      <w:r w:rsidRPr="00457064">
        <w:t>McAtee</w:t>
      </w:r>
      <w:proofErr w:type="spellEnd"/>
      <w:r w:rsidRPr="00457064">
        <w:t xml:space="preserve"> </w:t>
      </w:r>
      <w:r w:rsidR="000D6839">
        <w:t>and</w:t>
      </w:r>
      <w:r w:rsidRPr="00457064">
        <w:t xml:space="preserve"> McGuire 2007).</w:t>
      </w:r>
      <w:r w:rsidR="005C53F2">
        <w:t xml:space="preserve"> </w:t>
      </w:r>
      <w:r w:rsidR="005C53F2">
        <w:lastRenderedPageBreak/>
        <w:t xml:space="preserve">Politically salient cases are those cases that are particularly important to the public (Collins </w:t>
      </w:r>
      <w:r w:rsidR="000D6839">
        <w:t>and</w:t>
      </w:r>
      <w:r w:rsidR="005C53F2">
        <w:t xml:space="preserve"> Cooper 2012, 397).</w:t>
      </w:r>
      <w:r w:rsidRPr="00457064">
        <w:t xml:space="preserve">  </w:t>
      </w:r>
      <w:r w:rsidR="005C53F2">
        <w:t xml:space="preserve"> </w:t>
      </w:r>
      <w:r w:rsidR="00BF470E">
        <w:t xml:space="preserve">The issues </w:t>
      </w:r>
      <w:proofErr w:type="gramStart"/>
      <w:r w:rsidR="00BF470E">
        <w:t>raised</w:t>
      </w:r>
      <w:proofErr w:type="gramEnd"/>
      <w:r w:rsidR="00BF470E">
        <w:t xml:space="preserve"> in salient</w:t>
      </w:r>
      <w:r w:rsidRPr="00457064">
        <w:t xml:space="preserve"> cases reference justices’ attitudes more directly by raising justices’ interest and attention (</w:t>
      </w:r>
      <w:proofErr w:type="spellStart"/>
      <w:r w:rsidR="00BF470E">
        <w:t>Spaeth</w:t>
      </w:r>
      <w:proofErr w:type="spellEnd"/>
      <w:r w:rsidR="00BF470E">
        <w:t xml:space="preserve"> </w:t>
      </w:r>
      <w:r w:rsidR="000D6839">
        <w:t>and</w:t>
      </w:r>
      <w:r w:rsidR="00BF470E">
        <w:t xml:space="preserve"> Segal 1999, 309, </w:t>
      </w:r>
      <w:proofErr w:type="spellStart"/>
      <w:r w:rsidRPr="00457064">
        <w:t>Unah</w:t>
      </w:r>
      <w:proofErr w:type="spellEnd"/>
      <w:r w:rsidRPr="00457064">
        <w:t xml:space="preserve"> and Hancock 2006, 297)</w:t>
      </w:r>
      <w:r w:rsidR="00BF470E">
        <w:t xml:space="preserve"> </w:t>
      </w:r>
      <w:r w:rsidR="00FF3AA1">
        <w:t xml:space="preserve">to a greater degree </w:t>
      </w:r>
      <w:r w:rsidR="00BF470E">
        <w:t xml:space="preserve">than those cases deemed less significant. </w:t>
      </w:r>
      <w:r w:rsidRPr="00457064">
        <w:t xml:space="preserve"> The issues presented in such cases are usually politically controversial and have larger policy ramifi</w:t>
      </w:r>
      <w:r w:rsidR="00BF470E">
        <w:t>cations than issues raised in more routine</w:t>
      </w:r>
      <w:r w:rsidRPr="00457064">
        <w:t xml:space="preserve"> cases.  As a result, judges rely more upon their attitudes and preferences in deciding high salience cases (297). </w:t>
      </w:r>
      <w:r w:rsidR="00FF3AA1">
        <w:t xml:space="preserve"> </w:t>
      </w:r>
      <w:r w:rsidRPr="00457064">
        <w:t xml:space="preserve">That is, the ideological preferences of the justices </w:t>
      </w:r>
      <w:r w:rsidR="00BF470E">
        <w:t xml:space="preserve">are more likely to </w:t>
      </w:r>
      <w:r w:rsidRPr="00457064">
        <w:t>override outside attempts at influence on those issu</w:t>
      </w:r>
      <w:r w:rsidR="005C0D87">
        <w:t xml:space="preserve">es of greatest concern to them </w:t>
      </w:r>
      <w:r w:rsidRPr="00457064">
        <w:t>(</w:t>
      </w:r>
      <w:proofErr w:type="spellStart"/>
      <w:r w:rsidRPr="00457064">
        <w:t>Songer</w:t>
      </w:r>
      <w:proofErr w:type="spellEnd"/>
      <w:r w:rsidRPr="00457064">
        <w:t xml:space="preserve"> and Sheehan 1993, 346).   </w:t>
      </w:r>
      <w:r w:rsidR="00BF470E">
        <w:t xml:space="preserve">The justices are also more likely to negotiate, make suggestions and threats in the opinion writing process, and author separate opinions in salient cases (Epstein </w:t>
      </w:r>
      <w:r w:rsidR="000D6839">
        <w:t>and</w:t>
      </w:r>
      <w:r w:rsidR="00BF470E">
        <w:t xml:space="preserve"> Knight 1998, 98; </w:t>
      </w:r>
      <w:proofErr w:type="spellStart"/>
      <w:r w:rsidR="00BF470E">
        <w:t>Spriggs</w:t>
      </w:r>
      <w:proofErr w:type="spellEnd"/>
      <w:r w:rsidR="00BF470E">
        <w:t xml:space="preserve">, </w:t>
      </w:r>
      <w:proofErr w:type="spellStart"/>
      <w:r w:rsidR="00BF470E">
        <w:t>Maltzman</w:t>
      </w:r>
      <w:proofErr w:type="spellEnd"/>
      <w:r w:rsidR="00BF470E">
        <w:t xml:space="preserve">, and </w:t>
      </w:r>
      <w:proofErr w:type="spellStart"/>
      <w:r w:rsidR="00BF470E">
        <w:t>Wahlbeck</w:t>
      </w:r>
      <w:proofErr w:type="spellEnd"/>
      <w:r w:rsidR="00BF470E">
        <w:t xml:space="preserve"> 1999). </w:t>
      </w:r>
      <w:r w:rsidR="003B3DAC">
        <w:t xml:space="preserve">  </w:t>
      </w:r>
    </w:p>
    <w:p w:rsidR="00D50941" w:rsidRPr="00457064" w:rsidRDefault="00D50941" w:rsidP="00D50941">
      <w:pPr>
        <w:spacing w:line="480" w:lineRule="auto"/>
        <w:ind w:left="0" w:firstLine="720"/>
      </w:pPr>
      <w:proofErr w:type="spellStart"/>
      <w:r w:rsidRPr="00457064">
        <w:t>Unah</w:t>
      </w:r>
      <w:proofErr w:type="spellEnd"/>
      <w:r w:rsidRPr="00457064">
        <w:t xml:space="preserve"> and Hancock </w:t>
      </w:r>
      <w:r w:rsidR="005C0D87">
        <w:t xml:space="preserve">describe salient </w:t>
      </w:r>
      <w:r w:rsidRPr="00457064">
        <w:t xml:space="preserve">cases as “those that ‘stand out’ in the Supreme Court plenary agenda in the sense that they involve important issues of public policy and are therefore likely to receive a disproportionate amount of attention and involvement from justices throughout and from court-watchers, such </w:t>
      </w:r>
      <w:r w:rsidR="005C0D87">
        <w:t>as journalists” (297).  In salient</w:t>
      </w:r>
      <w:r w:rsidRPr="00457064">
        <w:t xml:space="preserve"> cases, a justice’s position is relatively fixed and the chance is relatively low that new information will change that position (</w:t>
      </w:r>
      <w:proofErr w:type="spellStart"/>
      <w:r w:rsidRPr="00457064">
        <w:t>Unah</w:t>
      </w:r>
      <w:proofErr w:type="spellEnd"/>
      <w:r w:rsidRPr="00457064">
        <w:t xml:space="preserve"> and Hancock 2006).   Thus, fluid</w:t>
      </w:r>
      <w:r w:rsidR="005C0D87">
        <w:t xml:space="preserve">ity is less likely in such </w:t>
      </w:r>
      <w:r w:rsidRPr="00457064">
        <w:t>salien</w:t>
      </w:r>
      <w:r w:rsidR="005C0D87">
        <w:t>t</w:t>
      </w:r>
      <w:r w:rsidRPr="00457064">
        <w:t xml:space="preserve"> cases (</w:t>
      </w:r>
      <w:proofErr w:type="spellStart"/>
      <w:r w:rsidRPr="00457064">
        <w:t>Hagle</w:t>
      </w:r>
      <w:proofErr w:type="spellEnd"/>
      <w:r w:rsidRPr="00457064">
        <w:t xml:space="preserve"> and </w:t>
      </w:r>
      <w:proofErr w:type="spellStart"/>
      <w:r w:rsidRPr="00457064">
        <w:t>Spaeth</w:t>
      </w:r>
      <w:proofErr w:type="spellEnd"/>
      <w:r w:rsidRPr="00457064">
        <w:t xml:space="preserve"> 1991).  </w:t>
      </w:r>
    </w:p>
    <w:p w:rsidR="00D50941" w:rsidRPr="00457064" w:rsidRDefault="006A4486" w:rsidP="00D50941">
      <w:pPr>
        <w:spacing w:line="480" w:lineRule="auto"/>
        <w:ind w:left="0" w:firstLine="720"/>
      </w:pPr>
      <w:r>
        <w:t>In salien</w:t>
      </w:r>
      <w:r w:rsidR="005C0D87">
        <w:t>t</w:t>
      </w:r>
      <w:r w:rsidR="00D50941" w:rsidRPr="00457064">
        <w:t xml:space="preserve"> cases involving civil rights before the Supreme Court, </w:t>
      </w:r>
      <w:proofErr w:type="spellStart"/>
      <w:r w:rsidR="00D50941" w:rsidRPr="00457064">
        <w:t>Unah</w:t>
      </w:r>
      <w:proofErr w:type="spellEnd"/>
      <w:r w:rsidR="00D50941" w:rsidRPr="00457064">
        <w:t xml:space="preserve"> and Hancock</w:t>
      </w:r>
      <w:r w:rsidR="002F5683">
        <w:t xml:space="preserve"> (2006)</w:t>
      </w:r>
      <w:r w:rsidR="00D50941" w:rsidRPr="00457064">
        <w:t xml:space="preserve"> find that justices primarily vote their attitudes regardless of t</w:t>
      </w:r>
      <w:r w:rsidR="002F5683">
        <w:t xml:space="preserve">he information provided by the Solicitor General or by interest groups.  </w:t>
      </w:r>
      <w:proofErr w:type="spellStart"/>
      <w:r w:rsidR="00D50941" w:rsidRPr="00457064">
        <w:t>Unah</w:t>
      </w:r>
      <w:proofErr w:type="spellEnd"/>
      <w:r w:rsidR="002F5683">
        <w:t xml:space="preserve"> and Hancock think</w:t>
      </w:r>
      <w:r w:rsidR="00D50941" w:rsidRPr="00457064">
        <w:t xml:space="preserve"> their findings also apply to other areas such as the right to privacy, the First Amendment, and criminal procedure.  They conclude that the attitu</w:t>
      </w:r>
      <w:r w:rsidR="003B3DAC">
        <w:t>dinal model of judicial decision-</w:t>
      </w:r>
      <w:r w:rsidR="00D50941" w:rsidRPr="00457064">
        <w:t xml:space="preserve"> making has more predictive and </w:t>
      </w:r>
      <w:r w:rsidR="00D50941" w:rsidRPr="00457064">
        <w:lastRenderedPageBreak/>
        <w:t>explanatory accuracy in high salience cases than in low salience ones (314-15).  The more salient the case, the more justices will draw upon their own ideological predispositions in reaching a decision.</w:t>
      </w:r>
      <w:r w:rsidR="003B3DAC">
        <w:t xml:space="preserve">   This conclusion is buttressed by Corley, Collins, and </w:t>
      </w:r>
      <w:proofErr w:type="spellStart"/>
      <w:r w:rsidR="003B3DAC">
        <w:t>Hamner</w:t>
      </w:r>
      <w:proofErr w:type="spellEnd"/>
      <w:r w:rsidR="003B3DAC">
        <w:t xml:space="preserve"> (2013), who find that amicus briefs are not as likely to</w:t>
      </w:r>
      <w:r w:rsidR="0017612B">
        <w:t xml:space="preserve"> be</w:t>
      </w:r>
      <w:r w:rsidR="003B3DAC">
        <w:t xml:space="preserve"> cited in the majority opinion of the USSC in salient cases compared to non-salient cases. </w:t>
      </w:r>
    </w:p>
    <w:p w:rsidR="00F1703B" w:rsidRDefault="00D50941" w:rsidP="00F1703B">
      <w:pPr>
        <w:autoSpaceDE w:val="0"/>
        <w:autoSpaceDN w:val="0"/>
        <w:adjustRightInd w:val="0"/>
        <w:spacing w:line="480" w:lineRule="auto"/>
        <w:ind w:left="0" w:firstLine="720"/>
      </w:pPr>
      <w:r>
        <w:t>Therefore,</w:t>
      </w:r>
      <w:r w:rsidRPr="00457064">
        <w:t xml:space="preserve"> the attitudinal model should be a better predictor of judicial behavior in politically salient cases</w:t>
      </w:r>
      <w:r w:rsidR="005C0D87">
        <w:t xml:space="preserve"> than in non-salient cases</w:t>
      </w:r>
      <w:r w:rsidRPr="00457064">
        <w:t xml:space="preserve">.  According to the attitudinal model, justices will </w:t>
      </w:r>
      <w:r w:rsidRPr="007E12C8">
        <w:rPr>
          <w:i/>
        </w:rPr>
        <w:t>not</w:t>
      </w:r>
      <w:r w:rsidRPr="00457064">
        <w:t xml:space="preserve"> be more likely to vote against their policy preferences simply because more briefs are filed supporting the position they are not inclined to agree with</w:t>
      </w:r>
      <w:r w:rsidR="00472AA9">
        <w:t xml:space="preserve">, as it is </w:t>
      </w:r>
      <w:r w:rsidR="00460D4C">
        <w:t>hypothesized that such briefs are simply</w:t>
      </w:r>
      <w:r w:rsidRPr="00457064">
        <w:t xml:space="preserve"> ignored or discounted</w:t>
      </w:r>
      <w:r w:rsidR="002F5683">
        <w:t xml:space="preserve"> by the justices (Collins 2008, 97-98).  </w:t>
      </w:r>
      <w:r w:rsidR="00F1703B">
        <w:t>I</w:t>
      </w:r>
      <w:r w:rsidR="00F1703B" w:rsidRPr="00457064">
        <w:t xml:space="preserve">n politically salient cases </w:t>
      </w:r>
      <w:r w:rsidR="00F1703B">
        <w:t>(those in</w:t>
      </w:r>
      <w:r w:rsidR="00F1703B" w:rsidRPr="00457064">
        <w:t xml:space="preserve"> which attitudinal factors are likely to predominate</w:t>
      </w:r>
      <w:r w:rsidR="00F1703B">
        <w:t>)</w:t>
      </w:r>
      <w:proofErr w:type="gramStart"/>
      <w:r w:rsidR="00F1703B" w:rsidRPr="00457064">
        <w:t>,</w:t>
      </w:r>
      <w:proofErr w:type="gramEnd"/>
      <w:r w:rsidR="00F1703B" w:rsidRPr="00457064">
        <w:t xml:space="preserve"> </w:t>
      </w:r>
      <w:r w:rsidR="00BE2FE9">
        <w:t xml:space="preserve">a net advantage of </w:t>
      </w:r>
      <w:r w:rsidR="00F1703B" w:rsidRPr="00457064">
        <w:t xml:space="preserve">amicus briefs that are incongruent with a justice’s ideology should not meaningfully influence that justice to vote </w:t>
      </w:r>
      <w:r w:rsidR="00C10FE4">
        <w:t xml:space="preserve">against </w:t>
      </w:r>
      <w:r w:rsidR="00BE2FE9">
        <w:t xml:space="preserve">his </w:t>
      </w:r>
      <w:r w:rsidR="00F1703B" w:rsidRPr="00457064">
        <w:t xml:space="preserve">ideological preference.  </w:t>
      </w:r>
    </w:p>
    <w:p w:rsidR="00D50941" w:rsidRPr="00457064" w:rsidRDefault="00D50941" w:rsidP="00D50941">
      <w:pPr>
        <w:autoSpaceDE w:val="0"/>
        <w:autoSpaceDN w:val="0"/>
        <w:adjustRightInd w:val="0"/>
        <w:spacing w:line="480" w:lineRule="auto"/>
        <w:ind w:left="0" w:firstLine="720"/>
      </w:pPr>
      <w:r w:rsidRPr="00457064">
        <w:t>However, as mentioned a</w:t>
      </w:r>
      <w:r>
        <w:t xml:space="preserve">bove, the attitudinal model </w:t>
      </w:r>
      <w:r w:rsidRPr="00457064">
        <w:t>still allow</w:t>
      </w:r>
      <w:r>
        <w:t>s</w:t>
      </w:r>
      <w:r w:rsidRPr="00457064">
        <w:t xml:space="preserve"> for amicus influence in salient cases insofar as the amicus brief reinforces or bolsters judges’ pursuit of their policy preferences.  Collins’ (2008, 93) attitudinal congruence hypothesis flows from this understanding:  as the number of liberal (conservative) amicus curiae briefs increases, so too will the likelihood of observing a liberal (conservative) justice cast a liberal (conservative) vote” (93).   </w:t>
      </w:r>
      <w:r w:rsidR="00BE2FE9">
        <w:t>H</w:t>
      </w:r>
      <w:r w:rsidRPr="00457064">
        <w:t xml:space="preserve">owever, </w:t>
      </w:r>
      <w:r w:rsidR="00BE2FE9">
        <w:t xml:space="preserve">as mentioned above, </w:t>
      </w:r>
      <w:r w:rsidRPr="00457064">
        <w:t xml:space="preserve">under the attitudinal congruence hypothesis, justices will </w:t>
      </w:r>
      <w:r w:rsidRPr="00457064">
        <w:rPr>
          <w:i/>
        </w:rPr>
        <w:t>not</w:t>
      </w:r>
      <w:r w:rsidRPr="00457064">
        <w:t xml:space="preserve"> be more likely to vote against their policy preferences simply because more briefs are filed supporting the position that the judge is not </w:t>
      </w:r>
      <w:r w:rsidR="005C0D87">
        <w:t>inclined to agree with.  Thus:</w:t>
      </w:r>
    </w:p>
    <w:p w:rsidR="00675487" w:rsidRDefault="00675487" w:rsidP="00D50941">
      <w:pPr>
        <w:spacing w:line="480" w:lineRule="auto"/>
        <w:ind w:left="0" w:firstLine="0"/>
        <w:rPr>
          <w:b/>
        </w:rPr>
      </w:pPr>
    </w:p>
    <w:p w:rsidR="00675487" w:rsidRDefault="00675487" w:rsidP="00D50941">
      <w:pPr>
        <w:spacing w:line="480" w:lineRule="auto"/>
        <w:ind w:left="0" w:firstLine="0"/>
        <w:rPr>
          <w:b/>
        </w:rPr>
      </w:pPr>
    </w:p>
    <w:p w:rsidR="00D50941" w:rsidRPr="00675487" w:rsidRDefault="002F5683" w:rsidP="00D50941">
      <w:pPr>
        <w:spacing w:line="480" w:lineRule="auto"/>
        <w:ind w:left="0" w:firstLine="0"/>
        <w:rPr>
          <w:b/>
        </w:rPr>
      </w:pPr>
      <w:r w:rsidRPr="00675487">
        <w:rPr>
          <w:b/>
        </w:rPr>
        <w:lastRenderedPageBreak/>
        <w:t>H9,</w:t>
      </w:r>
      <w:r w:rsidR="005C0D87" w:rsidRPr="00675487">
        <w:rPr>
          <w:b/>
        </w:rPr>
        <w:t xml:space="preserve"> </w:t>
      </w:r>
      <w:r w:rsidRPr="00675487">
        <w:rPr>
          <w:b/>
        </w:rPr>
        <w:t>H10,</w:t>
      </w:r>
      <w:r w:rsidR="005C0D87" w:rsidRPr="00675487">
        <w:rPr>
          <w:b/>
        </w:rPr>
        <w:t xml:space="preserve"> </w:t>
      </w:r>
      <w:r w:rsidRPr="00675487">
        <w:rPr>
          <w:b/>
        </w:rPr>
        <w:t>H11,</w:t>
      </w:r>
      <w:r w:rsidR="00FF3AA1" w:rsidRPr="00675487">
        <w:rPr>
          <w:b/>
        </w:rPr>
        <w:t xml:space="preserve"> and</w:t>
      </w:r>
      <w:r w:rsidR="005C0D87" w:rsidRPr="00675487">
        <w:rPr>
          <w:b/>
        </w:rPr>
        <w:t xml:space="preserve"> </w:t>
      </w:r>
      <w:r w:rsidRPr="00675487">
        <w:rPr>
          <w:b/>
        </w:rPr>
        <w:t>H12</w:t>
      </w:r>
      <w:r w:rsidR="00D50941" w:rsidRPr="00675487">
        <w:rPr>
          <w:b/>
        </w:rPr>
        <w:t xml:space="preserve"> </w:t>
      </w:r>
      <w:r w:rsidR="00F1703B" w:rsidRPr="00675487">
        <w:rPr>
          <w:b/>
        </w:rPr>
        <w:t xml:space="preserve">[Political </w:t>
      </w:r>
      <w:r w:rsidR="00D50941" w:rsidRPr="00675487">
        <w:rPr>
          <w:b/>
        </w:rPr>
        <w:t>Salience Attitudinal Hypotheses]:</w:t>
      </w:r>
    </w:p>
    <w:p w:rsidR="00D50941" w:rsidRPr="00457064" w:rsidRDefault="002F5683" w:rsidP="00D50941">
      <w:pPr>
        <w:pStyle w:val="ListParagraph"/>
        <w:numPr>
          <w:ilvl w:val="0"/>
          <w:numId w:val="24"/>
        </w:numPr>
        <w:spacing w:line="480" w:lineRule="auto"/>
      </w:pPr>
      <w:r>
        <w:t>H9</w:t>
      </w:r>
      <w:r w:rsidR="00D50941" w:rsidRPr="00457064">
        <w:t>:  In politically salient cases, as the number of libera</w:t>
      </w:r>
      <w:r w:rsidR="00D50941">
        <w:t>l amicus</w:t>
      </w:r>
      <w:r w:rsidR="00D50941" w:rsidRPr="00457064">
        <w:t xml:space="preserve"> briefs</w:t>
      </w:r>
      <w:r w:rsidR="0023583C">
        <w:t xml:space="preserve"> (and cosigners)</w:t>
      </w:r>
      <w:r w:rsidR="00D50941" w:rsidRPr="00457064">
        <w:t xml:space="preserve"> increases</w:t>
      </w:r>
      <w:r>
        <w:t xml:space="preserve"> relative to the number of conservative briefs</w:t>
      </w:r>
      <w:r w:rsidR="0023583C">
        <w:t xml:space="preserve"> (and cosigners)</w:t>
      </w:r>
      <w:r w:rsidR="00D50941" w:rsidRPr="00457064">
        <w:t>, so too will the likelihood of observing a liberal justice cast</w:t>
      </w:r>
      <w:r w:rsidR="005C0D87">
        <w:t>ing</w:t>
      </w:r>
      <w:r w:rsidR="00D50941" w:rsidRPr="00457064">
        <w:t xml:space="preserve"> a liberal vote.</w:t>
      </w:r>
    </w:p>
    <w:p w:rsidR="00D50941" w:rsidRPr="00457064" w:rsidRDefault="002F5683" w:rsidP="00D50941">
      <w:pPr>
        <w:pStyle w:val="ListParagraph"/>
        <w:numPr>
          <w:ilvl w:val="0"/>
          <w:numId w:val="24"/>
        </w:numPr>
        <w:spacing w:line="480" w:lineRule="auto"/>
      </w:pPr>
      <w:r>
        <w:t>H10</w:t>
      </w:r>
      <w:r w:rsidR="00D50941" w:rsidRPr="00457064">
        <w:t>: In politically salient cases, as the number of conservative</w:t>
      </w:r>
      <w:r w:rsidR="00D50941">
        <w:t xml:space="preserve"> amicus </w:t>
      </w:r>
      <w:r w:rsidR="00D50941" w:rsidRPr="00457064">
        <w:t>briefs</w:t>
      </w:r>
      <w:r w:rsidR="0023583C">
        <w:t xml:space="preserve"> (and cosigners)</w:t>
      </w:r>
      <w:r w:rsidR="00D50941" w:rsidRPr="00457064">
        <w:t xml:space="preserve"> increases</w:t>
      </w:r>
      <w:r>
        <w:t xml:space="preserve"> relative to the number of liberal briefs</w:t>
      </w:r>
      <w:r w:rsidR="0023583C">
        <w:t xml:space="preserve"> (cosigners)</w:t>
      </w:r>
      <w:r w:rsidR="00D50941" w:rsidRPr="00457064">
        <w:t>, so too will the likelihood of observing a conservative</w:t>
      </w:r>
      <w:r w:rsidR="00D50941">
        <w:t xml:space="preserve"> justice cast</w:t>
      </w:r>
      <w:r w:rsidR="005C0D87">
        <w:t>ing</w:t>
      </w:r>
      <w:r w:rsidR="00D50941">
        <w:t xml:space="preserve"> a conservative</w:t>
      </w:r>
      <w:r w:rsidR="00D50941" w:rsidRPr="00457064">
        <w:t xml:space="preserve"> vote.</w:t>
      </w:r>
    </w:p>
    <w:p w:rsidR="00D50941" w:rsidRPr="00457064" w:rsidRDefault="002F5683" w:rsidP="00D50941">
      <w:pPr>
        <w:pStyle w:val="ListParagraph"/>
        <w:numPr>
          <w:ilvl w:val="0"/>
          <w:numId w:val="24"/>
        </w:numPr>
        <w:spacing w:line="480" w:lineRule="auto"/>
      </w:pPr>
      <w:r>
        <w:t>H11</w:t>
      </w:r>
      <w:r w:rsidR="00D50941" w:rsidRPr="00457064">
        <w:t xml:space="preserve">: In politically salient cases, </w:t>
      </w:r>
      <w:r w:rsidR="00F1703B">
        <w:t xml:space="preserve">an advantage in the </w:t>
      </w:r>
      <w:r w:rsidR="00D50941" w:rsidRPr="00457064">
        <w:t>number of liberal amicus curiae</w:t>
      </w:r>
      <w:r>
        <w:t xml:space="preserve"> briefs</w:t>
      </w:r>
      <w:r w:rsidR="0023583C">
        <w:t xml:space="preserve"> (cosigners)</w:t>
      </w:r>
      <w:r>
        <w:t xml:space="preserve"> relative to conservative amicus</w:t>
      </w:r>
      <w:r w:rsidR="00D50941" w:rsidRPr="00457064">
        <w:t xml:space="preserve"> briefs</w:t>
      </w:r>
      <w:r w:rsidR="0023583C">
        <w:t xml:space="preserve"> (cosigners)</w:t>
      </w:r>
      <w:r w:rsidR="00D50941" w:rsidRPr="00457064">
        <w:t xml:space="preserve"> will have no meaningful effect on the likelihood of observing a conservative justice cast</w:t>
      </w:r>
      <w:r w:rsidR="005C0D87">
        <w:t>ing</w:t>
      </w:r>
      <w:r w:rsidR="00D50941" w:rsidRPr="00457064">
        <w:t xml:space="preserve"> a liberal vote.</w:t>
      </w:r>
    </w:p>
    <w:p w:rsidR="00993243" w:rsidRDefault="002F5683" w:rsidP="00675487">
      <w:pPr>
        <w:pStyle w:val="ListParagraph"/>
        <w:numPr>
          <w:ilvl w:val="0"/>
          <w:numId w:val="24"/>
        </w:numPr>
        <w:spacing w:line="480" w:lineRule="auto"/>
      </w:pPr>
      <w:r>
        <w:t>H12</w:t>
      </w:r>
      <w:r w:rsidR="00D50941" w:rsidRPr="00457064">
        <w:t xml:space="preserve">: In politically salient cases, </w:t>
      </w:r>
      <w:r w:rsidR="00F1703B">
        <w:t xml:space="preserve">an advantage in the </w:t>
      </w:r>
      <w:r w:rsidR="00D50941" w:rsidRPr="00457064">
        <w:t>number of conservative amicus curiae briefs</w:t>
      </w:r>
      <w:r w:rsidR="0023583C">
        <w:t xml:space="preserve"> (cosigners)</w:t>
      </w:r>
      <w:r w:rsidR="00D50941" w:rsidRPr="00457064">
        <w:t xml:space="preserve"> </w:t>
      </w:r>
      <w:r w:rsidR="007F7BAC">
        <w:t>relative to liberal briefs</w:t>
      </w:r>
      <w:r w:rsidR="0023583C">
        <w:t xml:space="preserve"> (cosigners)</w:t>
      </w:r>
      <w:r w:rsidR="007F7BAC">
        <w:t xml:space="preserve"> </w:t>
      </w:r>
      <w:r w:rsidR="00D50941" w:rsidRPr="00457064">
        <w:t>will have no meaningful effect on the likelihood of observing a liberal justice cast</w:t>
      </w:r>
      <w:r w:rsidR="005C0D87">
        <w:t>ing</w:t>
      </w:r>
      <w:r w:rsidR="00D50941" w:rsidRPr="00457064">
        <w:t xml:space="preserve"> a conservative vote.</w:t>
      </w:r>
    </w:p>
    <w:p w:rsidR="00A659BD" w:rsidRPr="00672A66" w:rsidRDefault="00460D4C" w:rsidP="00672A66">
      <w:pPr>
        <w:spacing w:line="480" w:lineRule="auto"/>
        <w:ind w:left="0" w:firstLine="720"/>
        <w:rPr>
          <w:color w:val="FF0000"/>
        </w:rPr>
      </w:pPr>
      <w:r w:rsidRPr="00F1703B">
        <w:t xml:space="preserve">Finally, none of the foregoing hypotheses </w:t>
      </w:r>
      <w:r w:rsidR="00C6163E" w:rsidRPr="00F1703B">
        <w:t>take</w:t>
      </w:r>
      <w:r w:rsidR="00FF3AA1">
        <w:t>s</w:t>
      </w:r>
      <w:r w:rsidR="00C6163E" w:rsidRPr="00F1703B">
        <w:t xml:space="preserve"> into account</w:t>
      </w:r>
      <w:r w:rsidRPr="00F1703B">
        <w:t xml:space="preserve"> differences in the</w:t>
      </w:r>
      <w:r w:rsidR="00C6163E" w:rsidRPr="00F1703B">
        <w:t xml:space="preserve"> prestige and experience of </w:t>
      </w:r>
      <w:r w:rsidRPr="00F1703B">
        <w:t xml:space="preserve">amici.  Each of these hypotheses assumes that </w:t>
      </w:r>
      <w:r w:rsidR="00C524FA" w:rsidRPr="00F1703B">
        <w:t>amici, and the</w:t>
      </w:r>
      <w:r w:rsidRPr="00F1703B">
        <w:t xml:space="preserve"> substantive information they impart, are equally valuable, regardless of the reputation of the amici.</w:t>
      </w:r>
      <w:r w:rsidR="00C6163E" w:rsidRPr="00F1703B">
        <w:t xml:space="preserve">  However, </w:t>
      </w:r>
      <w:r w:rsidR="0092582B" w:rsidRPr="00F1703B">
        <w:t>as discussed above,</w:t>
      </w:r>
      <w:r w:rsidR="0092582B">
        <w:rPr>
          <w:color w:val="FF0000"/>
        </w:rPr>
        <w:t xml:space="preserve"> </w:t>
      </w:r>
      <w:r w:rsidR="00C6163E">
        <w:t xml:space="preserve">scholars have found support for the notion that the prestige and experience of the amicus participant may influence judicial behavior (e.g., McGuire 1994; Kearney </w:t>
      </w:r>
      <w:r w:rsidR="000D6839">
        <w:t>and</w:t>
      </w:r>
      <w:r w:rsidR="00C6163E">
        <w:t xml:space="preserve"> Merrill 2000; Lynch 2004; Collins 2004; </w:t>
      </w:r>
      <w:proofErr w:type="spellStart"/>
      <w:r w:rsidR="00C6163E">
        <w:t>Simard</w:t>
      </w:r>
      <w:proofErr w:type="spellEnd"/>
      <w:r w:rsidR="00C6163E">
        <w:t xml:space="preserve"> 2007; Box-</w:t>
      </w:r>
      <w:proofErr w:type="spellStart"/>
      <w:r w:rsidR="00C6163E">
        <w:t>Steffensmeier</w:t>
      </w:r>
      <w:proofErr w:type="spellEnd"/>
      <w:r w:rsidR="00C6163E">
        <w:t xml:space="preserve"> et al. 2013</w:t>
      </w:r>
      <w:r w:rsidR="0092582B">
        <w:t>; Chandler 2013</w:t>
      </w:r>
      <w:r w:rsidR="00C6163E">
        <w:t>)</w:t>
      </w:r>
      <w:r w:rsidR="00C6163E">
        <w:rPr>
          <w:rFonts w:cs="Times New Roman"/>
          <w:color w:val="0070C0"/>
        </w:rPr>
        <w:t>.</w:t>
      </w:r>
      <w:r w:rsidRPr="00460D4C">
        <w:rPr>
          <w:color w:val="FF0000"/>
        </w:rPr>
        <w:t xml:space="preserve"> </w:t>
      </w:r>
      <w:r w:rsidR="002E2839">
        <w:rPr>
          <w:color w:val="FF0000"/>
        </w:rPr>
        <w:t xml:space="preserve">  </w:t>
      </w:r>
      <w:r w:rsidR="00470875">
        <w:t xml:space="preserve">While the </w:t>
      </w:r>
      <w:r w:rsidR="002E2839" w:rsidRPr="001C4181">
        <w:rPr>
          <w:rFonts w:cs="Times New Roman"/>
          <w:szCs w:val="24"/>
        </w:rPr>
        <w:t xml:space="preserve">influence of </w:t>
      </w:r>
      <w:r w:rsidR="00470875">
        <w:rPr>
          <w:rFonts w:cs="Times New Roman"/>
          <w:szCs w:val="24"/>
        </w:rPr>
        <w:t>powerful groups has been found to be</w:t>
      </w:r>
      <w:r w:rsidR="00624735">
        <w:rPr>
          <w:rFonts w:cs="Times New Roman"/>
          <w:szCs w:val="24"/>
        </w:rPr>
        <w:t xml:space="preserve"> present</w:t>
      </w:r>
      <w:r w:rsidR="002E2839" w:rsidRPr="001C4181">
        <w:rPr>
          <w:rFonts w:cs="Times New Roman"/>
          <w:szCs w:val="24"/>
        </w:rPr>
        <w:t xml:space="preserve"> when amicus participation is relatively</w:t>
      </w:r>
      <w:r w:rsidR="00624735">
        <w:rPr>
          <w:rFonts w:cs="Times New Roman"/>
          <w:szCs w:val="24"/>
        </w:rPr>
        <w:t xml:space="preserve"> ideologically</w:t>
      </w:r>
      <w:r w:rsidR="002E2839" w:rsidRPr="001C4181">
        <w:rPr>
          <w:rFonts w:cs="Times New Roman"/>
          <w:szCs w:val="24"/>
        </w:rPr>
        <w:t xml:space="preserve"> balanced in a case</w:t>
      </w:r>
      <w:r w:rsidR="00470875">
        <w:rPr>
          <w:rFonts w:cs="Times New Roman"/>
          <w:szCs w:val="24"/>
        </w:rPr>
        <w:t xml:space="preserve"> </w:t>
      </w:r>
      <w:r w:rsidR="00470875">
        <w:t>(Box-</w:t>
      </w:r>
      <w:proofErr w:type="spellStart"/>
      <w:r w:rsidR="00470875">
        <w:t>Steffensmeier</w:t>
      </w:r>
      <w:proofErr w:type="spellEnd"/>
      <w:r w:rsidR="00470875">
        <w:t xml:space="preserve"> et al. </w:t>
      </w:r>
      <w:r w:rsidR="00470875">
        <w:lastRenderedPageBreak/>
        <w:t>2013)</w:t>
      </w:r>
      <w:r w:rsidR="00624735">
        <w:rPr>
          <w:rFonts w:cs="Times New Roman"/>
          <w:szCs w:val="24"/>
        </w:rPr>
        <w:t>,</w:t>
      </w:r>
      <w:r w:rsidR="002E2839">
        <w:t xml:space="preserve"> </w:t>
      </w:r>
      <w:r w:rsidR="00470875">
        <w:t>I expect an ideological advantage of prestigious amici in a case to impact a justice’s vote, regardless of the relative ideological advantage of all amici in the case</w:t>
      </w:r>
      <w:r w:rsidR="00624735">
        <w:t xml:space="preserve">.   </w:t>
      </w:r>
      <w:r w:rsidR="00A659BD">
        <w:t>Thus:</w:t>
      </w:r>
      <w:r w:rsidR="00F1703B">
        <w:t xml:space="preserve"> </w:t>
      </w:r>
    </w:p>
    <w:p w:rsidR="00F1703B" w:rsidRPr="00675487" w:rsidRDefault="00A659BD" w:rsidP="00F1703B">
      <w:pPr>
        <w:spacing w:line="480" w:lineRule="auto"/>
        <w:ind w:left="0" w:firstLine="0"/>
        <w:rPr>
          <w:b/>
        </w:rPr>
      </w:pPr>
      <w:r w:rsidRPr="00675487">
        <w:rPr>
          <w:b/>
        </w:rPr>
        <w:t>H13 and H14</w:t>
      </w:r>
      <w:r w:rsidR="00F1703B" w:rsidRPr="00675487">
        <w:rPr>
          <w:b/>
        </w:rPr>
        <w:t>: [Prestigious Amicus Hypotheses]:</w:t>
      </w:r>
    </w:p>
    <w:p w:rsidR="00B6192E" w:rsidRPr="00A659BD" w:rsidRDefault="00B6192E" w:rsidP="00B6192E">
      <w:pPr>
        <w:pStyle w:val="ListParagraph"/>
        <w:numPr>
          <w:ilvl w:val="0"/>
          <w:numId w:val="22"/>
        </w:numPr>
        <w:spacing w:line="480" w:lineRule="auto"/>
      </w:pPr>
      <w:r w:rsidRPr="00A659BD">
        <w:t>H13: As the numb</w:t>
      </w:r>
      <w:r w:rsidR="00A659BD" w:rsidRPr="00A659BD">
        <w:t>er of prestigious liberal amici increase</w:t>
      </w:r>
      <w:r w:rsidRPr="00A659BD">
        <w:t xml:space="preserve"> relative to pr</w:t>
      </w:r>
      <w:r w:rsidR="00FF3AA1">
        <w:t>estigious conservative amici</w:t>
      </w:r>
      <w:r w:rsidRPr="00A659BD">
        <w:t xml:space="preserve">, so too </w:t>
      </w:r>
      <w:proofErr w:type="gramStart"/>
      <w:r w:rsidRPr="00A659BD">
        <w:t>will</w:t>
      </w:r>
      <w:proofErr w:type="gramEnd"/>
      <w:r w:rsidRPr="00A659BD">
        <w:t xml:space="preserve"> the likelihood of observing a liberal vote, regardless of the justice’s ideology.</w:t>
      </w:r>
      <w:r w:rsidR="00840DC5" w:rsidRPr="00A659BD">
        <w:t xml:space="preserve">   </w:t>
      </w:r>
    </w:p>
    <w:p w:rsidR="00460D4C" w:rsidRPr="00A659BD" w:rsidRDefault="00B6192E" w:rsidP="00A659BD">
      <w:pPr>
        <w:pStyle w:val="ListParagraph"/>
        <w:numPr>
          <w:ilvl w:val="0"/>
          <w:numId w:val="22"/>
        </w:numPr>
        <w:spacing w:line="480" w:lineRule="auto"/>
      </w:pPr>
      <w:r w:rsidRPr="00A659BD">
        <w:t>H14: As the number of prestigio</w:t>
      </w:r>
      <w:r w:rsidR="00A659BD" w:rsidRPr="00A659BD">
        <w:t>us conservative amici</w:t>
      </w:r>
      <w:r w:rsidRPr="00A659BD">
        <w:t xml:space="preserve"> increases relative </w:t>
      </w:r>
      <w:r w:rsidR="00FF3AA1">
        <w:t>to prestigious liberal amici</w:t>
      </w:r>
      <w:r w:rsidRPr="00A659BD">
        <w:t>,</w:t>
      </w:r>
      <w:r w:rsidR="00840DC5" w:rsidRPr="00A659BD">
        <w:t xml:space="preserve"> </w:t>
      </w:r>
      <w:r w:rsidRPr="00A659BD">
        <w:t>so too will the likelihood of observing a conservative vote, regardless of the justice’s ideology.</w:t>
      </w:r>
      <w:r w:rsidR="00840DC5" w:rsidRPr="00A659BD">
        <w:t xml:space="preserve"> </w:t>
      </w:r>
    </w:p>
    <w:p w:rsidR="00D50941" w:rsidRPr="006C3E31" w:rsidRDefault="00D50941" w:rsidP="00D50941">
      <w:pPr>
        <w:pStyle w:val="ListParagraph"/>
        <w:spacing w:line="480" w:lineRule="auto"/>
        <w:ind w:firstLine="0"/>
      </w:pPr>
    </w:p>
    <w:p w:rsidR="00993243" w:rsidRPr="00993243" w:rsidRDefault="00993243" w:rsidP="0056631B">
      <w:pPr>
        <w:pStyle w:val="ListParagraph"/>
        <w:numPr>
          <w:ilvl w:val="0"/>
          <w:numId w:val="36"/>
        </w:numPr>
        <w:spacing w:line="480" w:lineRule="auto"/>
        <w:rPr>
          <w:b/>
        </w:rPr>
      </w:pPr>
      <w:r>
        <w:rPr>
          <w:b/>
        </w:rPr>
        <w:t>Research Design: Data and Methods</w:t>
      </w:r>
    </w:p>
    <w:p w:rsidR="00D50941" w:rsidRDefault="00D50941" w:rsidP="00D50941">
      <w:pPr>
        <w:spacing w:line="480" w:lineRule="auto"/>
        <w:ind w:left="0" w:firstLine="720"/>
      </w:pPr>
      <w:r w:rsidRPr="00A02BA1">
        <w:t>To test</w:t>
      </w:r>
      <w:r>
        <w:t xml:space="preserve"> these hypotheses</w:t>
      </w:r>
      <w:r w:rsidRPr="00A02BA1">
        <w:t xml:space="preserve">, I </w:t>
      </w:r>
      <w:r w:rsidR="000A3B6F">
        <w:t xml:space="preserve">employ a methodology similar to </w:t>
      </w:r>
      <w:r w:rsidRPr="00A02BA1">
        <w:t>Collins</w:t>
      </w:r>
      <w:r w:rsidR="000A3B6F">
        <w:t xml:space="preserve"> </w:t>
      </w:r>
      <w:r w:rsidR="006B3D54">
        <w:t xml:space="preserve">(2008) and estimate </w:t>
      </w:r>
      <w:r w:rsidRPr="00A02BA1">
        <w:t>statistical model</w:t>
      </w:r>
      <w:r w:rsidR="006B3D54">
        <w:t>s that calculate</w:t>
      </w:r>
      <w:r w:rsidRPr="00A02BA1">
        <w:t xml:space="preserve"> the influence of liberal and conservative amicus briefs</w:t>
      </w:r>
      <w:r w:rsidR="00BB15FF">
        <w:t xml:space="preserve"> and </w:t>
      </w:r>
      <w:r w:rsidR="006B3D54">
        <w:t>cosigners</w:t>
      </w:r>
      <w:r w:rsidRPr="00A02BA1">
        <w:t xml:space="preserve"> on the likelihood of observing a justice cast a liberal vote </w:t>
      </w:r>
      <w:r w:rsidR="0094562D">
        <w:t>for all</w:t>
      </w:r>
      <w:r w:rsidR="00252370">
        <w:t xml:space="preserve"> orally argued</w:t>
      </w:r>
      <w:r w:rsidR="0094562D">
        <w:t xml:space="preserve"> </w:t>
      </w:r>
      <w:r w:rsidRPr="00D96E5A">
        <w:t>cases decid</w:t>
      </w:r>
      <w:r w:rsidR="00B667B8">
        <w:t>ed on the merits during the 2007</w:t>
      </w:r>
      <w:r w:rsidRPr="00D96E5A">
        <w:t xml:space="preserve"> – 2011 terms</w:t>
      </w:r>
      <w:r>
        <w:rPr>
          <w:color w:val="FF0000"/>
        </w:rPr>
        <w:t xml:space="preserve"> </w:t>
      </w:r>
      <w:r>
        <w:t>of the U.S. Supreme Court.</w:t>
      </w:r>
      <w:r w:rsidR="00472968">
        <w:t xml:space="preserve"> </w:t>
      </w:r>
      <w:r w:rsidR="00B667B8">
        <w:t xml:space="preserve"> Although</w:t>
      </w:r>
      <w:r w:rsidR="008A7FDD">
        <w:t xml:space="preserve"> the </w:t>
      </w:r>
      <w:r>
        <w:t>Robe</w:t>
      </w:r>
      <w:r w:rsidR="008A7FDD">
        <w:t>rts Court began in 2005, I</w:t>
      </w:r>
      <w:r w:rsidR="00B667B8">
        <w:t xml:space="preserve"> have decided to only examine</w:t>
      </w:r>
      <w:r w:rsidR="008A7FDD">
        <w:t xml:space="preserve"> </w:t>
      </w:r>
      <w:r w:rsidR="000A3B6F">
        <w:t>orally argued cases from 2007 through 2011</w:t>
      </w:r>
      <w:r w:rsidR="00252370">
        <w:t xml:space="preserve"> terms of the USSC</w:t>
      </w:r>
      <w:r w:rsidR="00B667B8">
        <w:t xml:space="preserve">, as the </w:t>
      </w:r>
      <w:r w:rsidR="00BB15FF">
        <w:t xml:space="preserve">amicus </w:t>
      </w:r>
      <w:r w:rsidR="00B667B8">
        <w:t>data is more difficult to access prior to the 2007 term</w:t>
      </w:r>
      <w:r w:rsidR="004E1283">
        <w:t xml:space="preserve">.  </w:t>
      </w:r>
      <w:r w:rsidR="008A7FDD">
        <w:t>I compile this data</w:t>
      </w:r>
      <w:r>
        <w:t xml:space="preserve"> from</w:t>
      </w:r>
      <w:r w:rsidR="00BF470E">
        <w:t xml:space="preserve"> </w:t>
      </w:r>
      <w:r w:rsidR="008A7FDD">
        <w:t>four</w:t>
      </w:r>
      <w:r w:rsidR="00BF470E">
        <w:t xml:space="preserve"> sources. First, </w:t>
      </w:r>
      <w:r>
        <w:t>the American Bar Association’s Preview of United Sta</w:t>
      </w:r>
      <w:r w:rsidR="00BF470E">
        <w:t>tes Supreme Court cases website (</w:t>
      </w:r>
      <w:hyperlink r:id="rId18" w:history="1">
        <w:r w:rsidRPr="007D460F">
          <w:rPr>
            <w:rStyle w:val="Hyperlink"/>
          </w:rPr>
          <w:t>http://www.americanbar.org/publications/preview_home.html</w:t>
        </w:r>
      </w:hyperlink>
      <w:r w:rsidR="005C38A6">
        <w:t xml:space="preserve">) </w:t>
      </w:r>
      <w:r w:rsidR="003661A6">
        <w:t>lists</w:t>
      </w:r>
      <w:r>
        <w:t xml:space="preserve"> </w:t>
      </w:r>
      <w:r w:rsidR="00BB15FF">
        <w:t xml:space="preserve">the </w:t>
      </w:r>
      <w:r>
        <w:t xml:space="preserve">amicus briefs filed (with links to the actual brief itself) in </w:t>
      </w:r>
      <w:r w:rsidRPr="00252370">
        <w:rPr>
          <w:color w:val="000000" w:themeColor="text1"/>
        </w:rPr>
        <w:t>all orally argued cases</w:t>
      </w:r>
      <w:r>
        <w:t xml:space="preserve"> decided on the merits during the 2007-08 through 2011-12 t</w:t>
      </w:r>
      <w:r w:rsidR="00BF470E">
        <w:t>erms of the</w:t>
      </w:r>
      <w:r w:rsidR="003661A6">
        <w:t xml:space="preserve"> Court.  This site also lists on whose behalf (Petitioner, Respondent, Neither party, etc.) the amicus brief was filed. </w:t>
      </w:r>
      <w:r w:rsidR="00BF470E">
        <w:t xml:space="preserve"> Second</w:t>
      </w:r>
      <w:r w:rsidR="00BB15FF">
        <w:t xml:space="preserve">, </w:t>
      </w:r>
      <w:proofErr w:type="spellStart"/>
      <w:r w:rsidR="00BB15FF">
        <w:t>SCOTUS</w:t>
      </w:r>
      <w:r>
        <w:t>blog’s</w:t>
      </w:r>
      <w:proofErr w:type="spellEnd"/>
      <w:r>
        <w:t xml:space="preserve"> website</w:t>
      </w:r>
      <w:r w:rsidR="0082221A">
        <w:t xml:space="preserve"> </w:t>
      </w:r>
      <w:r>
        <w:lastRenderedPageBreak/>
        <w:t>(</w:t>
      </w:r>
      <w:hyperlink r:id="rId19" w:history="1">
        <w:r w:rsidRPr="007D460F">
          <w:rPr>
            <w:rStyle w:val="Hyperlink"/>
          </w:rPr>
          <w:t>http://www.scotusblog.com/</w:t>
        </w:r>
      </w:hyperlink>
      <w:r>
        <w:t>) contains</w:t>
      </w:r>
      <w:r w:rsidR="004E1283">
        <w:t xml:space="preserve"> essentially</w:t>
      </w:r>
      <w:r>
        <w:t xml:space="preserve"> the same information for the sam</w:t>
      </w:r>
      <w:r w:rsidR="00B667B8">
        <w:t>e time frame.</w:t>
      </w:r>
      <w:r w:rsidR="00B667B8">
        <w:rPr>
          <w:rStyle w:val="FootnoteReference"/>
        </w:rPr>
        <w:footnoteReference w:id="34"/>
      </w:r>
      <w:r w:rsidR="00B667B8">
        <w:t xml:space="preserve"> </w:t>
      </w:r>
      <w:r w:rsidR="004E1283">
        <w:t xml:space="preserve"> </w:t>
      </w:r>
      <w:r w:rsidR="008A7FDD">
        <w:t xml:space="preserve">Third, the LexisNexis U.S. Supreme Court Briefs database </w:t>
      </w:r>
      <w:r w:rsidR="003661A6">
        <w:t>includes a listing of am</w:t>
      </w:r>
      <w:r w:rsidR="002A5CD2">
        <w:t>icus curiae briefs filed for all</w:t>
      </w:r>
      <w:r w:rsidR="003661A6">
        <w:t xml:space="preserve"> cases since 1979, along with information on which party the amici supported, and a link to the actual brief itself.</w:t>
      </w:r>
      <w:r w:rsidR="004E1283">
        <w:rPr>
          <w:rStyle w:val="FootnoteReference"/>
        </w:rPr>
        <w:footnoteReference w:id="35"/>
      </w:r>
      <w:r w:rsidR="004E1283">
        <w:t xml:space="preserve"> </w:t>
      </w:r>
      <w:r w:rsidR="003661A6">
        <w:t xml:space="preserve">  Fourth, t</w:t>
      </w:r>
      <w:r w:rsidR="00CA6891">
        <w:t xml:space="preserve">he official website of the USSC </w:t>
      </w:r>
      <w:r w:rsidR="003661A6">
        <w:t>(</w:t>
      </w:r>
      <w:hyperlink r:id="rId20" w:history="1">
        <w:r w:rsidR="003661A6" w:rsidRPr="005E281B">
          <w:rPr>
            <w:rStyle w:val="Hyperlink"/>
          </w:rPr>
          <w:t>http://www.supremecourt.gov/docket/docket.aspx</w:t>
        </w:r>
      </w:hyperlink>
      <w:r w:rsidR="000A3B6F">
        <w:t>) allows one to</w:t>
      </w:r>
      <w:r w:rsidR="003661A6">
        <w:t xml:space="preserve"> search each case by docket number and lists all amicus briefs filed for each case during the relevant time</w:t>
      </w:r>
      <w:r w:rsidR="000305E1">
        <w:t xml:space="preserve"> period.  While this listing is </w:t>
      </w:r>
      <w:r w:rsidR="003661A6">
        <w:t>exhaustive</w:t>
      </w:r>
      <w:r w:rsidR="000305E1">
        <w:t xml:space="preserve"> and the most reliable of the</w:t>
      </w:r>
      <w:r w:rsidR="000A3B6F">
        <w:t xml:space="preserve"> four</w:t>
      </w:r>
      <w:r w:rsidR="000305E1">
        <w:t xml:space="preserve"> sources, the U.S. Supreme Court site</w:t>
      </w:r>
      <w:r w:rsidR="003661A6">
        <w:t xml:space="preserve"> does not include information on which party the amicus brief supports</w:t>
      </w:r>
      <w:r w:rsidR="00CA6891">
        <w:t>,</w:t>
      </w:r>
      <w:r w:rsidR="003661A6">
        <w:t xml:space="preserve"> nor does it have a link to the actual brief</w:t>
      </w:r>
      <w:r w:rsidR="000305E1">
        <w:t>, as do the other three sources</w:t>
      </w:r>
      <w:r w:rsidR="003661A6">
        <w:t xml:space="preserve">.  </w:t>
      </w:r>
      <w:r w:rsidR="000305E1">
        <w:t xml:space="preserve"> </w:t>
      </w:r>
      <w:proofErr w:type="gramStart"/>
      <w:r w:rsidR="000305E1">
        <w:t xml:space="preserve">Thus, </w:t>
      </w:r>
      <w:r w:rsidR="004A030E">
        <w:t xml:space="preserve">I cross-check each of these </w:t>
      </w:r>
      <w:r w:rsidR="00CA6891">
        <w:t xml:space="preserve">four </w:t>
      </w:r>
      <w:r w:rsidR="004A030E">
        <w:t xml:space="preserve">sources for each case to ensure the accuracy </w:t>
      </w:r>
      <w:r w:rsidR="000A3B6F">
        <w:t xml:space="preserve">and comprehensiveness </w:t>
      </w:r>
      <w:r w:rsidR="004A030E">
        <w:t>of my data collection.</w:t>
      </w:r>
      <w:proofErr w:type="gramEnd"/>
      <w:r w:rsidR="004A030E">
        <w:t xml:space="preserve">  </w:t>
      </w:r>
    </w:p>
    <w:p w:rsidR="00D50941" w:rsidRDefault="002544BB" w:rsidP="00D50941">
      <w:pPr>
        <w:spacing w:line="480" w:lineRule="auto"/>
        <w:ind w:left="0" w:firstLine="720"/>
      </w:pPr>
      <w:r w:rsidRPr="00046F45">
        <w:t>In constructing my dataset, I create variables using data from existing sources regarding judicial ideology</w:t>
      </w:r>
      <w:r w:rsidR="00B25342">
        <w:t xml:space="preserve">, judicial moderation, </w:t>
      </w:r>
      <w:r w:rsidR="008C59CF" w:rsidRPr="00046F45">
        <w:t>and political salience</w:t>
      </w:r>
      <w:r w:rsidRPr="00046F45">
        <w:t>.</w:t>
      </w:r>
      <w:r>
        <w:rPr>
          <w:color w:val="FF0000"/>
        </w:rPr>
        <w:t xml:space="preserve">  </w:t>
      </w:r>
      <w:r w:rsidR="004E1283" w:rsidRPr="002A5CD2">
        <w:t>I</w:t>
      </w:r>
      <w:r w:rsidR="000A3B6F" w:rsidRPr="002A5CD2">
        <w:t xml:space="preserve"> then</w:t>
      </w:r>
      <w:r w:rsidR="004E1283" w:rsidRPr="002A5CD2">
        <w:t xml:space="preserve"> </w:t>
      </w:r>
      <w:r w:rsidR="000A3B6F" w:rsidRPr="002A5CD2">
        <w:t>use my own original data collection</w:t>
      </w:r>
      <w:r w:rsidRPr="002A5CD2">
        <w:t xml:space="preserve"> to create</w:t>
      </w:r>
      <w:r w:rsidR="000A3B6F" w:rsidRPr="002A5CD2">
        <w:t xml:space="preserve"> variables</w:t>
      </w:r>
      <w:r w:rsidR="00D50941" w:rsidRPr="002A5CD2">
        <w:t xml:space="preserve"> </w:t>
      </w:r>
      <w:r w:rsidRPr="002A5CD2">
        <w:t xml:space="preserve">for each case </w:t>
      </w:r>
      <w:r w:rsidR="00D50941" w:rsidRPr="002A5CD2">
        <w:t>regarding</w:t>
      </w:r>
      <w:r w:rsidR="00A7368E">
        <w:t xml:space="preserve"> party resources,</w:t>
      </w:r>
      <w:r w:rsidRPr="002A5CD2">
        <w:t xml:space="preserve"> total</w:t>
      </w:r>
      <w:r w:rsidR="00D50941" w:rsidRPr="002A5CD2">
        <w:t xml:space="preserve"> amicus partic</w:t>
      </w:r>
      <w:r w:rsidR="0094562D" w:rsidRPr="002A5CD2">
        <w:t>ipation</w:t>
      </w:r>
      <w:r w:rsidR="00A7368E">
        <w:t>,</w:t>
      </w:r>
      <w:r w:rsidR="006B3D54">
        <w:t xml:space="preserve"> liberal amic</w:t>
      </w:r>
      <w:r w:rsidR="00A7368E">
        <w:t xml:space="preserve">us participation, </w:t>
      </w:r>
      <w:r w:rsidR="006B3D54">
        <w:t>co</w:t>
      </w:r>
      <w:r w:rsidR="00A7368E">
        <w:t>nservative amicus participation,</w:t>
      </w:r>
      <w:r w:rsidRPr="002A5CD2">
        <w:t xml:space="preserve"> liberal-conservative amicus participation</w:t>
      </w:r>
      <w:r w:rsidR="00A7368E">
        <w:t xml:space="preserve"> difference,</w:t>
      </w:r>
      <w:r w:rsidRPr="002A5CD2">
        <w:t xml:space="preserve"> </w:t>
      </w:r>
      <w:r w:rsidR="000305E1" w:rsidRPr="002A5CD2">
        <w:t xml:space="preserve"> </w:t>
      </w:r>
      <w:r w:rsidRPr="002A5CD2">
        <w:t>prestigious liberal amicus participation</w:t>
      </w:r>
      <w:r w:rsidR="00A7368E">
        <w:t>,</w:t>
      </w:r>
      <w:r w:rsidRPr="002A5CD2">
        <w:t xml:space="preserve"> prestigious co</w:t>
      </w:r>
      <w:r w:rsidR="00A7368E">
        <w:t xml:space="preserve">nservative amicus participation, </w:t>
      </w:r>
      <w:r w:rsidRPr="002A5CD2">
        <w:t xml:space="preserve">prestigious liberal-conservative </w:t>
      </w:r>
      <w:r w:rsidR="008C59CF" w:rsidRPr="002A5CD2">
        <w:t>amicus participation diff</w:t>
      </w:r>
      <w:r w:rsidR="00A7368E">
        <w:t>erence,</w:t>
      </w:r>
      <w:r w:rsidRPr="002A5CD2">
        <w:t xml:space="preserve">  Solicitor General </w:t>
      </w:r>
      <w:r w:rsidR="008C59CF" w:rsidRPr="002A5CD2">
        <w:t>liberal and</w:t>
      </w:r>
      <w:r w:rsidRPr="002A5CD2">
        <w:t xml:space="preserve"> conservative participation</w:t>
      </w:r>
      <w:r w:rsidR="00A7368E">
        <w:t>, S</w:t>
      </w:r>
      <w:r w:rsidR="008C59CF" w:rsidRPr="002A5CD2">
        <w:t xml:space="preserve">tate, </w:t>
      </w:r>
      <w:r w:rsidR="00A7368E">
        <w:t>L</w:t>
      </w:r>
      <w:r w:rsidRPr="002A5CD2">
        <w:t>ocal</w:t>
      </w:r>
      <w:r w:rsidR="00A7368E">
        <w:t>, and F</w:t>
      </w:r>
      <w:r w:rsidR="008C59CF" w:rsidRPr="002A5CD2">
        <w:t>oreign</w:t>
      </w:r>
      <w:r w:rsidR="005C38A6">
        <w:t xml:space="preserve"> g</w:t>
      </w:r>
      <w:r w:rsidRPr="002A5CD2">
        <w:t>overnment</w:t>
      </w:r>
      <w:r w:rsidR="008C59CF" w:rsidRPr="002A5CD2">
        <w:t>s</w:t>
      </w:r>
      <w:r w:rsidRPr="002A5CD2">
        <w:t xml:space="preserve"> liberal</w:t>
      </w:r>
      <w:r w:rsidR="008C59CF" w:rsidRPr="002A5CD2">
        <w:t xml:space="preserve"> and conservative</w:t>
      </w:r>
      <w:r w:rsidR="006B3D54">
        <w:t xml:space="preserve"> amicus</w:t>
      </w:r>
      <w:r w:rsidR="00A7368E">
        <w:t xml:space="preserve"> participation, and I</w:t>
      </w:r>
      <w:r w:rsidRPr="002A5CD2">
        <w:t>ndividuals liberal and conservative amicus participation</w:t>
      </w:r>
      <w:r w:rsidR="0094562D" w:rsidRPr="002A5CD2">
        <w:t xml:space="preserve"> </w:t>
      </w:r>
      <w:r w:rsidR="00D50941" w:rsidRPr="002A5CD2">
        <w:t>to conduct my analysis.</w:t>
      </w:r>
      <w:r w:rsidR="008C59CF" w:rsidRPr="008C59CF">
        <w:t xml:space="preserve">  Finally,</w:t>
      </w:r>
      <w:r w:rsidR="008C59CF">
        <w:rPr>
          <w:color w:val="FF0000"/>
        </w:rPr>
        <w:t xml:space="preserve"> </w:t>
      </w:r>
      <w:r w:rsidR="006B3D54">
        <w:t>I merge this amici</w:t>
      </w:r>
      <w:r w:rsidR="008C59CF">
        <w:t xml:space="preserve"> and other data that I gather on the Roberts </w:t>
      </w:r>
      <w:r w:rsidR="008C59CF">
        <w:lastRenderedPageBreak/>
        <w:t xml:space="preserve">Court with the </w:t>
      </w:r>
      <w:proofErr w:type="spellStart"/>
      <w:r w:rsidR="008C59CF">
        <w:t>Spaeth</w:t>
      </w:r>
      <w:proofErr w:type="spellEnd"/>
      <w:r w:rsidR="008C59CF">
        <w:t xml:space="preserve"> US Supreme Court Database (SCDB) 2012 Release 01 (accessed at </w:t>
      </w:r>
      <w:hyperlink r:id="rId21" w:history="1">
        <w:r w:rsidR="008C59CF" w:rsidRPr="007D460F">
          <w:rPr>
            <w:rStyle w:val="Hyperlink"/>
          </w:rPr>
          <w:t>http://scdb.wustl.edu/index.php</w:t>
        </w:r>
      </w:hyperlink>
      <w:r w:rsidR="008C59CF">
        <w:t xml:space="preserve">). The SCDB contains over two hundred pieces of information about each case decided by the Court between the 1953 and 2011 terms.  </w:t>
      </w:r>
    </w:p>
    <w:p w:rsidR="00D4381B" w:rsidRDefault="00376904" w:rsidP="00D4381B">
      <w:pPr>
        <w:autoSpaceDE w:val="0"/>
        <w:autoSpaceDN w:val="0"/>
        <w:adjustRightInd w:val="0"/>
        <w:spacing w:line="480" w:lineRule="auto"/>
        <w:ind w:left="0" w:firstLine="720"/>
        <w:rPr>
          <w:rFonts w:cs="Times New Roman"/>
          <w:szCs w:val="24"/>
        </w:rPr>
      </w:pPr>
      <w:r w:rsidRPr="004E1283">
        <w:rPr>
          <w:rFonts w:cs="Times New Roman"/>
          <w:szCs w:val="24"/>
        </w:rPr>
        <w:t xml:space="preserve">Similar to Kearney </w:t>
      </w:r>
      <w:r w:rsidR="000D6839">
        <w:rPr>
          <w:rFonts w:cs="Times New Roman"/>
          <w:szCs w:val="24"/>
        </w:rPr>
        <w:t>and</w:t>
      </w:r>
      <w:r w:rsidRPr="004E1283">
        <w:rPr>
          <w:rFonts w:cs="Times New Roman"/>
          <w:szCs w:val="24"/>
        </w:rPr>
        <w:t xml:space="preserve"> Merrill (2000) and Collins (2008)</w:t>
      </w:r>
      <w:r w:rsidR="008C59CF">
        <w:rPr>
          <w:rFonts w:cs="Times New Roman"/>
          <w:szCs w:val="24"/>
        </w:rPr>
        <w:t>,</w:t>
      </w:r>
      <w:r w:rsidRPr="004E1283">
        <w:rPr>
          <w:rFonts w:cs="Times New Roman"/>
          <w:szCs w:val="24"/>
        </w:rPr>
        <w:t xml:space="preserve"> </w:t>
      </w:r>
      <w:r w:rsidR="00D50941" w:rsidRPr="004E1283">
        <w:rPr>
          <w:rFonts w:cs="Times New Roman"/>
          <w:szCs w:val="24"/>
        </w:rPr>
        <w:t>I</w:t>
      </w:r>
      <w:r w:rsidR="001E39C2" w:rsidRPr="004E1283">
        <w:rPr>
          <w:rFonts w:cs="Times New Roman"/>
          <w:szCs w:val="24"/>
        </w:rPr>
        <w:t xml:space="preserve"> </w:t>
      </w:r>
      <w:r w:rsidR="00D50941" w:rsidRPr="004E1283">
        <w:rPr>
          <w:rFonts w:cs="Times New Roman"/>
          <w:szCs w:val="24"/>
        </w:rPr>
        <w:t>examine amicus curiae briefs filed at the merit</w:t>
      </w:r>
      <w:r w:rsidR="001E39C2" w:rsidRPr="004E1283">
        <w:rPr>
          <w:rFonts w:cs="Times New Roman"/>
          <w:szCs w:val="24"/>
        </w:rPr>
        <w:t>s</w:t>
      </w:r>
      <w:r w:rsidR="00D50941" w:rsidRPr="004E1283">
        <w:rPr>
          <w:rFonts w:cs="Times New Roman"/>
          <w:szCs w:val="24"/>
        </w:rPr>
        <w:t xml:space="preserve"> stage of each </w:t>
      </w:r>
      <w:r w:rsidRPr="004E1283">
        <w:rPr>
          <w:rFonts w:cs="Times New Roman"/>
          <w:szCs w:val="24"/>
        </w:rPr>
        <w:t xml:space="preserve">orally-argued </w:t>
      </w:r>
      <w:r w:rsidR="00D50941" w:rsidRPr="004E1283">
        <w:rPr>
          <w:rFonts w:cs="Times New Roman"/>
          <w:szCs w:val="24"/>
        </w:rPr>
        <w:t>case</w:t>
      </w:r>
      <w:r w:rsidR="00252370" w:rsidRPr="004E1283">
        <w:rPr>
          <w:rFonts w:cs="Times New Roman"/>
          <w:szCs w:val="24"/>
        </w:rPr>
        <w:t xml:space="preserve">.  </w:t>
      </w:r>
      <w:r w:rsidR="001E39C2" w:rsidRPr="004E1283">
        <w:rPr>
          <w:rFonts w:cs="Times New Roman"/>
          <w:szCs w:val="24"/>
        </w:rPr>
        <w:t>To identify the cases to use in my analysis, I use t</w:t>
      </w:r>
      <w:r w:rsidR="00D50941" w:rsidRPr="004E1283">
        <w:rPr>
          <w:rFonts w:cs="Times New Roman"/>
          <w:szCs w:val="24"/>
        </w:rPr>
        <w:t>he SCDB</w:t>
      </w:r>
      <w:r w:rsidR="001E39C2" w:rsidRPr="004E1283">
        <w:rPr>
          <w:rFonts w:cs="Times New Roman"/>
          <w:szCs w:val="24"/>
        </w:rPr>
        <w:t>, which</w:t>
      </w:r>
      <w:r w:rsidR="00D50941" w:rsidRPr="004E1283">
        <w:rPr>
          <w:rFonts w:cs="Times New Roman"/>
          <w:szCs w:val="24"/>
        </w:rPr>
        <w:t xml:space="preserve"> provides a decision-type variable. Included in my analysis are</w:t>
      </w:r>
      <w:r w:rsidR="001E39C2" w:rsidRPr="004E1283">
        <w:rPr>
          <w:rFonts w:cs="Times New Roman"/>
          <w:szCs w:val="24"/>
        </w:rPr>
        <w:t xml:space="preserve"> the overwhelming majority of cases, including</w:t>
      </w:r>
      <w:r w:rsidR="00D50941" w:rsidRPr="004E1283">
        <w:rPr>
          <w:rFonts w:cs="Times New Roman"/>
          <w:szCs w:val="24"/>
        </w:rPr>
        <w:t xml:space="preserve"> DEC_TYPE=1 (formally decided full op</w:t>
      </w:r>
      <w:r w:rsidR="00252370" w:rsidRPr="004E1283">
        <w:rPr>
          <w:rFonts w:cs="Times New Roman"/>
          <w:szCs w:val="24"/>
        </w:rPr>
        <w:t>inion cases with oral argument)</w:t>
      </w:r>
      <w:r w:rsidR="00D50941" w:rsidRPr="004E1283">
        <w:rPr>
          <w:rFonts w:cs="Times New Roman"/>
          <w:szCs w:val="24"/>
        </w:rPr>
        <w:t xml:space="preserve">, </w:t>
      </w:r>
      <w:r w:rsidR="001E39C2" w:rsidRPr="004E1283">
        <w:rPr>
          <w:rFonts w:cs="Times New Roman"/>
          <w:szCs w:val="24"/>
        </w:rPr>
        <w:t>DEC_TYPE=</w:t>
      </w:r>
      <w:r w:rsidR="00D50941" w:rsidRPr="004E1283">
        <w:rPr>
          <w:rFonts w:cs="Times New Roman"/>
          <w:szCs w:val="24"/>
        </w:rPr>
        <w:t xml:space="preserve">5 (equally divided vote), </w:t>
      </w:r>
      <w:r w:rsidR="001E39C2" w:rsidRPr="004E1283">
        <w:rPr>
          <w:rFonts w:cs="Times New Roman"/>
          <w:szCs w:val="24"/>
        </w:rPr>
        <w:t>DEC_TYPE=</w:t>
      </w:r>
      <w:r w:rsidR="00D50941" w:rsidRPr="004E1283">
        <w:rPr>
          <w:rFonts w:cs="Times New Roman"/>
          <w:szCs w:val="24"/>
        </w:rPr>
        <w:t xml:space="preserve">6 (per </w:t>
      </w:r>
      <w:proofErr w:type="spellStart"/>
      <w:r w:rsidR="00D50941" w:rsidRPr="004E1283">
        <w:rPr>
          <w:rFonts w:cs="Times New Roman"/>
          <w:szCs w:val="24"/>
        </w:rPr>
        <w:t>curiam</w:t>
      </w:r>
      <w:proofErr w:type="spellEnd"/>
      <w:r w:rsidR="00D50941" w:rsidRPr="004E1283">
        <w:rPr>
          <w:rFonts w:cs="Times New Roman"/>
          <w:szCs w:val="24"/>
        </w:rPr>
        <w:t>, orally argued)</w:t>
      </w:r>
      <w:r w:rsidR="001E39C2" w:rsidRPr="004E1283">
        <w:rPr>
          <w:rFonts w:cs="Times New Roman"/>
          <w:szCs w:val="24"/>
        </w:rPr>
        <w:t>, and DEC_TYPE=7</w:t>
      </w:r>
      <w:r w:rsidR="00BB15FF">
        <w:rPr>
          <w:rFonts w:cs="Times New Roman"/>
          <w:szCs w:val="24"/>
        </w:rPr>
        <w:t xml:space="preserve"> </w:t>
      </w:r>
      <w:r w:rsidR="001E39C2" w:rsidRPr="004E1283">
        <w:rPr>
          <w:rFonts w:cs="Times New Roman"/>
          <w:szCs w:val="24"/>
        </w:rPr>
        <w:t>(judgments of the Court</w:t>
      </w:r>
      <w:r w:rsidR="008D63E2" w:rsidRPr="004E1283">
        <w:rPr>
          <w:rFonts w:cs="Times New Roman"/>
          <w:szCs w:val="24"/>
        </w:rPr>
        <w:t>, orally argued)</w:t>
      </w:r>
      <w:r w:rsidR="00D50941" w:rsidRPr="004E1283">
        <w:rPr>
          <w:rFonts w:cs="Times New Roman"/>
          <w:szCs w:val="24"/>
        </w:rPr>
        <w:t xml:space="preserve">. The only decision types excluded from my analysis are </w:t>
      </w:r>
      <w:r w:rsidR="00252370" w:rsidRPr="004E1283">
        <w:rPr>
          <w:rFonts w:cs="Times New Roman"/>
          <w:szCs w:val="24"/>
        </w:rPr>
        <w:t>non-orally argued decisions</w:t>
      </w:r>
      <w:r w:rsidR="000305E1" w:rsidRPr="004E1283">
        <w:rPr>
          <w:rStyle w:val="FootnoteReference"/>
          <w:rFonts w:cs="Times New Roman"/>
          <w:szCs w:val="24"/>
        </w:rPr>
        <w:footnoteReference w:id="36"/>
      </w:r>
      <w:r w:rsidR="00252370" w:rsidRPr="004E1283">
        <w:rPr>
          <w:rFonts w:cs="Times New Roman"/>
          <w:szCs w:val="24"/>
        </w:rPr>
        <w:t xml:space="preserve">, </w:t>
      </w:r>
      <w:r w:rsidR="00D50941" w:rsidRPr="004E1283">
        <w:rPr>
          <w:rFonts w:cs="Times New Roman"/>
          <w:szCs w:val="24"/>
        </w:rPr>
        <w:t>memorandum cases</w:t>
      </w:r>
      <w:r w:rsidR="000305E1" w:rsidRPr="004E1283">
        <w:rPr>
          <w:rStyle w:val="FootnoteReference"/>
          <w:rFonts w:cs="Times New Roman"/>
          <w:szCs w:val="24"/>
        </w:rPr>
        <w:footnoteReference w:id="37"/>
      </w:r>
      <w:r w:rsidR="00252370" w:rsidRPr="004E1283">
        <w:rPr>
          <w:rFonts w:cs="Times New Roman"/>
          <w:szCs w:val="24"/>
        </w:rPr>
        <w:t>,</w:t>
      </w:r>
      <w:r w:rsidR="00D50941" w:rsidRPr="004E1283">
        <w:rPr>
          <w:rFonts w:cs="Times New Roman"/>
          <w:szCs w:val="24"/>
        </w:rPr>
        <w:t xml:space="preserve"> </w:t>
      </w:r>
      <w:r w:rsidR="001E39C2" w:rsidRPr="004E1283">
        <w:rPr>
          <w:rFonts w:cs="Times New Roman"/>
          <w:szCs w:val="24"/>
        </w:rPr>
        <w:t>decrees</w:t>
      </w:r>
      <w:r w:rsidR="000305E1" w:rsidRPr="004E1283">
        <w:rPr>
          <w:rStyle w:val="FootnoteReference"/>
          <w:rFonts w:cs="Times New Roman"/>
          <w:szCs w:val="24"/>
        </w:rPr>
        <w:footnoteReference w:id="38"/>
      </w:r>
      <w:r w:rsidR="000305E1" w:rsidRPr="004E1283">
        <w:rPr>
          <w:rFonts w:cs="Times New Roman"/>
          <w:szCs w:val="24"/>
        </w:rPr>
        <w:t>, and orally-argued original jurisdiction cases</w:t>
      </w:r>
      <w:r w:rsidR="0035462D">
        <w:rPr>
          <w:rFonts w:cs="Times New Roman"/>
          <w:szCs w:val="24"/>
        </w:rPr>
        <w:t>, as these cases contain little, if any, amicus participation, are rather infrequent, and are of much less significance.</w:t>
      </w:r>
      <w:r w:rsidR="000305E1" w:rsidRPr="004E1283">
        <w:rPr>
          <w:rStyle w:val="FootnoteReference"/>
          <w:rFonts w:cs="Times New Roman"/>
          <w:szCs w:val="24"/>
        </w:rPr>
        <w:footnoteReference w:id="39"/>
      </w:r>
      <w:r w:rsidR="000305E1" w:rsidRPr="004E1283">
        <w:rPr>
          <w:rFonts w:cs="Times New Roman"/>
          <w:szCs w:val="24"/>
        </w:rPr>
        <w:t xml:space="preserve"> </w:t>
      </w:r>
      <w:r w:rsidR="004E1283">
        <w:rPr>
          <w:rFonts w:cs="Times New Roman"/>
          <w:szCs w:val="24"/>
        </w:rPr>
        <w:t xml:space="preserve"> </w:t>
      </w:r>
      <w:r w:rsidR="00D4381B">
        <w:rPr>
          <w:rFonts w:cs="Times New Roman"/>
          <w:szCs w:val="24"/>
        </w:rPr>
        <w:t>After taking these steps, the assembled</w:t>
      </w:r>
      <w:r w:rsidR="000A5ADC">
        <w:rPr>
          <w:rFonts w:cs="Times New Roman"/>
          <w:szCs w:val="24"/>
        </w:rPr>
        <w:t xml:space="preserve"> dataset contains 3,571 observations, each row corresponding to each individual </w:t>
      </w:r>
      <w:r w:rsidR="000A5ADC">
        <w:rPr>
          <w:rFonts w:cs="Times New Roman"/>
          <w:szCs w:val="24"/>
        </w:rPr>
        <w:lastRenderedPageBreak/>
        <w:t xml:space="preserve">justice participating in each of the </w:t>
      </w:r>
      <w:r w:rsidR="004E1283">
        <w:rPr>
          <w:rFonts w:cs="Times New Roman"/>
          <w:szCs w:val="24"/>
        </w:rPr>
        <w:t>3</w:t>
      </w:r>
      <w:r w:rsidR="007A587A">
        <w:rPr>
          <w:rFonts w:cs="Times New Roman"/>
          <w:szCs w:val="24"/>
        </w:rPr>
        <w:t xml:space="preserve">97 </w:t>
      </w:r>
      <w:r w:rsidR="000A5ADC">
        <w:rPr>
          <w:rFonts w:cs="Times New Roman"/>
          <w:szCs w:val="24"/>
        </w:rPr>
        <w:t>cases that occurred over this five term period</w:t>
      </w:r>
      <w:r w:rsidR="00D4381B">
        <w:rPr>
          <w:rFonts w:cs="Times New Roman"/>
          <w:szCs w:val="24"/>
        </w:rPr>
        <w:t xml:space="preserve"> when using the docket number as the unit of analysis</w:t>
      </w:r>
      <w:r w:rsidR="00BB15FF">
        <w:rPr>
          <w:rFonts w:cs="Times New Roman"/>
          <w:szCs w:val="24"/>
        </w:rPr>
        <w:t>.</w:t>
      </w:r>
      <w:r w:rsidR="00D4381B">
        <w:rPr>
          <w:rStyle w:val="FootnoteReference"/>
          <w:rFonts w:cs="Times New Roman"/>
          <w:szCs w:val="24"/>
        </w:rPr>
        <w:footnoteReference w:id="40"/>
      </w:r>
      <w:r w:rsidR="00D4381B">
        <w:rPr>
          <w:rFonts w:cs="Times New Roman"/>
          <w:szCs w:val="24"/>
        </w:rPr>
        <w:t xml:space="preserve">  </w:t>
      </w:r>
    </w:p>
    <w:p w:rsidR="00C80908" w:rsidRPr="00D4381B" w:rsidRDefault="00972B1B" w:rsidP="00D4381B">
      <w:pPr>
        <w:autoSpaceDE w:val="0"/>
        <w:autoSpaceDN w:val="0"/>
        <w:adjustRightInd w:val="0"/>
        <w:spacing w:line="480" w:lineRule="auto"/>
        <w:ind w:left="0" w:firstLine="720"/>
        <w:rPr>
          <w:rFonts w:cs="Times New Roman"/>
          <w:szCs w:val="24"/>
        </w:rPr>
      </w:pPr>
      <w:r>
        <w:rPr>
          <w:rFonts w:cs="Times New Roman"/>
          <w:szCs w:val="24"/>
        </w:rPr>
        <w:t>Typically, when analyzing USSC decision-making, researchers will use the case citation as the unit of analysis.  This is because the USSC routinely combines several cases with similar factual circumstances under one case citation that disposes of each case with a s</w:t>
      </w:r>
      <w:r w:rsidR="00F8132E">
        <w:rPr>
          <w:rFonts w:cs="Times New Roman"/>
          <w:szCs w:val="24"/>
        </w:rPr>
        <w:t>ingle opinion.</w:t>
      </w:r>
      <w:r>
        <w:rPr>
          <w:rFonts w:cs="Times New Roman"/>
          <w:szCs w:val="24"/>
        </w:rPr>
        <w:t xml:space="preserve">  Thus, one record exists for the case.  However, when using the docket number as the unit of analysis, records exist for each case that is consolidated under the same opinion (Collins 2008, 191 fn. 152). </w:t>
      </w:r>
      <w:r w:rsidR="00D4381B">
        <w:rPr>
          <w:rFonts w:cs="Times New Roman"/>
          <w:szCs w:val="24"/>
        </w:rPr>
        <w:t xml:space="preserve"> </w:t>
      </w:r>
      <w:r w:rsidR="00646002" w:rsidRPr="00BC3256">
        <w:rPr>
          <w:rFonts w:cs="Times New Roman"/>
          <w:szCs w:val="24"/>
        </w:rPr>
        <w:t>In this study</w:t>
      </w:r>
      <w:r w:rsidRPr="00BC3256">
        <w:rPr>
          <w:rFonts w:cs="Times New Roman"/>
          <w:szCs w:val="24"/>
        </w:rPr>
        <w:t xml:space="preserve">, I choose to use the docket number as </w:t>
      </w:r>
      <w:r w:rsidR="008C59CF" w:rsidRPr="00BC3256">
        <w:rPr>
          <w:rFonts w:cs="Times New Roman"/>
          <w:szCs w:val="24"/>
        </w:rPr>
        <w:t xml:space="preserve">the unit of analysis, as opposed to the case citation, </w:t>
      </w:r>
      <w:r w:rsidRPr="00BC3256">
        <w:rPr>
          <w:rFonts w:cs="Times New Roman"/>
          <w:szCs w:val="24"/>
        </w:rPr>
        <w:t>for both substantive and methodological</w:t>
      </w:r>
      <w:r w:rsidR="008C59CF" w:rsidRPr="00BC3256">
        <w:rPr>
          <w:rFonts w:cs="Times New Roman"/>
          <w:szCs w:val="24"/>
        </w:rPr>
        <w:t xml:space="preserve"> reasons.</w:t>
      </w:r>
      <w:r w:rsidR="006849D2" w:rsidRPr="00BC3256">
        <w:rPr>
          <w:rFonts w:cs="Times New Roman"/>
          <w:szCs w:val="24"/>
        </w:rPr>
        <w:t xml:space="preserve">  First, other prominent</w:t>
      </w:r>
      <w:r w:rsidR="008C59CF" w:rsidRPr="00BC3256">
        <w:rPr>
          <w:rFonts w:cs="Times New Roman"/>
          <w:szCs w:val="24"/>
        </w:rPr>
        <w:t xml:space="preserve"> researchers</w:t>
      </w:r>
      <w:r w:rsidR="006849D2" w:rsidRPr="00BC3256">
        <w:rPr>
          <w:rFonts w:cs="Times New Roman"/>
          <w:szCs w:val="24"/>
        </w:rPr>
        <w:t xml:space="preserve"> studying amicus participation</w:t>
      </w:r>
      <w:r w:rsidR="002A5CD2">
        <w:rPr>
          <w:rFonts w:cs="Times New Roman"/>
          <w:szCs w:val="24"/>
        </w:rPr>
        <w:t xml:space="preserve"> and influence </w:t>
      </w:r>
      <w:r w:rsidR="008C59CF" w:rsidRPr="00BC3256">
        <w:rPr>
          <w:rFonts w:cs="Times New Roman"/>
          <w:szCs w:val="24"/>
        </w:rPr>
        <w:t>use the docket number as their unit of analysis</w:t>
      </w:r>
      <w:r w:rsidR="002A5CD2">
        <w:rPr>
          <w:rFonts w:cs="Times New Roman"/>
          <w:szCs w:val="24"/>
        </w:rPr>
        <w:t xml:space="preserve"> (e.g., Collins 2008; </w:t>
      </w:r>
      <w:proofErr w:type="spellStart"/>
      <w:r w:rsidR="002A5CD2">
        <w:rPr>
          <w:rFonts w:cs="Times New Roman"/>
          <w:szCs w:val="24"/>
        </w:rPr>
        <w:t>Spriggs</w:t>
      </w:r>
      <w:proofErr w:type="spellEnd"/>
      <w:r w:rsidR="002A5CD2">
        <w:rPr>
          <w:rFonts w:cs="Times New Roman"/>
          <w:szCs w:val="24"/>
        </w:rPr>
        <w:t xml:space="preserve"> </w:t>
      </w:r>
      <w:r w:rsidR="000D6839">
        <w:rPr>
          <w:rFonts w:cs="Times New Roman"/>
          <w:szCs w:val="24"/>
        </w:rPr>
        <w:t>and</w:t>
      </w:r>
      <w:r w:rsidR="006A4486">
        <w:rPr>
          <w:rFonts w:cs="Times New Roman"/>
          <w:szCs w:val="24"/>
        </w:rPr>
        <w:t xml:space="preserve"> </w:t>
      </w:r>
      <w:proofErr w:type="spellStart"/>
      <w:r w:rsidR="006A4486">
        <w:rPr>
          <w:rFonts w:cs="Times New Roman"/>
          <w:szCs w:val="24"/>
        </w:rPr>
        <w:t>Wah</w:t>
      </w:r>
      <w:r w:rsidR="002A5CD2">
        <w:rPr>
          <w:rFonts w:cs="Times New Roman"/>
          <w:szCs w:val="24"/>
        </w:rPr>
        <w:t>lbeck</w:t>
      </w:r>
      <w:proofErr w:type="spellEnd"/>
      <w:r w:rsidR="002A5CD2">
        <w:rPr>
          <w:rFonts w:cs="Times New Roman"/>
          <w:szCs w:val="24"/>
        </w:rPr>
        <w:t xml:space="preserve"> 1997; Gibson 1997)</w:t>
      </w:r>
      <w:r w:rsidRPr="00BC3256">
        <w:rPr>
          <w:rFonts w:cs="Times New Roman"/>
          <w:szCs w:val="24"/>
        </w:rPr>
        <w:t xml:space="preserve">.  Second, using the docket number allows for a more complete </w:t>
      </w:r>
      <w:r w:rsidR="00C80908" w:rsidRPr="00BC3256">
        <w:rPr>
          <w:rFonts w:cs="Times New Roman"/>
          <w:szCs w:val="24"/>
        </w:rPr>
        <w:t xml:space="preserve">accounting </w:t>
      </w:r>
      <w:r w:rsidRPr="00BC3256">
        <w:rPr>
          <w:rFonts w:cs="Times New Roman"/>
          <w:szCs w:val="24"/>
        </w:rPr>
        <w:t xml:space="preserve">of amicus participation and influence.  </w:t>
      </w:r>
      <w:r w:rsidR="00D4381B">
        <w:rPr>
          <w:rFonts w:cs="Times New Roman"/>
          <w:szCs w:val="24"/>
        </w:rPr>
        <w:t>Commonly</w:t>
      </w:r>
      <w:r w:rsidRPr="00BC3256">
        <w:rPr>
          <w:rFonts w:cs="Times New Roman"/>
          <w:szCs w:val="24"/>
        </w:rPr>
        <w:t xml:space="preserve">, when the USSC takes a consolidated case, amicus participants will file one brief that applies to each of the docket numbers being consolidated.  </w:t>
      </w:r>
      <w:r w:rsidR="00C80908" w:rsidRPr="00BC3256">
        <w:rPr>
          <w:rFonts w:cs="Times New Roman"/>
          <w:szCs w:val="24"/>
        </w:rPr>
        <w:t>For example, a situation might arise in which the consolidated case includes the filing of six unique amicus briefs, but each of the six briefs is meant to apply to each of the docket numbers included in the consolidated case.</w:t>
      </w:r>
      <w:r w:rsidR="00C80908" w:rsidRPr="00BC3256">
        <w:rPr>
          <w:rStyle w:val="FootnoteReference"/>
          <w:rFonts w:cs="Times New Roman"/>
          <w:szCs w:val="24"/>
        </w:rPr>
        <w:footnoteReference w:id="41"/>
      </w:r>
      <w:r w:rsidR="00C80908" w:rsidRPr="00BC3256">
        <w:rPr>
          <w:rFonts w:cs="Times New Roman"/>
          <w:szCs w:val="24"/>
        </w:rPr>
        <w:t xml:space="preserve"> </w:t>
      </w:r>
      <w:r w:rsidR="00DD27EB" w:rsidRPr="00BC3256">
        <w:rPr>
          <w:rFonts w:cs="Times New Roman"/>
          <w:szCs w:val="24"/>
        </w:rPr>
        <w:t xml:space="preserve"> </w:t>
      </w:r>
      <w:r w:rsidR="00C80908" w:rsidRPr="00BC3256">
        <w:rPr>
          <w:rFonts w:cs="Times New Roman"/>
          <w:szCs w:val="24"/>
        </w:rPr>
        <w:t xml:space="preserve"> In such a situation, I would </w:t>
      </w:r>
      <w:r w:rsidR="00C80908" w:rsidRPr="00BC3256">
        <w:t xml:space="preserve">record the filing of six briefs for each docket number.   Therefore, because I am using the docket number as the unit of analysis, instead of the case citation, the </w:t>
      </w:r>
      <w:r w:rsidR="00C80908" w:rsidRPr="00BC3256">
        <w:lastRenderedPageBreak/>
        <w:t>total amicus count for this consolidated case would be recorded as 12 instead of 6, even though only six unique briefs were filed.</w:t>
      </w:r>
      <w:r w:rsidR="00BC3256" w:rsidRPr="00BC3256">
        <w:rPr>
          <w:rStyle w:val="FootnoteReference"/>
        </w:rPr>
        <w:footnoteReference w:id="42"/>
      </w:r>
      <w:r w:rsidR="00C80908" w:rsidRPr="00BC3256">
        <w:t xml:space="preserve">   </w:t>
      </w:r>
    </w:p>
    <w:p w:rsidR="000A5ADC" w:rsidRDefault="00DD27EB" w:rsidP="00C145E5">
      <w:pPr>
        <w:autoSpaceDE w:val="0"/>
        <w:autoSpaceDN w:val="0"/>
        <w:adjustRightInd w:val="0"/>
        <w:spacing w:line="480" w:lineRule="auto"/>
        <w:ind w:left="0" w:firstLine="720"/>
        <w:rPr>
          <w:rFonts w:cs="Times New Roman"/>
          <w:szCs w:val="24"/>
        </w:rPr>
      </w:pPr>
      <w:r w:rsidRPr="00BC3256">
        <w:rPr>
          <w:rFonts w:cs="Times New Roman"/>
          <w:szCs w:val="24"/>
        </w:rPr>
        <w:t xml:space="preserve">However, on </w:t>
      </w:r>
      <w:r w:rsidR="00D135A3">
        <w:rPr>
          <w:rFonts w:cs="Times New Roman"/>
          <w:szCs w:val="24"/>
        </w:rPr>
        <w:t xml:space="preserve">other </w:t>
      </w:r>
      <w:r w:rsidRPr="00BC3256">
        <w:rPr>
          <w:rFonts w:cs="Times New Roman"/>
          <w:szCs w:val="24"/>
        </w:rPr>
        <w:t>occasion</w:t>
      </w:r>
      <w:r w:rsidR="00D135A3">
        <w:rPr>
          <w:rFonts w:cs="Times New Roman"/>
          <w:szCs w:val="24"/>
        </w:rPr>
        <w:t>s</w:t>
      </w:r>
      <w:r w:rsidRPr="00BC3256">
        <w:rPr>
          <w:rFonts w:cs="Times New Roman"/>
          <w:szCs w:val="24"/>
        </w:rPr>
        <w:t>,</w:t>
      </w:r>
      <w:r w:rsidR="00BC3256" w:rsidRPr="00BC3256">
        <w:rPr>
          <w:rFonts w:cs="Times New Roman"/>
          <w:szCs w:val="24"/>
        </w:rPr>
        <w:t xml:space="preserve"> amicus participants will </w:t>
      </w:r>
      <w:r w:rsidRPr="00BC3256">
        <w:rPr>
          <w:rFonts w:cs="Times New Roman"/>
          <w:szCs w:val="24"/>
        </w:rPr>
        <w:t>file a brief in the lead case, or in one of the non-lead cases of the consolidated case, that is</w:t>
      </w:r>
      <w:r w:rsidR="00C80908" w:rsidRPr="00BC3256">
        <w:rPr>
          <w:rFonts w:cs="Times New Roman"/>
          <w:szCs w:val="24"/>
        </w:rPr>
        <w:t xml:space="preserve"> only meant to apply to the specific docket number and not </w:t>
      </w:r>
      <w:r w:rsidRPr="00BC3256">
        <w:rPr>
          <w:rFonts w:cs="Times New Roman"/>
          <w:szCs w:val="24"/>
        </w:rPr>
        <w:t xml:space="preserve">to the other docket numbers in the consolidated case. </w:t>
      </w:r>
      <w:r w:rsidR="00C80908" w:rsidRPr="00BC3256">
        <w:rPr>
          <w:rFonts w:cs="Times New Roman"/>
          <w:szCs w:val="24"/>
        </w:rPr>
        <w:t xml:space="preserve"> For example</w:t>
      </w:r>
      <w:r w:rsidR="00646002" w:rsidRPr="00BC3256">
        <w:rPr>
          <w:rFonts w:cs="Times New Roman"/>
          <w:szCs w:val="24"/>
        </w:rPr>
        <w:t xml:space="preserve">, </w:t>
      </w:r>
      <w:r w:rsidR="000A5ADC">
        <w:rPr>
          <w:rFonts w:cs="Times New Roman"/>
          <w:szCs w:val="24"/>
        </w:rPr>
        <w:t>consider a situation in which</w:t>
      </w:r>
      <w:r w:rsidR="00646002" w:rsidRPr="00BC3256">
        <w:rPr>
          <w:rFonts w:cs="Times New Roman"/>
          <w:szCs w:val="24"/>
        </w:rPr>
        <w:t xml:space="preserve"> </w:t>
      </w:r>
      <w:r w:rsidR="00B3553B">
        <w:rPr>
          <w:rFonts w:cs="Times New Roman"/>
          <w:szCs w:val="24"/>
        </w:rPr>
        <w:t>thirteen</w:t>
      </w:r>
      <w:r w:rsidR="00646002" w:rsidRPr="00BC3256">
        <w:rPr>
          <w:rFonts w:cs="Times New Roman"/>
          <w:szCs w:val="24"/>
        </w:rPr>
        <w:t xml:space="preserve"> different</w:t>
      </w:r>
      <w:r w:rsidR="009921A9" w:rsidRPr="00BC3256">
        <w:rPr>
          <w:rFonts w:cs="Times New Roman"/>
          <w:szCs w:val="24"/>
        </w:rPr>
        <w:t xml:space="preserve"> amicus briefs</w:t>
      </w:r>
      <w:r w:rsidR="00646002" w:rsidRPr="00BC3256">
        <w:rPr>
          <w:rFonts w:cs="Times New Roman"/>
          <w:szCs w:val="24"/>
        </w:rPr>
        <w:t xml:space="preserve"> are</w:t>
      </w:r>
      <w:r w:rsidR="009921A9" w:rsidRPr="00BC3256">
        <w:rPr>
          <w:rFonts w:cs="Times New Roman"/>
          <w:szCs w:val="24"/>
        </w:rPr>
        <w:t xml:space="preserve"> filed, but</w:t>
      </w:r>
      <w:r w:rsidR="00B3553B">
        <w:rPr>
          <w:rFonts w:cs="Times New Roman"/>
          <w:szCs w:val="24"/>
        </w:rPr>
        <w:t xml:space="preserve"> ten </w:t>
      </w:r>
      <w:r w:rsidR="000A5ADC">
        <w:rPr>
          <w:rFonts w:cs="Times New Roman"/>
          <w:szCs w:val="24"/>
        </w:rPr>
        <w:t>of these briefs are</w:t>
      </w:r>
      <w:r w:rsidR="00646002" w:rsidRPr="00BC3256">
        <w:rPr>
          <w:rFonts w:cs="Times New Roman"/>
          <w:szCs w:val="24"/>
        </w:rPr>
        <w:t xml:space="preserve"> only filed in the first docket number</w:t>
      </w:r>
      <w:r w:rsidR="009921A9" w:rsidRPr="00BC3256">
        <w:rPr>
          <w:rFonts w:cs="Times New Roman"/>
          <w:szCs w:val="24"/>
        </w:rPr>
        <w:t xml:space="preserve"> and </w:t>
      </w:r>
      <w:r w:rsidR="00B3553B">
        <w:rPr>
          <w:rFonts w:cs="Times New Roman"/>
          <w:szCs w:val="24"/>
        </w:rPr>
        <w:t>the other three</w:t>
      </w:r>
      <w:r w:rsidR="000A5ADC">
        <w:rPr>
          <w:rFonts w:cs="Times New Roman"/>
          <w:szCs w:val="24"/>
        </w:rPr>
        <w:t xml:space="preserve"> briefs are </w:t>
      </w:r>
      <w:r w:rsidR="00646002" w:rsidRPr="00BC3256">
        <w:rPr>
          <w:rFonts w:cs="Times New Roman"/>
          <w:szCs w:val="24"/>
        </w:rPr>
        <w:t xml:space="preserve">only filed in the second docket number.  In this situation, </w:t>
      </w:r>
      <w:r w:rsidR="009921A9" w:rsidRPr="00BC3256">
        <w:rPr>
          <w:rFonts w:cs="Times New Roman"/>
          <w:szCs w:val="24"/>
        </w:rPr>
        <w:t xml:space="preserve">each </w:t>
      </w:r>
      <w:r w:rsidR="00646002" w:rsidRPr="00BC3256">
        <w:rPr>
          <w:rFonts w:cs="Times New Roman"/>
          <w:szCs w:val="24"/>
        </w:rPr>
        <w:t>of</w:t>
      </w:r>
      <w:r w:rsidR="009921A9" w:rsidRPr="00BC3256">
        <w:rPr>
          <w:rFonts w:cs="Times New Roman"/>
          <w:szCs w:val="24"/>
        </w:rPr>
        <w:t xml:space="preserve"> the briefs </w:t>
      </w:r>
      <w:r w:rsidR="00646002" w:rsidRPr="00BC3256">
        <w:rPr>
          <w:rFonts w:cs="Times New Roman"/>
          <w:szCs w:val="24"/>
        </w:rPr>
        <w:t>is</w:t>
      </w:r>
      <w:r w:rsidR="009921A9" w:rsidRPr="00BC3256">
        <w:rPr>
          <w:rFonts w:cs="Times New Roman"/>
          <w:szCs w:val="24"/>
        </w:rPr>
        <w:t xml:space="preserve"> distinct and</w:t>
      </w:r>
      <w:r w:rsidR="00646002" w:rsidRPr="00BC3256">
        <w:rPr>
          <w:rFonts w:cs="Times New Roman"/>
          <w:szCs w:val="24"/>
        </w:rPr>
        <w:t xml:space="preserve"> only meant to apply to its corresponding docket number</w:t>
      </w:r>
      <w:r w:rsidR="009921A9" w:rsidRPr="00BC3256">
        <w:rPr>
          <w:rFonts w:cs="Times New Roman"/>
          <w:szCs w:val="24"/>
        </w:rPr>
        <w:t>.</w:t>
      </w:r>
      <w:r w:rsidR="009921A9" w:rsidRPr="00BC3256">
        <w:rPr>
          <w:rStyle w:val="FootnoteReference"/>
          <w:rFonts w:cs="Times New Roman"/>
          <w:szCs w:val="24"/>
        </w:rPr>
        <w:footnoteReference w:id="43"/>
      </w:r>
      <w:r w:rsidR="00646002" w:rsidRPr="00BC3256">
        <w:rPr>
          <w:rFonts w:cs="Times New Roman"/>
          <w:szCs w:val="24"/>
        </w:rPr>
        <w:t xml:space="preserve">   In such a situation, </w:t>
      </w:r>
      <w:r w:rsidR="000A5ADC">
        <w:rPr>
          <w:rFonts w:cs="Times New Roman"/>
          <w:szCs w:val="24"/>
        </w:rPr>
        <w:t>I</w:t>
      </w:r>
      <w:r w:rsidR="00BC3256" w:rsidRPr="00BC3256">
        <w:rPr>
          <w:rFonts w:cs="Times New Roman"/>
          <w:szCs w:val="24"/>
        </w:rPr>
        <w:t xml:space="preserve"> record the filing of ten briefs for the first docket number and three briefs for the second docket number, totaling 13 briefs f</w:t>
      </w:r>
      <w:r w:rsidR="0035462D">
        <w:rPr>
          <w:rFonts w:cs="Times New Roman"/>
          <w:szCs w:val="24"/>
        </w:rPr>
        <w:t>or the entire consolidated case</w:t>
      </w:r>
      <w:r w:rsidR="00BC3256" w:rsidRPr="00BC3256">
        <w:rPr>
          <w:rFonts w:cs="Times New Roman"/>
          <w:szCs w:val="24"/>
        </w:rPr>
        <w:t xml:space="preserve">.  </w:t>
      </w:r>
    </w:p>
    <w:p w:rsidR="00CA6891" w:rsidRDefault="00B073B4" w:rsidP="00C145E5">
      <w:pPr>
        <w:spacing w:line="480" w:lineRule="auto"/>
        <w:ind w:left="0" w:firstLine="720"/>
        <w:rPr>
          <w:szCs w:val="24"/>
        </w:rPr>
      </w:pPr>
      <w:r>
        <w:rPr>
          <w:rFonts w:cs="Times New Roman"/>
          <w:szCs w:val="24"/>
        </w:rPr>
        <w:t>My base</w:t>
      </w:r>
      <w:r w:rsidR="005C38A6" w:rsidRPr="008C11DC">
        <w:rPr>
          <w:rFonts w:cs="Times New Roman"/>
          <w:szCs w:val="24"/>
        </w:rPr>
        <w:t xml:space="preserve"> </w:t>
      </w:r>
      <w:r>
        <w:rPr>
          <w:rFonts w:cs="Times New Roman"/>
          <w:szCs w:val="24"/>
        </w:rPr>
        <w:t xml:space="preserve">statistical </w:t>
      </w:r>
      <w:r w:rsidR="008C11DC" w:rsidRPr="008C11DC">
        <w:rPr>
          <w:rFonts w:cs="Times New Roman"/>
          <w:szCs w:val="24"/>
        </w:rPr>
        <w:t>model</w:t>
      </w:r>
      <w:r>
        <w:rPr>
          <w:rFonts w:cs="Times New Roman"/>
          <w:szCs w:val="24"/>
        </w:rPr>
        <w:t xml:space="preserve"> (which excludes the interaction term) and primary all-inclusive statistical model (which includes the interaction term) </w:t>
      </w:r>
      <w:r w:rsidR="008C11DC" w:rsidRPr="008C11DC">
        <w:rPr>
          <w:rFonts w:cs="Times New Roman"/>
          <w:szCs w:val="24"/>
        </w:rPr>
        <w:t>will estimate</w:t>
      </w:r>
      <w:r w:rsidR="005C38A6" w:rsidRPr="008C11DC">
        <w:rPr>
          <w:rFonts w:cs="Times New Roman"/>
          <w:szCs w:val="24"/>
        </w:rPr>
        <w:t xml:space="preserve"> the in</w:t>
      </w:r>
      <w:r w:rsidR="0018252B" w:rsidRPr="008C11DC">
        <w:rPr>
          <w:rFonts w:cs="Times New Roman"/>
          <w:szCs w:val="24"/>
        </w:rPr>
        <w:t xml:space="preserve">fluence of </w:t>
      </w:r>
      <w:r w:rsidR="005C38A6" w:rsidRPr="008C11DC">
        <w:rPr>
          <w:rFonts w:cs="Times New Roman"/>
          <w:szCs w:val="24"/>
        </w:rPr>
        <w:t>amicus briefs/cosigners on all justices in all cases during th</w:t>
      </w:r>
      <w:r>
        <w:rPr>
          <w:rFonts w:cs="Times New Roman"/>
          <w:szCs w:val="24"/>
        </w:rPr>
        <w:t>e 2007-2011 terms of the USSC.  In addition,</w:t>
      </w:r>
      <w:r w:rsidR="0018252B" w:rsidRPr="008C11DC">
        <w:rPr>
          <w:rFonts w:cs="Times New Roman"/>
          <w:szCs w:val="24"/>
        </w:rPr>
        <w:t xml:space="preserve"> </w:t>
      </w:r>
      <w:r w:rsidR="005C38A6" w:rsidRPr="008C11DC">
        <w:rPr>
          <w:rFonts w:cs="Times New Roman"/>
          <w:szCs w:val="24"/>
        </w:rPr>
        <w:t>I will</w:t>
      </w:r>
      <w:r w:rsidR="005C38A6">
        <w:rPr>
          <w:rFonts w:cs="Times New Roman"/>
          <w:szCs w:val="24"/>
        </w:rPr>
        <w:t xml:space="preserve"> provi</w:t>
      </w:r>
      <w:r w:rsidR="0018252B">
        <w:rPr>
          <w:rFonts w:cs="Times New Roman"/>
          <w:szCs w:val="24"/>
        </w:rPr>
        <w:t>de multiple subsidiary models to investigate in a targeted manner</w:t>
      </w:r>
      <w:r w:rsidR="00D50941" w:rsidRPr="00C145E5">
        <w:rPr>
          <w:rFonts w:cs="Times New Roman"/>
          <w:szCs w:val="24"/>
        </w:rPr>
        <w:t xml:space="preserve"> whether </w:t>
      </w:r>
      <w:r w:rsidR="00D50941" w:rsidRPr="00C145E5">
        <w:rPr>
          <w:szCs w:val="24"/>
        </w:rPr>
        <w:t xml:space="preserve">the justices </w:t>
      </w:r>
      <w:r w:rsidR="00D50941" w:rsidRPr="00C145E5">
        <w:rPr>
          <w:szCs w:val="24"/>
        </w:rPr>
        <w:lastRenderedPageBreak/>
        <w:t>on the Roberts Court are</w:t>
      </w:r>
      <w:r w:rsidR="0094562D" w:rsidRPr="00C145E5">
        <w:rPr>
          <w:szCs w:val="24"/>
        </w:rPr>
        <w:t xml:space="preserve"> more or </w:t>
      </w:r>
      <w:r w:rsidR="00D50941" w:rsidRPr="00C145E5">
        <w:rPr>
          <w:szCs w:val="24"/>
        </w:rPr>
        <w:t>less prone to amicus influence in certain</w:t>
      </w:r>
      <w:r w:rsidR="00DC3D47">
        <w:rPr>
          <w:szCs w:val="24"/>
        </w:rPr>
        <w:t xml:space="preserve"> </w:t>
      </w:r>
      <w:r w:rsidR="00CA6891">
        <w:rPr>
          <w:szCs w:val="24"/>
        </w:rPr>
        <w:t>categories of cases</w:t>
      </w:r>
      <w:r w:rsidR="0018252B">
        <w:rPr>
          <w:szCs w:val="24"/>
        </w:rPr>
        <w:t>.  Therefore, after estimating my</w:t>
      </w:r>
      <w:r>
        <w:rPr>
          <w:szCs w:val="24"/>
        </w:rPr>
        <w:t xml:space="preserve"> base and</w:t>
      </w:r>
      <w:r w:rsidR="0018252B">
        <w:rPr>
          <w:szCs w:val="24"/>
        </w:rPr>
        <w:t xml:space="preserve"> primary all-inclusive model</w:t>
      </w:r>
      <w:r>
        <w:rPr>
          <w:szCs w:val="24"/>
        </w:rPr>
        <w:t>s</w:t>
      </w:r>
      <w:r w:rsidR="0018252B">
        <w:rPr>
          <w:szCs w:val="24"/>
        </w:rPr>
        <w:t xml:space="preserve">, I </w:t>
      </w:r>
      <w:r w:rsidR="00D50941" w:rsidRPr="00C145E5">
        <w:rPr>
          <w:szCs w:val="24"/>
        </w:rPr>
        <w:t>will test each of the foregoing hypotheses using</w:t>
      </w:r>
      <w:r w:rsidR="008E6B02">
        <w:rPr>
          <w:szCs w:val="24"/>
        </w:rPr>
        <w:t xml:space="preserve"> five</w:t>
      </w:r>
      <w:r w:rsidR="00D50941" w:rsidRPr="00C145E5">
        <w:rPr>
          <w:szCs w:val="24"/>
        </w:rPr>
        <w:t xml:space="preserve"> separate models that include smaller samples representing the following categories of cases:  </w:t>
      </w:r>
      <w:r w:rsidR="00DC3D47">
        <w:rPr>
          <w:szCs w:val="24"/>
        </w:rPr>
        <w:t>politically salient; criminal p</w:t>
      </w:r>
      <w:r w:rsidR="005B2C3C" w:rsidRPr="00C145E5">
        <w:rPr>
          <w:szCs w:val="24"/>
        </w:rPr>
        <w:t xml:space="preserve">rocedure; </w:t>
      </w:r>
      <w:r w:rsidR="005C38A6">
        <w:rPr>
          <w:szCs w:val="24"/>
        </w:rPr>
        <w:t xml:space="preserve">civil rights and liberties; </w:t>
      </w:r>
      <w:r w:rsidR="00DC3D47">
        <w:rPr>
          <w:szCs w:val="24"/>
        </w:rPr>
        <w:t>e</w:t>
      </w:r>
      <w:r w:rsidR="00D50941" w:rsidRPr="00C145E5">
        <w:rPr>
          <w:szCs w:val="24"/>
        </w:rPr>
        <w:t>conomics</w:t>
      </w:r>
      <w:r w:rsidR="00DC3D47">
        <w:rPr>
          <w:szCs w:val="24"/>
        </w:rPr>
        <w:t xml:space="preserve">; </w:t>
      </w:r>
      <w:r w:rsidR="005C38A6">
        <w:rPr>
          <w:szCs w:val="24"/>
        </w:rPr>
        <w:t xml:space="preserve">and </w:t>
      </w:r>
      <w:r w:rsidR="00DC3D47">
        <w:rPr>
          <w:szCs w:val="24"/>
        </w:rPr>
        <w:t>judicial p</w:t>
      </w:r>
      <w:r w:rsidR="001E278E" w:rsidRPr="00C145E5">
        <w:rPr>
          <w:szCs w:val="24"/>
        </w:rPr>
        <w:t xml:space="preserve">ower </w:t>
      </w:r>
      <w:r w:rsidR="000D6839">
        <w:rPr>
          <w:szCs w:val="24"/>
        </w:rPr>
        <w:t>and</w:t>
      </w:r>
      <w:r w:rsidR="001E278E" w:rsidRPr="00C145E5">
        <w:rPr>
          <w:szCs w:val="24"/>
        </w:rPr>
        <w:t xml:space="preserve"> </w:t>
      </w:r>
      <w:r w:rsidR="00DC3D47">
        <w:rPr>
          <w:szCs w:val="24"/>
        </w:rPr>
        <w:t>f</w:t>
      </w:r>
      <w:r w:rsidR="00D50941" w:rsidRPr="00C145E5">
        <w:rPr>
          <w:szCs w:val="24"/>
        </w:rPr>
        <w:t>ederalism.</w:t>
      </w:r>
      <w:r w:rsidR="001E278E" w:rsidRPr="00C145E5">
        <w:rPr>
          <w:rStyle w:val="FootnoteReference"/>
          <w:szCs w:val="24"/>
        </w:rPr>
        <w:footnoteReference w:id="44"/>
      </w:r>
      <w:r w:rsidR="0035462D" w:rsidRPr="00C145E5">
        <w:rPr>
          <w:szCs w:val="24"/>
        </w:rPr>
        <w:t xml:space="preserve">  Out of the 397 orally argued case</w:t>
      </w:r>
      <w:r w:rsidR="00DC3D47">
        <w:rPr>
          <w:szCs w:val="24"/>
        </w:rPr>
        <w:t>s</w:t>
      </w:r>
      <w:r w:rsidR="0035462D" w:rsidRPr="00C145E5">
        <w:rPr>
          <w:szCs w:val="24"/>
        </w:rPr>
        <w:t xml:space="preserve"> decided by the Roberts Court</w:t>
      </w:r>
      <w:r w:rsidR="009F4B0B" w:rsidRPr="00C145E5">
        <w:rPr>
          <w:szCs w:val="24"/>
        </w:rPr>
        <w:t xml:space="preserve">, </w:t>
      </w:r>
      <w:r w:rsidR="008E6B02">
        <w:rPr>
          <w:szCs w:val="24"/>
        </w:rPr>
        <w:t>66 are politically salient</w:t>
      </w:r>
      <w:r w:rsidR="006D315A">
        <w:rPr>
          <w:szCs w:val="24"/>
        </w:rPr>
        <w:t>.</w:t>
      </w:r>
      <w:r w:rsidR="006D315A">
        <w:rPr>
          <w:rStyle w:val="FootnoteReference"/>
          <w:szCs w:val="24"/>
        </w:rPr>
        <w:footnoteReference w:id="45"/>
      </w:r>
      <w:r w:rsidR="006D315A">
        <w:rPr>
          <w:szCs w:val="24"/>
        </w:rPr>
        <w:t xml:space="preserve">  T</w:t>
      </w:r>
      <w:r w:rsidR="009F4B0B" w:rsidRPr="00C145E5">
        <w:rPr>
          <w:szCs w:val="24"/>
        </w:rPr>
        <w:t xml:space="preserve">he Criminal Procedure category represents 107 cases; </w:t>
      </w:r>
      <w:r w:rsidR="00490DC5" w:rsidRPr="00C145E5">
        <w:rPr>
          <w:szCs w:val="24"/>
        </w:rPr>
        <w:t xml:space="preserve">the </w:t>
      </w:r>
      <w:r w:rsidR="009F4B0B" w:rsidRPr="00C145E5">
        <w:rPr>
          <w:szCs w:val="24"/>
        </w:rPr>
        <w:t xml:space="preserve">Civil Rights </w:t>
      </w:r>
      <w:r w:rsidR="000D6839">
        <w:rPr>
          <w:szCs w:val="24"/>
        </w:rPr>
        <w:t>and</w:t>
      </w:r>
      <w:r w:rsidR="009F4B0B" w:rsidRPr="00C145E5">
        <w:rPr>
          <w:szCs w:val="24"/>
        </w:rPr>
        <w:t xml:space="preserve"> Liberties </w:t>
      </w:r>
      <w:r w:rsidR="00490DC5" w:rsidRPr="00C145E5">
        <w:rPr>
          <w:szCs w:val="24"/>
        </w:rPr>
        <w:t xml:space="preserve">category </w:t>
      </w:r>
      <w:r w:rsidR="009F4B0B" w:rsidRPr="00C145E5">
        <w:rPr>
          <w:szCs w:val="24"/>
        </w:rPr>
        <w:t xml:space="preserve">represents 122 cases; Economics represents 94 cases; and Judicial Power </w:t>
      </w:r>
      <w:r w:rsidR="000D6839">
        <w:rPr>
          <w:szCs w:val="24"/>
        </w:rPr>
        <w:t>and</w:t>
      </w:r>
      <w:r w:rsidR="009F4B0B" w:rsidRPr="00C145E5">
        <w:rPr>
          <w:szCs w:val="24"/>
        </w:rPr>
        <w:t xml:space="preserve"> Federalism represents 72 cases. </w:t>
      </w:r>
      <w:r w:rsidR="00C7529E">
        <w:rPr>
          <w:szCs w:val="24"/>
        </w:rPr>
        <w:t xml:space="preserve"> </w:t>
      </w:r>
    </w:p>
    <w:p w:rsidR="009F4B0B" w:rsidRPr="00C145E5" w:rsidRDefault="00CA6891" w:rsidP="00C145E5">
      <w:pPr>
        <w:spacing w:line="480" w:lineRule="auto"/>
        <w:ind w:left="0" w:firstLine="720"/>
        <w:rPr>
          <w:szCs w:val="24"/>
        </w:rPr>
      </w:pPr>
      <w:r>
        <w:rPr>
          <w:szCs w:val="24"/>
        </w:rPr>
        <w:t>In addition, I will estimate four</w:t>
      </w:r>
      <w:r w:rsidR="0018252B">
        <w:rPr>
          <w:szCs w:val="24"/>
        </w:rPr>
        <w:t xml:space="preserve"> additional</w:t>
      </w:r>
      <w:r w:rsidR="00A222B0">
        <w:rPr>
          <w:szCs w:val="24"/>
        </w:rPr>
        <w:t xml:space="preserve"> subsidiary</w:t>
      </w:r>
      <w:r w:rsidR="0018252B">
        <w:rPr>
          <w:szCs w:val="24"/>
        </w:rPr>
        <w:t xml:space="preserve"> statistical models</w:t>
      </w:r>
      <w:r>
        <w:rPr>
          <w:szCs w:val="24"/>
        </w:rPr>
        <w:t xml:space="preserve"> in order to assess whether conservative and liberal justices respond differently to </w:t>
      </w:r>
      <w:r w:rsidR="00A222B0">
        <w:rPr>
          <w:szCs w:val="24"/>
        </w:rPr>
        <w:t xml:space="preserve">the persuasive attempts of </w:t>
      </w:r>
      <w:r>
        <w:rPr>
          <w:szCs w:val="24"/>
        </w:rPr>
        <w:t>amici.  The first of these models will only include</w:t>
      </w:r>
      <w:r w:rsidR="00C7529E">
        <w:rPr>
          <w:szCs w:val="24"/>
        </w:rPr>
        <w:t xml:space="preserve"> conservative justices</w:t>
      </w:r>
      <w:r>
        <w:rPr>
          <w:szCs w:val="24"/>
        </w:rPr>
        <w:t xml:space="preserve"> in all cases; </w:t>
      </w:r>
      <w:r w:rsidR="00A222B0">
        <w:rPr>
          <w:szCs w:val="24"/>
        </w:rPr>
        <w:t>the second will only include</w:t>
      </w:r>
      <w:r w:rsidR="00C7529E">
        <w:rPr>
          <w:szCs w:val="24"/>
        </w:rPr>
        <w:t xml:space="preserve"> liberal justices</w:t>
      </w:r>
      <w:r w:rsidR="00A222B0">
        <w:rPr>
          <w:szCs w:val="24"/>
        </w:rPr>
        <w:t xml:space="preserve"> in all cases; the third will only include conservative justices in salient cases; and the fourth will only include liberal justices in salient cases.  </w:t>
      </w:r>
      <w:r w:rsidR="0034010A" w:rsidRPr="0034010A">
        <w:rPr>
          <w:szCs w:val="24"/>
        </w:rPr>
        <w:t>Altogether, I will estimate eleven</w:t>
      </w:r>
      <w:r w:rsidR="00A222B0" w:rsidRPr="0034010A">
        <w:rPr>
          <w:szCs w:val="24"/>
        </w:rPr>
        <w:t xml:space="preserve"> separate statistical models to explore the impact of amici on the Roberts Court. </w:t>
      </w:r>
      <w:r w:rsidR="003A2B26" w:rsidRPr="0034010A">
        <w:rPr>
          <w:szCs w:val="24"/>
        </w:rPr>
        <w:t xml:space="preserve"> </w:t>
      </w:r>
      <w:r w:rsidR="00A222B0">
        <w:rPr>
          <w:szCs w:val="24"/>
        </w:rPr>
        <w:t>Further detail about the specific</w:t>
      </w:r>
      <w:r w:rsidR="003A2B26">
        <w:rPr>
          <w:szCs w:val="24"/>
        </w:rPr>
        <w:t>ation of each of these models is</w:t>
      </w:r>
      <w:r w:rsidR="00A222B0">
        <w:rPr>
          <w:szCs w:val="24"/>
        </w:rPr>
        <w:t xml:space="preserve"> included below.</w:t>
      </w:r>
    </w:p>
    <w:p w:rsidR="00D50941" w:rsidRPr="009D139F" w:rsidRDefault="00A222B0" w:rsidP="00D50941">
      <w:pPr>
        <w:spacing w:line="480" w:lineRule="auto"/>
        <w:ind w:left="0" w:firstLine="0"/>
        <w:rPr>
          <w:szCs w:val="24"/>
        </w:rPr>
      </w:pPr>
      <w:r>
        <w:rPr>
          <w:szCs w:val="24"/>
        </w:rPr>
        <w:tab/>
        <w:t>My</w:t>
      </w:r>
      <w:r w:rsidR="006D315A">
        <w:rPr>
          <w:szCs w:val="24"/>
        </w:rPr>
        <w:t xml:space="preserve"> models</w:t>
      </w:r>
      <w:r w:rsidR="00D50941">
        <w:rPr>
          <w:szCs w:val="24"/>
        </w:rPr>
        <w:t xml:space="preserve"> will contain the following variables:</w:t>
      </w:r>
    </w:p>
    <w:p w:rsidR="00A222B0" w:rsidRPr="00A222B0" w:rsidRDefault="005F0537" w:rsidP="00D50941">
      <w:pPr>
        <w:pStyle w:val="ListParagraph"/>
        <w:numPr>
          <w:ilvl w:val="0"/>
          <w:numId w:val="1"/>
        </w:numPr>
        <w:spacing w:line="480" w:lineRule="auto"/>
        <w:rPr>
          <w:b/>
        </w:rPr>
      </w:pPr>
      <w:r>
        <w:rPr>
          <w:b/>
        </w:rPr>
        <w:t>Dependent Variable</w:t>
      </w:r>
      <w:r w:rsidR="00D50941">
        <w:rPr>
          <w:b/>
        </w:rPr>
        <w:t xml:space="preserve">  </w:t>
      </w:r>
    </w:p>
    <w:p w:rsidR="00D50941" w:rsidRPr="00A222B0" w:rsidRDefault="00A222B0" w:rsidP="00A222B0">
      <w:pPr>
        <w:spacing w:line="480" w:lineRule="auto"/>
        <w:ind w:left="0" w:firstLine="720"/>
        <w:rPr>
          <w:b/>
        </w:rPr>
      </w:pPr>
      <w:r>
        <w:t xml:space="preserve">My dependent variable is whether the justice issued a </w:t>
      </w:r>
      <w:r w:rsidR="001837EF">
        <w:rPr>
          <w:rFonts w:cs="Times New Roman"/>
          <w:i/>
          <w:szCs w:val="24"/>
        </w:rPr>
        <w:t>Liberal Vote</w:t>
      </w:r>
      <w:r w:rsidR="00D50941" w:rsidRPr="00A222B0">
        <w:rPr>
          <w:rFonts w:cs="Times New Roman"/>
          <w:szCs w:val="24"/>
        </w:rPr>
        <w:t xml:space="preserve"> or </w:t>
      </w:r>
      <w:r w:rsidR="001837EF">
        <w:rPr>
          <w:rFonts w:cs="Times New Roman"/>
          <w:i/>
          <w:szCs w:val="24"/>
        </w:rPr>
        <w:t>Conservative Vote</w:t>
      </w:r>
      <w:r>
        <w:rPr>
          <w:rFonts w:cs="Times New Roman"/>
          <w:szCs w:val="24"/>
        </w:rPr>
        <w:t xml:space="preserve">.  </w:t>
      </w:r>
      <w:r w:rsidR="00D50941" w:rsidRPr="00A02BA1">
        <w:t xml:space="preserve">I use the </w:t>
      </w:r>
      <w:r w:rsidR="00D50941" w:rsidRPr="00A222B0">
        <w:t>justice vote as the basic unit of analysis</w:t>
      </w:r>
      <w:r w:rsidR="00D50941" w:rsidRPr="00A02BA1">
        <w:t xml:space="preserve">.  </w:t>
      </w:r>
      <w:r w:rsidR="00D50941">
        <w:t xml:space="preserve">The dependent variable is </w:t>
      </w:r>
      <w:r w:rsidR="00321B1E">
        <w:rPr>
          <w:rFonts w:cs="Times New Roman"/>
          <w:szCs w:val="24"/>
        </w:rPr>
        <w:t xml:space="preserve">based upon the </w:t>
      </w:r>
      <w:proofErr w:type="spellStart"/>
      <w:r w:rsidR="00321B1E">
        <w:rPr>
          <w:rFonts w:cs="Times New Roman"/>
          <w:szCs w:val="24"/>
        </w:rPr>
        <w:t>Spaeth</w:t>
      </w:r>
      <w:proofErr w:type="spellEnd"/>
      <w:r w:rsidR="00321B1E">
        <w:rPr>
          <w:rFonts w:cs="Times New Roman"/>
          <w:szCs w:val="24"/>
        </w:rPr>
        <w:t xml:space="preserve"> </w:t>
      </w:r>
      <w:r w:rsidR="00D50941" w:rsidRPr="00033D82">
        <w:rPr>
          <w:rFonts w:cs="Times New Roman"/>
          <w:szCs w:val="24"/>
        </w:rPr>
        <w:t>SCD</w:t>
      </w:r>
      <w:r w:rsidR="00D50941">
        <w:rPr>
          <w:rFonts w:cs="Times New Roman"/>
          <w:szCs w:val="24"/>
        </w:rPr>
        <w:t>B</w:t>
      </w:r>
      <w:r w:rsidR="00D50941" w:rsidRPr="00033D82">
        <w:rPr>
          <w:rFonts w:cs="Times New Roman"/>
          <w:szCs w:val="24"/>
        </w:rPr>
        <w:t xml:space="preserve"> “DIR” variable which describes the direction of the decision wit</w:t>
      </w:r>
      <w:r w:rsidR="00B552BF">
        <w:rPr>
          <w:rFonts w:cs="Times New Roman"/>
          <w:szCs w:val="24"/>
        </w:rPr>
        <w:t xml:space="preserve">h regards to the </w:t>
      </w:r>
      <w:r w:rsidR="00B552BF">
        <w:rPr>
          <w:rFonts w:cs="Times New Roman"/>
          <w:szCs w:val="24"/>
        </w:rPr>
        <w:lastRenderedPageBreak/>
        <w:t>primary issue</w:t>
      </w:r>
      <w:r w:rsidR="00D50941" w:rsidRPr="00033D82">
        <w:rPr>
          <w:rFonts w:cs="Times New Roman"/>
          <w:szCs w:val="24"/>
        </w:rPr>
        <w:t xml:space="preserve"> it addresses</w:t>
      </w:r>
      <w:r w:rsidR="00D50941">
        <w:rPr>
          <w:rFonts w:cs="Times New Roman"/>
          <w:szCs w:val="24"/>
        </w:rPr>
        <w:t xml:space="preserve">.  </w:t>
      </w:r>
      <w:r w:rsidR="00D50941" w:rsidRPr="00812C34">
        <w:t xml:space="preserve">The dependent variable captures the ideological direction of </w:t>
      </w:r>
      <w:r w:rsidR="00B552BF">
        <w:t>the individual justice’s</w:t>
      </w:r>
      <w:r w:rsidR="00D50941" w:rsidRPr="00812C34">
        <w:t xml:space="preserve"> voting behavior, scored 1 for a liberal decision and 0 for </w:t>
      </w:r>
      <w:r w:rsidR="00D50941">
        <w:t>a conservative decision.</w:t>
      </w:r>
      <w:r w:rsidR="0037255C">
        <w:rPr>
          <w:rStyle w:val="FootnoteReference"/>
        </w:rPr>
        <w:footnoteReference w:id="46"/>
      </w:r>
      <w:r w:rsidR="00D50941">
        <w:t xml:space="preserve">  The SCDB</w:t>
      </w:r>
      <w:r w:rsidR="00D50941" w:rsidRPr="00812C34">
        <w:t xml:space="preserve"> codes this variable according to contemporary definitions o</w:t>
      </w:r>
      <w:r w:rsidR="00321B1E">
        <w:t>f liberalism and conservatism.  “L</w:t>
      </w:r>
      <w:r w:rsidR="00DC168C">
        <w:t xml:space="preserve">iberal” or “conservative” labels are designated according to whether the case outcome favors a particular category of party before the USSC.  </w:t>
      </w:r>
      <w:r w:rsidR="00D50941" w:rsidRPr="00812C34">
        <w:t xml:space="preserve">For example, in civil liberties cases, liberal votes support the litigant claiming violation of its freedoms, (such as free expression, freedom of religion, and the right to privacy), while conservative votes are the opposite.  In criminal cases, liberal votes support the rights of the criminally accused, while conservative votes favor the government.  </w:t>
      </w:r>
      <w:r w:rsidR="00CE1471">
        <w:t>In the context of cases involving economic activity and unions, liberal votes are anti-business, anti-employer, pro-liability, pro-union, pro-debtor, pro-consumer, etc</w:t>
      </w:r>
      <w:r w:rsidR="00DC168C">
        <w:t>.</w:t>
      </w:r>
      <w:r w:rsidR="00CE1471">
        <w:t>, while conservative votes are the opposite.</w:t>
      </w:r>
      <w:r w:rsidR="00942AA6">
        <w:t xml:space="preserve">  In federalism cases, liberal votes are pro-federal power, anti-states, and pro-executive power in executive/congressional disputes, while conservative votes are the opposite.  In cases involving judicial power, liberal votes are pro</w:t>
      </w:r>
      <w:r w:rsidR="00321B1E">
        <w:t>-</w:t>
      </w:r>
      <w:r w:rsidR="00942AA6">
        <w:t>exe</w:t>
      </w:r>
      <w:r w:rsidR="00321B1E">
        <w:t>rcise of judicial power and pro-</w:t>
      </w:r>
      <w:r w:rsidR="00942AA6">
        <w:t>judicial activism, while conservative votes are in favor of judicial restraint.   Importantly, judicial votes are coded according to the main issue area involved in the case, not secondary issue areas.</w:t>
      </w:r>
    </w:p>
    <w:p w:rsidR="004F03DA" w:rsidRPr="005258D6" w:rsidRDefault="00942AA6" w:rsidP="005258D6">
      <w:pPr>
        <w:autoSpaceDE w:val="0"/>
        <w:autoSpaceDN w:val="0"/>
        <w:adjustRightInd w:val="0"/>
        <w:spacing w:line="480" w:lineRule="auto"/>
        <w:ind w:left="0" w:firstLine="720"/>
        <w:rPr>
          <w:rFonts w:cs="Times New Roman"/>
          <w:szCs w:val="24"/>
        </w:rPr>
      </w:pPr>
      <w:r w:rsidRPr="005258D6">
        <w:rPr>
          <w:rFonts w:cs="Times New Roman"/>
        </w:rPr>
        <w:t>While the approac</w:t>
      </w:r>
      <w:r w:rsidR="006A4486">
        <w:rPr>
          <w:rFonts w:cs="Times New Roman"/>
        </w:rPr>
        <w:t xml:space="preserve">h employed by the </w:t>
      </w:r>
      <w:proofErr w:type="spellStart"/>
      <w:r w:rsidR="006A4486">
        <w:rPr>
          <w:rFonts w:cs="Times New Roman"/>
        </w:rPr>
        <w:t>Spa</w:t>
      </w:r>
      <w:r w:rsidRPr="005258D6">
        <w:rPr>
          <w:rFonts w:cs="Times New Roman"/>
        </w:rPr>
        <w:t>eth</w:t>
      </w:r>
      <w:proofErr w:type="spellEnd"/>
      <w:r w:rsidRPr="005258D6">
        <w:rPr>
          <w:rFonts w:cs="Times New Roman"/>
        </w:rPr>
        <w:t xml:space="preserve"> SCDB characterizing judicial votes as “liberal” or “conservative”</w:t>
      </w:r>
      <w:r w:rsidR="004F03DA" w:rsidRPr="005258D6">
        <w:rPr>
          <w:rFonts w:cs="Times New Roman"/>
        </w:rPr>
        <w:t xml:space="preserve"> is common and widely accepted in empirical judicial behavior </w:t>
      </w:r>
      <w:r w:rsidR="004F03DA" w:rsidRPr="005258D6">
        <w:rPr>
          <w:rFonts w:cs="Times New Roman"/>
        </w:rPr>
        <w:lastRenderedPageBreak/>
        <w:t>scholarship</w:t>
      </w:r>
      <w:r w:rsidRPr="005258D6">
        <w:rPr>
          <w:rFonts w:cs="Times New Roman"/>
        </w:rPr>
        <w:t>, such an approach does have limitations</w:t>
      </w:r>
      <w:r w:rsidR="004F03DA" w:rsidRPr="005258D6">
        <w:rPr>
          <w:rFonts w:cs="Times New Roman"/>
        </w:rPr>
        <w:t>.  First, the terms “liberal” and “conservative”</w:t>
      </w:r>
      <w:r w:rsidR="00490DC5" w:rsidRPr="005258D6">
        <w:rPr>
          <w:rFonts w:cs="Times New Roman"/>
        </w:rPr>
        <w:t xml:space="preserve"> admittedly</w:t>
      </w:r>
      <w:r w:rsidR="004F03DA" w:rsidRPr="005258D6">
        <w:rPr>
          <w:rFonts w:cs="Times New Roman"/>
        </w:rPr>
        <w:t xml:space="preserve"> conceal a range of heterogeneity that traditional binary</w:t>
      </w:r>
      <w:r w:rsidR="00490DC5" w:rsidRPr="005258D6">
        <w:rPr>
          <w:rFonts w:cs="Times New Roman"/>
        </w:rPr>
        <w:t xml:space="preserve"> ideological</w:t>
      </w:r>
      <w:r w:rsidR="004F03DA" w:rsidRPr="005258D6">
        <w:rPr>
          <w:rFonts w:cs="Times New Roman"/>
        </w:rPr>
        <w:t xml:space="preserve"> coding does not reflect. </w:t>
      </w:r>
      <w:r w:rsidR="00DC168C" w:rsidRPr="005258D6">
        <w:rPr>
          <w:rFonts w:cs="Times New Roman"/>
        </w:rPr>
        <w:t xml:space="preserve"> In real life, case ideological outcomes vary markedly on the conservative-liberal spectrum, and this variance cannot be captured by a measure that only includes two discrete polls (Sag 2009).</w:t>
      </w:r>
      <w:r w:rsidR="004F03DA" w:rsidRPr="005258D6">
        <w:rPr>
          <w:rFonts w:cs="Times New Roman"/>
        </w:rPr>
        <w:t xml:space="preserve"> </w:t>
      </w:r>
      <w:r w:rsidR="00DC168C" w:rsidRPr="005258D6">
        <w:rPr>
          <w:rFonts w:cs="Times New Roman"/>
        </w:rPr>
        <w:t xml:space="preserve"> </w:t>
      </w:r>
      <w:r w:rsidR="004F03DA" w:rsidRPr="005258D6">
        <w:rPr>
          <w:rFonts w:cs="Times New Roman"/>
        </w:rPr>
        <w:t>Second, a judge may vote conservatively in some issue areas an</w:t>
      </w:r>
      <w:r w:rsidR="00321B1E" w:rsidRPr="005258D6">
        <w:rPr>
          <w:rFonts w:cs="Times New Roman"/>
        </w:rPr>
        <w:t xml:space="preserve">d liberally in others – </w:t>
      </w:r>
      <w:r w:rsidR="004F03DA" w:rsidRPr="005258D6">
        <w:rPr>
          <w:rFonts w:cs="Times New Roman"/>
        </w:rPr>
        <w:t>what scholars term the “challenge of multidimensionality” (</w:t>
      </w:r>
      <w:proofErr w:type="spellStart"/>
      <w:r w:rsidR="004F03DA" w:rsidRPr="005258D6">
        <w:rPr>
          <w:rFonts w:cs="Times New Roman"/>
        </w:rPr>
        <w:t>Fischman</w:t>
      </w:r>
      <w:proofErr w:type="spellEnd"/>
      <w:r w:rsidR="004F03DA" w:rsidRPr="005258D6">
        <w:rPr>
          <w:rFonts w:cs="Times New Roman"/>
        </w:rPr>
        <w:t xml:space="preserve"> </w:t>
      </w:r>
      <w:r w:rsidR="000D6839">
        <w:rPr>
          <w:rFonts w:cs="Times New Roman"/>
        </w:rPr>
        <w:t>and</w:t>
      </w:r>
      <w:r w:rsidR="004F03DA" w:rsidRPr="005258D6">
        <w:rPr>
          <w:rFonts w:cs="Times New Roman"/>
        </w:rPr>
        <w:t xml:space="preserve"> Law 2009, 19).   In t</w:t>
      </w:r>
      <w:r w:rsidR="00051C16" w:rsidRPr="005258D6">
        <w:rPr>
          <w:rFonts w:cs="Times New Roman"/>
        </w:rPr>
        <w:t xml:space="preserve">he </w:t>
      </w:r>
      <w:proofErr w:type="spellStart"/>
      <w:r w:rsidR="00051C16" w:rsidRPr="005258D6">
        <w:rPr>
          <w:rFonts w:cs="Times New Roman"/>
        </w:rPr>
        <w:t>Spaeth</w:t>
      </w:r>
      <w:proofErr w:type="spellEnd"/>
      <w:r w:rsidR="00051C16" w:rsidRPr="005258D6">
        <w:rPr>
          <w:rFonts w:cs="Times New Roman"/>
        </w:rPr>
        <w:t xml:space="preserve"> SCDB, this challenge is addressed by</w:t>
      </w:r>
      <w:r w:rsidR="00CE1471" w:rsidRPr="005258D6">
        <w:rPr>
          <w:rFonts w:cs="Times New Roman"/>
        </w:rPr>
        <w:t xml:space="preserve"> taking a more specific issue area approach to coding justice votes as liberal or conservative</w:t>
      </w:r>
      <w:r w:rsidRPr="005258D6">
        <w:rPr>
          <w:rFonts w:cs="Times New Roman"/>
        </w:rPr>
        <w:t>, as described above</w:t>
      </w:r>
      <w:r w:rsidR="00CE1471" w:rsidRPr="005258D6">
        <w:rPr>
          <w:rFonts w:cs="Times New Roman"/>
        </w:rPr>
        <w:t xml:space="preserve">. </w:t>
      </w:r>
      <w:r w:rsidRPr="005258D6">
        <w:rPr>
          <w:rFonts w:cs="Times New Roman"/>
        </w:rPr>
        <w:t xml:space="preserve"> Nevertheless, this is still problem</w:t>
      </w:r>
      <w:r w:rsidR="00BE1900" w:rsidRPr="005258D6">
        <w:rPr>
          <w:rFonts w:cs="Times New Roman"/>
        </w:rPr>
        <w:t>atic, as the delineation of the</w:t>
      </w:r>
      <w:r w:rsidR="00321B1E" w:rsidRPr="005258D6">
        <w:rPr>
          <w:rFonts w:cs="Times New Roman"/>
        </w:rPr>
        <w:t xml:space="preserve"> primary issue area</w:t>
      </w:r>
      <w:r w:rsidR="00BE1900" w:rsidRPr="005258D6">
        <w:rPr>
          <w:rFonts w:cs="Times New Roman"/>
        </w:rPr>
        <w:t xml:space="preserve"> </w:t>
      </w:r>
      <w:r w:rsidR="005258D6">
        <w:rPr>
          <w:rFonts w:cs="Times New Roman"/>
        </w:rPr>
        <w:t>itsel</w:t>
      </w:r>
      <w:r w:rsidRPr="005258D6">
        <w:rPr>
          <w:rFonts w:cs="Times New Roman"/>
        </w:rPr>
        <w:t>f can be</w:t>
      </w:r>
      <w:r w:rsidR="00BE1900" w:rsidRPr="005258D6">
        <w:rPr>
          <w:rFonts w:cs="Times New Roman"/>
        </w:rPr>
        <w:t xml:space="preserve"> somewhat </w:t>
      </w:r>
      <w:r w:rsidR="00321B1E" w:rsidRPr="005258D6">
        <w:rPr>
          <w:rFonts w:cs="Times New Roman"/>
        </w:rPr>
        <w:t xml:space="preserve">subjective, </w:t>
      </w:r>
      <w:r w:rsidR="00FF3DF3">
        <w:rPr>
          <w:rFonts w:cs="Times New Roman"/>
        </w:rPr>
        <w:t>since</w:t>
      </w:r>
      <w:r w:rsidRPr="005258D6">
        <w:rPr>
          <w:rFonts w:cs="Times New Roman"/>
        </w:rPr>
        <w:t xml:space="preserve"> cases that present multiple issues can defy easy categorization</w:t>
      </w:r>
      <w:r w:rsidR="00182C4E" w:rsidRPr="005258D6">
        <w:rPr>
          <w:rFonts w:cs="Times New Roman"/>
        </w:rPr>
        <w:t xml:space="preserve"> and assignment of priority (</w:t>
      </w:r>
      <w:proofErr w:type="spellStart"/>
      <w:r w:rsidR="00182C4E" w:rsidRPr="005258D6">
        <w:rPr>
          <w:rFonts w:cs="Times New Roman"/>
        </w:rPr>
        <w:t>Fischman</w:t>
      </w:r>
      <w:proofErr w:type="spellEnd"/>
      <w:r w:rsidR="00182C4E" w:rsidRPr="005258D6">
        <w:rPr>
          <w:rFonts w:cs="Times New Roman"/>
        </w:rPr>
        <w:t xml:space="preserve"> </w:t>
      </w:r>
      <w:r w:rsidR="000D6839">
        <w:rPr>
          <w:rFonts w:cs="Times New Roman"/>
        </w:rPr>
        <w:t>and</w:t>
      </w:r>
      <w:r w:rsidR="00182C4E" w:rsidRPr="005258D6">
        <w:rPr>
          <w:rFonts w:cs="Times New Roman"/>
        </w:rPr>
        <w:t xml:space="preserve"> Law, 26). </w:t>
      </w:r>
      <w:r w:rsidR="00321B1E" w:rsidRPr="005258D6">
        <w:rPr>
          <w:rFonts w:cs="Times New Roman"/>
        </w:rPr>
        <w:t xml:space="preserve"> Complex cases do not always fit neatly into one category or issue area.</w:t>
      </w:r>
      <w:r w:rsidR="002D43B4" w:rsidRPr="005258D6">
        <w:rPr>
          <w:rFonts w:cs="Times New Roman"/>
        </w:rPr>
        <w:t xml:space="preserve">  Despite these problems, the prevailing view in the literature is that a single left-right dimension underlies virtually all USSC cases in virtually</w:t>
      </w:r>
      <w:r w:rsidR="006F030A">
        <w:rPr>
          <w:rFonts w:cs="Times New Roman"/>
        </w:rPr>
        <w:t xml:space="preserve"> all areas of law (Epstein, Martin, Quinn </w:t>
      </w:r>
      <w:r w:rsidR="000D6839">
        <w:rPr>
          <w:rFonts w:cs="Times New Roman"/>
        </w:rPr>
        <w:t>and</w:t>
      </w:r>
      <w:r w:rsidR="006F030A">
        <w:rPr>
          <w:rFonts w:cs="Times New Roman"/>
        </w:rPr>
        <w:t xml:space="preserve"> Segal</w:t>
      </w:r>
      <w:r w:rsidR="002D43B4" w:rsidRPr="005258D6">
        <w:rPr>
          <w:rFonts w:cs="Times New Roman"/>
        </w:rPr>
        <w:t xml:space="preserve"> 2012, 716). </w:t>
      </w:r>
    </w:p>
    <w:p w:rsidR="00D50941" w:rsidRPr="00033D82" w:rsidRDefault="00D50941" w:rsidP="00675487">
      <w:pPr>
        <w:spacing w:line="480" w:lineRule="auto"/>
        <w:ind w:left="0" w:firstLine="720"/>
      </w:pPr>
      <w:r w:rsidRPr="00B00F81">
        <w:t>Because ordinary least squares regression is inappropriate when the dependent variab</w:t>
      </w:r>
      <w:r w:rsidR="00A222B0">
        <w:t xml:space="preserve">le is dichotomous, I estimate </w:t>
      </w:r>
      <w:proofErr w:type="spellStart"/>
      <w:r w:rsidRPr="00B00F81">
        <w:t>logit</w:t>
      </w:r>
      <w:proofErr w:type="spellEnd"/>
      <w:r w:rsidR="00A24512" w:rsidRPr="00B00F81">
        <w:t xml:space="preserve"> </w:t>
      </w:r>
      <w:r w:rsidRPr="00B00F81">
        <w:t>model</w:t>
      </w:r>
      <w:r w:rsidR="00A222B0">
        <w:t>s</w:t>
      </w:r>
      <w:r w:rsidR="005F0537">
        <w:t>.  These</w:t>
      </w:r>
      <w:r w:rsidRPr="00B00F81">
        <w:t xml:space="preserve"> method</w:t>
      </w:r>
      <w:r w:rsidR="005F0537">
        <w:t>s estimate</w:t>
      </w:r>
      <w:r w:rsidRPr="00B00F81">
        <w:t xml:space="preserve"> the parameters of a model’s independent variables in terms of the contribution each makes to the probability that the dependent variable falls into one of the designated categories (e.g., a liberal or conservative vote) (</w:t>
      </w:r>
      <w:proofErr w:type="spellStart"/>
      <w:r w:rsidRPr="00B00F81">
        <w:t>Songer</w:t>
      </w:r>
      <w:proofErr w:type="spellEnd"/>
      <w:r w:rsidRPr="00B00F81">
        <w:t xml:space="preserve"> and </w:t>
      </w:r>
      <w:proofErr w:type="spellStart"/>
      <w:r w:rsidRPr="00B00F81">
        <w:t>Tabrizi</w:t>
      </w:r>
      <w:proofErr w:type="spellEnd"/>
      <w:r w:rsidRPr="00B00F81">
        <w:t xml:space="preserve"> 1999, 512).  </w:t>
      </w:r>
      <w:r w:rsidR="006B3D54">
        <w:t xml:space="preserve">A </w:t>
      </w:r>
      <w:proofErr w:type="spellStart"/>
      <w:r w:rsidR="006B3D54">
        <w:t>logit</w:t>
      </w:r>
      <w:proofErr w:type="spellEnd"/>
      <w:r w:rsidR="000B2400" w:rsidRPr="00B00F81">
        <w:t xml:space="preserve"> model is an appropriate choice because it does not</w:t>
      </w:r>
      <w:r w:rsidR="006525AB">
        <w:t xml:space="preserve"> assume the influence of amici i</w:t>
      </w:r>
      <w:r w:rsidR="000B2400" w:rsidRPr="00B00F81">
        <w:t xml:space="preserve">s linear (Collins 2004, 817, fn. 16). </w:t>
      </w:r>
      <w:r w:rsidR="006525AB">
        <w:t xml:space="preserve"> </w:t>
      </w:r>
      <w:r w:rsidRPr="00B00F81">
        <w:t>For each independent variable, a maximum likelihood estimate (MLE) is calculated along with its</w:t>
      </w:r>
      <w:r w:rsidR="006A4486">
        <w:t xml:space="preserve"> standard error (SE).  Each MLE</w:t>
      </w:r>
      <w:r w:rsidRPr="00B00F81">
        <w:t xml:space="preserve"> represents the change in the logistic f</w:t>
      </w:r>
      <w:r w:rsidR="006525AB">
        <w:t xml:space="preserve">unction that results from a one </w:t>
      </w:r>
      <w:r w:rsidRPr="00B00F81">
        <w:t>unit change in the independent variable.</w:t>
      </w:r>
      <w:r w:rsidR="005F0537">
        <w:t xml:space="preserve"> </w:t>
      </w:r>
      <w:r w:rsidR="00052CD1">
        <w:t xml:space="preserve"> </w:t>
      </w:r>
      <w:r w:rsidR="000B2400" w:rsidRPr="00583583">
        <w:t xml:space="preserve"> I will</w:t>
      </w:r>
      <w:r w:rsidR="00052CD1">
        <w:t xml:space="preserve"> also</w:t>
      </w:r>
      <w:r w:rsidR="000B2400" w:rsidRPr="00583583">
        <w:t xml:space="preserve"> calculate </w:t>
      </w:r>
      <w:r w:rsidR="00675487">
        <w:t xml:space="preserve">marginal effects of substantively interesting </w:t>
      </w:r>
      <w:r w:rsidR="00675487">
        <w:lastRenderedPageBreak/>
        <w:t>changes in the values of each of the independent variables on the likelihood</w:t>
      </w:r>
      <w:r w:rsidR="00675487" w:rsidRPr="00583583">
        <w:t xml:space="preserve"> that a justice will cas</w:t>
      </w:r>
      <w:r w:rsidR="00675487">
        <w:t>t a liberal vote</w:t>
      </w:r>
      <w:r w:rsidR="000B2400" w:rsidRPr="00583583">
        <w:t xml:space="preserve">.  </w:t>
      </w:r>
      <w:r w:rsidR="000B2400" w:rsidRPr="00B00F81">
        <w:t>I will t</w:t>
      </w:r>
      <w:r w:rsidR="005F0537">
        <w:t xml:space="preserve">hen use the results of the </w:t>
      </w:r>
      <w:proofErr w:type="spellStart"/>
      <w:r w:rsidR="005F0537">
        <w:t>logit</w:t>
      </w:r>
      <w:proofErr w:type="spellEnd"/>
      <w:r w:rsidR="000B2400" w:rsidRPr="00B00F81">
        <w:t xml:space="preserve"> model</w:t>
      </w:r>
      <w:r w:rsidR="005F0537">
        <w:t>s</w:t>
      </w:r>
      <w:r w:rsidR="000B2400" w:rsidRPr="00B00F81">
        <w:t xml:space="preserve"> to graphical plot the i</w:t>
      </w:r>
      <w:r w:rsidR="00C7529E">
        <w:t>nfluence of the amici</w:t>
      </w:r>
      <w:r w:rsidR="000B2400" w:rsidRPr="00B00F81">
        <w:t xml:space="preserve"> on the likelihood of observing a liberal vote ac</w:t>
      </w:r>
      <w:r w:rsidR="00C7529E">
        <w:t>ross varying levels of judicial moderation</w:t>
      </w:r>
      <w:r w:rsidR="006525AB">
        <w:t xml:space="preserve">, </w:t>
      </w:r>
      <w:r w:rsidR="005F0537">
        <w:t>as appropriate</w:t>
      </w:r>
      <w:r w:rsidR="000B2400" w:rsidRPr="00B00F81">
        <w:t>.</w:t>
      </w:r>
      <w:r w:rsidR="00FF3DF3" w:rsidRPr="00B00F81">
        <w:rPr>
          <w:rStyle w:val="FootnoteReference"/>
        </w:rPr>
        <w:footnoteReference w:id="47"/>
      </w:r>
      <w:r w:rsidR="00B073B4">
        <w:t xml:space="preserve"> </w:t>
      </w:r>
      <w:r w:rsidR="00675487">
        <w:t xml:space="preserve"> Lastly, I will</w:t>
      </w:r>
      <w:r w:rsidR="00052CD1">
        <w:t xml:space="preserve"> also include</w:t>
      </w:r>
      <w:r w:rsidR="00B073B4">
        <w:t xml:space="preserve"> predicted probabilities</w:t>
      </w:r>
      <w:r w:rsidR="0034010A">
        <w:t xml:space="preserve"> tables to accompany my primary all-inclusive model and my salient cases model, which will </w:t>
      </w:r>
      <w:r w:rsidR="00B073B4">
        <w:t>d</w:t>
      </w:r>
      <w:r w:rsidR="0034010A">
        <w:t>epict</w:t>
      </w:r>
      <w:r w:rsidR="00B073B4">
        <w:t xml:space="preserve"> the probability of </w:t>
      </w:r>
      <w:r w:rsidR="00052CD1">
        <w:t>justices of various moderation levels casting a liberal vote as</w:t>
      </w:r>
      <w:r w:rsidR="0034010A">
        <w:t xml:space="preserve"> the</w:t>
      </w:r>
      <w:r w:rsidR="00052CD1">
        <w:t xml:space="preserve"> ideological amicus brief advantage increases and decreases in a case by substantively interesting amounts</w:t>
      </w:r>
      <w:r w:rsidR="0034010A">
        <w:t>.</w:t>
      </w:r>
      <w:r w:rsidR="00B073B4">
        <w:t xml:space="preserve"> </w:t>
      </w:r>
    </w:p>
    <w:p w:rsidR="00376904" w:rsidRPr="00B00F81" w:rsidRDefault="005F0537" w:rsidP="00D50941">
      <w:pPr>
        <w:pStyle w:val="ListParagraph"/>
        <w:numPr>
          <w:ilvl w:val="0"/>
          <w:numId w:val="1"/>
        </w:numPr>
        <w:spacing w:line="480" w:lineRule="auto"/>
        <w:ind w:left="0" w:firstLine="720"/>
        <w:rPr>
          <w:b/>
          <w:i/>
          <w:u w:val="single"/>
        </w:rPr>
      </w:pPr>
      <w:r>
        <w:rPr>
          <w:b/>
        </w:rPr>
        <w:t>Independent Variables</w:t>
      </w:r>
    </w:p>
    <w:p w:rsidR="00D50941" w:rsidRPr="00376904" w:rsidRDefault="00D50941" w:rsidP="00376904">
      <w:pPr>
        <w:spacing w:line="480" w:lineRule="auto"/>
        <w:ind w:left="0" w:firstLine="720"/>
        <w:rPr>
          <w:b/>
          <w:u w:val="single"/>
        </w:rPr>
      </w:pPr>
      <w:r>
        <w:t>The first independent</w:t>
      </w:r>
      <w:r w:rsidRPr="00A02BA1">
        <w:t xml:space="preserve"> </w:t>
      </w:r>
      <w:r>
        <w:t xml:space="preserve">variable of interest </w:t>
      </w:r>
      <w:r w:rsidRPr="00A02BA1">
        <w:t>represent</w:t>
      </w:r>
      <w:r>
        <w:t>s</w:t>
      </w:r>
      <w:r w:rsidRPr="00A02BA1">
        <w:t xml:space="preserve"> the </w:t>
      </w:r>
      <w:r w:rsidR="0086406A">
        <w:t xml:space="preserve">difference in the </w:t>
      </w:r>
      <w:r w:rsidRPr="00A02BA1">
        <w:t>number of liberal and conservative am</w:t>
      </w:r>
      <w:r w:rsidR="0086406A">
        <w:t>icus briefs file</w:t>
      </w:r>
      <w:r w:rsidR="0060246C">
        <w:t xml:space="preserve">d in each case: </w:t>
      </w:r>
      <w:r w:rsidRPr="00376904">
        <w:rPr>
          <w:i/>
        </w:rPr>
        <w:t>Liberal</w:t>
      </w:r>
      <w:r w:rsidR="0086406A">
        <w:rPr>
          <w:i/>
        </w:rPr>
        <w:t xml:space="preserve"> - Conservative</w:t>
      </w:r>
      <w:r w:rsidRPr="00376904">
        <w:rPr>
          <w:i/>
        </w:rPr>
        <w:t xml:space="preserve"> Amicus Briefs</w:t>
      </w:r>
      <w:r w:rsidR="0086406A">
        <w:rPr>
          <w:i/>
        </w:rPr>
        <w:t xml:space="preserve"> Difference</w:t>
      </w:r>
      <w:r w:rsidRPr="00A02BA1">
        <w:t>.  To determine the ideological direction of the amicus brief, I use the direction of the lower court’s decision</w:t>
      </w:r>
      <w:r w:rsidRPr="00033D82">
        <w:t xml:space="preserve"> (as identified by the SCDB) </w:t>
      </w:r>
      <w:r w:rsidRPr="00A02BA1">
        <w:t>along with the litigant the amici supported</w:t>
      </w:r>
      <w:r w:rsidR="00ED2997">
        <w:t xml:space="preserve"> (Petitioner or Respondent)</w:t>
      </w:r>
      <w:r w:rsidRPr="00A02BA1">
        <w:t xml:space="preserve">.  This allows for the ideological </w:t>
      </w:r>
      <w:r w:rsidR="006525AB">
        <w:t>direction of the amicus brief</w:t>
      </w:r>
      <w:r w:rsidRPr="00A02BA1">
        <w:t xml:space="preserve"> to be put on the same dimension as the ideological direction of the justice vote.  For example, if the lower court handed down a liberal decision and four amicus briefs were filed for the petitioner, these briefs are coded in support of the</w:t>
      </w:r>
      <w:r w:rsidR="0086406A">
        <w:t xml:space="preserve"> conservative position.</w:t>
      </w:r>
      <w:r w:rsidR="00ED2997">
        <w:rPr>
          <w:rStyle w:val="FootnoteReference"/>
        </w:rPr>
        <w:footnoteReference w:id="48"/>
      </w:r>
      <w:r w:rsidR="0086406A">
        <w:t xml:space="preserve">  A value</w:t>
      </w:r>
      <w:r w:rsidRPr="00A02BA1">
        <w:t xml:space="preserve"> of 0 </w:t>
      </w:r>
      <w:r>
        <w:t>on</w:t>
      </w:r>
      <w:r w:rsidR="0086406A">
        <w:t xml:space="preserve"> </w:t>
      </w:r>
      <w:r w:rsidR="0086406A" w:rsidRPr="00376904">
        <w:rPr>
          <w:i/>
        </w:rPr>
        <w:t>Liberal</w:t>
      </w:r>
      <w:r w:rsidR="0086406A">
        <w:rPr>
          <w:i/>
        </w:rPr>
        <w:t xml:space="preserve"> - Conservative</w:t>
      </w:r>
      <w:r w:rsidR="0086406A" w:rsidRPr="00376904">
        <w:rPr>
          <w:i/>
        </w:rPr>
        <w:t xml:space="preserve"> Amicus Briefs</w:t>
      </w:r>
      <w:r w:rsidR="0086406A">
        <w:rPr>
          <w:i/>
        </w:rPr>
        <w:t xml:space="preserve"> Difference</w:t>
      </w:r>
      <w:r>
        <w:t xml:space="preserve"> </w:t>
      </w:r>
      <w:r w:rsidRPr="00A02BA1">
        <w:t>means that</w:t>
      </w:r>
      <w:r w:rsidR="0086406A">
        <w:t xml:space="preserve"> either</w:t>
      </w:r>
      <w:r w:rsidRPr="00A02BA1">
        <w:t xml:space="preserve"> no </w:t>
      </w:r>
      <w:proofErr w:type="gramStart"/>
      <w:r w:rsidRPr="00A02BA1">
        <w:t>briefs</w:t>
      </w:r>
      <w:proofErr w:type="gramEnd"/>
      <w:r w:rsidRPr="00A02BA1">
        <w:t xml:space="preserve"> were filed in support of either the liberal or</w:t>
      </w:r>
      <w:r w:rsidR="0086406A">
        <w:t xml:space="preserve"> conservative position, or that the same number of liberal and conservative briefs were filed in the </w:t>
      </w:r>
      <w:r w:rsidR="0086406A">
        <w:lastRenderedPageBreak/>
        <w:t>case</w:t>
      </w:r>
      <w:r w:rsidRPr="00A02BA1">
        <w:t>.</w:t>
      </w:r>
      <w:r w:rsidR="0086406A">
        <w:t xml:space="preserve">  A positive value indicates that </w:t>
      </w:r>
      <w:r w:rsidR="000A670E">
        <w:t xml:space="preserve">liberal </w:t>
      </w:r>
      <w:r w:rsidR="0060246C">
        <w:t>briefs outnumber</w:t>
      </w:r>
      <w:r w:rsidR="0086406A">
        <w:t xml:space="preserve"> conservative briefs in the case, while a negativ</w:t>
      </w:r>
      <w:r w:rsidR="00104430">
        <w:t xml:space="preserve">e value indicates the opposite.  I </w:t>
      </w:r>
      <w:r w:rsidR="0086406A">
        <w:t>expect this variable to be signed positively, indicating that a relative advantage of liberal briefs in a case increases the likelihood of a justice voting liberally.</w:t>
      </w:r>
      <w:r w:rsidR="00104430">
        <w:t xml:space="preserve">  This finding would support the legal persuasion model </w:t>
      </w:r>
      <w:r w:rsidR="006525AB">
        <w:t xml:space="preserve">(information/legal persuasion hypotheses) </w:t>
      </w:r>
      <w:r w:rsidR="00104430">
        <w:t>of amicus influence.</w:t>
      </w:r>
    </w:p>
    <w:p w:rsidR="00D50941" w:rsidRPr="00104430" w:rsidRDefault="00D50941" w:rsidP="00104430">
      <w:pPr>
        <w:spacing w:line="480" w:lineRule="auto"/>
        <w:ind w:left="0" w:firstLine="720"/>
        <w:rPr>
          <w:b/>
          <w:u w:val="single"/>
        </w:rPr>
      </w:pPr>
      <w:r>
        <w:t xml:space="preserve">The second independent variable of interest represents the </w:t>
      </w:r>
      <w:r w:rsidR="00104430">
        <w:t>relative advantage of liberal amicus participants in a case</w:t>
      </w:r>
      <w:r w:rsidR="000A670E">
        <w:t xml:space="preserve">: </w:t>
      </w:r>
      <w:r w:rsidR="000A670E">
        <w:rPr>
          <w:i/>
        </w:rPr>
        <w:t>Liberal -</w:t>
      </w:r>
      <w:r w:rsidR="000A670E" w:rsidRPr="00E66657">
        <w:rPr>
          <w:i/>
        </w:rPr>
        <w:t xml:space="preserve"> Conservative Amicus </w:t>
      </w:r>
      <w:r w:rsidR="00112889">
        <w:rPr>
          <w:i/>
        </w:rPr>
        <w:t>Cosigners Difference</w:t>
      </w:r>
      <w:r>
        <w:t xml:space="preserve">.  </w:t>
      </w:r>
      <w:r w:rsidR="000A670E">
        <w:t>T</w:t>
      </w:r>
      <w:r>
        <w:t xml:space="preserve">his variable </w:t>
      </w:r>
      <w:r w:rsidR="00104430">
        <w:t xml:space="preserve">reflects </w:t>
      </w:r>
      <w:r>
        <w:t xml:space="preserve">not only </w:t>
      </w:r>
      <w:r w:rsidR="00104430">
        <w:t xml:space="preserve">the number of </w:t>
      </w:r>
      <w:r>
        <w:t>amicus</w:t>
      </w:r>
      <w:r w:rsidR="00104430">
        <w:t xml:space="preserve"> brief</w:t>
      </w:r>
      <w:r>
        <w:t xml:space="preserve"> filers, but also amicus co-signers</w:t>
      </w:r>
      <w:r w:rsidR="00104430">
        <w:t xml:space="preserve"> in each case</w:t>
      </w:r>
      <w:r>
        <w:t xml:space="preserve">.  </w:t>
      </w:r>
      <w:r w:rsidR="00104430">
        <w:t xml:space="preserve">I use the same basic methodology as described in the </w:t>
      </w:r>
      <w:r w:rsidR="00104430" w:rsidRPr="00376904">
        <w:rPr>
          <w:i/>
        </w:rPr>
        <w:t>Liberal</w:t>
      </w:r>
      <w:r w:rsidR="00104430">
        <w:rPr>
          <w:i/>
        </w:rPr>
        <w:t xml:space="preserve"> - Conservative</w:t>
      </w:r>
      <w:r w:rsidR="00104430" w:rsidRPr="00376904">
        <w:rPr>
          <w:i/>
        </w:rPr>
        <w:t xml:space="preserve"> Amicus Briefs</w:t>
      </w:r>
      <w:r w:rsidR="00104430">
        <w:rPr>
          <w:i/>
        </w:rPr>
        <w:t xml:space="preserve"> Difference </w:t>
      </w:r>
      <w:r w:rsidR="00104430">
        <w:t>variable</w:t>
      </w:r>
      <w:r w:rsidR="00104430">
        <w:rPr>
          <w:i/>
        </w:rPr>
        <w:t xml:space="preserve"> </w:t>
      </w:r>
      <w:r w:rsidR="00104430">
        <w:t>description above. A positive value indicates that liberal amicus signers outnumber conservative amicus signers in a case, while a negative value indicates the opposite.   I expect this variable to be signed positively, indicating that a relative advantage of liberal signers in a case increases the likelihood of a justice voting liberally.  This finding would support the interest group th</w:t>
      </w:r>
      <w:r w:rsidR="006525AB">
        <w:t>eory (affected groups hypotheses</w:t>
      </w:r>
      <w:r w:rsidR="00104430">
        <w:t>) of amicus influence.</w:t>
      </w:r>
    </w:p>
    <w:p w:rsidR="005279BB" w:rsidRDefault="00D50941" w:rsidP="000A670E">
      <w:pPr>
        <w:autoSpaceDE w:val="0"/>
        <w:autoSpaceDN w:val="0"/>
        <w:adjustRightInd w:val="0"/>
        <w:spacing w:line="480" w:lineRule="auto"/>
        <w:ind w:left="0" w:firstLine="720"/>
      </w:pPr>
      <w:r w:rsidRPr="001D3162">
        <w:rPr>
          <w:rFonts w:cs="Times New Roman"/>
        </w:rPr>
        <w:t>The third independent variable of</w:t>
      </w:r>
      <w:r w:rsidR="000A670E">
        <w:rPr>
          <w:rFonts w:cs="Times New Roman"/>
        </w:rPr>
        <w:t xml:space="preserve"> interest is judicial ideology: </w:t>
      </w:r>
      <w:r w:rsidR="000A670E">
        <w:rPr>
          <w:rFonts w:cs="Times New Roman"/>
          <w:i/>
        </w:rPr>
        <w:t>Ideology</w:t>
      </w:r>
      <w:r w:rsidRPr="001D3162">
        <w:rPr>
          <w:rFonts w:cs="Times New Roman"/>
        </w:rPr>
        <w:t>. As the Court’s ideology is a well-known predict</w:t>
      </w:r>
      <w:r w:rsidR="00A24512" w:rsidRPr="001D3162">
        <w:rPr>
          <w:rFonts w:cs="Times New Roman"/>
        </w:rPr>
        <w:t xml:space="preserve">or of judicial outcomes, I </w:t>
      </w:r>
      <w:r w:rsidRPr="001D3162">
        <w:rPr>
          <w:rFonts w:cs="Times New Roman"/>
        </w:rPr>
        <w:t>control for</w:t>
      </w:r>
      <w:r w:rsidR="00A24512" w:rsidRPr="001D3162">
        <w:rPr>
          <w:rFonts w:cs="Times New Roman"/>
        </w:rPr>
        <w:t xml:space="preserve"> judicial</w:t>
      </w:r>
      <w:r w:rsidRPr="001D3162">
        <w:rPr>
          <w:rFonts w:cs="Times New Roman"/>
        </w:rPr>
        <w:t xml:space="preserve"> ideology (policy preferences) by using the </w:t>
      </w:r>
      <w:r w:rsidR="00A24512" w:rsidRPr="001D3162">
        <w:rPr>
          <w:rFonts w:cs="Times New Roman"/>
        </w:rPr>
        <w:t xml:space="preserve">Segal and Cover (1989) ideology scores, which are based on </w:t>
      </w:r>
      <w:r w:rsidR="00D801EA">
        <w:rPr>
          <w:rFonts w:cs="Times New Roman"/>
        </w:rPr>
        <w:t xml:space="preserve">newspaper </w:t>
      </w:r>
      <w:r w:rsidR="00A24512" w:rsidRPr="001D3162">
        <w:rPr>
          <w:rFonts w:cs="Times New Roman"/>
        </w:rPr>
        <w:t xml:space="preserve">editorial commentary involving the justices’ perceived ideologies made between their </w:t>
      </w:r>
      <w:r w:rsidR="00D801EA">
        <w:rPr>
          <w:rFonts w:cs="Times New Roman"/>
        </w:rPr>
        <w:t xml:space="preserve">presidential </w:t>
      </w:r>
      <w:r w:rsidR="00A24512" w:rsidRPr="001D3162">
        <w:rPr>
          <w:rFonts w:cs="Times New Roman"/>
        </w:rPr>
        <w:t>nomination and Senate Confirmation</w:t>
      </w:r>
      <w:r w:rsidRPr="001D3162">
        <w:rPr>
          <w:rFonts w:cs="Times New Roman"/>
        </w:rPr>
        <w:t xml:space="preserve">. </w:t>
      </w:r>
      <w:r w:rsidR="00016A6C" w:rsidRPr="001D3162">
        <w:rPr>
          <w:rFonts w:cs="Times New Roman"/>
        </w:rPr>
        <w:t xml:space="preserve"> </w:t>
      </w:r>
      <w:r w:rsidR="003E2E7A">
        <w:t>The Segal-</w:t>
      </w:r>
      <w:r w:rsidR="00977521">
        <w:t>Cover ideology scale runs from 0 to 1.0, with 0 being the most conservative and 1.0 being the most liberal.</w:t>
      </w:r>
      <w:r w:rsidR="00F75262">
        <w:rPr>
          <w:rStyle w:val="FootnoteReference"/>
        </w:rPr>
        <w:footnoteReference w:id="49"/>
      </w:r>
      <w:r w:rsidR="00977521">
        <w:t xml:space="preserve"> </w:t>
      </w:r>
      <w:r w:rsidR="00C7529E">
        <w:t xml:space="preserve"> Table 3.1 lists the </w:t>
      </w:r>
      <w:r w:rsidR="00C7529E">
        <w:lastRenderedPageBreak/>
        <w:t>Segal-Cover scores of each of the justices on the Roberts Court during the 2007-2011 terms fro</w:t>
      </w:r>
      <w:r w:rsidR="005279BB">
        <w:t>m highest (most liberal) to lowest (most conservative).</w:t>
      </w:r>
    </w:p>
    <w:p w:rsidR="000A670E" w:rsidRDefault="000A670E" w:rsidP="000A670E">
      <w:pPr>
        <w:autoSpaceDE w:val="0"/>
        <w:autoSpaceDN w:val="0"/>
        <w:adjustRightInd w:val="0"/>
        <w:spacing w:line="480" w:lineRule="auto"/>
        <w:ind w:left="0" w:firstLine="720"/>
      </w:pPr>
    </w:p>
    <w:p w:rsidR="00C7529E" w:rsidRPr="00C7529E" w:rsidRDefault="00C7529E" w:rsidP="00C7529E">
      <w:pPr>
        <w:autoSpaceDE w:val="0"/>
        <w:autoSpaceDN w:val="0"/>
        <w:adjustRightInd w:val="0"/>
        <w:spacing w:line="480" w:lineRule="auto"/>
        <w:ind w:left="0" w:firstLine="0"/>
        <w:rPr>
          <w:b/>
        </w:rPr>
      </w:pPr>
      <w:r w:rsidRPr="00C7529E">
        <w:rPr>
          <w:b/>
        </w:rPr>
        <w:t>Table 3.1 Justice Segal-Cov</w:t>
      </w:r>
      <w:r w:rsidR="00DC3A5D">
        <w:rPr>
          <w:b/>
        </w:rPr>
        <w:t>er Scores Ranked</w:t>
      </w:r>
      <w:r w:rsidR="005279BB">
        <w:rPr>
          <w:b/>
        </w:rPr>
        <w:t xml:space="preserve"> Most Liberal to Most Conservative</w:t>
      </w:r>
      <w:r w:rsidR="0082221A">
        <w:rPr>
          <w:b/>
        </w:rPr>
        <w:t>, 2007-2011 terms of the USSC</w:t>
      </w:r>
    </w:p>
    <w:tbl>
      <w:tblPr>
        <w:tblW w:w="0" w:type="auto"/>
        <w:jc w:val="center"/>
        <w:tblInd w:w="93" w:type="dxa"/>
        <w:tblBorders>
          <w:top w:val="single" w:sz="18" w:space="0" w:color="auto"/>
          <w:bottom w:val="single" w:sz="18" w:space="0" w:color="auto"/>
        </w:tblBorders>
        <w:tblLook w:val="04A0" w:firstRow="1" w:lastRow="0" w:firstColumn="1" w:lastColumn="0" w:noHBand="0" w:noVBand="1"/>
      </w:tblPr>
      <w:tblGrid>
        <w:gridCol w:w="1097"/>
        <w:gridCol w:w="222"/>
        <w:gridCol w:w="1983"/>
        <w:gridCol w:w="2103"/>
      </w:tblGrid>
      <w:tr w:rsidR="005279BB" w:rsidRPr="00C7529E" w:rsidTr="005279BB">
        <w:trPr>
          <w:trHeight w:val="576"/>
          <w:jc w:val="center"/>
        </w:trPr>
        <w:tc>
          <w:tcPr>
            <w:tcW w:w="0" w:type="auto"/>
            <w:tcBorders>
              <w:top w:val="single" w:sz="18" w:space="0" w:color="auto"/>
              <w:bottom w:val="single" w:sz="18" w:space="0" w:color="auto"/>
            </w:tcBorders>
            <w:vAlign w:val="center"/>
          </w:tcPr>
          <w:p w:rsidR="005279BB" w:rsidRPr="00C7529E" w:rsidRDefault="005279BB" w:rsidP="005279BB">
            <w:pPr>
              <w:ind w:left="0" w:firstLine="0"/>
              <w:rPr>
                <w:rFonts w:eastAsia="Times New Roman" w:cs="Times New Roman"/>
                <w:b/>
                <w:bCs/>
                <w:color w:val="000000"/>
                <w:szCs w:val="24"/>
              </w:rPr>
            </w:pPr>
            <w:r>
              <w:rPr>
                <w:rFonts w:eastAsia="Times New Roman" w:cs="Times New Roman"/>
                <w:b/>
                <w:bCs/>
                <w:color w:val="000000"/>
                <w:szCs w:val="24"/>
              </w:rPr>
              <w:t>Ranking</w:t>
            </w:r>
          </w:p>
        </w:tc>
        <w:tc>
          <w:tcPr>
            <w:tcW w:w="0" w:type="auto"/>
            <w:tcBorders>
              <w:top w:val="single" w:sz="18" w:space="0" w:color="auto"/>
              <w:bottom w:val="single" w:sz="18" w:space="0" w:color="auto"/>
            </w:tcBorders>
          </w:tcPr>
          <w:p w:rsidR="005279BB" w:rsidRPr="00C7529E" w:rsidRDefault="005279BB" w:rsidP="00C7529E">
            <w:pPr>
              <w:ind w:left="0" w:firstLine="0"/>
              <w:rPr>
                <w:rFonts w:eastAsia="Times New Roman" w:cs="Times New Roman"/>
                <w:b/>
                <w:bCs/>
                <w:color w:val="000000"/>
                <w:szCs w:val="24"/>
              </w:rPr>
            </w:pPr>
          </w:p>
        </w:tc>
        <w:tc>
          <w:tcPr>
            <w:tcW w:w="0" w:type="auto"/>
            <w:tcBorders>
              <w:top w:val="single" w:sz="18" w:space="0" w:color="auto"/>
              <w:bottom w:val="single" w:sz="18" w:space="0" w:color="auto"/>
            </w:tcBorders>
            <w:shd w:val="clear" w:color="auto" w:fill="auto"/>
            <w:noWrap/>
            <w:vAlign w:val="center"/>
            <w:hideMark/>
          </w:tcPr>
          <w:p w:rsidR="005279BB" w:rsidRPr="00C7529E" w:rsidRDefault="006A4486" w:rsidP="006A4486">
            <w:pPr>
              <w:ind w:left="0" w:firstLine="0"/>
              <w:jc w:val="center"/>
              <w:rPr>
                <w:rFonts w:eastAsia="Times New Roman" w:cs="Times New Roman"/>
                <w:b/>
                <w:bCs/>
                <w:color w:val="000000"/>
                <w:szCs w:val="24"/>
              </w:rPr>
            </w:pPr>
            <w:r>
              <w:rPr>
                <w:rFonts w:eastAsia="Times New Roman" w:cs="Times New Roman"/>
                <w:b/>
                <w:bCs/>
                <w:color w:val="000000"/>
                <w:szCs w:val="24"/>
              </w:rPr>
              <w:t>Justice</w:t>
            </w:r>
          </w:p>
        </w:tc>
        <w:tc>
          <w:tcPr>
            <w:tcW w:w="0" w:type="auto"/>
            <w:tcBorders>
              <w:top w:val="single" w:sz="18" w:space="0" w:color="auto"/>
              <w:bottom w:val="single" w:sz="18" w:space="0" w:color="auto"/>
            </w:tcBorders>
            <w:shd w:val="clear" w:color="auto" w:fill="auto"/>
            <w:noWrap/>
            <w:vAlign w:val="center"/>
            <w:hideMark/>
          </w:tcPr>
          <w:p w:rsidR="005279BB" w:rsidRPr="00C7529E" w:rsidRDefault="005279BB" w:rsidP="00C7529E">
            <w:pPr>
              <w:ind w:left="0" w:firstLine="0"/>
              <w:jc w:val="center"/>
              <w:rPr>
                <w:rFonts w:eastAsia="Times New Roman" w:cs="Times New Roman"/>
                <w:b/>
                <w:bCs/>
                <w:color w:val="000000"/>
                <w:szCs w:val="24"/>
              </w:rPr>
            </w:pPr>
            <w:r w:rsidRPr="00C7529E">
              <w:rPr>
                <w:rFonts w:eastAsia="Times New Roman" w:cs="Times New Roman"/>
                <w:b/>
                <w:bCs/>
                <w:color w:val="000000"/>
                <w:szCs w:val="24"/>
              </w:rPr>
              <w:t>Seg</w:t>
            </w:r>
            <w:r>
              <w:rPr>
                <w:rFonts w:eastAsia="Times New Roman" w:cs="Times New Roman"/>
                <w:b/>
                <w:bCs/>
                <w:color w:val="000000"/>
                <w:szCs w:val="24"/>
              </w:rPr>
              <w:t>al-Cover Score</w:t>
            </w:r>
          </w:p>
        </w:tc>
      </w:tr>
      <w:tr w:rsidR="005279BB" w:rsidRPr="00C7529E" w:rsidTr="005279BB">
        <w:trPr>
          <w:trHeight w:val="576"/>
          <w:jc w:val="center"/>
        </w:trPr>
        <w:tc>
          <w:tcPr>
            <w:tcW w:w="0" w:type="auto"/>
            <w:tcBorders>
              <w:top w:val="single" w:sz="18" w:space="0" w:color="auto"/>
            </w:tcBorders>
            <w:vAlign w:val="center"/>
          </w:tcPr>
          <w:p w:rsidR="005279BB" w:rsidRPr="00C7529E" w:rsidRDefault="005279BB" w:rsidP="005279BB">
            <w:pPr>
              <w:ind w:left="0" w:firstLine="0"/>
              <w:rPr>
                <w:rFonts w:eastAsia="Times New Roman" w:cs="Times New Roman"/>
                <w:color w:val="000000"/>
                <w:szCs w:val="24"/>
              </w:rPr>
            </w:pPr>
            <w:r>
              <w:rPr>
                <w:rFonts w:eastAsia="Times New Roman" w:cs="Times New Roman"/>
                <w:color w:val="000000"/>
                <w:szCs w:val="24"/>
              </w:rPr>
              <w:t>1</w:t>
            </w:r>
          </w:p>
        </w:tc>
        <w:tc>
          <w:tcPr>
            <w:tcW w:w="0" w:type="auto"/>
            <w:tcBorders>
              <w:top w:val="single" w:sz="18" w:space="0" w:color="auto"/>
            </w:tcBorders>
          </w:tcPr>
          <w:p w:rsidR="005279BB" w:rsidRPr="00C7529E" w:rsidRDefault="005279BB" w:rsidP="00C7529E">
            <w:pPr>
              <w:ind w:left="0" w:firstLine="0"/>
              <w:rPr>
                <w:rFonts w:eastAsia="Times New Roman" w:cs="Times New Roman"/>
                <w:color w:val="000000"/>
                <w:szCs w:val="24"/>
              </w:rPr>
            </w:pPr>
          </w:p>
        </w:tc>
        <w:tc>
          <w:tcPr>
            <w:tcW w:w="0" w:type="auto"/>
            <w:tcBorders>
              <w:top w:val="single" w:sz="18" w:space="0" w:color="auto"/>
            </w:tcBorders>
            <w:shd w:val="clear" w:color="auto" w:fill="auto"/>
            <w:noWrap/>
            <w:vAlign w:val="center"/>
            <w:hideMark/>
          </w:tcPr>
          <w:p w:rsidR="005279BB" w:rsidRPr="00C7529E" w:rsidRDefault="00DC3A5D" w:rsidP="00C7529E">
            <w:pPr>
              <w:ind w:left="0" w:firstLine="0"/>
              <w:rPr>
                <w:rFonts w:eastAsia="Times New Roman" w:cs="Times New Roman"/>
                <w:color w:val="000000"/>
                <w:szCs w:val="24"/>
              </w:rPr>
            </w:pPr>
            <w:r>
              <w:rPr>
                <w:rFonts w:eastAsia="Times New Roman" w:cs="Times New Roman"/>
                <w:color w:val="000000"/>
                <w:szCs w:val="24"/>
              </w:rPr>
              <w:t>Sonya</w:t>
            </w:r>
            <w:r w:rsidR="005279BB" w:rsidRPr="00C7529E">
              <w:rPr>
                <w:rFonts w:eastAsia="Times New Roman" w:cs="Times New Roman"/>
                <w:color w:val="000000"/>
                <w:szCs w:val="24"/>
              </w:rPr>
              <w:t xml:space="preserve"> Sotomayor</w:t>
            </w:r>
          </w:p>
        </w:tc>
        <w:tc>
          <w:tcPr>
            <w:tcW w:w="0" w:type="auto"/>
            <w:tcBorders>
              <w:top w:val="single" w:sz="18" w:space="0" w:color="auto"/>
            </w:tcBorders>
            <w:shd w:val="clear" w:color="auto" w:fill="auto"/>
            <w:noWrap/>
            <w:vAlign w:val="center"/>
            <w:hideMark/>
          </w:tcPr>
          <w:p w:rsidR="005279BB" w:rsidRPr="00C7529E" w:rsidRDefault="005279BB" w:rsidP="00C7529E">
            <w:pPr>
              <w:ind w:left="0" w:firstLine="0"/>
              <w:jc w:val="center"/>
              <w:rPr>
                <w:rFonts w:eastAsia="Times New Roman" w:cs="Times New Roman"/>
                <w:color w:val="000000"/>
                <w:szCs w:val="24"/>
              </w:rPr>
            </w:pPr>
            <w:r w:rsidRPr="00C7529E">
              <w:rPr>
                <w:rFonts w:eastAsia="Times New Roman" w:cs="Times New Roman"/>
                <w:color w:val="000000"/>
                <w:szCs w:val="24"/>
              </w:rPr>
              <w:t>0.78</w:t>
            </w:r>
          </w:p>
        </w:tc>
      </w:tr>
      <w:tr w:rsidR="005279BB" w:rsidRPr="00C7529E" w:rsidTr="005279BB">
        <w:trPr>
          <w:trHeight w:val="576"/>
          <w:jc w:val="center"/>
        </w:trPr>
        <w:tc>
          <w:tcPr>
            <w:tcW w:w="0" w:type="auto"/>
            <w:vAlign w:val="center"/>
          </w:tcPr>
          <w:p w:rsidR="005279BB" w:rsidRPr="00C7529E" w:rsidRDefault="005279BB" w:rsidP="005279BB">
            <w:pPr>
              <w:ind w:left="0" w:firstLine="0"/>
              <w:rPr>
                <w:rFonts w:eastAsia="Times New Roman" w:cs="Times New Roman"/>
                <w:color w:val="000000"/>
                <w:szCs w:val="24"/>
              </w:rPr>
            </w:pPr>
            <w:r>
              <w:rPr>
                <w:rFonts w:eastAsia="Times New Roman" w:cs="Times New Roman"/>
                <w:color w:val="000000"/>
                <w:szCs w:val="24"/>
              </w:rPr>
              <w:t>2</w:t>
            </w:r>
          </w:p>
        </w:tc>
        <w:tc>
          <w:tcPr>
            <w:tcW w:w="0" w:type="auto"/>
          </w:tcPr>
          <w:p w:rsidR="005279BB" w:rsidRPr="00C7529E" w:rsidRDefault="005279BB" w:rsidP="00C7529E">
            <w:pPr>
              <w:ind w:left="0" w:firstLine="0"/>
              <w:rPr>
                <w:rFonts w:eastAsia="Times New Roman" w:cs="Times New Roman"/>
                <w:color w:val="000000"/>
                <w:szCs w:val="24"/>
              </w:rPr>
            </w:pPr>
          </w:p>
        </w:tc>
        <w:tc>
          <w:tcPr>
            <w:tcW w:w="0" w:type="auto"/>
            <w:shd w:val="clear" w:color="auto" w:fill="auto"/>
            <w:noWrap/>
            <w:vAlign w:val="center"/>
            <w:hideMark/>
          </w:tcPr>
          <w:p w:rsidR="005279BB" w:rsidRPr="00C7529E" w:rsidRDefault="005279BB" w:rsidP="00C7529E">
            <w:pPr>
              <w:ind w:left="0" w:firstLine="0"/>
              <w:rPr>
                <w:rFonts w:eastAsia="Times New Roman" w:cs="Times New Roman"/>
                <w:color w:val="000000"/>
                <w:szCs w:val="24"/>
              </w:rPr>
            </w:pPr>
            <w:r w:rsidRPr="00C7529E">
              <w:rPr>
                <w:rFonts w:eastAsia="Times New Roman" w:cs="Times New Roman"/>
                <w:color w:val="000000"/>
                <w:szCs w:val="24"/>
              </w:rPr>
              <w:t>Elena Kagan</w:t>
            </w:r>
          </w:p>
        </w:tc>
        <w:tc>
          <w:tcPr>
            <w:tcW w:w="0" w:type="auto"/>
            <w:shd w:val="clear" w:color="auto" w:fill="auto"/>
            <w:noWrap/>
            <w:vAlign w:val="center"/>
            <w:hideMark/>
          </w:tcPr>
          <w:p w:rsidR="005279BB" w:rsidRPr="00C7529E" w:rsidRDefault="005279BB" w:rsidP="00C7529E">
            <w:pPr>
              <w:ind w:left="0" w:firstLine="0"/>
              <w:jc w:val="center"/>
              <w:rPr>
                <w:rFonts w:eastAsia="Times New Roman" w:cs="Times New Roman"/>
                <w:color w:val="000000"/>
                <w:szCs w:val="24"/>
              </w:rPr>
            </w:pPr>
            <w:r w:rsidRPr="00C7529E">
              <w:rPr>
                <w:rFonts w:eastAsia="Times New Roman" w:cs="Times New Roman"/>
                <w:color w:val="000000"/>
                <w:szCs w:val="24"/>
              </w:rPr>
              <w:t>0.73</w:t>
            </w:r>
          </w:p>
        </w:tc>
      </w:tr>
      <w:tr w:rsidR="005279BB" w:rsidRPr="00C7529E" w:rsidTr="005279BB">
        <w:trPr>
          <w:trHeight w:val="576"/>
          <w:jc w:val="center"/>
        </w:trPr>
        <w:tc>
          <w:tcPr>
            <w:tcW w:w="0" w:type="auto"/>
            <w:vAlign w:val="center"/>
          </w:tcPr>
          <w:p w:rsidR="005279BB" w:rsidRPr="00C7529E" w:rsidRDefault="005279BB" w:rsidP="005279BB">
            <w:pPr>
              <w:ind w:left="0" w:firstLine="0"/>
              <w:rPr>
                <w:rFonts w:eastAsia="Times New Roman" w:cs="Times New Roman"/>
                <w:color w:val="000000"/>
                <w:szCs w:val="24"/>
              </w:rPr>
            </w:pPr>
            <w:r>
              <w:rPr>
                <w:rFonts w:eastAsia="Times New Roman" w:cs="Times New Roman"/>
                <w:color w:val="000000"/>
                <w:szCs w:val="24"/>
              </w:rPr>
              <w:t>3</w:t>
            </w:r>
          </w:p>
        </w:tc>
        <w:tc>
          <w:tcPr>
            <w:tcW w:w="0" w:type="auto"/>
          </w:tcPr>
          <w:p w:rsidR="005279BB" w:rsidRPr="00C7529E" w:rsidRDefault="005279BB" w:rsidP="00C7529E">
            <w:pPr>
              <w:ind w:left="0" w:firstLine="0"/>
              <w:rPr>
                <w:rFonts w:eastAsia="Times New Roman" w:cs="Times New Roman"/>
                <w:color w:val="000000"/>
                <w:szCs w:val="24"/>
              </w:rPr>
            </w:pPr>
          </w:p>
        </w:tc>
        <w:tc>
          <w:tcPr>
            <w:tcW w:w="0" w:type="auto"/>
            <w:shd w:val="clear" w:color="auto" w:fill="auto"/>
            <w:noWrap/>
            <w:vAlign w:val="center"/>
            <w:hideMark/>
          </w:tcPr>
          <w:p w:rsidR="005279BB" w:rsidRPr="00C7529E" w:rsidRDefault="005279BB" w:rsidP="00C7529E">
            <w:pPr>
              <w:ind w:left="0" w:firstLine="0"/>
              <w:rPr>
                <w:rFonts w:eastAsia="Times New Roman" w:cs="Times New Roman"/>
                <w:color w:val="000000"/>
                <w:szCs w:val="24"/>
              </w:rPr>
            </w:pPr>
            <w:r w:rsidRPr="00C7529E">
              <w:rPr>
                <w:rFonts w:eastAsia="Times New Roman" w:cs="Times New Roman"/>
                <w:color w:val="000000"/>
                <w:szCs w:val="24"/>
              </w:rPr>
              <w:t>R.B. Ginsburg</w:t>
            </w:r>
          </w:p>
        </w:tc>
        <w:tc>
          <w:tcPr>
            <w:tcW w:w="0" w:type="auto"/>
            <w:shd w:val="clear" w:color="auto" w:fill="auto"/>
            <w:noWrap/>
            <w:vAlign w:val="center"/>
            <w:hideMark/>
          </w:tcPr>
          <w:p w:rsidR="005279BB" w:rsidRPr="00C7529E" w:rsidRDefault="005279BB" w:rsidP="00C7529E">
            <w:pPr>
              <w:ind w:left="0" w:firstLine="0"/>
              <w:jc w:val="center"/>
              <w:rPr>
                <w:rFonts w:eastAsia="Times New Roman" w:cs="Times New Roman"/>
                <w:color w:val="000000"/>
                <w:szCs w:val="24"/>
              </w:rPr>
            </w:pPr>
            <w:r w:rsidRPr="00C7529E">
              <w:rPr>
                <w:rFonts w:eastAsia="Times New Roman" w:cs="Times New Roman"/>
                <w:color w:val="000000"/>
                <w:szCs w:val="24"/>
              </w:rPr>
              <w:t>0.68</w:t>
            </w:r>
          </w:p>
        </w:tc>
      </w:tr>
      <w:tr w:rsidR="005279BB" w:rsidRPr="00C7529E" w:rsidTr="005279BB">
        <w:trPr>
          <w:trHeight w:val="576"/>
          <w:jc w:val="center"/>
        </w:trPr>
        <w:tc>
          <w:tcPr>
            <w:tcW w:w="0" w:type="auto"/>
            <w:vAlign w:val="center"/>
          </w:tcPr>
          <w:p w:rsidR="005279BB" w:rsidRPr="00C7529E" w:rsidRDefault="005279BB" w:rsidP="005279BB">
            <w:pPr>
              <w:ind w:left="0" w:firstLine="0"/>
              <w:rPr>
                <w:rFonts w:eastAsia="Times New Roman" w:cs="Times New Roman"/>
                <w:color w:val="000000"/>
                <w:szCs w:val="24"/>
              </w:rPr>
            </w:pPr>
            <w:r>
              <w:rPr>
                <w:rFonts w:eastAsia="Times New Roman" w:cs="Times New Roman"/>
                <w:color w:val="000000"/>
                <w:szCs w:val="24"/>
              </w:rPr>
              <w:t>4</w:t>
            </w:r>
          </w:p>
        </w:tc>
        <w:tc>
          <w:tcPr>
            <w:tcW w:w="0" w:type="auto"/>
          </w:tcPr>
          <w:p w:rsidR="005279BB" w:rsidRPr="00C7529E" w:rsidRDefault="005279BB" w:rsidP="00C7529E">
            <w:pPr>
              <w:ind w:left="0" w:firstLine="0"/>
              <w:rPr>
                <w:rFonts w:eastAsia="Times New Roman" w:cs="Times New Roman"/>
                <w:color w:val="000000"/>
                <w:szCs w:val="24"/>
              </w:rPr>
            </w:pPr>
          </w:p>
        </w:tc>
        <w:tc>
          <w:tcPr>
            <w:tcW w:w="0" w:type="auto"/>
            <w:shd w:val="clear" w:color="auto" w:fill="auto"/>
            <w:noWrap/>
            <w:vAlign w:val="center"/>
            <w:hideMark/>
          </w:tcPr>
          <w:p w:rsidR="005279BB" w:rsidRPr="00C7529E" w:rsidRDefault="005279BB" w:rsidP="00C7529E">
            <w:pPr>
              <w:ind w:left="0" w:firstLine="0"/>
              <w:rPr>
                <w:rFonts w:eastAsia="Times New Roman" w:cs="Times New Roman"/>
                <w:color w:val="000000"/>
                <w:szCs w:val="24"/>
              </w:rPr>
            </w:pPr>
            <w:r w:rsidRPr="00C7529E">
              <w:rPr>
                <w:rFonts w:eastAsia="Times New Roman" w:cs="Times New Roman"/>
                <w:color w:val="000000"/>
                <w:szCs w:val="24"/>
              </w:rPr>
              <w:t>Stephen Breyer</w:t>
            </w:r>
          </w:p>
        </w:tc>
        <w:tc>
          <w:tcPr>
            <w:tcW w:w="0" w:type="auto"/>
            <w:shd w:val="clear" w:color="auto" w:fill="auto"/>
            <w:noWrap/>
            <w:vAlign w:val="center"/>
            <w:hideMark/>
          </w:tcPr>
          <w:p w:rsidR="005279BB" w:rsidRPr="00C7529E" w:rsidRDefault="005279BB" w:rsidP="00C7529E">
            <w:pPr>
              <w:ind w:left="0" w:firstLine="0"/>
              <w:jc w:val="center"/>
              <w:rPr>
                <w:rFonts w:eastAsia="Times New Roman" w:cs="Times New Roman"/>
                <w:color w:val="000000"/>
                <w:szCs w:val="24"/>
              </w:rPr>
            </w:pPr>
            <w:r w:rsidRPr="00C7529E">
              <w:rPr>
                <w:rFonts w:eastAsia="Times New Roman" w:cs="Times New Roman"/>
                <w:color w:val="000000"/>
                <w:szCs w:val="24"/>
              </w:rPr>
              <w:t>0.475</w:t>
            </w:r>
          </w:p>
        </w:tc>
      </w:tr>
      <w:tr w:rsidR="005279BB" w:rsidRPr="00C7529E" w:rsidTr="005279BB">
        <w:trPr>
          <w:trHeight w:val="576"/>
          <w:jc w:val="center"/>
        </w:trPr>
        <w:tc>
          <w:tcPr>
            <w:tcW w:w="0" w:type="auto"/>
            <w:vAlign w:val="center"/>
          </w:tcPr>
          <w:p w:rsidR="005279BB" w:rsidRPr="00C7529E" w:rsidRDefault="005279BB" w:rsidP="005279BB">
            <w:pPr>
              <w:ind w:left="0" w:firstLine="0"/>
              <w:rPr>
                <w:rFonts w:eastAsia="Times New Roman" w:cs="Times New Roman"/>
                <w:color w:val="000000"/>
                <w:szCs w:val="24"/>
              </w:rPr>
            </w:pPr>
            <w:r>
              <w:rPr>
                <w:rFonts w:eastAsia="Times New Roman" w:cs="Times New Roman"/>
                <w:color w:val="000000"/>
                <w:szCs w:val="24"/>
              </w:rPr>
              <w:t>5</w:t>
            </w:r>
          </w:p>
        </w:tc>
        <w:tc>
          <w:tcPr>
            <w:tcW w:w="0" w:type="auto"/>
          </w:tcPr>
          <w:p w:rsidR="005279BB" w:rsidRPr="00C7529E" w:rsidRDefault="005279BB" w:rsidP="00C7529E">
            <w:pPr>
              <w:ind w:left="0" w:firstLine="0"/>
              <w:rPr>
                <w:rFonts w:eastAsia="Times New Roman" w:cs="Times New Roman"/>
                <w:color w:val="000000"/>
                <w:szCs w:val="24"/>
              </w:rPr>
            </w:pPr>
          </w:p>
        </w:tc>
        <w:tc>
          <w:tcPr>
            <w:tcW w:w="0" w:type="auto"/>
            <w:shd w:val="clear" w:color="auto" w:fill="auto"/>
            <w:noWrap/>
            <w:vAlign w:val="center"/>
            <w:hideMark/>
          </w:tcPr>
          <w:p w:rsidR="005279BB" w:rsidRPr="00C7529E" w:rsidRDefault="005279BB" w:rsidP="00C7529E">
            <w:pPr>
              <w:ind w:left="0" w:firstLine="0"/>
              <w:rPr>
                <w:rFonts w:eastAsia="Times New Roman" w:cs="Times New Roman"/>
                <w:color w:val="000000"/>
                <w:szCs w:val="24"/>
              </w:rPr>
            </w:pPr>
            <w:r w:rsidRPr="00C7529E">
              <w:rPr>
                <w:rFonts w:eastAsia="Times New Roman" w:cs="Times New Roman"/>
                <w:color w:val="000000"/>
                <w:szCs w:val="24"/>
              </w:rPr>
              <w:t>Anthony Kennedy</w:t>
            </w:r>
          </w:p>
        </w:tc>
        <w:tc>
          <w:tcPr>
            <w:tcW w:w="0" w:type="auto"/>
            <w:shd w:val="clear" w:color="auto" w:fill="auto"/>
            <w:noWrap/>
            <w:vAlign w:val="center"/>
            <w:hideMark/>
          </w:tcPr>
          <w:p w:rsidR="005279BB" w:rsidRPr="00C7529E" w:rsidRDefault="005279BB" w:rsidP="00C7529E">
            <w:pPr>
              <w:ind w:left="0" w:firstLine="0"/>
              <w:jc w:val="center"/>
              <w:rPr>
                <w:rFonts w:eastAsia="Times New Roman" w:cs="Times New Roman"/>
                <w:color w:val="000000"/>
                <w:szCs w:val="24"/>
              </w:rPr>
            </w:pPr>
            <w:r w:rsidRPr="00C7529E">
              <w:rPr>
                <w:rFonts w:eastAsia="Times New Roman" w:cs="Times New Roman"/>
                <w:color w:val="000000"/>
                <w:szCs w:val="24"/>
              </w:rPr>
              <w:t>0.365</w:t>
            </w:r>
          </w:p>
        </w:tc>
      </w:tr>
      <w:tr w:rsidR="005279BB" w:rsidRPr="00C7529E" w:rsidTr="005279BB">
        <w:trPr>
          <w:trHeight w:val="576"/>
          <w:jc w:val="center"/>
        </w:trPr>
        <w:tc>
          <w:tcPr>
            <w:tcW w:w="0" w:type="auto"/>
            <w:vAlign w:val="center"/>
          </w:tcPr>
          <w:p w:rsidR="005279BB" w:rsidRPr="00C7529E" w:rsidRDefault="005279BB" w:rsidP="005279BB">
            <w:pPr>
              <w:ind w:left="0" w:firstLine="0"/>
              <w:rPr>
                <w:rFonts w:eastAsia="Times New Roman" w:cs="Times New Roman"/>
                <w:color w:val="000000"/>
                <w:szCs w:val="24"/>
              </w:rPr>
            </w:pPr>
            <w:r>
              <w:rPr>
                <w:rFonts w:eastAsia="Times New Roman" w:cs="Times New Roman"/>
                <w:color w:val="000000"/>
                <w:szCs w:val="24"/>
              </w:rPr>
              <w:t>6</w:t>
            </w:r>
          </w:p>
        </w:tc>
        <w:tc>
          <w:tcPr>
            <w:tcW w:w="0" w:type="auto"/>
          </w:tcPr>
          <w:p w:rsidR="005279BB" w:rsidRPr="00C7529E" w:rsidRDefault="005279BB" w:rsidP="00C7529E">
            <w:pPr>
              <w:ind w:left="0" w:firstLine="0"/>
              <w:rPr>
                <w:rFonts w:eastAsia="Times New Roman" w:cs="Times New Roman"/>
                <w:color w:val="000000"/>
                <w:szCs w:val="24"/>
              </w:rPr>
            </w:pPr>
          </w:p>
        </w:tc>
        <w:tc>
          <w:tcPr>
            <w:tcW w:w="0" w:type="auto"/>
            <w:shd w:val="clear" w:color="auto" w:fill="auto"/>
            <w:noWrap/>
            <w:vAlign w:val="center"/>
            <w:hideMark/>
          </w:tcPr>
          <w:p w:rsidR="005279BB" w:rsidRPr="00C7529E" w:rsidRDefault="005279BB" w:rsidP="00C7529E">
            <w:pPr>
              <w:ind w:left="0" w:firstLine="0"/>
              <w:rPr>
                <w:rFonts w:eastAsia="Times New Roman" w:cs="Times New Roman"/>
                <w:color w:val="000000"/>
                <w:szCs w:val="24"/>
              </w:rPr>
            </w:pPr>
            <w:r w:rsidRPr="00C7529E">
              <w:rPr>
                <w:rFonts w:eastAsia="Times New Roman" w:cs="Times New Roman"/>
                <w:color w:val="000000"/>
                <w:szCs w:val="24"/>
              </w:rPr>
              <w:t>David Souter</w:t>
            </w:r>
          </w:p>
        </w:tc>
        <w:tc>
          <w:tcPr>
            <w:tcW w:w="0" w:type="auto"/>
            <w:shd w:val="clear" w:color="auto" w:fill="auto"/>
            <w:noWrap/>
            <w:vAlign w:val="center"/>
            <w:hideMark/>
          </w:tcPr>
          <w:p w:rsidR="005279BB" w:rsidRPr="00C7529E" w:rsidRDefault="005279BB" w:rsidP="00C7529E">
            <w:pPr>
              <w:ind w:left="0" w:firstLine="0"/>
              <w:jc w:val="center"/>
              <w:rPr>
                <w:rFonts w:eastAsia="Times New Roman" w:cs="Times New Roman"/>
                <w:color w:val="000000"/>
                <w:szCs w:val="24"/>
              </w:rPr>
            </w:pPr>
            <w:r w:rsidRPr="00C7529E">
              <w:rPr>
                <w:rFonts w:eastAsia="Times New Roman" w:cs="Times New Roman"/>
                <w:color w:val="000000"/>
                <w:szCs w:val="24"/>
              </w:rPr>
              <w:t>0.325</w:t>
            </w:r>
          </w:p>
        </w:tc>
      </w:tr>
      <w:tr w:rsidR="005279BB" w:rsidRPr="00C7529E" w:rsidTr="005279BB">
        <w:trPr>
          <w:trHeight w:val="576"/>
          <w:jc w:val="center"/>
        </w:trPr>
        <w:tc>
          <w:tcPr>
            <w:tcW w:w="0" w:type="auto"/>
            <w:vAlign w:val="center"/>
          </w:tcPr>
          <w:p w:rsidR="005279BB" w:rsidRPr="00C7529E" w:rsidRDefault="005279BB" w:rsidP="005279BB">
            <w:pPr>
              <w:ind w:left="0" w:firstLine="0"/>
              <w:rPr>
                <w:rFonts w:eastAsia="Times New Roman" w:cs="Times New Roman"/>
                <w:color w:val="000000"/>
                <w:szCs w:val="24"/>
              </w:rPr>
            </w:pPr>
            <w:r>
              <w:rPr>
                <w:rFonts w:eastAsia="Times New Roman" w:cs="Times New Roman"/>
                <w:color w:val="000000"/>
                <w:szCs w:val="24"/>
              </w:rPr>
              <w:t>7</w:t>
            </w:r>
          </w:p>
        </w:tc>
        <w:tc>
          <w:tcPr>
            <w:tcW w:w="0" w:type="auto"/>
          </w:tcPr>
          <w:p w:rsidR="005279BB" w:rsidRPr="00C7529E" w:rsidRDefault="005279BB" w:rsidP="00C7529E">
            <w:pPr>
              <w:ind w:left="0" w:firstLine="0"/>
              <w:rPr>
                <w:rFonts w:eastAsia="Times New Roman" w:cs="Times New Roman"/>
                <w:color w:val="000000"/>
                <w:szCs w:val="24"/>
              </w:rPr>
            </w:pPr>
          </w:p>
        </w:tc>
        <w:tc>
          <w:tcPr>
            <w:tcW w:w="0" w:type="auto"/>
            <w:shd w:val="clear" w:color="auto" w:fill="auto"/>
            <w:noWrap/>
            <w:vAlign w:val="center"/>
            <w:hideMark/>
          </w:tcPr>
          <w:p w:rsidR="005279BB" w:rsidRPr="00C7529E" w:rsidRDefault="005279BB" w:rsidP="00C7529E">
            <w:pPr>
              <w:ind w:left="0" w:firstLine="0"/>
              <w:rPr>
                <w:rFonts w:eastAsia="Times New Roman" w:cs="Times New Roman"/>
                <w:color w:val="000000"/>
                <w:szCs w:val="24"/>
              </w:rPr>
            </w:pPr>
            <w:r w:rsidRPr="00C7529E">
              <w:rPr>
                <w:rFonts w:eastAsia="Times New Roman" w:cs="Times New Roman"/>
                <w:color w:val="000000"/>
                <w:szCs w:val="24"/>
              </w:rPr>
              <w:t>J.P. Stevens</w:t>
            </w:r>
          </w:p>
        </w:tc>
        <w:tc>
          <w:tcPr>
            <w:tcW w:w="0" w:type="auto"/>
            <w:shd w:val="clear" w:color="auto" w:fill="auto"/>
            <w:noWrap/>
            <w:vAlign w:val="center"/>
            <w:hideMark/>
          </w:tcPr>
          <w:p w:rsidR="005279BB" w:rsidRPr="00C7529E" w:rsidRDefault="005279BB" w:rsidP="00C7529E">
            <w:pPr>
              <w:ind w:left="0" w:firstLine="0"/>
              <w:jc w:val="center"/>
              <w:rPr>
                <w:rFonts w:eastAsia="Times New Roman" w:cs="Times New Roman"/>
                <w:color w:val="000000"/>
                <w:szCs w:val="24"/>
              </w:rPr>
            </w:pPr>
            <w:r w:rsidRPr="00C7529E">
              <w:rPr>
                <w:rFonts w:eastAsia="Times New Roman" w:cs="Times New Roman"/>
                <w:color w:val="000000"/>
                <w:szCs w:val="24"/>
              </w:rPr>
              <w:t>0.25</w:t>
            </w:r>
          </w:p>
        </w:tc>
      </w:tr>
      <w:tr w:rsidR="005279BB" w:rsidRPr="00C7529E" w:rsidTr="005279BB">
        <w:trPr>
          <w:trHeight w:val="576"/>
          <w:jc w:val="center"/>
        </w:trPr>
        <w:tc>
          <w:tcPr>
            <w:tcW w:w="0" w:type="auto"/>
            <w:vAlign w:val="center"/>
          </w:tcPr>
          <w:p w:rsidR="005279BB" w:rsidRPr="00C7529E" w:rsidRDefault="005279BB" w:rsidP="005279BB">
            <w:pPr>
              <w:ind w:left="0" w:firstLine="0"/>
              <w:rPr>
                <w:rFonts w:eastAsia="Times New Roman" w:cs="Times New Roman"/>
                <w:color w:val="000000"/>
                <w:szCs w:val="24"/>
              </w:rPr>
            </w:pPr>
            <w:r>
              <w:rPr>
                <w:rFonts w:eastAsia="Times New Roman" w:cs="Times New Roman"/>
                <w:color w:val="000000"/>
                <w:szCs w:val="24"/>
              </w:rPr>
              <w:t>8</w:t>
            </w:r>
          </w:p>
        </w:tc>
        <w:tc>
          <w:tcPr>
            <w:tcW w:w="0" w:type="auto"/>
          </w:tcPr>
          <w:p w:rsidR="005279BB" w:rsidRPr="00C7529E" w:rsidRDefault="005279BB" w:rsidP="00C7529E">
            <w:pPr>
              <w:ind w:left="0" w:firstLine="0"/>
              <w:rPr>
                <w:rFonts w:eastAsia="Times New Roman" w:cs="Times New Roman"/>
                <w:color w:val="000000"/>
                <w:szCs w:val="24"/>
              </w:rPr>
            </w:pPr>
          </w:p>
        </w:tc>
        <w:tc>
          <w:tcPr>
            <w:tcW w:w="0" w:type="auto"/>
            <w:shd w:val="clear" w:color="auto" w:fill="auto"/>
            <w:noWrap/>
            <w:vAlign w:val="center"/>
            <w:hideMark/>
          </w:tcPr>
          <w:p w:rsidR="005279BB" w:rsidRPr="00C7529E" w:rsidRDefault="005279BB" w:rsidP="00C7529E">
            <w:pPr>
              <w:ind w:left="0" w:firstLine="0"/>
              <w:rPr>
                <w:rFonts w:eastAsia="Times New Roman" w:cs="Times New Roman"/>
                <w:color w:val="000000"/>
                <w:szCs w:val="24"/>
              </w:rPr>
            </w:pPr>
            <w:r w:rsidRPr="00C7529E">
              <w:rPr>
                <w:rFonts w:eastAsia="Times New Roman" w:cs="Times New Roman"/>
                <w:color w:val="000000"/>
                <w:szCs w:val="24"/>
              </w:rPr>
              <w:t>Clarence Thomas</w:t>
            </w:r>
          </w:p>
        </w:tc>
        <w:tc>
          <w:tcPr>
            <w:tcW w:w="0" w:type="auto"/>
            <w:shd w:val="clear" w:color="auto" w:fill="auto"/>
            <w:noWrap/>
            <w:vAlign w:val="center"/>
            <w:hideMark/>
          </w:tcPr>
          <w:p w:rsidR="005279BB" w:rsidRPr="00C7529E" w:rsidRDefault="005279BB" w:rsidP="00C7529E">
            <w:pPr>
              <w:ind w:left="0" w:firstLine="0"/>
              <w:jc w:val="center"/>
              <w:rPr>
                <w:rFonts w:eastAsia="Times New Roman" w:cs="Times New Roman"/>
                <w:color w:val="000000"/>
                <w:szCs w:val="24"/>
              </w:rPr>
            </w:pPr>
            <w:r w:rsidRPr="00C7529E">
              <w:rPr>
                <w:rFonts w:eastAsia="Times New Roman" w:cs="Times New Roman"/>
                <w:color w:val="000000"/>
                <w:szCs w:val="24"/>
              </w:rPr>
              <w:t>0.16</w:t>
            </w:r>
          </w:p>
        </w:tc>
      </w:tr>
      <w:tr w:rsidR="005279BB" w:rsidRPr="00C7529E" w:rsidTr="005279BB">
        <w:trPr>
          <w:trHeight w:val="576"/>
          <w:jc w:val="center"/>
        </w:trPr>
        <w:tc>
          <w:tcPr>
            <w:tcW w:w="0" w:type="auto"/>
            <w:vAlign w:val="center"/>
          </w:tcPr>
          <w:p w:rsidR="005279BB" w:rsidRPr="00C7529E" w:rsidRDefault="005279BB" w:rsidP="005279BB">
            <w:pPr>
              <w:ind w:left="0" w:firstLine="0"/>
              <w:rPr>
                <w:rFonts w:eastAsia="Times New Roman" w:cs="Times New Roman"/>
                <w:color w:val="000000"/>
                <w:szCs w:val="24"/>
              </w:rPr>
            </w:pPr>
            <w:r>
              <w:rPr>
                <w:rFonts w:eastAsia="Times New Roman" w:cs="Times New Roman"/>
                <w:color w:val="000000"/>
                <w:szCs w:val="24"/>
              </w:rPr>
              <w:t>9</w:t>
            </w:r>
          </w:p>
        </w:tc>
        <w:tc>
          <w:tcPr>
            <w:tcW w:w="0" w:type="auto"/>
          </w:tcPr>
          <w:p w:rsidR="005279BB" w:rsidRPr="00C7529E" w:rsidRDefault="005279BB" w:rsidP="00C7529E">
            <w:pPr>
              <w:ind w:left="0" w:firstLine="0"/>
              <w:rPr>
                <w:rFonts w:eastAsia="Times New Roman" w:cs="Times New Roman"/>
                <w:color w:val="000000"/>
                <w:szCs w:val="24"/>
              </w:rPr>
            </w:pPr>
          </w:p>
        </w:tc>
        <w:tc>
          <w:tcPr>
            <w:tcW w:w="0" w:type="auto"/>
            <w:shd w:val="clear" w:color="auto" w:fill="auto"/>
            <w:noWrap/>
            <w:vAlign w:val="center"/>
            <w:hideMark/>
          </w:tcPr>
          <w:p w:rsidR="005279BB" w:rsidRPr="00C7529E" w:rsidRDefault="005279BB" w:rsidP="00C7529E">
            <w:pPr>
              <w:ind w:left="0" w:firstLine="0"/>
              <w:rPr>
                <w:rFonts w:eastAsia="Times New Roman" w:cs="Times New Roman"/>
                <w:color w:val="000000"/>
                <w:szCs w:val="24"/>
              </w:rPr>
            </w:pPr>
            <w:r w:rsidRPr="00C7529E">
              <w:rPr>
                <w:rFonts w:eastAsia="Times New Roman" w:cs="Times New Roman"/>
                <w:color w:val="000000"/>
                <w:szCs w:val="24"/>
              </w:rPr>
              <w:t>John Roberts</w:t>
            </w:r>
          </w:p>
        </w:tc>
        <w:tc>
          <w:tcPr>
            <w:tcW w:w="0" w:type="auto"/>
            <w:shd w:val="clear" w:color="auto" w:fill="auto"/>
            <w:noWrap/>
            <w:vAlign w:val="center"/>
            <w:hideMark/>
          </w:tcPr>
          <w:p w:rsidR="005279BB" w:rsidRPr="00C7529E" w:rsidRDefault="005279BB" w:rsidP="00C7529E">
            <w:pPr>
              <w:ind w:left="0" w:firstLine="0"/>
              <w:jc w:val="center"/>
              <w:rPr>
                <w:rFonts w:eastAsia="Times New Roman" w:cs="Times New Roman"/>
                <w:color w:val="000000"/>
                <w:szCs w:val="24"/>
              </w:rPr>
            </w:pPr>
            <w:r w:rsidRPr="00C7529E">
              <w:rPr>
                <w:rFonts w:eastAsia="Times New Roman" w:cs="Times New Roman"/>
                <w:color w:val="000000"/>
                <w:szCs w:val="24"/>
              </w:rPr>
              <w:t>0.12</w:t>
            </w:r>
          </w:p>
        </w:tc>
      </w:tr>
      <w:tr w:rsidR="005279BB" w:rsidRPr="00C7529E" w:rsidTr="005279BB">
        <w:trPr>
          <w:trHeight w:val="576"/>
          <w:jc w:val="center"/>
        </w:trPr>
        <w:tc>
          <w:tcPr>
            <w:tcW w:w="0" w:type="auto"/>
            <w:vAlign w:val="center"/>
          </w:tcPr>
          <w:p w:rsidR="005279BB" w:rsidRPr="00C7529E" w:rsidRDefault="005279BB" w:rsidP="005279BB">
            <w:pPr>
              <w:ind w:left="0" w:firstLine="0"/>
              <w:rPr>
                <w:rFonts w:eastAsia="Times New Roman" w:cs="Times New Roman"/>
                <w:color w:val="000000"/>
                <w:szCs w:val="24"/>
              </w:rPr>
            </w:pPr>
            <w:r>
              <w:rPr>
                <w:rFonts w:eastAsia="Times New Roman" w:cs="Times New Roman"/>
                <w:color w:val="000000"/>
                <w:szCs w:val="24"/>
              </w:rPr>
              <w:t>10</w:t>
            </w:r>
          </w:p>
        </w:tc>
        <w:tc>
          <w:tcPr>
            <w:tcW w:w="0" w:type="auto"/>
          </w:tcPr>
          <w:p w:rsidR="005279BB" w:rsidRPr="00C7529E" w:rsidRDefault="005279BB" w:rsidP="00C7529E">
            <w:pPr>
              <w:ind w:left="0" w:firstLine="0"/>
              <w:rPr>
                <w:rFonts w:eastAsia="Times New Roman" w:cs="Times New Roman"/>
                <w:color w:val="000000"/>
                <w:szCs w:val="24"/>
              </w:rPr>
            </w:pPr>
          </w:p>
        </w:tc>
        <w:tc>
          <w:tcPr>
            <w:tcW w:w="0" w:type="auto"/>
            <w:shd w:val="clear" w:color="auto" w:fill="auto"/>
            <w:noWrap/>
            <w:vAlign w:val="center"/>
            <w:hideMark/>
          </w:tcPr>
          <w:p w:rsidR="005279BB" w:rsidRPr="00C7529E" w:rsidRDefault="005279BB" w:rsidP="00C7529E">
            <w:pPr>
              <w:ind w:left="0" w:firstLine="0"/>
              <w:rPr>
                <w:rFonts w:eastAsia="Times New Roman" w:cs="Times New Roman"/>
                <w:color w:val="000000"/>
                <w:szCs w:val="24"/>
              </w:rPr>
            </w:pPr>
            <w:r w:rsidRPr="00C7529E">
              <w:rPr>
                <w:rFonts w:eastAsia="Times New Roman" w:cs="Times New Roman"/>
                <w:color w:val="000000"/>
                <w:szCs w:val="24"/>
              </w:rPr>
              <w:t>Samuel Alito</w:t>
            </w:r>
          </w:p>
        </w:tc>
        <w:tc>
          <w:tcPr>
            <w:tcW w:w="0" w:type="auto"/>
            <w:shd w:val="clear" w:color="auto" w:fill="auto"/>
            <w:noWrap/>
            <w:vAlign w:val="center"/>
            <w:hideMark/>
          </w:tcPr>
          <w:p w:rsidR="005279BB" w:rsidRPr="00C7529E" w:rsidRDefault="005279BB" w:rsidP="00C7529E">
            <w:pPr>
              <w:ind w:left="0" w:firstLine="0"/>
              <w:jc w:val="center"/>
              <w:rPr>
                <w:rFonts w:eastAsia="Times New Roman" w:cs="Times New Roman"/>
                <w:color w:val="000000"/>
                <w:szCs w:val="24"/>
              </w:rPr>
            </w:pPr>
            <w:r w:rsidRPr="00C7529E">
              <w:rPr>
                <w:rFonts w:eastAsia="Times New Roman" w:cs="Times New Roman"/>
                <w:color w:val="000000"/>
                <w:szCs w:val="24"/>
              </w:rPr>
              <w:t>0.1</w:t>
            </w:r>
          </w:p>
        </w:tc>
      </w:tr>
      <w:tr w:rsidR="005279BB" w:rsidRPr="00C7529E" w:rsidTr="005279BB">
        <w:trPr>
          <w:trHeight w:val="576"/>
          <w:jc w:val="center"/>
        </w:trPr>
        <w:tc>
          <w:tcPr>
            <w:tcW w:w="0" w:type="auto"/>
            <w:vAlign w:val="center"/>
          </w:tcPr>
          <w:p w:rsidR="005279BB" w:rsidRPr="00C7529E" w:rsidRDefault="005279BB" w:rsidP="005279BB">
            <w:pPr>
              <w:ind w:left="0" w:firstLine="0"/>
              <w:rPr>
                <w:rFonts w:eastAsia="Times New Roman" w:cs="Times New Roman"/>
                <w:color w:val="000000"/>
                <w:szCs w:val="24"/>
              </w:rPr>
            </w:pPr>
            <w:r>
              <w:rPr>
                <w:rFonts w:eastAsia="Times New Roman" w:cs="Times New Roman"/>
                <w:color w:val="000000"/>
                <w:szCs w:val="24"/>
              </w:rPr>
              <w:t>11</w:t>
            </w:r>
          </w:p>
        </w:tc>
        <w:tc>
          <w:tcPr>
            <w:tcW w:w="0" w:type="auto"/>
          </w:tcPr>
          <w:p w:rsidR="005279BB" w:rsidRPr="00C7529E" w:rsidRDefault="005279BB" w:rsidP="00C7529E">
            <w:pPr>
              <w:ind w:left="0" w:firstLine="0"/>
              <w:rPr>
                <w:rFonts w:eastAsia="Times New Roman" w:cs="Times New Roman"/>
                <w:color w:val="000000"/>
                <w:szCs w:val="24"/>
              </w:rPr>
            </w:pPr>
          </w:p>
        </w:tc>
        <w:tc>
          <w:tcPr>
            <w:tcW w:w="0" w:type="auto"/>
            <w:shd w:val="clear" w:color="auto" w:fill="auto"/>
            <w:noWrap/>
            <w:vAlign w:val="center"/>
            <w:hideMark/>
          </w:tcPr>
          <w:p w:rsidR="005279BB" w:rsidRPr="00C7529E" w:rsidRDefault="005279BB" w:rsidP="00C7529E">
            <w:pPr>
              <w:ind w:left="0" w:firstLine="0"/>
              <w:rPr>
                <w:rFonts w:eastAsia="Times New Roman" w:cs="Times New Roman"/>
                <w:color w:val="000000"/>
                <w:szCs w:val="24"/>
              </w:rPr>
            </w:pPr>
            <w:r w:rsidRPr="00C7529E">
              <w:rPr>
                <w:rFonts w:eastAsia="Times New Roman" w:cs="Times New Roman"/>
                <w:color w:val="000000"/>
                <w:szCs w:val="24"/>
              </w:rPr>
              <w:t>Antonin Scalia</w:t>
            </w:r>
          </w:p>
        </w:tc>
        <w:tc>
          <w:tcPr>
            <w:tcW w:w="0" w:type="auto"/>
            <w:shd w:val="clear" w:color="auto" w:fill="auto"/>
            <w:noWrap/>
            <w:vAlign w:val="center"/>
            <w:hideMark/>
          </w:tcPr>
          <w:p w:rsidR="005279BB" w:rsidRPr="00C7529E" w:rsidRDefault="005279BB" w:rsidP="00C7529E">
            <w:pPr>
              <w:ind w:left="0" w:firstLine="0"/>
              <w:jc w:val="center"/>
              <w:rPr>
                <w:rFonts w:eastAsia="Times New Roman" w:cs="Times New Roman"/>
                <w:color w:val="000000"/>
                <w:szCs w:val="24"/>
              </w:rPr>
            </w:pPr>
            <w:r w:rsidRPr="00C7529E">
              <w:rPr>
                <w:rFonts w:eastAsia="Times New Roman" w:cs="Times New Roman"/>
                <w:color w:val="000000"/>
                <w:szCs w:val="24"/>
              </w:rPr>
              <w:t>0</w:t>
            </w:r>
          </w:p>
        </w:tc>
      </w:tr>
    </w:tbl>
    <w:p w:rsidR="00C7529E" w:rsidRDefault="00C7529E" w:rsidP="003E2E7A">
      <w:pPr>
        <w:autoSpaceDE w:val="0"/>
        <w:autoSpaceDN w:val="0"/>
        <w:adjustRightInd w:val="0"/>
        <w:spacing w:line="480" w:lineRule="auto"/>
        <w:ind w:left="0" w:firstLine="720"/>
      </w:pPr>
    </w:p>
    <w:p w:rsidR="003E2E7A" w:rsidRDefault="003E2E7A" w:rsidP="003E2E7A">
      <w:pPr>
        <w:autoSpaceDE w:val="0"/>
        <w:autoSpaceDN w:val="0"/>
        <w:adjustRightInd w:val="0"/>
        <w:spacing w:line="480" w:lineRule="auto"/>
        <w:ind w:left="0" w:firstLine="720"/>
        <w:rPr>
          <w:rFonts w:cs="Times New Roman"/>
        </w:rPr>
      </w:pPr>
      <w:r>
        <w:rPr>
          <w:rFonts w:cs="Times New Roman"/>
        </w:rPr>
        <w:lastRenderedPageBreak/>
        <w:t>Segal-</w:t>
      </w:r>
      <w:r w:rsidR="004E14F9" w:rsidRPr="001D3162">
        <w:rPr>
          <w:rFonts w:cs="Times New Roman"/>
        </w:rPr>
        <w:t>Cover scores are widely accepted and are consistent with common perceptions of justice ideology (</w:t>
      </w:r>
      <w:r w:rsidR="007B2C51">
        <w:rPr>
          <w:rFonts w:cs="Times New Roman"/>
        </w:rPr>
        <w:t>Martin, Quinn, and Epstein 2005</w:t>
      </w:r>
      <w:r w:rsidR="004E14F9" w:rsidRPr="001D3162">
        <w:rPr>
          <w:rFonts w:cs="Times New Roman"/>
        </w:rPr>
        <w:t>).</w:t>
      </w:r>
      <w:r w:rsidR="005279BB">
        <w:rPr>
          <w:rStyle w:val="FootnoteReference"/>
          <w:rFonts w:cs="Times New Roman"/>
        </w:rPr>
        <w:footnoteReference w:id="50"/>
      </w:r>
      <w:r w:rsidR="004E14F9" w:rsidRPr="001D3162">
        <w:rPr>
          <w:rFonts w:cs="Times New Roman"/>
        </w:rPr>
        <w:t xml:space="preserve">  </w:t>
      </w:r>
      <w:r w:rsidRPr="001D3162">
        <w:rPr>
          <w:rFonts w:cs="Times New Roman"/>
          <w:szCs w:val="24"/>
        </w:rPr>
        <w:t xml:space="preserve">The most liberal justice </w:t>
      </w:r>
      <w:r w:rsidR="00D801EA">
        <w:rPr>
          <w:rFonts w:cs="Times New Roman"/>
          <w:szCs w:val="24"/>
        </w:rPr>
        <w:t>in the</w:t>
      </w:r>
      <w:r>
        <w:rPr>
          <w:rFonts w:cs="Times New Roman"/>
          <w:szCs w:val="24"/>
        </w:rPr>
        <w:t xml:space="preserve"> Roberts Court</w:t>
      </w:r>
      <w:r w:rsidRPr="001D3162">
        <w:rPr>
          <w:rFonts w:cs="Times New Roman"/>
          <w:szCs w:val="24"/>
        </w:rPr>
        <w:t xml:space="preserve"> dataset measures at .78 (S. Sotomayor), while the</w:t>
      </w:r>
      <w:r>
        <w:rPr>
          <w:rFonts w:cs="Times New Roman"/>
          <w:szCs w:val="24"/>
        </w:rPr>
        <w:t xml:space="preserve"> </w:t>
      </w:r>
      <w:r w:rsidRPr="001D3162">
        <w:rPr>
          <w:rFonts w:cs="Times New Roman"/>
          <w:szCs w:val="24"/>
        </w:rPr>
        <w:t>most conservative scores a 0 (A. Scalia). The overall mean</w:t>
      </w:r>
      <w:r w:rsidR="00DC3A5D">
        <w:rPr>
          <w:rFonts w:cs="Times New Roman"/>
          <w:szCs w:val="24"/>
        </w:rPr>
        <w:t xml:space="preserve"> justice</w:t>
      </w:r>
      <w:r w:rsidRPr="001D3162">
        <w:rPr>
          <w:rFonts w:cs="Times New Roman"/>
          <w:szCs w:val="24"/>
        </w:rPr>
        <w:t xml:space="preserve"> ideology</w:t>
      </w:r>
      <w:r w:rsidR="00DC3A5D">
        <w:rPr>
          <w:rFonts w:cs="Times New Roman"/>
          <w:szCs w:val="24"/>
        </w:rPr>
        <w:t xml:space="preserve"> between 2007-2011 terms of the Roberts Court</w:t>
      </w:r>
      <w:r w:rsidRPr="001D3162">
        <w:rPr>
          <w:rFonts w:cs="Times New Roman"/>
          <w:szCs w:val="24"/>
        </w:rPr>
        <w:t xml:space="preserve"> is .327 (which is closet to Justice D. Souter, whose score is .325</w:t>
      </w:r>
      <w:r>
        <w:rPr>
          <w:rFonts w:cs="Times New Roman"/>
          <w:szCs w:val="24"/>
        </w:rPr>
        <w:t>, and second</w:t>
      </w:r>
      <w:r w:rsidR="00D801EA">
        <w:rPr>
          <w:rFonts w:cs="Times New Roman"/>
          <w:szCs w:val="24"/>
        </w:rPr>
        <w:t xml:space="preserve"> closest</w:t>
      </w:r>
      <w:r>
        <w:rPr>
          <w:rFonts w:cs="Times New Roman"/>
          <w:szCs w:val="24"/>
        </w:rPr>
        <w:t xml:space="preserve"> to Justice A. Kennedy, whose score is .365</w:t>
      </w:r>
      <w:r w:rsidRPr="001D3162">
        <w:rPr>
          <w:rFonts w:cs="Times New Roman"/>
          <w:szCs w:val="24"/>
        </w:rPr>
        <w:t>), with a standard deviation of .252.</w:t>
      </w:r>
      <w:r w:rsidR="005038A5">
        <w:rPr>
          <w:rStyle w:val="FootnoteReference"/>
          <w:rFonts w:cs="Times New Roman"/>
          <w:szCs w:val="24"/>
        </w:rPr>
        <w:footnoteReference w:id="51"/>
      </w:r>
      <w:r w:rsidR="00D801EA">
        <w:rPr>
          <w:rFonts w:cs="Times New Roman"/>
          <w:szCs w:val="24"/>
        </w:rPr>
        <w:t xml:space="preserve"> </w:t>
      </w:r>
      <w:r w:rsidR="00D801EA">
        <w:rPr>
          <w:rStyle w:val="FootnoteReference"/>
          <w:rFonts w:cs="Times New Roman"/>
          <w:szCs w:val="24"/>
        </w:rPr>
        <w:footnoteReference w:id="52"/>
      </w:r>
      <w:r w:rsidRPr="001D3162">
        <w:rPr>
          <w:rFonts w:cs="Times New Roman"/>
          <w:szCs w:val="24"/>
        </w:rPr>
        <w:t xml:space="preserve">  </w:t>
      </w:r>
      <w:r w:rsidRPr="001D3162">
        <w:rPr>
          <w:rFonts w:cs="Times New Roman"/>
        </w:rPr>
        <w:t>The expected s</w:t>
      </w:r>
      <w:r w:rsidR="00A3419A">
        <w:rPr>
          <w:rFonts w:cs="Times New Roman"/>
        </w:rPr>
        <w:t>ign of this variable is positive, indicating that liberal</w:t>
      </w:r>
      <w:r w:rsidRPr="001D3162">
        <w:rPr>
          <w:rFonts w:cs="Times New Roman"/>
        </w:rPr>
        <w:t xml:space="preserve"> justices are </w:t>
      </w:r>
      <w:r w:rsidR="00A3419A">
        <w:rPr>
          <w:rFonts w:cs="Times New Roman"/>
        </w:rPr>
        <w:t xml:space="preserve">more likely to cast liberal votes than conservative </w:t>
      </w:r>
      <w:r w:rsidRPr="001D3162">
        <w:rPr>
          <w:rFonts w:cs="Times New Roman"/>
        </w:rPr>
        <w:t>justices.</w:t>
      </w:r>
    </w:p>
    <w:p w:rsidR="007B2C51" w:rsidRDefault="00006B2B" w:rsidP="003E2E7A">
      <w:pPr>
        <w:autoSpaceDE w:val="0"/>
        <w:autoSpaceDN w:val="0"/>
        <w:adjustRightInd w:val="0"/>
        <w:spacing w:line="480" w:lineRule="auto"/>
        <w:ind w:left="0" w:firstLine="720"/>
        <w:rPr>
          <w:rFonts w:cs="Times New Roman"/>
          <w:szCs w:val="24"/>
        </w:rPr>
      </w:pPr>
      <w:r>
        <w:rPr>
          <w:szCs w:val="24"/>
        </w:rPr>
        <w:t>In using the Segal-Cover scores as my measure of judicial ideology</w:t>
      </w:r>
      <w:r w:rsidRPr="008E6263">
        <w:rPr>
          <w:szCs w:val="24"/>
        </w:rPr>
        <w:t xml:space="preserve">, I deviate from Collins (2008), who uses the Martin and Quinn (2002) (MQ) judicial ideology scores.  Many researchers prefer </w:t>
      </w:r>
      <w:r w:rsidR="001D0CEC">
        <w:rPr>
          <w:rFonts w:cs="Times New Roman"/>
          <w:szCs w:val="24"/>
        </w:rPr>
        <w:t xml:space="preserve">MQ scores over the Segal-Cover scores because </w:t>
      </w:r>
      <w:r w:rsidRPr="008E6263">
        <w:rPr>
          <w:rFonts w:cs="Times New Roman"/>
          <w:szCs w:val="24"/>
        </w:rPr>
        <w:t xml:space="preserve">MQ scores reflect </w:t>
      </w:r>
      <w:r w:rsidRPr="008E6263">
        <w:rPr>
          <w:rFonts w:cs="Times New Roman"/>
          <w:szCs w:val="24"/>
        </w:rPr>
        <w:lastRenderedPageBreak/>
        <w:t xml:space="preserve">longitudinal changes in an individual justice’s ideology (Roberts 2009, 107).  Martin </w:t>
      </w:r>
      <w:r w:rsidR="000D6839">
        <w:rPr>
          <w:rFonts w:cs="Times New Roman"/>
          <w:szCs w:val="24"/>
        </w:rPr>
        <w:t>and</w:t>
      </w:r>
      <w:r w:rsidRPr="008E6263">
        <w:rPr>
          <w:rFonts w:cs="Times New Roman"/>
          <w:szCs w:val="24"/>
        </w:rPr>
        <w:t xml:space="preserve"> Quinn have shown that using a static score for one justice throughout tenure does not as accurately capture ideology. Instead, justices evolve over time and the MQ scores reflect that change. Each justice has a score for every term calculated with a dynamic probability model with Bayesian inference.  MQ scores are based upon a justice’s actual voting record</w:t>
      </w:r>
      <w:r>
        <w:rPr>
          <w:rFonts w:cs="Times New Roman"/>
          <w:szCs w:val="24"/>
        </w:rPr>
        <w:t xml:space="preserve"> each term</w:t>
      </w:r>
      <w:r w:rsidRPr="008E6263">
        <w:rPr>
          <w:rFonts w:cs="Times New Roman"/>
          <w:szCs w:val="24"/>
        </w:rPr>
        <w:t xml:space="preserve">.  </w:t>
      </w:r>
      <w:r>
        <w:rPr>
          <w:rFonts w:cs="Times New Roman"/>
          <w:szCs w:val="24"/>
        </w:rPr>
        <w:t xml:space="preserve">Specifically, Martin and Quinn make inferences from patterns of voting coalitions observed during cases to arrive at a justice’s ideal point.  Each justice’s ideal point represents the overall preferred position of that justice in the aggregate.  </w:t>
      </w:r>
      <w:r w:rsidRPr="008E6263">
        <w:rPr>
          <w:rFonts w:cs="Times New Roman"/>
          <w:szCs w:val="24"/>
        </w:rPr>
        <w:t>A positive score reflects a more conservative ideology, while a negative score reflects a liberal ideology.</w:t>
      </w:r>
      <w:r>
        <w:rPr>
          <w:rFonts w:cs="Times New Roman"/>
          <w:szCs w:val="24"/>
        </w:rPr>
        <w:t xml:space="preserve">  A score of zero represents the historical mean of the USSC since 1937. These scores are theoretically unbounded, but currently range from -6 (Justice W. Douglas, very liberal) to +4.6 (Justice C. Thomas, very conservative).  </w:t>
      </w:r>
    </w:p>
    <w:p w:rsidR="004E14F9" w:rsidRPr="001D0CEC" w:rsidRDefault="00006B2B" w:rsidP="001D0CEC">
      <w:pPr>
        <w:autoSpaceDE w:val="0"/>
        <w:autoSpaceDN w:val="0"/>
        <w:adjustRightInd w:val="0"/>
        <w:spacing w:line="480" w:lineRule="auto"/>
        <w:ind w:left="0" w:firstLine="720"/>
        <w:rPr>
          <w:rFonts w:cs="Times New Roman"/>
          <w:szCs w:val="24"/>
        </w:rPr>
      </w:pPr>
      <w:r>
        <w:rPr>
          <w:rFonts w:cs="Times New Roman"/>
          <w:szCs w:val="24"/>
        </w:rPr>
        <w:t>It is crucial to note that the MQ ideology measures have been described as an “agnostic” method of coding (</w:t>
      </w:r>
      <w:proofErr w:type="spellStart"/>
      <w:r>
        <w:rPr>
          <w:rFonts w:cs="Times New Roman"/>
          <w:szCs w:val="24"/>
        </w:rPr>
        <w:t>Fischman</w:t>
      </w:r>
      <w:proofErr w:type="spellEnd"/>
      <w:r>
        <w:rPr>
          <w:rFonts w:cs="Times New Roman"/>
          <w:szCs w:val="24"/>
        </w:rPr>
        <w:t xml:space="preserve"> </w:t>
      </w:r>
      <w:r w:rsidR="000D6839">
        <w:rPr>
          <w:rFonts w:cs="Times New Roman"/>
          <w:szCs w:val="24"/>
        </w:rPr>
        <w:t>and</w:t>
      </w:r>
      <w:r>
        <w:rPr>
          <w:rFonts w:cs="Times New Roman"/>
          <w:szCs w:val="24"/>
        </w:rPr>
        <w:t xml:space="preserve"> Law 2008, 30-31) because they do not require the researcher to make a subjective assessment of the ideological direction of the case outcome or justice vote.  Rather, MQ scores estimate the ideological direction of the outcome/vote from the actual voting alignment of the justices. </w:t>
      </w:r>
      <w:r w:rsidR="007B2C51">
        <w:rPr>
          <w:rFonts w:cs="Times New Roman"/>
          <w:szCs w:val="24"/>
        </w:rPr>
        <w:t>That is, MQ scores makes inferences from the observed voting coalition patter</w:t>
      </w:r>
      <w:r w:rsidR="001D0CEC">
        <w:rPr>
          <w:rFonts w:cs="Times New Roman"/>
          <w:szCs w:val="24"/>
        </w:rPr>
        <w:t>n</w:t>
      </w:r>
      <w:r w:rsidR="007B2C51">
        <w:rPr>
          <w:rFonts w:cs="Times New Roman"/>
          <w:szCs w:val="24"/>
        </w:rPr>
        <w:t xml:space="preserve">s by considering all possible combinations of justice’s preferences that could explain these observed voting patterns (Epstein </w:t>
      </w:r>
      <w:r w:rsidR="000D6839">
        <w:rPr>
          <w:rFonts w:cs="Times New Roman"/>
          <w:szCs w:val="24"/>
        </w:rPr>
        <w:t>and</w:t>
      </w:r>
      <w:r w:rsidR="007B2C51">
        <w:rPr>
          <w:rFonts w:cs="Times New Roman"/>
          <w:szCs w:val="24"/>
        </w:rPr>
        <w:t xml:space="preserve"> Jacobi 2008, </w:t>
      </w:r>
      <w:r w:rsidR="00716C8A">
        <w:rPr>
          <w:rFonts w:cs="Times New Roman"/>
          <w:szCs w:val="24"/>
        </w:rPr>
        <w:t xml:space="preserve">47).  </w:t>
      </w:r>
      <w:r>
        <w:rPr>
          <w:rFonts w:cs="Times New Roman"/>
          <w:szCs w:val="24"/>
        </w:rPr>
        <w:t>Basically, MQ scoring constructs a liberal-conservative scale that treats judges who represent the ends of the ideological spectrum as anchor points.  Thus, a liberal vote is “Brennan-like” and a conservative vote is “Rehnquist-like” (</w:t>
      </w:r>
      <w:proofErr w:type="spellStart"/>
      <w:r>
        <w:rPr>
          <w:rFonts w:cs="Times New Roman"/>
          <w:szCs w:val="24"/>
        </w:rPr>
        <w:t>Fischman</w:t>
      </w:r>
      <w:proofErr w:type="spellEnd"/>
      <w:r>
        <w:rPr>
          <w:rFonts w:cs="Times New Roman"/>
          <w:szCs w:val="24"/>
        </w:rPr>
        <w:t xml:space="preserve"> </w:t>
      </w:r>
      <w:r w:rsidR="000D6839">
        <w:rPr>
          <w:rFonts w:cs="Times New Roman"/>
          <w:szCs w:val="24"/>
        </w:rPr>
        <w:t>and</w:t>
      </w:r>
      <w:r>
        <w:rPr>
          <w:rFonts w:cs="Times New Roman"/>
          <w:szCs w:val="24"/>
        </w:rPr>
        <w:t xml:space="preserve"> Law</w:t>
      </w:r>
      <w:r w:rsidR="00716C8A">
        <w:rPr>
          <w:rFonts w:cs="Times New Roman"/>
          <w:szCs w:val="24"/>
        </w:rPr>
        <w:t xml:space="preserve"> 2008</w:t>
      </w:r>
      <w:r>
        <w:rPr>
          <w:rFonts w:cs="Times New Roman"/>
          <w:szCs w:val="24"/>
        </w:rPr>
        <w:t>, 30-31).</w:t>
      </w:r>
      <w:r w:rsidR="00716C8A">
        <w:rPr>
          <w:rFonts w:cs="Times New Roman"/>
          <w:szCs w:val="24"/>
        </w:rPr>
        <w:t xml:space="preserve">  As </w:t>
      </w:r>
      <w:proofErr w:type="spellStart"/>
      <w:r w:rsidR="00716C8A">
        <w:rPr>
          <w:rFonts w:cs="Times New Roman"/>
          <w:szCs w:val="24"/>
        </w:rPr>
        <w:t>Fischman</w:t>
      </w:r>
      <w:proofErr w:type="spellEnd"/>
      <w:r w:rsidR="00716C8A">
        <w:rPr>
          <w:rFonts w:cs="Times New Roman"/>
          <w:szCs w:val="24"/>
        </w:rPr>
        <w:t xml:space="preserve"> </w:t>
      </w:r>
      <w:r w:rsidR="000D6839">
        <w:rPr>
          <w:rFonts w:cs="Times New Roman"/>
          <w:szCs w:val="24"/>
        </w:rPr>
        <w:t>and</w:t>
      </w:r>
      <w:r w:rsidR="00716C8A">
        <w:rPr>
          <w:rFonts w:cs="Times New Roman"/>
          <w:szCs w:val="24"/>
        </w:rPr>
        <w:t xml:space="preserve"> Law (2008, 30) point out, the challenge of this type of agnostic coding is that the ideology of the justices must be inferred from their votes at the same time that the directionality of each case is inferred from the justice’s </w:t>
      </w:r>
      <w:r w:rsidR="00716C8A">
        <w:rPr>
          <w:rFonts w:cs="Times New Roman"/>
          <w:szCs w:val="24"/>
        </w:rPr>
        <w:lastRenderedPageBreak/>
        <w:t>positions.  This then is the main critique of the MQ scores: they are</w:t>
      </w:r>
      <w:r w:rsidR="001D0CEC">
        <w:rPr>
          <w:rFonts w:cs="Times New Roman"/>
          <w:szCs w:val="24"/>
        </w:rPr>
        <w:t xml:space="preserve"> endogenous to justice votes, as </w:t>
      </w:r>
      <w:r w:rsidR="00716C8A">
        <w:rPr>
          <w:rFonts w:cs="Times New Roman"/>
          <w:szCs w:val="24"/>
        </w:rPr>
        <w:t>they measure ideology</w:t>
      </w:r>
      <w:r w:rsidR="001D0CEC">
        <w:rPr>
          <w:rFonts w:cs="Times New Roman"/>
          <w:szCs w:val="24"/>
        </w:rPr>
        <w:t xml:space="preserve"> by how often particular </w:t>
      </w:r>
      <w:proofErr w:type="gramStart"/>
      <w:r w:rsidR="001D0CEC">
        <w:rPr>
          <w:rFonts w:cs="Times New Roman"/>
          <w:szCs w:val="24"/>
        </w:rPr>
        <w:t>justices</w:t>
      </w:r>
      <w:proofErr w:type="gramEnd"/>
      <w:r w:rsidR="00716C8A">
        <w:rPr>
          <w:rFonts w:cs="Times New Roman"/>
          <w:szCs w:val="24"/>
        </w:rPr>
        <w:t xml:space="preserve"> vote with each other, not necessarily by how often they support particular ideological outcomes.</w:t>
      </w:r>
      <w:r w:rsidR="001D0CEC">
        <w:rPr>
          <w:rFonts w:cs="Times New Roman"/>
          <w:szCs w:val="24"/>
        </w:rPr>
        <w:t xml:space="preserve">  </w:t>
      </w:r>
    </w:p>
    <w:p w:rsidR="003E2E7A" w:rsidRPr="006F030A" w:rsidRDefault="00016A6C" w:rsidP="006F030A">
      <w:pPr>
        <w:autoSpaceDE w:val="0"/>
        <w:autoSpaceDN w:val="0"/>
        <w:adjustRightInd w:val="0"/>
        <w:spacing w:line="480" w:lineRule="auto"/>
        <w:ind w:left="0" w:firstLine="720"/>
        <w:rPr>
          <w:rFonts w:cs="Times New Roman"/>
          <w:szCs w:val="24"/>
        </w:rPr>
      </w:pPr>
      <w:r w:rsidRPr="00C05EA2">
        <w:rPr>
          <w:rFonts w:cs="Times New Roman"/>
          <w:szCs w:val="24"/>
        </w:rPr>
        <w:t>Admittedly, any attempt to measure judicial ideology pres</w:t>
      </w:r>
      <w:r w:rsidR="000F4741">
        <w:rPr>
          <w:rFonts w:cs="Times New Roman"/>
          <w:szCs w:val="24"/>
        </w:rPr>
        <w:t xml:space="preserve">ents challenges and trade-offs.  MQ scores are often preferred by judicial researchers because they are more </w:t>
      </w:r>
      <w:r w:rsidR="001C1FA7">
        <w:rPr>
          <w:rFonts w:cs="Times New Roman"/>
          <w:szCs w:val="24"/>
        </w:rPr>
        <w:t xml:space="preserve">methodologically </w:t>
      </w:r>
      <w:r w:rsidR="000F4741">
        <w:rPr>
          <w:rFonts w:cs="Times New Roman"/>
          <w:szCs w:val="24"/>
        </w:rPr>
        <w:t>sophisticated and have been demonstrated to</w:t>
      </w:r>
      <w:r w:rsidR="001C1FA7">
        <w:rPr>
          <w:rFonts w:cs="Times New Roman"/>
          <w:szCs w:val="24"/>
        </w:rPr>
        <w:t xml:space="preserve"> </w:t>
      </w:r>
      <w:r w:rsidR="000F4741">
        <w:rPr>
          <w:rFonts w:cs="Times New Roman"/>
          <w:szCs w:val="24"/>
        </w:rPr>
        <w:t>better predict a justice’s actual voting record than alternative measures such as Segal-Cover scores (</w:t>
      </w:r>
      <w:proofErr w:type="spellStart"/>
      <w:r w:rsidR="000F4741">
        <w:rPr>
          <w:rFonts w:cs="Times New Roman"/>
          <w:szCs w:val="24"/>
        </w:rPr>
        <w:t>Fischman</w:t>
      </w:r>
      <w:proofErr w:type="spellEnd"/>
      <w:r w:rsidR="000F4741">
        <w:rPr>
          <w:rFonts w:cs="Times New Roman"/>
          <w:szCs w:val="24"/>
        </w:rPr>
        <w:t xml:space="preserve"> </w:t>
      </w:r>
      <w:r w:rsidR="000D6839">
        <w:rPr>
          <w:rFonts w:cs="Times New Roman"/>
          <w:szCs w:val="24"/>
        </w:rPr>
        <w:t>and</w:t>
      </w:r>
      <w:r w:rsidR="000F4741">
        <w:rPr>
          <w:rFonts w:cs="Times New Roman"/>
          <w:szCs w:val="24"/>
        </w:rPr>
        <w:t xml:space="preserve"> Law 2009). </w:t>
      </w:r>
      <w:r w:rsidRPr="00C05EA2">
        <w:rPr>
          <w:rFonts w:cs="Times New Roman"/>
          <w:szCs w:val="24"/>
        </w:rPr>
        <w:t xml:space="preserve"> I ch</w:t>
      </w:r>
      <w:r w:rsidR="00BE1900" w:rsidRPr="00C05EA2">
        <w:rPr>
          <w:rFonts w:cs="Times New Roman"/>
          <w:szCs w:val="24"/>
        </w:rPr>
        <w:t>o</w:t>
      </w:r>
      <w:r w:rsidRPr="00C05EA2">
        <w:rPr>
          <w:rFonts w:cs="Times New Roman"/>
          <w:szCs w:val="24"/>
        </w:rPr>
        <w:t xml:space="preserve">ose to use the </w:t>
      </w:r>
      <w:r w:rsidR="003E2E7A" w:rsidRPr="00C05EA2">
        <w:rPr>
          <w:rFonts w:cs="Times New Roman"/>
          <w:szCs w:val="24"/>
        </w:rPr>
        <w:t>Segal-</w:t>
      </w:r>
      <w:r w:rsidR="00EC0EAC" w:rsidRPr="00C05EA2">
        <w:rPr>
          <w:rFonts w:cs="Times New Roman"/>
          <w:szCs w:val="24"/>
        </w:rPr>
        <w:t xml:space="preserve">Cover </w:t>
      </w:r>
      <w:r w:rsidRPr="00C05EA2">
        <w:rPr>
          <w:rFonts w:cs="Times New Roman"/>
          <w:szCs w:val="24"/>
        </w:rPr>
        <w:t>scores because</w:t>
      </w:r>
      <w:r w:rsidR="00F75262" w:rsidRPr="00C05EA2">
        <w:rPr>
          <w:rFonts w:cs="Times New Roman"/>
          <w:szCs w:val="24"/>
        </w:rPr>
        <w:t xml:space="preserve"> they are exogenous measures of judicial ideology – i.e.,</w:t>
      </w:r>
      <w:r w:rsidRPr="00C05EA2">
        <w:rPr>
          <w:rFonts w:cs="Times New Roman"/>
          <w:szCs w:val="24"/>
        </w:rPr>
        <w:t xml:space="preserve"> </w:t>
      </w:r>
      <w:r w:rsidR="00EC0EAC" w:rsidRPr="00C05EA2">
        <w:rPr>
          <w:rFonts w:cs="Times New Roman"/>
          <w:szCs w:val="24"/>
        </w:rPr>
        <w:t>they measure judicial attitudes independent of their votes, unlike the m</w:t>
      </w:r>
      <w:r w:rsidR="00302B55">
        <w:rPr>
          <w:rFonts w:cs="Times New Roman"/>
          <w:szCs w:val="24"/>
        </w:rPr>
        <w:t>ore fashionable MQ</w:t>
      </w:r>
      <w:r w:rsidR="00EC0EAC" w:rsidRPr="00C05EA2">
        <w:rPr>
          <w:rFonts w:cs="Times New Roman"/>
          <w:szCs w:val="24"/>
        </w:rPr>
        <w:t xml:space="preserve"> ideology scores</w:t>
      </w:r>
      <w:r w:rsidRPr="00C05EA2">
        <w:rPr>
          <w:rFonts w:cs="Times New Roman"/>
          <w:szCs w:val="24"/>
        </w:rPr>
        <w:t xml:space="preserve">. </w:t>
      </w:r>
      <w:r w:rsidR="001D0CEC">
        <w:rPr>
          <w:rFonts w:cs="Times New Roman"/>
          <w:szCs w:val="24"/>
        </w:rPr>
        <w:t xml:space="preserve"> As explained above,</w:t>
      </w:r>
      <w:r w:rsidR="004E14F9" w:rsidRPr="00C05EA2">
        <w:rPr>
          <w:rFonts w:cs="Times New Roman"/>
          <w:szCs w:val="24"/>
        </w:rPr>
        <w:t xml:space="preserve"> </w:t>
      </w:r>
      <w:r w:rsidR="001D0CEC">
        <w:rPr>
          <w:szCs w:val="24"/>
        </w:rPr>
        <w:t>u</w:t>
      </w:r>
      <w:r w:rsidR="00716C8A">
        <w:rPr>
          <w:szCs w:val="24"/>
        </w:rPr>
        <w:t xml:space="preserve">sing </w:t>
      </w:r>
      <w:r w:rsidR="00716C8A" w:rsidRPr="008E6263">
        <w:rPr>
          <w:szCs w:val="24"/>
        </w:rPr>
        <w:t xml:space="preserve">MQ scores introduces the problem of </w:t>
      </w:r>
      <w:proofErr w:type="spellStart"/>
      <w:r w:rsidR="00716C8A" w:rsidRPr="008E6263">
        <w:rPr>
          <w:szCs w:val="24"/>
        </w:rPr>
        <w:t>endogeneity</w:t>
      </w:r>
      <w:proofErr w:type="spellEnd"/>
      <w:r w:rsidR="00716C8A" w:rsidRPr="008E6263">
        <w:rPr>
          <w:szCs w:val="24"/>
        </w:rPr>
        <w:t xml:space="preserve"> into the analysis:  i.e., the MQ</w:t>
      </w:r>
      <w:r w:rsidR="00716C8A">
        <w:rPr>
          <w:szCs w:val="24"/>
        </w:rPr>
        <w:t xml:space="preserve"> scores</w:t>
      </w:r>
      <w:r w:rsidR="00716C8A" w:rsidRPr="008E6263">
        <w:rPr>
          <w:szCs w:val="24"/>
        </w:rPr>
        <w:t>, being based on a justice’s actual voting records, potential already capture the influence of amicus curiae briefs an</w:t>
      </w:r>
      <w:r w:rsidR="001D0CEC">
        <w:rPr>
          <w:szCs w:val="24"/>
        </w:rPr>
        <w:t xml:space="preserve">d other non-ideological factors.  Because MQ scores are derived from the justices’ votes, using these same scores to study the effect of ideology on votes amounts to using votes to predict votes (Epstein, Martin, Quinn, </w:t>
      </w:r>
      <w:r w:rsidR="000D6839">
        <w:rPr>
          <w:szCs w:val="24"/>
        </w:rPr>
        <w:t>and</w:t>
      </w:r>
      <w:r w:rsidR="001D0CEC">
        <w:rPr>
          <w:szCs w:val="24"/>
        </w:rPr>
        <w:t xml:space="preserve"> Segal 2012, 713).</w:t>
      </w:r>
      <w:r w:rsidR="00716C8A">
        <w:rPr>
          <w:rFonts w:cs="Times New Roman"/>
          <w:szCs w:val="24"/>
        </w:rPr>
        <w:t xml:space="preserve"> </w:t>
      </w:r>
      <w:r w:rsidR="001C1FA7">
        <w:rPr>
          <w:rFonts w:cs="Times New Roman"/>
          <w:szCs w:val="24"/>
        </w:rPr>
        <w:t xml:space="preserve"> </w:t>
      </w:r>
      <w:r w:rsidR="004E14F9" w:rsidRPr="00C05EA2">
        <w:rPr>
          <w:rFonts w:cs="Times New Roman"/>
          <w:szCs w:val="24"/>
        </w:rPr>
        <w:t xml:space="preserve">As Segal and Cover (1989, 558) bluntly state: “One cannot demonstrate that attitudes </w:t>
      </w:r>
      <w:proofErr w:type="gramStart"/>
      <w:r w:rsidR="00C05EA2">
        <w:rPr>
          <w:rFonts w:cs="Times New Roman"/>
          <w:szCs w:val="24"/>
        </w:rPr>
        <w:t>e</w:t>
      </w:r>
      <w:r w:rsidR="00C05EA2" w:rsidRPr="00C05EA2">
        <w:rPr>
          <w:rFonts w:cs="Times New Roman"/>
          <w:szCs w:val="24"/>
        </w:rPr>
        <w:t>ffect</w:t>
      </w:r>
      <w:proofErr w:type="gramEnd"/>
      <w:r w:rsidR="004E14F9" w:rsidRPr="00C05EA2">
        <w:rPr>
          <w:rFonts w:cs="Times New Roman"/>
          <w:szCs w:val="24"/>
        </w:rPr>
        <w:t xml:space="preserve"> votes when the attitudes are operationalized from those same votes.”  </w:t>
      </w:r>
      <w:r w:rsidR="00C05EA2">
        <w:rPr>
          <w:rFonts w:cs="Times New Roman"/>
          <w:szCs w:val="24"/>
        </w:rPr>
        <w:t>And as</w:t>
      </w:r>
      <w:r w:rsidR="00C05EA2" w:rsidRPr="00C05EA2">
        <w:rPr>
          <w:rFonts w:cs="Times New Roman"/>
          <w:szCs w:val="24"/>
        </w:rPr>
        <w:t xml:space="preserve"> stated by </w:t>
      </w:r>
      <w:r w:rsidR="001E2DC9" w:rsidRPr="006F030A">
        <w:rPr>
          <w:rFonts w:cs="Times New Roman"/>
          <w:szCs w:val="24"/>
        </w:rPr>
        <w:t>Epstein et al</w:t>
      </w:r>
      <w:r w:rsidR="00C05EA2" w:rsidRPr="006F030A">
        <w:rPr>
          <w:rFonts w:cs="Times New Roman"/>
          <w:szCs w:val="24"/>
        </w:rPr>
        <w:t>. (2012, 708),</w:t>
      </w:r>
      <w:r w:rsidR="00C05EA2" w:rsidRPr="00C05EA2">
        <w:rPr>
          <w:rFonts w:cs="Times New Roman"/>
          <w:szCs w:val="24"/>
        </w:rPr>
        <w:t xml:space="preserve"> “When the goal is to explain the effect of ideology on the judges’ votes, scholars typically prefer exogenous measures because explaining votes with measures derived (even in part) from those very same votes involves a degree of circularity.”</w:t>
      </w:r>
      <w:r w:rsidR="00C05EA2">
        <w:rPr>
          <w:rFonts w:cs="Times New Roman"/>
          <w:szCs w:val="24"/>
        </w:rPr>
        <w:t xml:space="preserve">  </w:t>
      </w:r>
      <w:r w:rsidR="00F75262" w:rsidRPr="00C05EA2">
        <w:rPr>
          <w:rFonts w:cs="Times New Roman"/>
          <w:szCs w:val="24"/>
        </w:rPr>
        <w:t>Thus, b</w:t>
      </w:r>
      <w:r w:rsidR="006F030A">
        <w:rPr>
          <w:rFonts w:cs="Times New Roman"/>
          <w:szCs w:val="24"/>
        </w:rPr>
        <w:t>y using the Segal-</w:t>
      </w:r>
      <w:r w:rsidR="004E14F9" w:rsidRPr="00C05EA2">
        <w:rPr>
          <w:rFonts w:cs="Times New Roman"/>
          <w:szCs w:val="24"/>
        </w:rPr>
        <w:t>Cover scores</w:t>
      </w:r>
      <w:r w:rsidRPr="00C05EA2">
        <w:rPr>
          <w:rFonts w:cs="Times New Roman"/>
          <w:szCs w:val="24"/>
        </w:rPr>
        <w:t>, I avoid the problem of circularity in my causal finding</w:t>
      </w:r>
      <w:r w:rsidR="001C1FA7">
        <w:rPr>
          <w:rFonts w:cs="Times New Roman"/>
          <w:szCs w:val="24"/>
        </w:rPr>
        <w:t>s.</w:t>
      </w:r>
      <w:r w:rsidR="00792D0E" w:rsidRPr="00C05EA2">
        <w:rPr>
          <w:rStyle w:val="FootnoteReference"/>
          <w:rFonts w:cs="Times New Roman"/>
          <w:szCs w:val="24"/>
        </w:rPr>
        <w:footnoteReference w:id="53"/>
      </w:r>
      <w:r w:rsidR="00792D0E" w:rsidRPr="00C05EA2">
        <w:rPr>
          <w:rFonts w:cs="Times New Roman"/>
          <w:szCs w:val="24"/>
        </w:rPr>
        <w:t xml:space="preserve">  </w:t>
      </w:r>
    </w:p>
    <w:p w:rsidR="00D50941" w:rsidRDefault="00456B22" w:rsidP="003D0A3C">
      <w:pPr>
        <w:spacing w:line="480" w:lineRule="auto"/>
        <w:ind w:left="0" w:firstLine="720"/>
        <w:rPr>
          <w:rFonts w:cs="Times New Roman"/>
        </w:rPr>
      </w:pPr>
      <w:r w:rsidRPr="00B72EFC">
        <w:rPr>
          <w:rFonts w:cs="Times New Roman"/>
        </w:rPr>
        <w:lastRenderedPageBreak/>
        <w:t xml:space="preserve">My fifth independent variable is </w:t>
      </w:r>
      <w:r w:rsidR="00874AEB" w:rsidRPr="00B72EFC">
        <w:rPr>
          <w:rFonts w:cs="Times New Roman"/>
          <w:i/>
        </w:rPr>
        <w:t xml:space="preserve">Prestigious </w:t>
      </w:r>
      <w:r w:rsidR="00857604" w:rsidRPr="00B72EFC">
        <w:rPr>
          <w:i/>
        </w:rPr>
        <w:t xml:space="preserve">Liberal – Conservative </w:t>
      </w:r>
      <w:r w:rsidR="00874AEB" w:rsidRPr="00B72EFC">
        <w:rPr>
          <w:i/>
        </w:rPr>
        <w:t>Amicus</w:t>
      </w:r>
      <w:r w:rsidR="00857604" w:rsidRPr="00B72EFC">
        <w:rPr>
          <w:i/>
        </w:rPr>
        <w:t xml:space="preserve"> Difference</w:t>
      </w:r>
      <w:r w:rsidR="00B918F0" w:rsidRPr="00B72EFC">
        <w:rPr>
          <w:rFonts w:cs="Times New Roman"/>
        </w:rPr>
        <w:t>.</w:t>
      </w:r>
      <w:r w:rsidR="00B918F0">
        <w:rPr>
          <w:rFonts w:cs="Times New Roman"/>
          <w:color w:val="0070C0"/>
        </w:rPr>
        <w:t xml:space="preserve">  </w:t>
      </w:r>
      <w:r w:rsidRPr="00D276D8">
        <w:rPr>
          <w:rFonts w:cs="Times New Roman"/>
        </w:rPr>
        <w:t>This variable</w:t>
      </w:r>
      <w:r>
        <w:rPr>
          <w:rFonts w:cs="Times New Roman"/>
          <w:color w:val="0070C0"/>
        </w:rPr>
        <w:t xml:space="preserve"> </w:t>
      </w:r>
      <w:r>
        <w:t>represents the relative advantage of prestigious liberal amicus participants in a case</w:t>
      </w:r>
      <w:r w:rsidR="00D276D8">
        <w:t xml:space="preserve"> as compared to prestigious conservative amicus participants</w:t>
      </w:r>
      <w:r>
        <w:t xml:space="preserve">.  </w:t>
      </w:r>
      <w:r w:rsidR="00874AEB">
        <w:t>As discussed above, s</w:t>
      </w:r>
      <w:r>
        <w:t xml:space="preserve">cholars have found some support for the notion that the prestige and experience of the amicus participant may influence judicial behavior (e.g., </w:t>
      </w:r>
      <w:r w:rsidR="005459B9">
        <w:t xml:space="preserve">McGuire 1994; </w:t>
      </w:r>
      <w:r>
        <w:t xml:space="preserve">Kearney </w:t>
      </w:r>
      <w:r w:rsidR="000D6839">
        <w:t>and</w:t>
      </w:r>
      <w:r>
        <w:t xml:space="preserve"> Merrill 2000; Lynch 2004; </w:t>
      </w:r>
      <w:r w:rsidR="005459B9">
        <w:t xml:space="preserve">Collins 2004; </w:t>
      </w:r>
      <w:proofErr w:type="spellStart"/>
      <w:r>
        <w:t>Simard</w:t>
      </w:r>
      <w:proofErr w:type="spellEnd"/>
      <w:r>
        <w:t xml:space="preserve"> 2007</w:t>
      </w:r>
      <w:r w:rsidR="005459B9">
        <w:t>; Box-</w:t>
      </w:r>
      <w:proofErr w:type="spellStart"/>
      <w:r w:rsidR="005459B9">
        <w:t>Steffensmeier</w:t>
      </w:r>
      <w:proofErr w:type="spellEnd"/>
      <w:r w:rsidR="005459B9">
        <w:t xml:space="preserve"> et al. 2013</w:t>
      </w:r>
      <w:r>
        <w:t>)</w:t>
      </w:r>
      <w:r w:rsidR="00874AEB">
        <w:rPr>
          <w:rFonts w:cs="Times New Roman"/>
          <w:color w:val="0070C0"/>
        </w:rPr>
        <w:t xml:space="preserve">.  </w:t>
      </w:r>
      <w:r w:rsidRPr="003D0A3C">
        <w:rPr>
          <w:rFonts w:cs="Times New Roman"/>
        </w:rPr>
        <w:t>In coding this</w:t>
      </w:r>
      <w:r w:rsidR="008B6EED">
        <w:rPr>
          <w:rFonts w:cs="Times New Roman"/>
        </w:rPr>
        <w:t xml:space="preserve"> variable, I have identified 10</w:t>
      </w:r>
      <w:r w:rsidR="003D4C04" w:rsidRPr="003D0A3C">
        <w:rPr>
          <w:rFonts w:cs="Times New Roman"/>
        </w:rPr>
        <w:t xml:space="preserve"> private</w:t>
      </w:r>
      <w:r w:rsidRPr="003D0A3C">
        <w:rPr>
          <w:rFonts w:cs="Times New Roman"/>
        </w:rPr>
        <w:t xml:space="preserve"> interest groups that, based upon pr</w:t>
      </w:r>
      <w:r w:rsidR="00D276D8" w:rsidRPr="003D0A3C">
        <w:rPr>
          <w:rFonts w:cs="Times New Roman"/>
        </w:rPr>
        <w:t>ior literature and the</w:t>
      </w:r>
      <w:r w:rsidR="003D4C04" w:rsidRPr="003D0A3C">
        <w:rPr>
          <w:rFonts w:cs="Times New Roman"/>
        </w:rPr>
        <w:t>ir</w:t>
      </w:r>
      <w:r w:rsidR="00D276D8" w:rsidRPr="003D0A3C">
        <w:rPr>
          <w:rFonts w:cs="Times New Roman"/>
        </w:rPr>
        <w:t xml:space="preserve"> frequency of amicus participation,</w:t>
      </w:r>
      <w:r w:rsidR="009C5A7B" w:rsidRPr="003D0A3C">
        <w:rPr>
          <w:rFonts w:cs="Times New Roman"/>
        </w:rPr>
        <w:t xml:space="preserve"> represent the most pr</w:t>
      </w:r>
      <w:r w:rsidR="003D4C04" w:rsidRPr="003D0A3C">
        <w:rPr>
          <w:rFonts w:cs="Times New Roman"/>
        </w:rPr>
        <w:t>estigi</w:t>
      </w:r>
      <w:r w:rsidR="008B6EED">
        <w:rPr>
          <w:rFonts w:cs="Times New Roman"/>
        </w:rPr>
        <w:t xml:space="preserve">ous and experienced amici: ACLU, AFL-CIO, </w:t>
      </w:r>
      <w:r w:rsidR="003D4C04" w:rsidRPr="003D0A3C">
        <w:rPr>
          <w:rFonts w:cs="Times New Roman"/>
        </w:rPr>
        <w:t>American Associ</w:t>
      </w:r>
      <w:r w:rsidR="008B6EED">
        <w:rPr>
          <w:rFonts w:cs="Times New Roman"/>
        </w:rPr>
        <w:t xml:space="preserve">ation of Retired Persons (AARP), </w:t>
      </w:r>
      <w:r w:rsidR="003D4C04" w:rsidRPr="003D0A3C">
        <w:rPr>
          <w:rFonts w:cs="Times New Roman"/>
        </w:rPr>
        <w:t>NAACP and NAACP Legal Defense Fund</w:t>
      </w:r>
      <w:r w:rsidR="003D4C04" w:rsidRPr="003D0A3C">
        <w:rPr>
          <w:rStyle w:val="FootnoteReference"/>
          <w:rFonts w:cs="Times New Roman"/>
        </w:rPr>
        <w:footnoteReference w:id="54"/>
      </w:r>
      <w:r w:rsidR="008B6EED">
        <w:rPr>
          <w:rFonts w:cs="Times New Roman"/>
        </w:rPr>
        <w:t xml:space="preserve">, </w:t>
      </w:r>
      <w:r w:rsidR="003D4C04" w:rsidRPr="003D0A3C">
        <w:rPr>
          <w:rFonts w:cs="Times New Roman"/>
        </w:rPr>
        <w:t>Wa</w:t>
      </w:r>
      <w:r w:rsidR="008B6EED">
        <w:rPr>
          <w:rFonts w:cs="Times New Roman"/>
        </w:rPr>
        <w:t>shington Legal Foundation (WLF), Pacific Legal Foundation (PLF),</w:t>
      </w:r>
      <w:r w:rsidR="003D4C04" w:rsidRPr="003D0A3C">
        <w:rPr>
          <w:rFonts w:cs="Times New Roman"/>
        </w:rPr>
        <w:t xml:space="preserve"> National Association of C</w:t>
      </w:r>
      <w:r w:rsidR="008B6EED">
        <w:rPr>
          <w:rFonts w:cs="Times New Roman"/>
        </w:rPr>
        <w:t>riminal Defense Lawyers (NACDL), American Bar Association (ABA),</w:t>
      </w:r>
      <w:r w:rsidR="003D4C04" w:rsidRPr="003D0A3C">
        <w:rPr>
          <w:rFonts w:cs="Times New Roman"/>
        </w:rPr>
        <w:t xml:space="preserve"> Ame</w:t>
      </w:r>
      <w:r w:rsidR="008B6EED">
        <w:rPr>
          <w:rFonts w:cs="Times New Roman"/>
        </w:rPr>
        <w:t>rican Medical Association (AMA),</w:t>
      </w:r>
      <w:r w:rsidR="003D4C04" w:rsidRPr="003D0A3C">
        <w:rPr>
          <w:rFonts w:cs="Times New Roman"/>
        </w:rPr>
        <w:t xml:space="preserve"> and the Chamber of Commerce of the United States (</w:t>
      </w:r>
      <w:proofErr w:type="spellStart"/>
      <w:r w:rsidR="003D4C04" w:rsidRPr="003D0A3C">
        <w:rPr>
          <w:rFonts w:cs="Times New Roman"/>
        </w:rPr>
        <w:t>CofC</w:t>
      </w:r>
      <w:proofErr w:type="spellEnd"/>
      <w:r w:rsidR="003D4C04" w:rsidRPr="003D0A3C">
        <w:rPr>
          <w:rFonts w:cs="Times New Roman"/>
        </w:rPr>
        <w:t>).</w:t>
      </w:r>
      <w:r w:rsidR="004C5148" w:rsidRPr="003D0A3C">
        <w:rPr>
          <w:rFonts w:cs="Times New Roman"/>
        </w:rPr>
        <w:t xml:space="preserve">  These ten groups were chosen because each </w:t>
      </w:r>
      <w:r w:rsidR="00D1750B">
        <w:rPr>
          <w:rFonts w:cs="Times New Roman"/>
        </w:rPr>
        <w:t xml:space="preserve">has </w:t>
      </w:r>
      <w:r w:rsidR="004C5148" w:rsidRPr="003D0A3C">
        <w:rPr>
          <w:rFonts w:cs="Times New Roman"/>
        </w:rPr>
        <w:t>been identified in the literature as either (1) having higher success rates than the average for amici, or (2) more frequently participating as</w:t>
      </w:r>
      <w:r w:rsidR="008B6EED">
        <w:rPr>
          <w:rFonts w:cs="Times New Roman"/>
        </w:rPr>
        <w:t xml:space="preserve"> amici, or (3) having a strong </w:t>
      </w:r>
      <w:r w:rsidR="004C5148" w:rsidRPr="003D0A3C">
        <w:rPr>
          <w:rFonts w:cs="Times New Roman"/>
        </w:rPr>
        <w:t>reputation among legal practitioners, judges, and scholars, or (4) a combination of the prior three.</w:t>
      </w:r>
      <w:r w:rsidR="00B72EFC" w:rsidRPr="003D0A3C">
        <w:rPr>
          <w:rStyle w:val="FootnoteReference"/>
          <w:rFonts w:cs="Times New Roman"/>
        </w:rPr>
        <w:footnoteReference w:id="55"/>
      </w:r>
      <w:r w:rsidR="008B6EED">
        <w:rPr>
          <w:rFonts w:cs="Times New Roman"/>
        </w:rPr>
        <w:t xml:space="preserve">   This group of 10</w:t>
      </w:r>
      <w:r w:rsidR="00A135F5" w:rsidRPr="003D0A3C">
        <w:rPr>
          <w:rFonts w:cs="Times New Roman"/>
        </w:rPr>
        <w:t xml:space="preserve"> prestigious amici comprises seven groups that are commonly viewed as liberal in their ideological orientation – ACLU, AFL-CIO, AARP, NAACP</w:t>
      </w:r>
      <w:r w:rsidR="008B6EED">
        <w:rPr>
          <w:rFonts w:cs="Times New Roman"/>
        </w:rPr>
        <w:t xml:space="preserve">, NACDL, ABA, and AMA, and three groups </w:t>
      </w:r>
      <w:r w:rsidR="00A135F5" w:rsidRPr="003D0A3C">
        <w:rPr>
          <w:rFonts w:cs="Times New Roman"/>
        </w:rPr>
        <w:t>viewed as</w:t>
      </w:r>
      <w:r w:rsidR="008B6EED">
        <w:rPr>
          <w:rFonts w:cs="Times New Roman"/>
        </w:rPr>
        <w:t xml:space="preserve"> conservatively inclined – </w:t>
      </w:r>
      <w:proofErr w:type="spellStart"/>
      <w:r w:rsidR="008B6EED">
        <w:rPr>
          <w:rFonts w:cs="Times New Roman"/>
        </w:rPr>
        <w:t>CofC</w:t>
      </w:r>
      <w:proofErr w:type="spellEnd"/>
      <w:r w:rsidR="008B6EED">
        <w:rPr>
          <w:rFonts w:cs="Times New Roman"/>
        </w:rPr>
        <w:t>,</w:t>
      </w:r>
      <w:r w:rsidR="00A135F5" w:rsidRPr="003D0A3C">
        <w:rPr>
          <w:rFonts w:cs="Times New Roman"/>
        </w:rPr>
        <w:t xml:space="preserve"> WLF, and PLF.</w:t>
      </w:r>
    </w:p>
    <w:p w:rsidR="003D0A3C" w:rsidRPr="00CC20A1" w:rsidRDefault="003D0A3C" w:rsidP="00CC20A1">
      <w:pPr>
        <w:spacing w:line="480" w:lineRule="auto"/>
        <w:ind w:left="0" w:firstLine="720"/>
        <w:rPr>
          <w:rFonts w:cs="Times New Roman"/>
        </w:rPr>
      </w:pPr>
      <w:r>
        <w:rPr>
          <w:rFonts w:cs="Times New Roman"/>
        </w:rPr>
        <w:lastRenderedPageBreak/>
        <w:t xml:space="preserve">The ACLU is consistently identified in the literature as one of the most prestigious and experienced amici (e.g., </w:t>
      </w:r>
      <w:proofErr w:type="spellStart"/>
      <w:r w:rsidR="00B215C3">
        <w:rPr>
          <w:rFonts w:cs="Times New Roman"/>
        </w:rPr>
        <w:t>Krislov</w:t>
      </w:r>
      <w:proofErr w:type="spellEnd"/>
      <w:r w:rsidR="00B215C3">
        <w:rPr>
          <w:rFonts w:cs="Times New Roman"/>
        </w:rPr>
        <w:t xml:space="preserve"> 1963; </w:t>
      </w:r>
      <w:r w:rsidR="00B4389B">
        <w:rPr>
          <w:rFonts w:cs="Times New Roman"/>
        </w:rPr>
        <w:t xml:space="preserve">Barker 1967; </w:t>
      </w:r>
      <w:proofErr w:type="spellStart"/>
      <w:r>
        <w:rPr>
          <w:rFonts w:cs="Times New Roman"/>
        </w:rPr>
        <w:t>Puro</w:t>
      </w:r>
      <w:proofErr w:type="spellEnd"/>
      <w:r>
        <w:rPr>
          <w:rFonts w:cs="Times New Roman"/>
        </w:rPr>
        <w:t xml:space="preserve"> 1972; </w:t>
      </w:r>
      <w:proofErr w:type="spellStart"/>
      <w:r w:rsidR="00B4389B">
        <w:rPr>
          <w:rFonts w:cs="Times New Roman"/>
        </w:rPr>
        <w:t>Ivers</w:t>
      </w:r>
      <w:proofErr w:type="spellEnd"/>
      <w:r w:rsidR="00B4389B">
        <w:rPr>
          <w:rFonts w:cs="Times New Roman"/>
        </w:rPr>
        <w:t xml:space="preserve"> </w:t>
      </w:r>
      <w:r w:rsidR="000D6839">
        <w:rPr>
          <w:rFonts w:cs="Times New Roman"/>
        </w:rPr>
        <w:t>and</w:t>
      </w:r>
      <w:r w:rsidR="00B4389B">
        <w:rPr>
          <w:rFonts w:cs="Times New Roman"/>
        </w:rPr>
        <w:t xml:space="preserve"> O’Conner 1987; </w:t>
      </w:r>
      <w:r>
        <w:rPr>
          <w:rFonts w:cs="Times New Roman"/>
        </w:rPr>
        <w:t xml:space="preserve">Kearney </w:t>
      </w:r>
      <w:r w:rsidR="000D6839">
        <w:rPr>
          <w:rFonts w:cs="Times New Roman"/>
        </w:rPr>
        <w:t>and</w:t>
      </w:r>
      <w:r>
        <w:rPr>
          <w:rFonts w:cs="Times New Roman"/>
        </w:rPr>
        <w:t xml:space="preserve"> Merrill 2000; </w:t>
      </w:r>
      <w:r w:rsidR="00B4389B">
        <w:rPr>
          <w:rFonts w:cs="Times New Roman"/>
        </w:rPr>
        <w:t xml:space="preserve">Lynch 2004; </w:t>
      </w:r>
      <w:proofErr w:type="spellStart"/>
      <w:r w:rsidR="00B4389B">
        <w:t>Dunworth</w:t>
      </w:r>
      <w:proofErr w:type="spellEnd"/>
      <w:r w:rsidR="00B4389B">
        <w:t xml:space="preserve">, </w:t>
      </w:r>
      <w:proofErr w:type="spellStart"/>
      <w:r w:rsidR="00B4389B">
        <w:t>Fischman</w:t>
      </w:r>
      <w:proofErr w:type="spellEnd"/>
      <w:r w:rsidR="00B4389B">
        <w:t xml:space="preserve">, </w:t>
      </w:r>
      <w:r w:rsidR="000D6839">
        <w:t>and</w:t>
      </w:r>
      <w:r w:rsidR="00B4389B">
        <w:t xml:space="preserve"> Ho 2009; </w:t>
      </w:r>
      <w:proofErr w:type="spellStart"/>
      <w:r w:rsidR="00B4389B">
        <w:t>Unah</w:t>
      </w:r>
      <w:proofErr w:type="spellEnd"/>
      <w:r w:rsidR="00B4389B">
        <w:t xml:space="preserve"> </w:t>
      </w:r>
      <w:r w:rsidR="000D6839">
        <w:t>and</w:t>
      </w:r>
      <w:r w:rsidR="00B4389B">
        <w:t xml:space="preserve"> Hancock 2006; Box-</w:t>
      </w:r>
      <w:proofErr w:type="spellStart"/>
      <w:r w:rsidR="00B4389B">
        <w:t>Steffensmeir</w:t>
      </w:r>
      <w:proofErr w:type="spellEnd"/>
      <w:r w:rsidR="00B4389B">
        <w:t xml:space="preserve"> et al. 2013).  </w:t>
      </w:r>
      <w:r w:rsidR="00B215C3">
        <w:t>Likewise</w:t>
      </w:r>
      <w:r w:rsidR="00B4389B">
        <w:t xml:space="preserve">, the </w:t>
      </w:r>
      <w:r w:rsidR="00B4389B">
        <w:rPr>
          <w:rFonts w:cs="Times New Roman"/>
        </w:rPr>
        <w:t>AFL-CIO’</w:t>
      </w:r>
      <w:r w:rsidR="00B215C3">
        <w:rPr>
          <w:rFonts w:cs="Times New Roman"/>
        </w:rPr>
        <w:t>s prominence</w:t>
      </w:r>
      <w:r w:rsidR="00B4389B">
        <w:rPr>
          <w:rFonts w:cs="Times New Roman"/>
        </w:rPr>
        <w:t xml:space="preserve"> is widely documented (</w:t>
      </w:r>
      <w:r w:rsidR="00B215C3">
        <w:rPr>
          <w:rFonts w:cs="Times New Roman"/>
        </w:rPr>
        <w:t xml:space="preserve">e.g., </w:t>
      </w:r>
      <w:proofErr w:type="spellStart"/>
      <w:r w:rsidR="00B215C3">
        <w:rPr>
          <w:rFonts w:cs="Times New Roman"/>
        </w:rPr>
        <w:t>Puro</w:t>
      </w:r>
      <w:proofErr w:type="spellEnd"/>
      <w:r w:rsidR="00B215C3">
        <w:rPr>
          <w:rFonts w:cs="Times New Roman"/>
        </w:rPr>
        <w:t xml:space="preserve"> 1972; Kearney </w:t>
      </w:r>
      <w:r w:rsidR="000D6839">
        <w:rPr>
          <w:rFonts w:cs="Times New Roman"/>
        </w:rPr>
        <w:t>and</w:t>
      </w:r>
      <w:r w:rsidR="00B215C3">
        <w:rPr>
          <w:rFonts w:cs="Times New Roman"/>
        </w:rPr>
        <w:t xml:space="preserve"> Merrill 2000;  Lynch 2004; </w:t>
      </w:r>
      <w:proofErr w:type="spellStart"/>
      <w:r w:rsidR="00B215C3">
        <w:t>Dunworth</w:t>
      </w:r>
      <w:proofErr w:type="spellEnd"/>
      <w:r w:rsidR="00B215C3">
        <w:t xml:space="preserve">, </w:t>
      </w:r>
      <w:proofErr w:type="spellStart"/>
      <w:r w:rsidR="00B215C3">
        <w:t>Fischman</w:t>
      </w:r>
      <w:proofErr w:type="spellEnd"/>
      <w:r w:rsidR="00B215C3">
        <w:t xml:space="preserve">, </w:t>
      </w:r>
      <w:r w:rsidR="000D6839">
        <w:t>and</w:t>
      </w:r>
      <w:r w:rsidR="00B215C3">
        <w:t xml:space="preserve"> Ho 2009); the</w:t>
      </w:r>
      <w:r w:rsidR="00B4389B" w:rsidRPr="003D0A3C">
        <w:rPr>
          <w:rFonts w:cs="Times New Roman"/>
        </w:rPr>
        <w:t xml:space="preserve"> American Association of Retired Persons (AARP)</w:t>
      </w:r>
      <w:r w:rsidR="00F371B3">
        <w:rPr>
          <w:rFonts w:cs="Times New Roman"/>
        </w:rPr>
        <w:t xml:space="preserve"> is widely regarded</w:t>
      </w:r>
      <w:r w:rsidR="00615580">
        <w:rPr>
          <w:rFonts w:cs="Times New Roman"/>
        </w:rPr>
        <w:t xml:space="preserve"> as one of the most</w:t>
      </w:r>
      <w:r w:rsidR="00F40F08">
        <w:rPr>
          <w:rFonts w:cs="Times New Roman"/>
        </w:rPr>
        <w:t xml:space="preserve"> powerful interest group</w:t>
      </w:r>
      <w:r w:rsidR="00615580">
        <w:rPr>
          <w:rFonts w:cs="Times New Roman"/>
        </w:rPr>
        <w:t>s</w:t>
      </w:r>
      <w:r w:rsidR="00F40F08">
        <w:rPr>
          <w:rFonts w:cs="Times New Roman"/>
        </w:rPr>
        <w:t xml:space="preserve"> in Washington </w:t>
      </w:r>
      <w:r w:rsidR="00615580">
        <w:rPr>
          <w:rFonts w:cs="Times New Roman"/>
        </w:rPr>
        <w:t xml:space="preserve">and as one of the most active amicus participants </w:t>
      </w:r>
      <w:r w:rsidR="00D04205">
        <w:rPr>
          <w:rFonts w:cs="Times New Roman"/>
        </w:rPr>
        <w:t>(e.g., Chandl</w:t>
      </w:r>
      <w:r w:rsidR="00F40F08">
        <w:rPr>
          <w:rFonts w:cs="Times New Roman"/>
        </w:rPr>
        <w:t>er 2013</w:t>
      </w:r>
      <w:r w:rsidR="00B4389B" w:rsidRPr="003D0A3C">
        <w:rPr>
          <w:rFonts w:cs="Times New Roman"/>
        </w:rPr>
        <w:t>;</w:t>
      </w:r>
      <w:r w:rsidR="00F371B3">
        <w:rPr>
          <w:rFonts w:cs="Times New Roman"/>
        </w:rPr>
        <w:t xml:space="preserve"> </w:t>
      </w:r>
      <w:proofErr w:type="spellStart"/>
      <w:r w:rsidR="00F371B3">
        <w:rPr>
          <w:rFonts w:cs="Times New Roman"/>
        </w:rPr>
        <w:t>Nownes</w:t>
      </w:r>
      <w:proofErr w:type="spellEnd"/>
      <w:r w:rsidR="00F371B3">
        <w:rPr>
          <w:rFonts w:cs="Times New Roman"/>
        </w:rPr>
        <w:t xml:space="preserve"> 2013); the</w:t>
      </w:r>
      <w:r w:rsidR="00B4389B" w:rsidRPr="003D0A3C">
        <w:rPr>
          <w:rFonts w:cs="Times New Roman"/>
        </w:rPr>
        <w:t xml:space="preserve"> NAACP and NAACP Legal Defense Fund</w:t>
      </w:r>
      <w:r w:rsidR="00B215C3">
        <w:rPr>
          <w:rFonts w:cs="Times New Roman"/>
        </w:rPr>
        <w:t xml:space="preserve"> </w:t>
      </w:r>
      <w:r w:rsidR="00F371B3">
        <w:rPr>
          <w:rFonts w:cs="Times New Roman"/>
        </w:rPr>
        <w:t xml:space="preserve"> have historically been among the most regarded, active, and influential interest groups in the judicial process </w:t>
      </w:r>
      <w:r w:rsidR="00B215C3">
        <w:rPr>
          <w:rFonts w:cs="Times New Roman"/>
        </w:rPr>
        <w:t xml:space="preserve">(e.g., </w:t>
      </w:r>
      <w:proofErr w:type="spellStart"/>
      <w:r w:rsidR="00B215C3">
        <w:rPr>
          <w:rFonts w:cs="Times New Roman"/>
        </w:rPr>
        <w:t>Vose</w:t>
      </w:r>
      <w:proofErr w:type="spellEnd"/>
      <w:r w:rsidR="00B215C3">
        <w:rPr>
          <w:rFonts w:cs="Times New Roman"/>
        </w:rPr>
        <w:t xml:space="preserve"> 1957; </w:t>
      </w:r>
      <w:proofErr w:type="spellStart"/>
      <w:r w:rsidR="00B215C3">
        <w:rPr>
          <w:rFonts w:cs="Times New Roman"/>
        </w:rPr>
        <w:t>Krislov</w:t>
      </w:r>
      <w:proofErr w:type="spellEnd"/>
      <w:r w:rsidR="00B215C3">
        <w:rPr>
          <w:rFonts w:cs="Times New Roman"/>
        </w:rPr>
        <w:t xml:space="preserve"> 1963; Lynch 2004; </w:t>
      </w:r>
      <w:proofErr w:type="spellStart"/>
      <w:r w:rsidR="00B215C3">
        <w:rPr>
          <w:rFonts w:cs="Times New Roman"/>
        </w:rPr>
        <w:t>Unah</w:t>
      </w:r>
      <w:proofErr w:type="spellEnd"/>
      <w:r w:rsidR="00B215C3">
        <w:rPr>
          <w:rFonts w:cs="Times New Roman"/>
        </w:rPr>
        <w:t xml:space="preserve"> </w:t>
      </w:r>
      <w:r w:rsidR="000D6839">
        <w:rPr>
          <w:rFonts w:cs="Times New Roman"/>
        </w:rPr>
        <w:t>and</w:t>
      </w:r>
      <w:r w:rsidR="00B215C3">
        <w:rPr>
          <w:rFonts w:cs="Times New Roman"/>
        </w:rPr>
        <w:t xml:space="preserve"> Hancock 2006)</w:t>
      </w:r>
      <w:r w:rsidR="00B4389B" w:rsidRPr="003D0A3C">
        <w:rPr>
          <w:rFonts w:cs="Times New Roman"/>
        </w:rPr>
        <w:t xml:space="preserve">; </w:t>
      </w:r>
      <w:r w:rsidR="00615580">
        <w:rPr>
          <w:rFonts w:cs="Times New Roman"/>
        </w:rPr>
        <w:t xml:space="preserve"> the </w:t>
      </w:r>
      <w:r w:rsidR="00B4389B" w:rsidRPr="003D0A3C">
        <w:rPr>
          <w:rFonts w:cs="Times New Roman"/>
        </w:rPr>
        <w:t>Washington Legal Foundation (WLF)</w:t>
      </w:r>
      <w:r w:rsidR="00B215C3">
        <w:rPr>
          <w:rFonts w:cs="Times New Roman"/>
        </w:rPr>
        <w:t xml:space="preserve"> </w:t>
      </w:r>
      <w:r w:rsidR="00615580">
        <w:rPr>
          <w:rFonts w:cs="Times New Roman"/>
        </w:rPr>
        <w:t xml:space="preserve">is acknowledged as a leading amicus participant and conservative voice </w:t>
      </w:r>
      <w:r w:rsidR="00B215C3">
        <w:rPr>
          <w:rFonts w:cs="Times New Roman"/>
        </w:rPr>
        <w:t xml:space="preserve">(e.g., Lynch 2004; </w:t>
      </w:r>
      <w:proofErr w:type="spellStart"/>
      <w:r w:rsidR="00B215C3">
        <w:t>Dunworth</w:t>
      </w:r>
      <w:proofErr w:type="spellEnd"/>
      <w:r w:rsidR="00B215C3">
        <w:t xml:space="preserve">, </w:t>
      </w:r>
      <w:proofErr w:type="spellStart"/>
      <w:r w:rsidR="00B215C3">
        <w:t>Fischman</w:t>
      </w:r>
      <w:proofErr w:type="spellEnd"/>
      <w:r w:rsidR="00B215C3">
        <w:t xml:space="preserve">, </w:t>
      </w:r>
      <w:r w:rsidR="000D6839">
        <w:t>and</w:t>
      </w:r>
      <w:r w:rsidR="00B215C3">
        <w:t xml:space="preserve"> Ho 2009; Chandler 2013)</w:t>
      </w:r>
      <w:r w:rsidR="00B215C3">
        <w:rPr>
          <w:rFonts w:cs="Times New Roman"/>
        </w:rPr>
        <w:t xml:space="preserve"> </w:t>
      </w:r>
      <w:r w:rsidR="00B4389B" w:rsidRPr="003D0A3C">
        <w:rPr>
          <w:rFonts w:cs="Times New Roman"/>
        </w:rPr>
        <w:t xml:space="preserve">; </w:t>
      </w:r>
      <w:r w:rsidR="00615580">
        <w:rPr>
          <w:rFonts w:cs="Times New Roman"/>
        </w:rPr>
        <w:t xml:space="preserve">likewise, the </w:t>
      </w:r>
      <w:r w:rsidR="00B4389B" w:rsidRPr="003D0A3C">
        <w:rPr>
          <w:rFonts w:cs="Times New Roman"/>
        </w:rPr>
        <w:t>Pacific Legal Foundation</w:t>
      </w:r>
      <w:r w:rsidR="0015647D">
        <w:rPr>
          <w:rFonts w:cs="Times New Roman"/>
        </w:rPr>
        <w:t xml:space="preserve"> </w:t>
      </w:r>
      <w:r w:rsidR="0015647D" w:rsidRPr="003D0A3C">
        <w:rPr>
          <w:rFonts w:cs="Times New Roman"/>
        </w:rPr>
        <w:t>(PLF)</w:t>
      </w:r>
      <w:r w:rsidR="0015647D">
        <w:rPr>
          <w:rFonts w:cs="Times New Roman"/>
        </w:rPr>
        <w:t xml:space="preserve"> </w:t>
      </w:r>
      <w:r w:rsidR="00615580">
        <w:rPr>
          <w:rFonts w:cs="Times New Roman"/>
        </w:rPr>
        <w:t xml:space="preserve"> is </w:t>
      </w:r>
      <w:r w:rsidR="0015647D">
        <w:rPr>
          <w:rFonts w:cs="Times New Roman"/>
        </w:rPr>
        <w:t>one of the most active a</w:t>
      </w:r>
      <w:r w:rsidR="008B6EED">
        <w:rPr>
          <w:rFonts w:cs="Times New Roman"/>
        </w:rPr>
        <w:t>nd</w:t>
      </w:r>
      <w:r w:rsidR="0015647D">
        <w:rPr>
          <w:rFonts w:cs="Times New Roman"/>
        </w:rPr>
        <w:t xml:space="preserve"> prestigious amicus participants with a conservative/libertarian bent</w:t>
      </w:r>
      <w:r w:rsidR="00B4389B" w:rsidRPr="003D0A3C">
        <w:rPr>
          <w:rFonts w:cs="Times New Roman"/>
        </w:rPr>
        <w:t xml:space="preserve"> </w:t>
      </w:r>
      <w:r w:rsidR="00B215C3">
        <w:rPr>
          <w:rFonts w:cs="Times New Roman"/>
        </w:rPr>
        <w:t xml:space="preserve">(e.g., </w:t>
      </w:r>
      <w:proofErr w:type="spellStart"/>
      <w:r w:rsidR="00B215C3">
        <w:t>Dunworth</w:t>
      </w:r>
      <w:proofErr w:type="spellEnd"/>
      <w:r w:rsidR="00B215C3">
        <w:t xml:space="preserve">, </w:t>
      </w:r>
      <w:proofErr w:type="spellStart"/>
      <w:r w:rsidR="00B215C3">
        <w:t>Fischman</w:t>
      </w:r>
      <w:proofErr w:type="spellEnd"/>
      <w:r w:rsidR="00B215C3">
        <w:t xml:space="preserve">, </w:t>
      </w:r>
      <w:r w:rsidR="000D6839">
        <w:t>and</w:t>
      </w:r>
      <w:r w:rsidR="00B215C3">
        <w:t xml:space="preserve"> Ho 2009; Chandler 2013)</w:t>
      </w:r>
      <w:r w:rsidR="00B215C3">
        <w:rPr>
          <w:rFonts w:cs="Times New Roman"/>
        </w:rPr>
        <w:t xml:space="preserve"> </w:t>
      </w:r>
      <w:r w:rsidR="00B4389B" w:rsidRPr="003D0A3C">
        <w:rPr>
          <w:rFonts w:cs="Times New Roman"/>
        </w:rPr>
        <w:t xml:space="preserve">;  </w:t>
      </w:r>
      <w:r w:rsidR="0015647D">
        <w:rPr>
          <w:rFonts w:cs="Times New Roman"/>
        </w:rPr>
        <w:t xml:space="preserve">the </w:t>
      </w:r>
      <w:r w:rsidR="00B4389B" w:rsidRPr="003D0A3C">
        <w:rPr>
          <w:rFonts w:cs="Times New Roman"/>
        </w:rPr>
        <w:t>National Association of Criminal Defense Lawyers (NACDL)</w:t>
      </w:r>
      <w:r w:rsidR="0015647D">
        <w:rPr>
          <w:rFonts w:cs="Times New Roman"/>
        </w:rPr>
        <w:t xml:space="preserve"> is the most active amici in the realm of criminal procedure and one of the most active amici generally</w:t>
      </w:r>
      <w:r w:rsidR="00B215C3">
        <w:rPr>
          <w:rFonts w:cs="Times New Roman"/>
        </w:rPr>
        <w:t xml:space="preserve"> (e.g., </w:t>
      </w:r>
      <w:proofErr w:type="spellStart"/>
      <w:r w:rsidR="00B215C3">
        <w:t>Dunworth</w:t>
      </w:r>
      <w:proofErr w:type="spellEnd"/>
      <w:r w:rsidR="00B215C3">
        <w:t xml:space="preserve">, </w:t>
      </w:r>
      <w:proofErr w:type="spellStart"/>
      <w:r w:rsidR="00B215C3">
        <w:t>Fischman</w:t>
      </w:r>
      <w:proofErr w:type="spellEnd"/>
      <w:r w:rsidR="00B215C3">
        <w:t xml:space="preserve">, </w:t>
      </w:r>
      <w:r w:rsidR="000D6839">
        <w:t>and</w:t>
      </w:r>
      <w:r w:rsidR="00B215C3">
        <w:t xml:space="preserve"> Ho 2009; </w:t>
      </w:r>
      <w:r w:rsidR="00B215C3">
        <w:rPr>
          <w:rFonts w:cs="Times New Roman"/>
        </w:rPr>
        <w:t xml:space="preserve">Chandler 2013); </w:t>
      </w:r>
      <w:r w:rsidR="0015647D">
        <w:rPr>
          <w:rFonts w:cs="Times New Roman"/>
        </w:rPr>
        <w:t xml:space="preserve">the </w:t>
      </w:r>
      <w:r w:rsidR="00B4389B" w:rsidRPr="003D0A3C">
        <w:rPr>
          <w:rFonts w:cs="Times New Roman"/>
        </w:rPr>
        <w:t>American Bar Association (ABA)</w:t>
      </w:r>
      <w:r w:rsidR="0015647D">
        <w:rPr>
          <w:rFonts w:cs="Times New Roman"/>
        </w:rPr>
        <w:t xml:space="preserve">, along with the </w:t>
      </w:r>
      <w:r w:rsidR="0015647D" w:rsidRPr="003D0A3C">
        <w:rPr>
          <w:rFonts w:cs="Times New Roman"/>
        </w:rPr>
        <w:t>American Medical Association (AMA)</w:t>
      </w:r>
      <w:r w:rsidR="0015647D">
        <w:rPr>
          <w:rFonts w:cs="Times New Roman"/>
        </w:rPr>
        <w:t xml:space="preserve"> are two of the most prestigious professional association amici</w:t>
      </w:r>
      <w:r w:rsidR="00B215C3">
        <w:rPr>
          <w:rFonts w:cs="Times New Roman"/>
        </w:rPr>
        <w:t xml:space="preserve"> (e.g., Lynch 2004)</w:t>
      </w:r>
      <w:r w:rsidR="00B4389B" w:rsidRPr="003D0A3C">
        <w:rPr>
          <w:rFonts w:cs="Times New Roman"/>
        </w:rPr>
        <w:t xml:space="preserve">; </w:t>
      </w:r>
      <w:r w:rsidR="0015647D">
        <w:rPr>
          <w:rFonts w:cs="Times New Roman"/>
        </w:rPr>
        <w:t>and lastly, t</w:t>
      </w:r>
      <w:r w:rsidR="00B4389B" w:rsidRPr="003D0A3C">
        <w:rPr>
          <w:rFonts w:cs="Times New Roman"/>
        </w:rPr>
        <w:t xml:space="preserve">he </w:t>
      </w:r>
      <w:r w:rsidR="0015647D">
        <w:rPr>
          <w:rFonts w:cs="Times New Roman"/>
        </w:rPr>
        <w:t xml:space="preserve">prevalence and influence of the </w:t>
      </w:r>
      <w:r w:rsidR="00B4389B" w:rsidRPr="003D0A3C">
        <w:rPr>
          <w:rFonts w:cs="Times New Roman"/>
        </w:rPr>
        <w:t>Chamber of Commerce of the United States (</w:t>
      </w:r>
      <w:proofErr w:type="spellStart"/>
      <w:r w:rsidR="00B4389B" w:rsidRPr="003D0A3C">
        <w:rPr>
          <w:rFonts w:cs="Times New Roman"/>
        </w:rPr>
        <w:t>CofC</w:t>
      </w:r>
      <w:proofErr w:type="spellEnd"/>
      <w:r w:rsidR="00615580">
        <w:rPr>
          <w:rFonts w:cs="Times New Roman"/>
        </w:rPr>
        <w:t xml:space="preserve">) </w:t>
      </w:r>
      <w:r w:rsidR="00B215C3">
        <w:rPr>
          <w:rFonts w:cs="Times New Roman"/>
        </w:rPr>
        <w:t xml:space="preserve"> </w:t>
      </w:r>
      <w:r w:rsidR="0015647D">
        <w:rPr>
          <w:rFonts w:cs="Times New Roman"/>
        </w:rPr>
        <w:t xml:space="preserve">as amici in the judicial sphere has been widely </w:t>
      </w:r>
      <w:r w:rsidR="00D04205">
        <w:rPr>
          <w:rFonts w:cs="Times New Roman"/>
        </w:rPr>
        <w:t>documented</w:t>
      </w:r>
      <w:r w:rsidR="0015647D">
        <w:rPr>
          <w:rFonts w:cs="Times New Roman"/>
        </w:rPr>
        <w:t xml:space="preserve"> </w:t>
      </w:r>
      <w:r w:rsidR="00B215C3">
        <w:rPr>
          <w:rFonts w:cs="Times New Roman"/>
        </w:rPr>
        <w:t>(e.g., Lynch 2004; Franklin 2009; Chandler 2013</w:t>
      </w:r>
      <w:r w:rsidR="00B4389B" w:rsidRPr="003D0A3C">
        <w:rPr>
          <w:rFonts w:cs="Times New Roman"/>
        </w:rPr>
        <w:t xml:space="preserve">). </w:t>
      </w:r>
      <w:r w:rsidR="00DC3A5D">
        <w:rPr>
          <w:rFonts w:cs="Times New Roman"/>
        </w:rPr>
        <w:t xml:space="preserve"> </w:t>
      </w:r>
      <w:r w:rsidR="00DC3A5D">
        <w:t xml:space="preserve">I expect </w:t>
      </w:r>
      <w:r w:rsidR="00DC3A5D" w:rsidRPr="00B72EFC">
        <w:rPr>
          <w:rFonts w:cs="Times New Roman"/>
          <w:i/>
        </w:rPr>
        <w:t xml:space="preserve">Prestigious </w:t>
      </w:r>
      <w:r w:rsidR="00DC3A5D" w:rsidRPr="00B72EFC">
        <w:rPr>
          <w:i/>
        </w:rPr>
        <w:t>Liberal – Conservative Amicus Difference</w:t>
      </w:r>
      <w:r w:rsidR="00DC3A5D">
        <w:t xml:space="preserve"> to be signed positively, indicating that a relative advantage of prestigious liberal briefs in a case increases the likelihood of a justice voting liberally. </w:t>
      </w:r>
      <w:r w:rsidR="00B4389B" w:rsidRPr="003D0A3C">
        <w:rPr>
          <w:rFonts w:cs="Times New Roman"/>
        </w:rPr>
        <w:t xml:space="preserve"> </w:t>
      </w:r>
      <w:r>
        <w:rPr>
          <w:rFonts w:cs="Times New Roman"/>
          <w:color w:val="0070C0"/>
        </w:rPr>
        <w:tab/>
      </w:r>
    </w:p>
    <w:p w:rsidR="00874AEB" w:rsidRPr="006138F9" w:rsidRDefault="008B6EED" w:rsidP="00D50941">
      <w:pPr>
        <w:pStyle w:val="ListParagraph"/>
        <w:numPr>
          <w:ilvl w:val="0"/>
          <w:numId w:val="1"/>
        </w:numPr>
        <w:spacing w:line="480" w:lineRule="auto"/>
        <w:ind w:firstLine="0"/>
        <w:rPr>
          <w:b/>
          <w:u w:val="single"/>
        </w:rPr>
      </w:pPr>
      <w:r>
        <w:rPr>
          <w:b/>
        </w:rPr>
        <w:lastRenderedPageBreak/>
        <w:t>Interaction Term</w:t>
      </w:r>
      <w:r w:rsidR="00D50941" w:rsidRPr="006138F9">
        <w:rPr>
          <w:b/>
        </w:rPr>
        <w:t xml:space="preserve">  </w:t>
      </w:r>
    </w:p>
    <w:p w:rsidR="00090133" w:rsidRPr="008B6EED" w:rsidRDefault="008B6EED" w:rsidP="008B6EED">
      <w:pPr>
        <w:spacing w:line="480" w:lineRule="auto"/>
        <w:ind w:left="0" w:firstLine="720"/>
        <w:rPr>
          <w:b/>
          <w:color w:val="FF0000"/>
          <w:u w:val="single"/>
        </w:rPr>
      </w:pPr>
      <w:r>
        <w:t>In addition to the foregoing independent variables, I include an interaction term in my model</w:t>
      </w:r>
      <w:r w:rsidR="0034010A">
        <w:rPr>
          <w:rStyle w:val="FootnoteReference"/>
        </w:rPr>
        <w:footnoteReference w:id="56"/>
      </w:r>
      <w:r>
        <w:t xml:space="preserve"> – </w:t>
      </w:r>
      <w:r w:rsidRPr="008B6EED">
        <w:rPr>
          <w:i/>
        </w:rPr>
        <w:t>Judicial Moderation x Liberal-Conservative Amicus Briefs Difference</w:t>
      </w:r>
      <w:r>
        <w:rPr>
          <w:i/>
        </w:rPr>
        <w:t xml:space="preserve"> </w:t>
      </w:r>
      <w:r>
        <w:t xml:space="preserve">– in order </w:t>
      </w:r>
      <w:r w:rsidR="00090133">
        <w:t xml:space="preserve">to examine </w:t>
      </w:r>
      <w:r w:rsidR="00090133" w:rsidRPr="00A02BA1">
        <w:t>whether</w:t>
      </w:r>
      <w:r w:rsidR="00090133">
        <w:t xml:space="preserve"> or not</w:t>
      </w:r>
      <w:r w:rsidR="00090133" w:rsidRPr="00A02BA1">
        <w:t xml:space="preserve"> all justices</w:t>
      </w:r>
      <w:r w:rsidR="00090133">
        <w:t xml:space="preserve"> </w:t>
      </w:r>
      <w:r w:rsidR="00090133" w:rsidRPr="00A02BA1">
        <w:t>respond uniformly to the persuasion at</w:t>
      </w:r>
      <w:r w:rsidR="00090133">
        <w:t xml:space="preserve">tempts of amici, or if amici have greater effects on the more moderate justices, with this effect diminishing the more ideologically extreme </w:t>
      </w:r>
      <w:r w:rsidR="00090133" w:rsidRPr="00A02BA1">
        <w:t>the justice becomes</w:t>
      </w:r>
      <w:r w:rsidR="00090133">
        <w:t>.</w:t>
      </w:r>
      <w:r w:rsidR="003367D3">
        <w:rPr>
          <w:rStyle w:val="FootnoteReference"/>
        </w:rPr>
        <w:footnoteReference w:id="57"/>
      </w:r>
      <w:r w:rsidR="00090133">
        <w:t xml:space="preserve">  </w:t>
      </w:r>
      <w:proofErr w:type="spellStart"/>
      <w:r w:rsidR="00090133" w:rsidRPr="00416053">
        <w:t>M</w:t>
      </w:r>
      <w:r w:rsidR="00090133">
        <w:t>ishler</w:t>
      </w:r>
      <w:proofErr w:type="spellEnd"/>
      <w:r w:rsidR="00090133">
        <w:t xml:space="preserve"> and Sheehan (1996, 197) </w:t>
      </w:r>
      <w:r w:rsidR="00090133" w:rsidRPr="00416053">
        <w:t xml:space="preserve">show that moderate (“swing”) justices are most likely to be receptive to the influence of public opinion. Similarly, and akin to the findings of Collins (2008) discussed above, I expect that the influence of amicus </w:t>
      </w:r>
      <w:r w:rsidR="00090133">
        <w:t xml:space="preserve">briefs </w:t>
      </w:r>
      <w:r w:rsidR="00090133" w:rsidRPr="00416053">
        <w:t>will</w:t>
      </w:r>
      <w:r w:rsidR="00090133">
        <w:t xml:space="preserve"> be present for all justices, with this effect becoming</w:t>
      </w:r>
      <w:r w:rsidR="00090133" w:rsidRPr="00416053">
        <w:t xml:space="preserve"> more pronounced the more moderate the justice.  </w:t>
      </w:r>
    </w:p>
    <w:p w:rsidR="00090133" w:rsidRPr="00416053" w:rsidRDefault="008F3F21" w:rsidP="00090133">
      <w:pPr>
        <w:spacing w:line="480" w:lineRule="auto"/>
        <w:ind w:left="0" w:firstLine="720"/>
      </w:pPr>
      <w:r>
        <w:t>As a component of the interaction term, I create a variable to capture the level of ideological moderation of each of the eleven justices who have served on the Roberts Court</w:t>
      </w:r>
      <w:r w:rsidR="00D1750B">
        <w:t xml:space="preserve"> during the 2007-2011 terms</w:t>
      </w:r>
      <w:r>
        <w:t xml:space="preserve">: </w:t>
      </w:r>
      <w:r w:rsidRPr="00416053">
        <w:rPr>
          <w:i/>
        </w:rPr>
        <w:t>Judicial Moderation</w:t>
      </w:r>
      <w:r>
        <w:t xml:space="preserve">.  For purposes of this </w:t>
      </w:r>
      <w:r>
        <w:rPr>
          <w:i/>
        </w:rPr>
        <w:t xml:space="preserve">Judicial Moderation </w:t>
      </w:r>
      <w:r>
        <w:t>variable</w:t>
      </w:r>
      <w:r w:rsidR="00090133" w:rsidRPr="00416053">
        <w:t xml:space="preserve">, I choose to use the Martin-Quinn (MQ) ideology scores, instead of the Segal-Cover scores.  I do so because, as discussed in more detail above, it is accepted that the MQ scores are more descriptively nuanced and accurate than any of the existing exogenous measures (e.g., Segal-Cover scores) (Epstein, Martin, Quinn, </w:t>
      </w:r>
      <w:r w:rsidR="00090133">
        <w:t>and</w:t>
      </w:r>
      <w:r w:rsidR="00090133" w:rsidRPr="00416053">
        <w:t xml:space="preserve"> Segal 2012, 714).</w:t>
      </w:r>
      <w:r w:rsidR="00090133">
        <w:rPr>
          <w:rStyle w:val="FootnoteReference"/>
        </w:rPr>
        <w:footnoteReference w:id="58"/>
      </w:r>
      <w:r w:rsidR="00090133" w:rsidRPr="00416053">
        <w:t xml:space="preserve">  Further, I am able to avoid the circularity problem associated with the MQ scores, as I am not asserting that judicial moderation is directly causally related to whether or not a justice votes liberally or </w:t>
      </w:r>
      <w:r w:rsidR="00090133" w:rsidRPr="00416053">
        <w:lastRenderedPageBreak/>
        <w:t xml:space="preserve">conservatively. </w:t>
      </w:r>
      <w:r>
        <w:t xml:space="preserve"> </w:t>
      </w:r>
      <w:r w:rsidR="00090133" w:rsidRPr="00416053">
        <w:t>Instead, for purposes of this interaction term, I am assuming that ideology has an effect on voting, and I am then asserting that a justice’s moderation level conditions his/her r</w:t>
      </w:r>
      <w:r w:rsidR="00090133">
        <w:t>esponse to amicus briefs</w:t>
      </w:r>
      <w:r w:rsidR="00090133" w:rsidRPr="00416053">
        <w:t xml:space="preserve">.  As explained by Epstein, Martin, Quinn, </w:t>
      </w:r>
      <w:r w:rsidR="00090133">
        <w:t>and</w:t>
      </w:r>
      <w:r w:rsidR="00090133" w:rsidRPr="00416053">
        <w:t xml:space="preserve"> Segal (2012, 708), when researchers want to take the effect of ideology as a given and wish to describe how it works, endogenous approaches are preferable as they are more precise.</w:t>
      </w:r>
    </w:p>
    <w:p w:rsidR="000E0725" w:rsidRPr="00CC20A1" w:rsidRDefault="00090133" w:rsidP="00CC20A1">
      <w:pPr>
        <w:spacing w:line="480" w:lineRule="auto"/>
        <w:ind w:left="0" w:firstLine="720"/>
      </w:pPr>
      <w:r w:rsidRPr="00416053">
        <w:t xml:space="preserve">Therefore, as my measure of </w:t>
      </w:r>
      <w:r w:rsidRPr="00416053">
        <w:rPr>
          <w:i/>
        </w:rPr>
        <w:t>Judicial Moderation</w:t>
      </w:r>
      <w:r w:rsidRPr="00416053">
        <w:t>, I create a score for each justice f</w:t>
      </w:r>
      <w:r w:rsidR="008F3F21">
        <w:t>or each term that captures his/her</w:t>
      </w:r>
      <w:r w:rsidRPr="00416053">
        <w:t xml:space="preserve"> level of ideological moderation.  My scale ranges from 0 to 4.02, with 0 represen</w:t>
      </w:r>
      <w:r>
        <w:t>ting the most ideologically extreme</w:t>
      </w:r>
      <w:r w:rsidRPr="00416053">
        <w:t xml:space="preserve"> justice score, and 4.02 representing the most ideologically moderate justice score in the dataset.   To arrive at this measure, I begin with each justice’s MQ score for the relevant term.  I then subtract this MQ score from the MQ score for the median justice for that term, to show the distance of each justice from the median justice for the term. I then take the absolute value of this </w:t>
      </w:r>
      <w:r>
        <w:t>distance</w:t>
      </w:r>
      <w:r w:rsidRPr="00416053">
        <w:t xml:space="preserve"> (as MQ scores can be either</w:t>
      </w:r>
      <w:r>
        <w:t xml:space="preserve"> positive or</w:t>
      </w:r>
      <w:r w:rsidRPr="00416053">
        <w:t xml:space="preserve"> negative, with 0 representing the historical mean of the USSC),</w:t>
      </w:r>
      <w:r>
        <w:t xml:space="preserve"> resulting in a value of zero representing the median justice and higher values representing greater ideological extremism.  I </w:t>
      </w:r>
      <w:r w:rsidRPr="00416053">
        <w:t>then multiply this number by -1 to reverse the scores,</w:t>
      </w:r>
      <w:r>
        <w:t xml:space="preserve"> making -4.02 the value of the most ideologically extreme justice, and making 0 the score of the mean justice for the term. </w:t>
      </w:r>
      <w:r w:rsidRPr="00416053">
        <w:t xml:space="preserve"> </w:t>
      </w:r>
      <w:r>
        <w:t xml:space="preserve">I </w:t>
      </w:r>
      <w:r w:rsidRPr="00416053">
        <w:t xml:space="preserve">then add 4.02 to each value (representing the </w:t>
      </w:r>
      <w:r>
        <w:t xml:space="preserve">distance of </w:t>
      </w:r>
      <w:r w:rsidRPr="00416053">
        <w:t>the justice furthest from 0),</w:t>
      </w:r>
      <w:r>
        <w:t xml:space="preserve"> </w:t>
      </w:r>
      <w:r w:rsidRPr="00416053">
        <w:t>thus making 0 the new score for the most ideologically extreme justice, and 4.02 the new score for the most ideologically moderate</w:t>
      </w:r>
      <w:r>
        <w:t xml:space="preserve"> (mean)</w:t>
      </w:r>
      <w:r w:rsidRPr="00416053">
        <w:t xml:space="preserve"> justice.  The formula described is as follows: </w:t>
      </w:r>
      <w:r>
        <w:t xml:space="preserve"> </w:t>
      </w:r>
      <w:r w:rsidR="00775D64">
        <w:t xml:space="preserve">-1 * </w:t>
      </w:r>
      <w:proofErr w:type="gramStart"/>
      <w:r w:rsidR="00775D64">
        <w:t>abs(</w:t>
      </w:r>
      <w:proofErr w:type="gramEnd"/>
      <w:r w:rsidR="00775D64">
        <w:t xml:space="preserve"> </w:t>
      </w:r>
      <w:proofErr w:type="spellStart"/>
      <w:r w:rsidR="00775D64">
        <w:t>MQMean</w:t>
      </w:r>
      <w:r w:rsidRPr="00416053">
        <w:t>Justice</w:t>
      </w:r>
      <w:proofErr w:type="spellEnd"/>
      <w:r w:rsidRPr="00416053">
        <w:t xml:space="preserve"> -  </w:t>
      </w:r>
      <w:proofErr w:type="spellStart"/>
      <w:r w:rsidRPr="00416053">
        <w:t>MQIdeology</w:t>
      </w:r>
      <w:proofErr w:type="spellEnd"/>
      <w:r w:rsidRPr="00416053">
        <w:t xml:space="preserve">) + 4.02.   The higher the justice’s </w:t>
      </w:r>
      <w:r w:rsidRPr="00416053">
        <w:rPr>
          <w:i/>
        </w:rPr>
        <w:t xml:space="preserve">Judicial Moderation </w:t>
      </w:r>
      <w:r w:rsidRPr="00416053">
        <w:t>score, the more pronounced positive effect I expect amicus briefs/signers difference to</w:t>
      </w:r>
      <w:r>
        <w:t xml:space="preserve"> make</w:t>
      </w:r>
      <w:r w:rsidRPr="00416053">
        <w:t>.</w:t>
      </w:r>
      <w:r>
        <w:t xml:space="preserve">   Table 3.2 lists the</w:t>
      </w:r>
      <w:r w:rsidR="00C34BBC">
        <w:t xml:space="preserve"> mean</w:t>
      </w:r>
      <w:r>
        <w:t xml:space="preserve"> moderation score of each justice</w:t>
      </w:r>
      <w:r w:rsidR="00C34BBC">
        <w:t xml:space="preserve"> serving</w:t>
      </w:r>
      <w:r>
        <w:t xml:space="preserve"> during the 2007-2011 terms, based upon the above</w:t>
      </w:r>
      <w:r w:rsidR="00C34BBC">
        <w:t>-described</w:t>
      </w:r>
      <w:r>
        <w:t xml:space="preserve"> transformation, from most to least moderate.</w:t>
      </w:r>
    </w:p>
    <w:p w:rsidR="00090133" w:rsidRPr="00C34BBC" w:rsidRDefault="00090133" w:rsidP="00090133">
      <w:pPr>
        <w:spacing w:line="480" w:lineRule="auto"/>
        <w:ind w:left="0" w:firstLine="0"/>
        <w:rPr>
          <w:b/>
        </w:rPr>
      </w:pPr>
      <w:proofErr w:type="gramStart"/>
      <w:r w:rsidRPr="00C34BBC">
        <w:rPr>
          <w:b/>
        </w:rPr>
        <w:lastRenderedPageBreak/>
        <w:t>Table 3.2.</w:t>
      </w:r>
      <w:proofErr w:type="gramEnd"/>
      <w:r w:rsidRPr="00C34BBC">
        <w:rPr>
          <w:b/>
        </w:rPr>
        <w:t xml:space="preserve">  Justice Moderation Scores,</w:t>
      </w:r>
      <w:r w:rsidR="001B03D0">
        <w:rPr>
          <w:b/>
        </w:rPr>
        <w:t xml:space="preserve"> From Most to Least Moderate,</w:t>
      </w:r>
      <w:r w:rsidR="0082221A">
        <w:rPr>
          <w:b/>
        </w:rPr>
        <w:t xml:space="preserve"> 2007-2011 Terms of the USSC</w:t>
      </w:r>
    </w:p>
    <w:tbl>
      <w:tblPr>
        <w:tblW w:w="0" w:type="auto"/>
        <w:jc w:val="center"/>
        <w:tblInd w:w="93" w:type="dxa"/>
        <w:tblBorders>
          <w:top w:val="single" w:sz="18" w:space="0" w:color="auto"/>
          <w:bottom w:val="single" w:sz="18" w:space="0" w:color="auto"/>
        </w:tblBorders>
        <w:tblLook w:val="04A0" w:firstRow="1" w:lastRow="0" w:firstColumn="1" w:lastColumn="0" w:noHBand="0" w:noVBand="1"/>
      </w:tblPr>
      <w:tblGrid>
        <w:gridCol w:w="723"/>
        <w:gridCol w:w="2090"/>
        <w:gridCol w:w="2389"/>
      </w:tblGrid>
      <w:tr w:rsidR="003633DD" w:rsidRPr="00090133" w:rsidTr="003633DD">
        <w:trPr>
          <w:trHeight w:val="576"/>
          <w:jc w:val="center"/>
        </w:trPr>
        <w:tc>
          <w:tcPr>
            <w:tcW w:w="0" w:type="auto"/>
            <w:tcBorders>
              <w:top w:val="single" w:sz="18" w:space="0" w:color="auto"/>
              <w:bottom w:val="single" w:sz="18" w:space="0" w:color="auto"/>
            </w:tcBorders>
            <w:vAlign w:val="center"/>
          </w:tcPr>
          <w:p w:rsidR="003633DD" w:rsidRPr="00C34BBC" w:rsidRDefault="003633DD" w:rsidP="00C34BBC">
            <w:pPr>
              <w:ind w:left="0" w:firstLine="0"/>
              <w:rPr>
                <w:rFonts w:eastAsia="Times New Roman" w:cs="Times New Roman"/>
                <w:bCs/>
                <w:color w:val="000000"/>
                <w:szCs w:val="24"/>
              </w:rPr>
            </w:pPr>
            <w:r w:rsidRPr="00C34BBC">
              <w:rPr>
                <w:rFonts w:eastAsia="Times New Roman" w:cs="Times New Roman"/>
                <w:bCs/>
                <w:color w:val="000000"/>
                <w:szCs w:val="24"/>
              </w:rPr>
              <w:t>Rank</w:t>
            </w:r>
          </w:p>
        </w:tc>
        <w:tc>
          <w:tcPr>
            <w:tcW w:w="0" w:type="auto"/>
            <w:tcBorders>
              <w:top w:val="single" w:sz="18" w:space="0" w:color="auto"/>
              <w:bottom w:val="single" w:sz="18" w:space="0" w:color="auto"/>
            </w:tcBorders>
            <w:shd w:val="clear" w:color="auto" w:fill="auto"/>
            <w:noWrap/>
            <w:vAlign w:val="center"/>
            <w:hideMark/>
          </w:tcPr>
          <w:p w:rsidR="003633DD" w:rsidRPr="00090133" w:rsidRDefault="003633DD" w:rsidP="00090133">
            <w:pPr>
              <w:ind w:left="0" w:firstLine="0"/>
              <w:rPr>
                <w:rFonts w:eastAsia="Times New Roman" w:cs="Times New Roman"/>
                <w:bCs/>
                <w:color w:val="000000"/>
                <w:szCs w:val="24"/>
              </w:rPr>
            </w:pPr>
            <w:r w:rsidRPr="00090133">
              <w:rPr>
                <w:rFonts w:eastAsia="Times New Roman" w:cs="Times New Roman"/>
                <w:bCs/>
                <w:color w:val="000000"/>
                <w:szCs w:val="24"/>
              </w:rPr>
              <w:t>Justice Name</w:t>
            </w:r>
          </w:p>
        </w:tc>
        <w:tc>
          <w:tcPr>
            <w:tcW w:w="0" w:type="auto"/>
            <w:tcBorders>
              <w:top w:val="single" w:sz="18" w:space="0" w:color="auto"/>
              <w:bottom w:val="single" w:sz="18" w:space="0" w:color="auto"/>
            </w:tcBorders>
            <w:shd w:val="clear" w:color="auto" w:fill="auto"/>
            <w:noWrap/>
            <w:vAlign w:val="center"/>
            <w:hideMark/>
          </w:tcPr>
          <w:p w:rsidR="003633DD" w:rsidRPr="00090133" w:rsidRDefault="003633DD" w:rsidP="00090133">
            <w:pPr>
              <w:ind w:left="0" w:firstLine="0"/>
              <w:jc w:val="center"/>
              <w:rPr>
                <w:rFonts w:eastAsia="Times New Roman" w:cs="Times New Roman"/>
                <w:bCs/>
                <w:color w:val="000000"/>
                <w:szCs w:val="24"/>
              </w:rPr>
            </w:pPr>
            <w:r w:rsidRPr="00090133">
              <w:rPr>
                <w:rFonts w:eastAsia="Times New Roman" w:cs="Times New Roman"/>
                <w:bCs/>
                <w:color w:val="000000"/>
                <w:szCs w:val="24"/>
              </w:rPr>
              <w:t>MQ</w:t>
            </w:r>
            <w:r w:rsidRPr="00C34BBC">
              <w:rPr>
                <w:rFonts w:eastAsia="Times New Roman" w:cs="Times New Roman"/>
                <w:bCs/>
                <w:color w:val="000000"/>
                <w:szCs w:val="24"/>
              </w:rPr>
              <w:t xml:space="preserve"> </w:t>
            </w:r>
            <w:r w:rsidRPr="00090133">
              <w:rPr>
                <w:rFonts w:eastAsia="Times New Roman" w:cs="Times New Roman"/>
                <w:bCs/>
                <w:color w:val="000000"/>
                <w:szCs w:val="24"/>
              </w:rPr>
              <w:t>Moderation Mean</w:t>
            </w:r>
          </w:p>
        </w:tc>
      </w:tr>
      <w:tr w:rsidR="003633DD" w:rsidRPr="00090133" w:rsidTr="003633DD">
        <w:trPr>
          <w:trHeight w:val="576"/>
          <w:jc w:val="center"/>
        </w:trPr>
        <w:tc>
          <w:tcPr>
            <w:tcW w:w="0" w:type="auto"/>
            <w:tcBorders>
              <w:top w:val="single" w:sz="18" w:space="0" w:color="auto"/>
            </w:tcBorders>
            <w:vAlign w:val="center"/>
          </w:tcPr>
          <w:p w:rsidR="003633DD" w:rsidRPr="00090133" w:rsidRDefault="003633DD" w:rsidP="00C34BBC">
            <w:pPr>
              <w:ind w:left="0" w:firstLine="0"/>
              <w:rPr>
                <w:rFonts w:eastAsia="Times New Roman" w:cs="Times New Roman"/>
                <w:color w:val="000000"/>
                <w:szCs w:val="24"/>
              </w:rPr>
            </w:pPr>
            <w:r>
              <w:rPr>
                <w:rFonts w:eastAsia="Times New Roman" w:cs="Times New Roman"/>
                <w:color w:val="000000"/>
                <w:szCs w:val="24"/>
              </w:rPr>
              <w:t>1</w:t>
            </w:r>
          </w:p>
        </w:tc>
        <w:tc>
          <w:tcPr>
            <w:tcW w:w="0" w:type="auto"/>
            <w:tcBorders>
              <w:top w:val="single" w:sz="18" w:space="0" w:color="auto"/>
            </w:tcBorders>
            <w:shd w:val="clear" w:color="auto" w:fill="auto"/>
            <w:noWrap/>
            <w:vAlign w:val="center"/>
            <w:hideMark/>
          </w:tcPr>
          <w:p w:rsidR="003633DD" w:rsidRPr="00090133" w:rsidRDefault="003633DD" w:rsidP="00090133">
            <w:pPr>
              <w:ind w:left="0" w:firstLine="0"/>
              <w:rPr>
                <w:rFonts w:eastAsia="Times New Roman" w:cs="Times New Roman"/>
                <w:b/>
                <w:color w:val="000000"/>
                <w:szCs w:val="24"/>
              </w:rPr>
            </w:pPr>
            <w:r w:rsidRPr="00090133">
              <w:rPr>
                <w:rFonts w:eastAsia="Times New Roman" w:cs="Times New Roman"/>
                <w:b/>
                <w:color w:val="000000"/>
                <w:szCs w:val="24"/>
              </w:rPr>
              <w:t>Anthony Kennedy</w:t>
            </w:r>
          </w:p>
        </w:tc>
        <w:tc>
          <w:tcPr>
            <w:tcW w:w="0" w:type="auto"/>
            <w:tcBorders>
              <w:top w:val="single" w:sz="18" w:space="0" w:color="auto"/>
            </w:tcBorders>
            <w:shd w:val="clear" w:color="auto" w:fill="auto"/>
            <w:noWrap/>
            <w:vAlign w:val="center"/>
            <w:hideMark/>
          </w:tcPr>
          <w:p w:rsidR="003633DD" w:rsidRPr="00090133" w:rsidRDefault="003633DD" w:rsidP="00090133">
            <w:pPr>
              <w:ind w:left="0" w:firstLine="0"/>
              <w:jc w:val="center"/>
              <w:rPr>
                <w:rFonts w:eastAsia="Times New Roman" w:cs="Times New Roman"/>
                <w:color w:val="000000"/>
                <w:szCs w:val="24"/>
              </w:rPr>
            </w:pPr>
            <w:r w:rsidRPr="00090133">
              <w:rPr>
                <w:rFonts w:eastAsia="Times New Roman" w:cs="Times New Roman"/>
                <w:color w:val="000000"/>
                <w:szCs w:val="24"/>
              </w:rPr>
              <w:t>4.02</w:t>
            </w:r>
          </w:p>
        </w:tc>
      </w:tr>
      <w:tr w:rsidR="003633DD" w:rsidRPr="00090133" w:rsidTr="00C34BBC">
        <w:trPr>
          <w:trHeight w:val="576"/>
          <w:jc w:val="center"/>
        </w:trPr>
        <w:tc>
          <w:tcPr>
            <w:tcW w:w="0" w:type="auto"/>
            <w:vAlign w:val="center"/>
          </w:tcPr>
          <w:p w:rsidR="003633DD" w:rsidRPr="00090133" w:rsidRDefault="003633DD" w:rsidP="00C34BBC">
            <w:pPr>
              <w:ind w:left="0" w:firstLine="0"/>
              <w:rPr>
                <w:rFonts w:eastAsia="Times New Roman" w:cs="Times New Roman"/>
                <w:color w:val="000000"/>
                <w:szCs w:val="24"/>
              </w:rPr>
            </w:pPr>
            <w:r>
              <w:rPr>
                <w:rFonts w:eastAsia="Times New Roman" w:cs="Times New Roman"/>
                <w:color w:val="000000"/>
                <w:szCs w:val="24"/>
              </w:rPr>
              <w:t>2</w:t>
            </w:r>
          </w:p>
        </w:tc>
        <w:tc>
          <w:tcPr>
            <w:tcW w:w="0" w:type="auto"/>
            <w:shd w:val="clear" w:color="auto" w:fill="auto"/>
            <w:noWrap/>
            <w:vAlign w:val="center"/>
            <w:hideMark/>
          </w:tcPr>
          <w:p w:rsidR="003633DD" w:rsidRPr="00090133" w:rsidRDefault="003633DD" w:rsidP="00090133">
            <w:pPr>
              <w:ind w:left="0" w:firstLine="0"/>
              <w:rPr>
                <w:rFonts w:eastAsia="Times New Roman" w:cs="Times New Roman"/>
                <w:b/>
                <w:color w:val="000000"/>
                <w:szCs w:val="24"/>
              </w:rPr>
            </w:pPr>
            <w:r w:rsidRPr="00090133">
              <w:rPr>
                <w:rFonts w:eastAsia="Times New Roman" w:cs="Times New Roman"/>
                <w:b/>
                <w:color w:val="000000"/>
                <w:szCs w:val="24"/>
              </w:rPr>
              <w:t>John Roberts</w:t>
            </w:r>
          </w:p>
        </w:tc>
        <w:tc>
          <w:tcPr>
            <w:tcW w:w="0" w:type="auto"/>
            <w:shd w:val="clear" w:color="auto" w:fill="auto"/>
            <w:noWrap/>
            <w:vAlign w:val="center"/>
            <w:hideMark/>
          </w:tcPr>
          <w:p w:rsidR="003633DD" w:rsidRPr="00090133" w:rsidRDefault="003633DD" w:rsidP="00090133">
            <w:pPr>
              <w:ind w:left="0" w:firstLine="0"/>
              <w:jc w:val="center"/>
              <w:rPr>
                <w:rFonts w:eastAsia="Times New Roman" w:cs="Times New Roman"/>
                <w:color w:val="000000"/>
                <w:szCs w:val="24"/>
              </w:rPr>
            </w:pPr>
            <w:r w:rsidRPr="00090133">
              <w:rPr>
                <w:rFonts w:eastAsia="Times New Roman" w:cs="Times New Roman"/>
                <w:color w:val="000000"/>
                <w:szCs w:val="24"/>
              </w:rPr>
              <w:t>2.89</w:t>
            </w:r>
          </w:p>
        </w:tc>
      </w:tr>
      <w:tr w:rsidR="003633DD" w:rsidRPr="00090133" w:rsidTr="00C34BBC">
        <w:trPr>
          <w:trHeight w:val="576"/>
          <w:jc w:val="center"/>
        </w:trPr>
        <w:tc>
          <w:tcPr>
            <w:tcW w:w="0" w:type="auto"/>
            <w:vAlign w:val="center"/>
          </w:tcPr>
          <w:p w:rsidR="003633DD" w:rsidRPr="00090133" w:rsidRDefault="003633DD" w:rsidP="00C34BBC">
            <w:pPr>
              <w:ind w:left="0" w:firstLine="0"/>
              <w:rPr>
                <w:rFonts w:eastAsia="Times New Roman" w:cs="Times New Roman"/>
                <w:color w:val="000000"/>
                <w:szCs w:val="24"/>
              </w:rPr>
            </w:pPr>
            <w:r>
              <w:rPr>
                <w:rFonts w:eastAsia="Times New Roman" w:cs="Times New Roman"/>
                <w:color w:val="000000"/>
                <w:szCs w:val="24"/>
              </w:rPr>
              <w:t>3</w:t>
            </w:r>
          </w:p>
        </w:tc>
        <w:tc>
          <w:tcPr>
            <w:tcW w:w="0" w:type="auto"/>
            <w:shd w:val="clear" w:color="auto" w:fill="auto"/>
            <w:noWrap/>
            <w:vAlign w:val="center"/>
            <w:hideMark/>
          </w:tcPr>
          <w:p w:rsidR="003633DD" w:rsidRPr="00090133" w:rsidRDefault="003633DD" w:rsidP="00090133">
            <w:pPr>
              <w:ind w:left="0" w:firstLine="0"/>
              <w:rPr>
                <w:rFonts w:eastAsia="Times New Roman" w:cs="Times New Roman"/>
                <w:b/>
                <w:color w:val="000000"/>
                <w:szCs w:val="24"/>
              </w:rPr>
            </w:pPr>
            <w:r w:rsidRPr="00090133">
              <w:rPr>
                <w:rFonts w:eastAsia="Times New Roman" w:cs="Times New Roman"/>
                <w:b/>
                <w:color w:val="000000"/>
                <w:szCs w:val="24"/>
              </w:rPr>
              <w:t>Elena Kagan</w:t>
            </w:r>
          </w:p>
        </w:tc>
        <w:tc>
          <w:tcPr>
            <w:tcW w:w="0" w:type="auto"/>
            <w:shd w:val="clear" w:color="auto" w:fill="auto"/>
            <w:noWrap/>
            <w:vAlign w:val="center"/>
            <w:hideMark/>
          </w:tcPr>
          <w:p w:rsidR="003633DD" w:rsidRPr="00090133" w:rsidRDefault="003633DD" w:rsidP="00090133">
            <w:pPr>
              <w:ind w:left="0" w:firstLine="0"/>
              <w:jc w:val="center"/>
              <w:rPr>
                <w:rFonts w:eastAsia="Times New Roman" w:cs="Times New Roman"/>
                <w:color w:val="000000"/>
                <w:szCs w:val="24"/>
              </w:rPr>
            </w:pPr>
            <w:r w:rsidRPr="00090133">
              <w:rPr>
                <w:rFonts w:eastAsia="Times New Roman" w:cs="Times New Roman"/>
                <w:color w:val="000000"/>
                <w:szCs w:val="24"/>
              </w:rPr>
              <w:t>2.86</w:t>
            </w:r>
          </w:p>
        </w:tc>
      </w:tr>
      <w:tr w:rsidR="003633DD" w:rsidRPr="00090133" w:rsidTr="00C34BBC">
        <w:trPr>
          <w:trHeight w:val="576"/>
          <w:jc w:val="center"/>
        </w:trPr>
        <w:tc>
          <w:tcPr>
            <w:tcW w:w="0" w:type="auto"/>
            <w:vAlign w:val="center"/>
          </w:tcPr>
          <w:p w:rsidR="003633DD" w:rsidRPr="00090133" w:rsidRDefault="003633DD" w:rsidP="00C34BBC">
            <w:pPr>
              <w:ind w:left="0" w:firstLine="0"/>
              <w:rPr>
                <w:rFonts w:eastAsia="Times New Roman" w:cs="Times New Roman"/>
                <w:color w:val="000000"/>
                <w:szCs w:val="24"/>
              </w:rPr>
            </w:pPr>
            <w:r>
              <w:rPr>
                <w:rFonts w:eastAsia="Times New Roman" w:cs="Times New Roman"/>
                <w:color w:val="000000"/>
                <w:szCs w:val="24"/>
              </w:rPr>
              <w:t>4</w:t>
            </w:r>
          </w:p>
        </w:tc>
        <w:tc>
          <w:tcPr>
            <w:tcW w:w="0" w:type="auto"/>
            <w:shd w:val="clear" w:color="auto" w:fill="auto"/>
            <w:noWrap/>
            <w:vAlign w:val="center"/>
            <w:hideMark/>
          </w:tcPr>
          <w:p w:rsidR="003633DD" w:rsidRPr="00090133" w:rsidRDefault="003633DD" w:rsidP="00090133">
            <w:pPr>
              <w:ind w:left="0" w:firstLine="0"/>
              <w:rPr>
                <w:rFonts w:eastAsia="Times New Roman" w:cs="Times New Roman"/>
                <w:b/>
                <w:color w:val="000000"/>
                <w:szCs w:val="24"/>
              </w:rPr>
            </w:pPr>
            <w:r>
              <w:rPr>
                <w:rFonts w:eastAsia="Times New Roman" w:cs="Times New Roman"/>
                <w:b/>
                <w:color w:val="000000"/>
                <w:szCs w:val="24"/>
              </w:rPr>
              <w:t>Sonya</w:t>
            </w:r>
            <w:r w:rsidRPr="00090133">
              <w:rPr>
                <w:rFonts w:eastAsia="Times New Roman" w:cs="Times New Roman"/>
                <w:b/>
                <w:color w:val="000000"/>
                <w:szCs w:val="24"/>
              </w:rPr>
              <w:t xml:space="preserve"> Sotomayor</w:t>
            </w:r>
          </w:p>
        </w:tc>
        <w:tc>
          <w:tcPr>
            <w:tcW w:w="0" w:type="auto"/>
            <w:shd w:val="clear" w:color="auto" w:fill="auto"/>
            <w:noWrap/>
            <w:vAlign w:val="center"/>
            <w:hideMark/>
          </w:tcPr>
          <w:p w:rsidR="003633DD" w:rsidRPr="00090133" w:rsidRDefault="003633DD" w:rsidP="00090133">
            <w:pPr>
              <w:ind w:left="0" w:firstLine="0"/>
              <w:jc w:val="center"/>
              <w:rPr>
                <w:rFonts w:eastAsia="Times New Roman" w:cs="Times New Roman"/>
                <w:color w:val="000000"/>
                <w:szCs w:val="24"/>
              </w:rPr>
            </w:pPr>
            <w:r w:rsidRPr="00090133">
              <w:rPr>
                <w:rFonts w:eastAsia="Times New Roman" w:cs="Times New Roman"/>
                <w:color w:val="000000"/>
                <w:szCs w:val="24"/>
              </w:rPr>
              <w:t>2.8</w:t>
            </w:r>
            <w:r>
              <w:rPr>
                <w:rFonts w:eastAsia="Times New Roman" w:cs="Times New Roman"/>
                <w:color w:val="000000"/>
                <w:szCs w:val="24"/>
              </w:rPr>
              <w:t>0</w:t>
            </w:r>
          </w:p>
        </w:tc>
      </w:tr>
      <w:tr w:rsidR="003633DD" w:rsidRPr="00090133" w:rsidTr="00C34BBC">
        <w:trPr>
          <w:trHeight w:val="576"/>
          <w:jc w:val="center"/>
        </w:trPr>
        <w:tc>
          <w:tcPr>
            <w:tcW w:w="0" w:type="auto"/>
            <w:vAlign w:val="center"/>
          </w:tcPr>
          <w:p w:rsidR="003633DD" w:rsidRPr="00090133" w:rsidRDefault="003633DD" w:rsidP="00C34BBC">
            <w:pPr>
              <w:ind w:left="0" w:firstLine="0"/>
              <w:rPr>
                <w:rFonts w:eastAsia="Times New Roman" w:cs="Times New Roman"/>
                <w:color w:val="000000"/>
                <w:szCs w:val="24"/>
              </w:rPr>
            </w:pPr>
            <w:r>
              <w:rPr>
                <w:rFonts w:eastAsia="Times New Roman" w:cs="Times New Roman"/>
                <w:color w:val="000000"/>
                <w:szCs w:val="24"/>
              </w:rPr>
              <w:t>5</w:t>
            </w:r>
          </w:p>
        </w:tc>
        <w:tc>
          <w:tcPr>
            <w:tcW w:w="0" w:type="auto"/>
            <w:shd w:val="clear" w:color="auto" w:fill="auto"/>
            <w:noWrap/>
            <w:vAlign w:val="center"/>
            <w:hideMark/>
          </w:tcPr>
          <w:p w:rsidR="003633DD" w:rsidRPr="00090133" w:rsidRDefault="003633DD" w:rsidP="00090133">
            <w:pPr>
              <w:ind w:left="0" w:firstLine="0"/>
              <w:rPr>
                <w:rFonts w:eastAsia="Times New Roman" w:cs="Times New Roman"/>
                <w:b/>
                <w:color w:val="000000"/>
                <w:szCs w:val="24"/>
              </w:rPr>
            </w:pPr>
            <w:r w:rsidRPr="00090133">
              <w:rPr>
                <w:rFonts w:eastAsia="Times New Roman" w:cs="Times New Roman"/>
                <w:b/>
                <w:color w:val="000000"/>
                <w:szCs w:val="24"/>
              </w:rPr>
              <w:t>Stephen Breyer</w:t>
            </w:r>
          </w:p>
        </w:tc>
        <w:tc>
          <w:tcPr>
            <w:tcW w:w="0" w:type="auto"/>
            <w:shd w:val="clear" w:color="auto" w:fill="auto"/>
            <w:noWrap/>
            <w:vAlign w:val="center"/>
            <w:hideMark/>
          </w:tcPr>
          <w:p w:rsidR="003633DD" w:rsidRPr="00090133" w:rsidRDefault="003633DD" w:rsidP="00090133">
            <w:pPr>
              <w:ind w:left="0" w:firstLine="0"/>
              <w:jc w:val="center"/>
              <w:rPr>
                <w:rFonts w:eastAsia="Times New Roman" w:cs="Times New Roman"/>
                <w:color w:val="000000"/>
                <w:szCs w:val="24"/>
              </w:rPr>
            </w:pPr>
            <w:r w:rsidRPr="00090133">
              <w:rPr>
                <w:rFonts w:eastAsia="Times New Roman" w:cs="Times New Roman"/>
                <w:color w:val="000000"/>
                <w:szCs w:val="24"/>
              </w:rPr>
              <w:t>2.66</w:t>
            </w:r>
          </w:p>
        </w:tc>
      </w:tr>
      <w:tr w:rsidR="003633DD" w:rsidRPr="00090133" w:rsidTr="00C34BBC">
        <w:trPr>
          <w:trHeight w:val="576"/>
          <w:jc w:val="center"/>
        </w:trPr>
        <w:tc>
          <w:tcPr>
            <w:tcW w:w="0" w:type="auto"/>
            <w:vAlign w:val="center"/>
          </w:tcPr>
          <w:p w:rsidR="003633DD" w:rsidRPr="00090133" w:rsidRDefault="003633DD" w:rsidP="00C34BBC">
            <w:pPr>
              <w:ind w:left="0" w:firstLine="0"/>
              <w:rPr>
                <w:rFonts w:eastAsia="Times New Roman" w:cs="Times New Roman"/>
                <w:color w:val="000000"/>
                <w:szCs w:val="24"/>
              </w:rPr>
            </w:pPr>
            <w:r>
              <w:rPr>
                <w:rFonts w:eastAsia="Times New Roman" w:cs="Times New Roman"/>
                <w:color w:val="000000"/>
                <w:szCs w:val="24"/>
              </w:rPr>
              <w:t>6</w:t>
            </w:r>
          </w:p>
        </w:tc>
        <w:tc>
          <w:tcPr>
            <w:tcW w:w="0" w:type="auto"/>
            <w:shd w:val="clear" w:color="auto" w:fill="auto"/>
            <w:noWrap/>
            <w:vAlign w:val="center"/>
            <w:hideMark/>
          </w:tcPr>
          <w:p w:rsidR="003633DD" w:rsidRPr="00090133" w:rsidRDefault="003633DD" w:rsidP="00090133">
            <w:pPr>
              <w:ind w:left="0" w:firstLine="0"/>
              <w:rPr>
                <w:rFonts w:eastAsia="Times New Roman" w:cs="Times New Roman"/>
                <w:b/>
                <w:color w:val="000000"/>
                <w:szCs w:val="24"/>
              </w:rPr>
            </w:pPr>
            <w:r w:rsidRPr="00090133">
              <w:rPr>
                <w:rFonts w:eastAsia="Times New Roman" w:cs="Times New Roman"/>
                <w:b/>
                <w:color w:val="000000"/>
                <w:szCs w:val="24"/>
              </w:rPr>
              <w:t>Samuel Alito</w:t>
            </w:r>
          </w:p>
        </w:tc>
        <w:tc>
          <w:tcPr>
            <w:tcW w:w="0" w:type="auto"/>
            <w:shd w:val="clear" w:color="auto" w:fill="auto"/>
            <w:noWrap/>
            <w:vAlign w:val="center"/>
            <w:hideMark/>
          </w:tcPr>
          <w:p w:rsidR="003633DD" w:rsidRPr="00090133" w:rsidRDefault="003633DD" w:rsidP="00090133">
            <w:pPr>
              <w:ind w:left="0" w:firstLine="0"/>
              <w:jc w:val="center"/>
              <w:rPr>
                <w:rFonts w:eastAsia="Times New Roman" w:cs="Times New Roman"/>
                <w:color w:val="000000"/>
                <w:szCs w:val="24"/>
              </w:rPr>
            </w:pPr>
            <w:r w:rsidRPr="00090133">
              <w:rPr>
                <w:rFonts w:eastAsia="Times New Roman" w:cs="Times New Roman"/>
                <w:color w:val="000000"/>
                <w:szCs w:val="24"/>
              </w:rPr>
              <w:t>2.61</w:t>
            </w:r>
          </w:p>
        </w:tc>
      </w:tr>
      <w:tr w:rsidR="003633DD" w:rsidRPr="00090133" w:rsidTr="00C34BBC">
        <w:trPr>
          <w:trHeight w:val="576"/>
          <w:jc w:val="center"/>
        </w:trPr>
        <w:tc>
          <w:tcPr>
            <w:tcW w:w="0" w:type="auto"/>
            <w:vAlign w:val="center"/>
          </w:tcPr>
          <w:p w:rsidR="003633DD" w:rsidRPr="00090133" w:rsidRDefault="003633DD" w:rsidP="00C34BBC">
            <w:pPr>
              <w:ind w:left="0" w:firstLine="0"/>
              <w:rPr>
                <w:rFonts w:eastAsia="Times New Roman" w:cs="Times New Roman"/>
                <w:color w:val="000000"/>
                <w:szCs w:val="24"/>
              </w:rPr>
            </w:pPr>
            <w:r>
              <w:rPr>
                <w:rFonts w:eastAsia="Times New Roman" w:cs="Times New Roman"/>
                <w:color w:val="000000"/>
                <w:szCs w:val="24"/>
              </w:rPr>
              <w:t>7</w:t>
            </w:r>
          </w:p>
        </w:tc>
        <w:tc>
          <w:tcPr>
            <w:tcW w:w="0" w:type="auto"/>
            <w:shd w:val="clear" w:color="auto" w:fill="auto"/>
            <w:noWrap/>
            <w:vAlign w:val="center"/>
            <w:hideMark/>
          </w:tcPr>
          <w:p w:rsidR="003633DD" w:rsidRPr="00090133" w:rsidRDefault="003633DD" w:rsidP="00090133">
            <w:pPr>
              <w:ind w:left="0" w:firstLine="0"/>
              <w:rPr>
                <w:rFonts w:eastAsia="Times New Roman" w:cs="Times New Roman"/>
                <w:b/>
                <w:color w:val="000000"/>
                <w:szCs w:val="24"/>
              </w:rPr>
            </w:pPr>
            <w:r w:rsidRPr="00090133">
              <w:rPr>
                <w:rFonts w:eastAsia="Times New Roman" w:cs="Times New Roman"/>
                <w:b/>
                <w:color w:val="000000"/>
                <w:szCs w:val="24"/>
              </w:rPr>
              <w:t>R.B. Ginsburg</w:t>
            </w:r>
          </w:p>
        </w:tc>
        <w:tc>
          <w:tcPr>
            <w:tcW w:w="0" w:type="auto"/>
            <w:shd w:val="clear" w:color="auto" w:fill="auto"/>
            <w:noWrap/>
            <w:vAlign w:val="center"/>
            <w:hideMark/>
          </w:tcPr>
          <w:p w:rsidR="003633DD" w:rsidRPr="00090133" w:rsidRDefault="003633DD" w:rsidP="00090133">
            <w:pPr>
              <w:ind w:left="0" w:firstLine="0"/>
              <w:jc w:val="center"/>
              <w:rPr>
                <w:rFonts w:eastAsia="Times New Roman" w:cs="Times New Roman"/>
                <w:color w:val="000000"/>
                <w:szCs w:val="24"/>
              </w:rPr>
            </w:pPr>
            <w:r w:rsidRPr="00090133">
              <w:rPr>
                <w:rFonts w:eastAsia="Times New Roman" w:cs="Times New Roman"/>
                <w:color w:val="000000"/>
                <w:szCs w:val="24"/>
              </w:rPr>
              <w:t>2.51</w:t>
            </w:r>
          </w:p>
        </w:tc>
      </w:tr>
      <w:tr w:rsidR="003633DD" w:rsidRPr="00090133" w:rsidTr="00C34BBC">
        <w:trPr>
          <w:trHeight w:val="576"/>
          <w:jc w:val="center"/>
        </w:trPr>
        <w:tc>
          <w:tcPr>
            <w:tcW w:w="0" w:type="auto"/>
            <w:vAlign w:val="center"/>
          </w:tcPr>
          <w:p w:rsidR="003633DD" w:rsidRPr="00090133" w:rsidRDefault="003633DD" w:rsidP="00C34BBC">
            <w:pPr>
              <w:ind w:left="0" w:firstLine="0"/>
              <w:rPr>
                <w:rFonts w:eastAsia="Times New Roman" w:cs="Times New Roman"/>
                <w:color w:val="000000"/>
                <w:szCs w:val="24"/>
              </w:rPr>
            </w:pPr>
            <w:r>
              <w:rPr>
                <w:rFonts w:eastAsia="Times New Roman" w:cs="Times New Roman"/>
                <w:color w:val="000000"/>
                <w:szCs w:val="24"/>
              </w:rPr>
              <w:t>8</w:t>
            </w:r>
          </w:p>
        </w:tc>
        <w:tc>
          <w:tcPr>
            <w:tcW w:w="0" w:type="auto"/>
            <w:shd w:val="clear" w:color="auto" w:fill="auto"/>
            <w:noWrap/>
            <w:vAlign w:val="center"/>
            <w:hideMark/>
          </w:tcPr>
          <w:p w:rsidR="003633DD" w:rsidRPr="00090133" w:rsidRDefault="003633DD" w:rsidP="00090133">
            <w:pPr>
              <w:ind w:left="0" w:firstLine="0"/>
              <w:rPr>
                <w:rFonts w:eastAsia="Times New Roman" w:cs="Times New Roman"/>
                <w:b/>
                <w:color w:val="000000"/>
                <w:szCs w:val="24"/>
              </w:rPr>
            </w:pPr>
            <w:r w:rsidRPr="00090133">
              <w:rPr>
                <w:rFonts w:eastAsia="Times New Roman" w:cs="Times New Roman"/>
                <w:b/>
                <w:color w:val="000000"/>
                <w:szCs w:val="24"/>
              </w:rPr>
              <w:t>David Souter</w:t>
            </w:r>
          </w:p>
        </w:tc>
        <w:tc>
          <w:tcPr>
            <w:tcW w:w="0" w:type="auto"/>
            <w:shd w:val="clear" w:color="auto" w:fill="auto"/>
            <w:noWrap/>
            <w:vAlign w:val="center"/>
            <w:hideMark/>
          </w:tcPr>
          <w:p w:rsidR="003633DD" w:rsidRPr="00090133" w:rsidRDefault="003633DD" w:rsidP="00090133">
            <w:pPr>
              <w:ind w:left="0" w:firstLine="0"/>
              <w:jc w:val="center"/>
              <w:rPr>
                <w:rFonts w:eastAsia="Times New Roman" w:cs="Times New Roman"/>
                <w:color w:val="000000"/>
                <w:szCs w:val="24"/>
              </w:rPr>
            </w:pPr>
            <w:r w:rsidRPr="00090133">
              <w:rPr>
                <w:rFonts w:eastAsia="Times New Roman" w:cs="Times New Roman"/>
                <w:color w:val="000000"/>
                <w:szCs w:val="24"/>
              </w:rPr>
              <w:t>2.15</w:t>
            </w:r>
          </w:p>
        </w:tc>
      </w:tr>
      <w:tr w:rsidR="003633DD" w:rsidRPr="00090133" w:rsidTr="00C34BBC">
        <w:trPr>
          <w:trHeight w:val="576"/>
          <w:jc w:val="center"/>
        </w:trPr>
        <w:tc>
          <w:tcPr>
            <w:tcW w:w="0" w:type="auto"/>
            <w:vAlign w:val="center"/>
          </w:tcPr>
          <w:p w:rsidR="003633DD" w:rsidRPr="00090133" w:rsidRDefault="003633DD" w:rsidP="00C34BBC">
            <w:pPr>
              <w:ind w:left="0" w:firstLine="0"/>
              <w:rPr>
                <w:rFonts w:eastAsia="Times New Roman" w:cs="Times New Roman"/>
                <w:color w:val="000000"/>
                <w:szCs w:val="24"/>
              </w:rPr>
            </w:pPr>
            <w:r>
              <w:rPr>
                <w:rFonts w:eastAsia="Times New Roman" w:cs="Times New Roman"/>
                <w:color w:val="000000"/>
                <w:szCs w:val="24"/>
              </w:rPr>
              <w:t>9</w:t>
            </w:r>
          </w:p>
        </w:tc>
        <w:tc>
          <w:tcPr>
            <w:tcW w:w="0" w:type="auto"/>
            <w:shd w:val="clear" w:color="auto" w:fill="auto"/>
            <w:noWrap/>
            <w:vAlign w:val="center"/>
            <w:hideMark/>
          </w:tcPr>
          <w:p w:rsidR="003633DD" w:rsidRPr="00090133" w:rsidRDefault="003633DD" w:rsidP="00090133">
            <w:pPr>
              <w:ind w:left="0" w:firstLine="0"/>
              <w:rPr>
                <w:rFonts w:eastAsia="Times New Roman" w:cs="Times New Roman"/>
                <w:b/>
                <w:color w:val="000000"/>
                <w:szCs w:val="24"/>
              </w:rPr>
            </w:pPr>
            <w:r w:rsidRPr="00090133">
              <w:rPr>
                <w:rFonts w:eastAsia="Times New Roman" w:cs="Times New Roman"/>
                <w:b/>
                <w:color w:val="000000"/>
                <w:szCs w:val="24"/>
              </w:rPr>
              <w:t>J.P. Stevens</w:t>
            </w:r>
          </w:p>
        </w:tc>
        <w:tc>
          <w:tcPr>
            <w:tcW w:w="0" w:type="auto"/>
            <w:shd w:val="clear" w:color="auto" w:fill="auto"/>
            <w:noWrap/>
            <w:vAlign w:val="center"/>
            <w:hideMark/>
          </w:tcPr>
          <w:p w:rsidR="003633DD" w:rsidRPr="00090133" w:rsidRDefault="003633DD" w:rsidP="00090133">
            <w:pPr>
              <w:ind w:left="0" w:firstLine="0"/>
              <w:jc w:val="center"/>
              <w:rPr>
                <w:rFonts w:eastAsia="Times New Roman" w:cs="Times New Roman"/>
                <w:color w:val="000000"/>
                <w:szCs w:val="24"/>
              </w:rPr>
            </w:pPr>
            <w:r w:rsidRPr="00090133">
              <w:rPr>
                <w:rFonts w:eastAsia="Times New Roman" w:cs="Times New Roman"/>
                <w:color w:val="000000"/>
                <w:szCs w:val="24"/>
              </w:rPr>
              <w:t>1.99</w:t>
            </w:r>
          </w:p>
        </w:tc>
      </w:tr>
      <w:tr w:rsidR="003633DD" w:rsidRPr="00090133" w:rsidTr="00C34BBC">
        <w:trPr>
          <w:trHeight w:val="576"/>
          <w:jc w:val="center"/>
        </w:trPr>
        <w:tc>
          <w:tcPr>
            <w:tcW w:w="0" w:type="auto"/>
            <w:vAlign w:val="center"/>
          </w:tcPr>
          <w:p w:rsidR="003633DD" w:rsidRPr="00090133" w:rsidRDefault="003633DD" w:rsidP="00C34BBC">
            <w:pPr>
              <w:ind w:left="0" w:firstLine="0"/>
              <w:rPr>
                <w:rFonts w:eastAsia="Times New Roman" w:cs="Times New Roman"/>
                <w:color w:val="000000"/>
                <w:szCs w:val="24"/>
              </w:rPr>
            </w:pPr>
            <w:r>
              <w:rPr>
                <w:rFonts w:eastAsia="Times New Roman" w:cs="Times New Roman"/>
                <w:color w:val="000000"/>
                <w:szCs w:val="24"/>
              </w:rPr>
              <w:t>10</w:t>
            </w:r>
          </w:p>
        </w:tc>
        <w:tc>
          <w:tcPr>
            <w:tcW w:w="0" w:type="auto"/>
            <w:shd w:val="clear" w:color="auto" w:fill="auto"/>
            <w:noWrap/>
            <w:vAlign w:val="center"/>
            <w:hideMark/>
          </w:tcPr>
          <w:p w:rsidR="003633DD" w:rsidRPr="00090133" w:rsidRDefault="003633DD" w:rsidP="00090133">
            <w:pPr>
              <w:ind w:left="0" w:firstLine="0"/>
              <w:rPr>
                <w:rFonts w:eastAsia="Times New Roman" w:cs="Times New Roman"/>
                <w:b/>
                <w:color w:val="000000"/>
                <w:szCs w:val="24"/>
              </w:rPr>
            </w:pPr>
            <w:r w:rsidRPr="00090133">
              <w:rPr>
                <w:rFonts w:eastAsia="Times New Roman" w:cs="Times New Roman"/>
                <w:b/>
                <w:color w:val="000000"/>
                <w:szCs w:val="24"/>
              </w:rPr>
              <w:t>Antonin Scalia</w:t>
            </w:r>
          </w:p>
        </w:tc>
        <w:tc>
          <w:tcPr>
            <w:tcW w:w="0" w:type="auto"/>
            <w:shd w:val="clear" w:color="auto" w:fill="auto"/>
            <w:noWrap/>
            <w:vAlign w:val="center"/>
            <w:hideMark/>
          </w:tcPr>
          <w:p w:rsidR="003633DD" w:rsidRPr="00090133" w:rsidRDefault="003633DD" w:rsidP="00090133">
            <w:pPr>
              <w:ind w:left="0" w:firstLine="0"/>
              <w:jc w:val="center"/>
              <w:rPr>
                <w:rFonts w:eastAsia="Times New Roman" w:cs="Times New Roman"/>
                <w:color w:val="000000"/>
                <w:szCs w:val="24"/>
              </w:rPr>
            </w:pPr>
            <w:r w:rsidRPr="00090133">
              <w:rPr>
                <w:rFonts w:eastAsia="Times New Roman" w:cs="Times New Roman"/>
                <w:color w:val="000000"/>
                <w:szCs w:val="24"/>
              </w:rPr>
              <w:t>1.69</w:t>
            </w:r>
          </w:p>
        </w:tc>
      </w:tr>
      <w:tr w:rsidR="003633DD" w:rsidRPr="00090133" w:rsidTr="00C34BBC">
        <w:trPr>
          <w:trHeight w:val="576"/>
          <w:jc w:val="center"/>
        </w:trPr>
        <w:tc>
          <w:tcPr>
            <w:tcW w:w="0" w:type="auto"/>
            <w:vAlign w:val="center"/>
          </w:tcPr>
          <w:p w:rsidR="003633DD" w:rsidRPr="00090133" w:rsidRDefault="003633DD" w:rsidP="00C34BBC">
            <w:pPr>
              <w:ind w:left="0" w:firstLine="0"/>
              <w:rPr>
                <w:rFonts w:eastAsia="Times New Roman" w:cs="Times New Roman"/>
                <w:color w:val="000000"/>
                <w:szCs w:val="24"/>
              </w:rPr>
            </w:pPr>
            <w:r>
              <w:rPr>
                <w:rFonts w:eastAsia="Times New Roman" w:cs="Times New Roman"/>
                <w:color w:val="000000"/>
                <w:szCs w:val="24"/>
              </w:rPr>
              <w:t>11</w:t>
            </w:r>
          </w:p>
        </w:tc>
        <w:tc>
          <w:tcPr>
            <w:tcW w:w="0" w:type="auto"/>
            <w:shd w:val="clear" w:color="auto" w:fill="auto"/>
            <w:noWrap/>
            <w:vAlign w:val="center"/>
            <w:hideMark/>
          </w:tcPr>
          <w:p w:rsidR="003633DD" w:rsidRPr="00090133" w:rsidRDefault="003633DD" w:rsidP="00090133">
            <w:pPr>
              <w:ind w:left="0" w:firstLine="0"/>
              <w:rPr>
                <w:rFonts w:eastAsia="Times New Roman" w:cs="Times New Roman"/>
                <w:b/>
                <w:color w:val="000000"/>
                <w:szCs w:val="24"/>
              </w:rPr>
            </w:pPr>
            <w:r w:rsidRPr="00090133">
              <w:rPr>
                <w:rFonts w:eastAsia="Times New Roman" w:cs="Times New Roman"/>
                <w:b/>
                <w:color w:val="000000"/>
                <w:szCs w:val="24"/>
              </w:rPr>
              <w:t>Clarence Thomas</w:t>
            </w:r>
          </w:p>
        </w:tc>
        <w:tc>
          <w:tcPr>
            <w:tcW w:w="0" w:type="auto"/>
            <w:shd w:val="clear" w:color="auto" w:fill="auto"/>
            <w:noWrap/>
            <w:vAlign w:val="center"/>
            <w:hideMark/>
          </w:tcPr>
          <w:p w:rsidR="003633DD" w:rsidRPr="00090133" w:rsidRDefault="003633DD" w:rsidP="00090133">
            <w:pPr>
              <w:ind w:left="0" w:firstLine="0"/>
              <w:jc w:val="center"/>
              <w:rPr>
                <w:rFonts w:eastAsia="Times New Roman" w:cs="Times New Roman"/>
                <w:color w:val="000000"/>
                <w:szCs w:val="24"/>
              </w:rPr>
            </w:pPr>
            <w:r w:rsidRPr="00090133">
              <w:rPr>
                <w:rFonts w:eastAsia="Times New Roman" w:cs="Times New Roman"/>
                <w:color w:val="000000"/>
                <w:szCs w:val="24"/>
              </w:rPr>
              <w:t>0.65</w:t>
            </w:r>
          </w:p>
        </w:tc>
      </w:tr>
    </w:tbl>
    <w:p w:rsidR="00723A8F" w:rsidRDefault="00723A8F" w:rsidP="00CC20A1">
      <w:pPr>
        <w:spacing w:before="240" w:line="480" w:lineRule="auto"/>
        <w:ind w:left="0" w:firstLine="0"/>
      </w:pPr>
    </w:p>
    <w:p w:rsidR="00D50941" w:rsidRDefault="00D50941" w:rsidP="00723A8F">
      <w:pPr>
        <w:spacing w:before="240" w:line="480" w:lineRule="auto"/>
        <w:ind w:left="0" w:firstLine="720"/>
      </w:pPr>
      <w:r>
        <w:t>As described by Collins (2008, 101)</w:t>
      </w:r>
      <w:r w:rsidR="00605572">
        <w:t xml:space="preserve"> and Ai </w:t>
      </w:r>
      <w:r w:rsidR="000D6839">
        <w:t>and</w:t>
      </w:r>
      <w:r w:rsidR="00605572">
        <w:t xml:space="preserve"> Norton (2003)</w:t>
      </w:r>
      <w:r>
        <w:t xml:space="preserve">, </w:t>
      </w:r>
      <w:r w:rsidR="00605572">
        <w:t xml:space="preserve">in nonlinear models such as </w:t>
      </w:r>
      <w:proofErr w:type="spellStart"/>
      <w:r w:rsidR="00605572">
        <w:t>lo</w:t>
      </w:r>
      <w:r w:rsidR="00747008">
        <w:t>git</w:t>
      </w:r>
      <w:proofErr w:type="spellEnd"/>
      <w:r w:rsidR="00605572">
        <w:t xml:space="preserve">, </w:t>
      </w:r>
      <w:r>
        <w:t xml:space="preserve">it cannot be inferred from the </w:t>
      </w:r>
      <w:r w:rsidR="00605572">
        <w:t xml:space="preserve">sign, </w:t>
      </w:r>
      <w:r>
        <w:t>magnitude</w:t>
      </w:r>
      <w:r w:rsidR="00605572">
        <w:t>, or statistical</w:t>
      </w:r>
      <w:r>
        <w:t xml:space="preserve"> significance of </w:t>
      </w:r>
      <w:r w:rsidR="008F3F21">
        <w:t xml:space="preserve">the </w:t>
      </w:r>
      <w:r w:rsidR="00605572">
        <w:t xml:space="preserve">coefficient of </w:t>
      </w:r>
      <w:r w:rsidR="008F3F21">
        <w:t>the</w:t>
      </w:r>
      <w:r>
        <w:t xml:space="preserve"> in</w:t>
      </w:r>
      <w:r w:rsidR="008F3F21">
        <w:t>teraction term whether the conditioning variable</w:t>
      </w:r>
      <w:r w:rsidR="00EB413E">
        <w:t xml:space="preserve"> (</w:t>
      </w:r>
      <w:r w:rsidR="00EB413E">
        <w:rPr>
          <w:i/>
        </w:rPr>
        <w:t>Judicial Moderation</w:t>
      </w:r>
      <w:r w:rsidR="00EB413E">
        <w:t>)</w:t>
      </w:r>
      <w:r w:rsidR="008F3F21">
        <w:t xml:space="preserve"> </w:t>
      </w:r>
      <w:r w:rsidR="002F758E">
        <w:t>mediate</w:t>
      </w:r>
      <w:r w:rsidR="008F3F21">
        <w:t>s</w:t>
      </w:r>
      <w:r w:rsidR="002A4534">
        <w:t xml:space="preserve"> the influence of amicus briefs</w:t>
      </w:r>
      <w:r w:rsidR="00605572">
        <w:t xml:space="preserve">, </w:t>
      </w:r>
      <w:r>
        <w:t>therefore it is necessary to calculate the marginal effects an</w:t>
      </w:r>
      <w:r w:rsidR="002A4534">
        <w:t>d confidence intervals for this</w:t>
      </w:r>
      <w:r w:rsidR="00EB413E">
        <w:t xml:space="preserve"> interaction term</w:t>
      </w:r>
      <w:r>
        <w:t>, holding all other variables at their mean</w:t>
      </w:r>
      <w:r w:rsidR="002A4534">
        <w:t xml:space="preserve"> (for continuous variables)</w:t>
      </w:r>
      <w:r>
        <w:t xml:space="preserve"> or modal</w:t>
      </w:r>
      <w:r w:rsidR="002A4534">
        <w:t xml:space="preserve"> (for dummy variables)</w:t>
      </w:r>
      <w:r>
        <w:t xml:space="preserve"> values. </w:t>
      </w:r>
      <w:r w:rsidR="007A48A8">
        <w:t xml:space="preserve">To do this, I, like Collins (2008), use the technique developed by </w:t>
      </w:r>
      <w:proofErr w:type="spellStart"/>
      <w:r w:rsidR="007A48A8">
        <w:t>Brambor</w:t>
      </w:r>
      <w:proofErr w:type="spellEnd"/>
      <w:r w:rsidR="007A48A8">
        <w:t xml:space="preserve">, Clark, and </w:t>
      </w:r>
      <w:proofErr w:type="spellStart"/>
      <w:r w:rsidR="007A48A8">
        <w:t>Golder</w:t>
      </w:r>
      <w:proofErr w:type="spellEnd"/>
      <w:r w:rsidR="007A48A8">
        <w:t xml:space="preserve"> (2006). </w:t>
      </w:r>
    </w:p>
    <w:p w:rsidR="00D50941" w:rsidRPr="00E66657" w:rsidRDefault="002A4534" w:rsidP="00D50941">
      <w:pPr>
        <w:pStyle w:val="ListParagraph"/>
        <w:numPr>
          <w:ilvl w:val="0"/>
          <w:numId w:val="1"/>
        </w:numPr>
        <w:spacing w:line="480" w:lineRule="auto"/>
        <w:jc w:val="both"/>
        <w:rPr>
          <w:b/>
          <w:u w:val="single"/>
        </w:rPr>
      </w:pPr>
      <w:r>
        <w:rPr>
          <w:b/>
        </w:rPr>
        <w:lastRenderedPageBreak/>
        <w:t>Control Variables</w:t>
      </w:r>
      <w:r w:rsidR="00D50941">
        <w:rPr>
          <w:b/>
        </w:rPr>
        <w:t xml:space="preserve"> </w:t>
      </w:r>
    </w:p>
    <w:p w:rsidR="00D50941" w:rsidRPr="00F46497" w:rsidRDefault="002A4534" w:rsidP="00EB413E">
      <w:pPr>
        <w:spacing w:line="480" w:lineRule="auto"/>
        <w:ind w:left="0" w:firstLine="720"/>
      </w:pPr>
      <w:r>
        <w:t>In addition to my independent variables, and my interaction term, I include four control variables to account for well-documented influences on the decision-making of the USSC justices.</w:t>
      </w:r>
      <w:r w:rsidR="00EB413E">
        <w:t xml:space="preserve">  M</w:t>
      </w:r>
      <w:r>
        <w:t xml:space="preserve">y first two control variables – </w:t>
      </w:r>
      <w:r w:rsidR="00D50941" w:rsidRPr="00F46497">
        <w:rPr>
          <w:i/>
        </w:rPr>
        <w:t xml:space="preserve">SG Liberal Amicus </w:t>
      </w:r>
      <w:r>
        <w:t>and</w:t>
      </w:r>
      <w:r w:rsidR="00D50941" w:rsidRPr="00F46497">
        <w:rPr>
          <w:i/>
        </w:rPr>
        <w:t xml:space="preserve"> SG Conservative Amicus</w:t>
      </w:r>
      <w:r w:rsidR="00D50941" w:rsidRPr="00F46497">
        <w:t xml:space="preserve"> </w:t>
      </w:r>
      <w:r>
        <w:t>–control for the long-recognized impact</w:t>
      </w:r>
      <w:r w:rsidR="00D50941" w:rsidRPr="00F46497">
        <w:t xml:space="preserve"> of the</w:t>
      </w:r>
      <w:r w:rsidR="00F50C5F">
        <w:t xml:space="preserve"> most influential amicus participant – the </w:t>
      </w:r>
      <w:r w:rsidR="00D50941" w:rsidRPr="00F46497">
        <w:t xml:space="preserve">Solicitor General </w:t>
      </w:r>
      <w:r w:rsidR="00F50C5F">
        <w:t xml:space="preserve">(e.g., </w:t>
      </w:r>
      <w:proofErr w:type="spellStart"/>
      <w:r w:rsidR="00F50C5F">
        <w:t>Dee</w:t>
      </w:r>
      <w:r w:rsidR="00D50941" w:rsidRPr="00F46497">
        <w:t>n</w:t>
      </w:r>
      <w:proofErr w:type="spellEnd"/>
      <w:r w:rsidR="003947CA">
        <w:t xml:space="preserve"> et al.</w:t>
      </w:r>
      <w:r w:rsidR="00D50941" w:rsidRPr="00F46497">
        <w:t xml:space="preserve"> 2003; Kearney and Merrill 2000; </w:t>
      </w:r>
      <w:proofErr w:type="spellStart"/>
      <w:r w:rsidR="00D50941" w:rsidRPr="00F46497">
        <w:t>Spriggs</w:t>
      </w:r>
      <w:proofErr w:type="spellEnd"/>
      <w:r w:rsidR="00D50941" w:rsidRPr="00F46497">
        <w:t xml:space="preserve"> and </w:t>
      </w:r>
      <w:proofErr w:type="spellStart"/>
      <w:r w:rsidR="00D50941" w:rsidRPr="00F46497">
        <w:t>Wahlbeck</w:t>
      </w:r>
      <w:proofErr w:type="spellEnd"/>
      <w:r w:rsidR="00D50941" w:rsidRPr="00F46497">
        <w:t xml:space="preserve"> 1997; Lynch 2004; Segal 1988; McGuire 1994; O’Connor 1983).  They are scored 1 if the SG filed an amicus brief arguing the liberal or conservative position, respectively, and 0 if otherwise.  The expected sign of </w:t>
      </w:r>
      <w:r w:rsidR="00C73A11">
        <w:rPr>
          <w:i/>
        </w:rPr>
        <w:t>SG Liberal A</w:t>
      </w:r>
      <w:r w:rsidR="00D50941" w:rsidRPr="00F46497">
        <w:rPr>
          <w:i/>
        </w:rPr>
        <w:t>micus</w:t>
      </w:r>
      <w:r w:rsidR="00D50941" w:rsidRPr="00F46497">
        <w:t xml:space="preserve"> is positive, while the expected sign of </w:t>
      </w:r>
      <w:r w:rsidR="00C73A11">
        <w:rPr>
          <w:i/>
        </w:rPr>
        <w:t>SG Conservative A</w:t>
      </w:r>
      <w:r w:rsidR="00D50941" w:rsidRPr="00F46497">
        <w:rPr>
          <w:i/>
        </w:rPr>
        <w:t>micus</w:t>
      </w:r>
      <w:r w:rsidR="00D50941" w:rsidRPr="00F46497">
        <w:t xml:space="preserve"> variable is negative</w:t>
      </w:r>
      <w:r>
        <w:t>, indicating that a justice is more likely to vote liberally in cases where the SG advocates the liberal position, and that a justice is more likely to vote conservatively in cases where the SG supports the conservative position</w:t>
      </w:r>
      <w:r w:rsidR="00D50941" w:rsidRPr="00F46497">
        <w:t xml:space="preserve">. </w:t>
      </w:r>
    </w:p>
    <w:p w:rsidR="00D50941" w:rsidRDefault="00D50941" w:rsidP="00D50941">
      <w:pPr>
        <w:spacing w:line="480" w:lineRule="auto"/>
        <w:ind w:left="0" w:firstLine="720"/>
        <w:rPr>
          <w:i/>
        </w:rPr>
      </w:pPr>
      <w:r w:rsidRPr="00E66657">
        <w:rPr>
          <w:i/>
        </w:rPr>
        <w:t>Lower Court Direction</w:t>
      </w:r>
      <w:r>
        <w:t xml:space="preserve"> controls for the Court’s well-known practice of accepting cases on appeal that it seeks to reverse</w:t>
      </w:r>
      <w:r w:rsidR="00F46497">
        <w:t xml:space="preserve"> (</w:t>
      </w:r>
      <w:proofErr w:type="spellStart"/>
      <w:r w:rsidR="00F46497">
        <w:t>Caldeira</w:t>
      </w:r>
      <w:proofErr w:type="spellEnd"/>
      <w:r w:rsidR="00F46497">
        <w:t xml:space="preserve"> </w:t>
      </w:r>
      <w:r w:rsidR="000D6839">
        <w:t>and</w:t>
      </w:r>
      <w:r w:rsidR="00F46497">
        <w:t xml:space="preserve"> Wright 1988; Segal </w:t>
      </w:r>
      <w:r w:rsidR="000D6839">
        <w:t>and</w:t>
      </w:r>
      <w:r w:rsidR="00F46497">
        <w:t xml:space="preserve"> </w:t>
      </w:r>
      <w:proofErr w:type="spellStart"/>
      <w:r w:rsidR="00F46497">
        <w:t>Spaeth</w:t>
      </w:r>
      <w:proofErr w:type="spellEnd"/>
      <w:r w:rsidR="00F46497">
        <w:t xml:space="preserve"> 1993)</w:t>
      </w:r>
      <w:r w:rsidR="00510205">
        <w:t xml:space="preserve">. </w:t>
      </w:r>
      <w:r w:rsidRPr="00A02BA1">
        <w:t>This variable is coded 1 if the decision of the l</w:t>
      </w:r>
      <w:r w:rsidR="00510205">
        <w:t>ower court that the USSC</w:t>
      </w:r>
      <w:r w:rsidRPr="00A02BA1">
        <w:t xml:space="preserve"> is reviewing was liberal and 0 if it was conservative.   The expected sign of this variable is negative</w:t>
      </w:r>
      <w:r w:rsidR="00F46497">
        <w:t>, indicating that a justice is more lik</w:t>
      </w:r>
      <w:r w:rsidR="00510205">
        <w:t xml:space="preserve">ely to vote conservatively in a case in which </w:t>
      </w:r>
      <w:r w:rsidR="00F46497">
        <w:t>the lower court handed down a liberal decision.</w:t>
      </w:r>
    </w:p>
    <w:p w:rsidR="00077E4A" w:rsidRPr="00077E4A" w:rsidRDefault="00510205" w:rsidP="00077E4A">
      <w:pPr>
        <w:autoSpaceDE w:val="0"/>
        <w:autoSpaceDN w:val="0"/>
        <w:adjustRightInd w:val="0"/>
        <w:spacing w:line="480" w:lineRule="auto"/>
        <w:ind w:left="0" w:firstLine="720"/>
        <w:rPr>
          <w:rFonts w:cs="Times New Roman"/>
          <w:szCs w:val="24"/>
        </w:rPr>
      </w:pPr>
      <w:r>
        <w:t xml:space="preserve">Lastly, </w:t>
      </w:r>
      <w:r w:rsidR="00723A8F">
        <w:rPr>
          <w:i/>
        </w:rPr>
        <w:t xml:space="preserve">Liberal — </w:t>
      </w:r>
      <w:r w:rsidR="00B918F0" w:rsidRPr="00BA2FD7">
        <w:rPr>
          <w:i/>
        </w:rPr>
        <w:t>Conservative Party Resources</w:t>
      </w:r>
      <w:r w:rsidR="00EB515E" w:rsidRPr="00BA2FD7">
        <w:rPr>
          <w:i/>
        </w:rPr>
        <w:t xml:space="preserve"> Difference</w:t>
      </w:r>
      <w:r>
        <w:t xml:space="preserve"> </w:t>
      </w:r>
      <w:r w:rsidR="00B918F0" w:rsidRPr="00BA2FD7">
        <w:t>control</w:t>
      </w:r>
      <w:r w:rsidR="00EB515E" w:rsidRPr="00BA2FD7">
        <w:t>s</w:t>
      </w:r>
      <w:r w:rsidR="00B918F0" w:rsidRPr="00BA2FD7">
        <w:t xml:space="preserve"> for the impact of party resources on j</w:t>
      </w:r>
      <w:r w:rsidR="00723A8F">
        <w:t>udicial decision-</w:t>
      </w:r>
      <w:r w:rsidR="00EB515E" w:rsidRPr="00BA2FD7">
        <w:t>making, and is</w:t>
      </w:r>
      <w:r w:rsidR="00B918F0" w:rsidRPr="00BA2FD7">
        <w:t xml:space="preserve"> based on the status continuum of litigants adopted by Collins</w:t>
      </w:r>
      <w:r w:rsidR="005039B9" w:rsidRPr="00BA2FD7">
        <w:t xml:space="preserve"> (2008)</w:t>
      </w:r>
      <w:r w:rsidR="00B918F0" w:rsidRPr="00BA2FD7">
        <w:t xml:space="preserve"> from Sheehan, </w:t>
      </w:r>
      <w:proofErr w:type="spellStart"/>
      <w:r w:rsidR="00B918F0" w:rsidRPr="00BA2FD7">
        <w:t>Mishler</w:t>
      </w:r>
      <w:proofErr w:type="spellEnd"/>
      <w:r w:rsidR="00B918F0" w:rsidRPr="00BA2FD7">
        <w:t xml:space="preserve">, and </w:t>
      </w:r>
      <w:proofErr w:type="spellStart"/>
      <w:r w:rsidR="00B918F0" w:rsidRPr="00BA2FD7">
        <w:t>Songer</w:t>
      </w:r>
      <w:proofErr w:type="spellEnd"/>
      <w:r w:rsidR="00B918F0" w:rsidRPr="00BA2FD7">
        <w:t xml:space="preserve"> (1992).  Prior research on the field of judicial behavior indicates that the resources a litigant possesses influences judicial decision-making – i.e., the judiciary favors the “haves” over the “have </w:t>
      </w:r>
      <w:proofErr w:type="spellStart"/>
      <w:r w:rsidR="00B918F0" w:rsidRPr="00BA2FD7">
        <w:t>nots</w:t>
      </w:r>
      <w:proofErr w:type="spellEnd"/>
      <w:r w:rsidR="00B918F0" w:rsidRPr="00BA2FD7">
        <w:t xml:space="preserve">,” due in part to their ability to </w:t>
      </w:r>
      <w:r w:rsidR="00B918F0" w:rsidRPr="00BA2FD7">
        <w:lastRenderedPageBreak/>
        <w:t xml:space="preserve">hire better lawyers, expert witnesses, etc.  </w:t>
      </w:r>
      <w:proofErr w:type="gramStart"/>
      <w:r w:rsidR="00B918F0" w:rsidRPr="00BA2FD7">
        <w:t>(</w:t>
      </w:r>
      <w:proofErr w:type="spellStart"/>
      <w:r w:rsidR="00B918F0" w:rsidRPr="00BA2FD7">
        <w:t>Galanter</w:t>
      </w:r>
      <w:proofErr w:type="spellEnd"/>
      <w:r w:rsidR="00B918F0" w:rsidRPr="00BA2FD7">
        <w:t xml:space="preserve"> 1974; Wheeler, Cartwright, Kagan, and Friedman 1987; </w:t>
      </w:r>
      <w:r w:rsidR="005039B9" w:rsidRPr="00BA2FD7">
        <w:t xml:space="preserve">McGuire 1995; </w:t>
      </w:r>
      <w:proofErr w:type="spellStart"/>
      <w:r w:rsidR="00B918F0" w:rsidRPr="00BA2FD7">
        <w:t>Songer</w:t>
      </w:r>
      <w:proofErr w:type="spellEnd"/>
      <w:r w:rsidR="00B918F0" w:rsidRPr="00BA2FD7">
        <w:t xml:space="preserve">, </w:t>
      </w:r>
      <w:proofErr w:type="spellStart"/>
      <w:r w:rsidR="00B918F0" w:rsidRPr="00BA2FD7">
        <w:t>Kuersten</w:t>
      </w:r>
      <w:proofErr w:type="spellEnd"/>
      <w:r w:rsidR="00B918F0" w:rsidRPr="00BA2FD7">
        <w:t xml:space="preserve">, and </w:t>
      </w:r>
      <w:proofErr w:type="spellStart"/>
      <w:r w:rsidR="00B918F0" w:rsidRPr="00BA2FD7">
        <w:t>Kaheny</w:t>
      </w:r>
      <w:proofErr w:type="spellEnd"/>
      <w:r w:rsidR="00B918F0" w:rsidRPr="00BA2FD7">
        <w:t xml:space="preserve"> 2000</w:t>
      </w:r>
      <w:r w:rsidR="005039B9" w:rsidRPr="00BA2FD7">
        <w:t>; Collins 2004; Collins 2007</w:t>
      </w:r>
      <w:r w:rsidR="00B918F0" w:rsidRPr="00BA2FD7">
        <w:t>)</w:t>
      </w:r>
      <w:r w:rsidR="00EB515E" w:rsidRPr="00BA2FD7">
        <w:t>.</w:t>
      </w:r>
      <w:proofErr w:type="gramEnd"/>
      <w:r w:rsidR="005C2F5D" w:rsidRPr="00BA2FD7">
        <w:rPr>
          <w:rStyle w:val="FootnoteReference"/>
        </w:rPr>
        <w:footnoteReference w:id="59"/>
      </w:r>
      <w:r w:rsidR="00077E4A">
        <w:t xml:space="preserve">  As acknowledged by Black and Boyd (2012, 288), “</w:t>
      </w:r>
      <w:r w:rsidR="00077E4A">
        <w:rPr>
          <w:rFonts w:cs="Times New Roman"/>
          <w:szCs w:val="24"/>
        </w:rPr>
        <w:t>r</w:t>
      </w:r>
      <w:r w:rsidR="00077E4A" w:rsidRPr="00077E4A">
        <w:rPr>
          <w:rFonts w:cs="Times New Roman"/>
          <w:szCs w:val="24"/>
        </w:rPr>
        <w:t>esource-en</w:t>
      </w:r>
      <w:r w:rsidR="00077E4A">
        <w:rPr>
          <w:rFonts w:cs="Times New Roman"/>
          <w:szCs w:val="24"/>
        </w:rPr>
        <w:t xml:space="preserve">dowed litigants have expertise, </w:t>
      </w:r>
      <w:r w:rsidR="00077E4A" w:rsidRPr="00077E4A">
        <w:rPr>
          <w:rFonts w:cs="Times New Roman"/>
          <w:szCs w:val="24"/>
        </w:rPr>
        <w:t>bargaining credibility, flexibility in long-term stra</w:t>
      </w:r>
      <w:r w:rsidR="00077E4A">
        <w:rPr>
          <w:rFonts w:cs="Times New Roman"/>
          <w:szCs w:val="24"/>
        </w:rPr>
        <w:t xml:space="preserve">tegy and litigation, continuity </w:t>
      </w:r>
      <w:r w:rsidR="00077E4A" w:rsidRPr="00077E4A">
        <w:rPr>
          <w:rFonts w:cs="Times New Roman"/>
          <w:szCs w:val="24"/>
        </w:rPr>
        <w:t>in legal services, and fewer cost and delay barrier</w:t>
      </w:r>
      <w:r w:rsidR="00077E4A">
        <w:rPr>
          <w:rFonts w:cs="Times New Roman"/>
          <w:szCs w:val="24"/>
        </w:rPr>
        <w:t>s,” and these characteristics often translate into a higher likelihood of victory for such litigants.</w:t>
      </w:r>
    </w:p>
    <w:p w:rsidR="00BA2FD7" w:rsidRPr="00BA2FD7" w:rsidRDefault="00B918F0" w:rsidP="00B23EC1">
      <w:pPr>
        <w:autoSpaceDE w:val="0"/>
        <w:autoSpaceDN w:val="0"/>
        <w:adjustRightInd w:val="0"/>
        <w:spacing w:line="480" w:lineRule="auto"/>
        <w:ind w:left="0" w:firstLine="720"/>
        <w:rPr>
          <w:szCs w:val="24"/>
        </w:rPr>
      </w:pPr>
      <w:r w:rsidRPr="00BA2FD7">
        <w:t xml:space="preserve"> </w:t>
      </w:r>
      <w:r w:rsidR="00F067FE" w:rsidRPr="00BA2FD7">
        <w:t xml:space="preserve"> </w:t>
      </w:r>
      <w:r w:rsidR="00BA2FD7" w:rsidRPr="00BA2FD7">
        <w:t xml:space="preserve">I classify the litigants’ resource levels in each case by first referring to the </w:t>
      </w:r>
      <w:proofErr w:type="spellStart"/>
      <w:r w:rsidR="00BA2FD7" w:rsidRPr="00BA2FD7">
        <w:t>Spaeth</w:t>
      </w:r>
      <w:proofErr w:type="spellEnd"/>
      <w:r w:rsidR="00BA2FD7" w:rsidRPr="00BA2FD7">
        <w:t xml:space="preserve"> SCDB (2012) Release 01 (accessed at </w:t>
      </w:r>
      <w:hyperlink r:id="rId22" w:history="1">
        <w:r w:rsidR="00BA2FD7" w:rsidRPr="00BA2FD7">
          <w:rPr>
            <w:rStyle w:val="Hyperlink"/>
            <w:color w:val="auto"/>
          </w:rPr>
          <w:t>http://scdb.wustl.edu/index.php</w:t>
        </w:r>
      </w:hyperlink>
      <w:r w:rsidR="00BA2FD7" w:rsidRPr="00BA2FD7">
        <w:t>), which includes variables identifying the petitioner and respondent parties in each case.  Second, I decide which party is liberal or conservative by finding the ideological direction of both the USSC and lower court decisions in the case, and then coupling this finding with whether the petitioner won or lost the case according to the SCDB.</w:t>
      </w:r>
      <w:r w:rsidR="00BA2FD7" w:rsidRPr="00BA2FD7">
        <w:rPr>
          <w:rStyle w:val="FootnoteReference"/>
        </w:rPr>
        <w:footnoteReference w:id="60"/>
      </w:r>
      <w:r w:rsidR="00BA2FD7" w:rsidRPr="00BA2FD7">
        <w:t xml:space="preserve"> </w:t>
      </w:r>
    </w:p>
    <w:p w:rsidR="00B918F0" w:rsidRDefault="00BA2FD7" w:rsidP="00B23EC1">
      <w:pPr>
        <w:autoSpaceDE w:val="0"/>
        <w:autoSpaceDN w:val="0"/>
        <w:adjustRightInd w:val="0"/>
        <w:spacing w:line="480" w:lineRule="auto"/>
        <w:ind w:left="0" w:firstLine="720"/>
      </w:pPr>
      <w:r w:rsidRPr="00BA2FD7">
        <w:rPr>
          <w:szCs w:val="24"/>
        </w:rPr>
        <w:t>F</w:t>
      </w:r>
      <w:r w:rsidR="00B918F0" w:rsidRPr="00BA2FD7">
        <w:rPr>
          <w:szCs w:val="24"/>
        </w:rPr>
        <w:t>ollowing Collins</w:t>
      </w:r>
      <w:r w:rsidR="005039B9" w:rsidRPr="00BA2FD7">
        <w:rPr>
          <w:szCs w:val="24"/>
        </w:rPr>
        <w:t xml:space="preserve"> (2008)</w:t>
      </w:r>
      <w:r w:rsidR="00B918F0" w:rsidRPr="00BA2FD7">
        <w:rPr>
          <w:szCs w:val="24"/>
        </w:rPr>
        <w:t>, litigants are ranked according to increasing resources, as follows: poor individuals = 1,</w:t>
      </w:r>
      <w:r w:rsidR="00571369" w:rsidRPr="00BA2FD7">
        <w:rPr>
          <w:rStyle w:val="FootnoteReference"/>
          <w:szCs w:val="24"/>
        </w:rPr>
        <w:footnoteReference w:id="61"/>
      </w:r>
      <w:r w:rsidR="00B918F0" w:rsidRPr="00BA2FD7">
        <w:rPr>
          <w:szCs w:val="24"/>
        </w:rPr>
        <w:t xml:space="preserve"> minorities = 2,</w:t>
      </w:r>
      <w:r w:rsidR="00C528FB" w:rsidRPr="00BA2FD7">
        <w:rPr>
          <w:rStyle w:val="FootnoteReference"/>
          <w:szCs w:val="24"/>
        </w:rPr>
        <w:footnoteReference w:id="62"/>
      </w:r>
      <w:r w:rsidR="00B918F0" w:rsidRPr="00BA2FD7">
        <w:rPr>
          <w:szCs w:val="24"/>
        </w:rPr>
        <w:t xml:space="preserve"> individuals = 3,</w:t>
      </w:r>
      <w:r w:rsidR="00C528FB" w:rsidRPr="00BA2FD7">
        <w:rPr>
          <w:rStyle w:val="FootnoteReference"/>
          <w:szCs w:val="24"/>
        </w:rPr>
        <w:footnoteReference w:id="63"/>
      </w:r>
      <w:r w:rsidR="00B918F0" w:rsidRPr="00BA2FD7">
        <w:rPr>
          <w:szCs w:val="24"/>
        </w:rPr>
        <w:t xml:space="preserve"> unions/interest groups = 4,</w:t>
      </w:r>
      <w:r w:rsidR="00C528FB" w:rsidRPr="00BA2FD7">
        <w:rPr>
          <w:rStyle w:val="FootnoteReference"/>
          <w:szCs w:val="24"/>
        </w:rPr>
        <w:footnoteReference w:id="64"/>
      </w:r>
      <w:r w:rsidR="00B918F0" w:rsidRPr="00BA2FD7">
        <w:rPr>
          <w:szCs w:val="24"/>
        </w:rPr>
        <w:t xml:space="preserve"> </w:t>
      </w:r>
      <w:r w:rsidR="00B918F0" w:rsidRPr="00BA2FD7">
        <w:rPr>
          <w:szCs w:val="24"/>
        </w:rPr>
        <w:lastRenderedPageBreak/>
        <w:t>small businesses = 5,</w:t>
      </w:r>
      <w:r w:rsidR="00073293" w:rsidRPr="00BA2FD7">
        <w:rPr>
          <w:szCs w:val="24"/>
        </w:rPr>
        <w:t xml:space="preserve"> </w:t>
      </w:r>
      <w:r w:rsidR="00B918F0" w:rsidRPr="00BA2FD7">
        <w:rPr>
          <w:szCs w:val="24"/>
        </w:rPr>
        <w:t>businesses = 6,  corporations = 7,</w:t>
      </w:r>
      <w:r w:rsidR="00D72F01" w:rsidRPr="00BA2FD7">
        <w:rPr>
          <w:rStyle w:val="FootnoteReference"/>
          <w:szCs w:val="24"/>
        </w:rPr>
        <w:footnoteReference w:id="65"/>
      </w:r>
      <w:r w:rsidR="00B918F0" w:rsidRPr="00BA2FD7">
        <w:rPr>
          <w:szCs w:val="24"/>
        </w:rPr>
        <w:t xml:space="preserve"> local governments</w:t>
      </w:r>
      <w:r w:rsidR="00B918F0" w:rsidRPr="00BA2FD7">
        <w:t xml:space="preserve"> = 8,</w:t>
      </w:r>
      <w:r w:rsidR="004F7976" w:rsidRPr="00BA2FD7">
        <w:rPr>
          <w:rStyle w:val="FootnoteReference"/>
        </w:rPr>
        <w:footnoteReference w:id="66"/>
      </w:r>
      <w:r w:rsidR="00B918F0" w:rsidRPr="00BA2FD7">
        <w:t xml:space="preserve"> state governments = 9,</w:t>
      </w:r>
      <w:r w:rsidR="004F7976" w:rsidRPr="00BA2FD7">
        <w:rPr>
          <w:rStyle w:val="FootnoteReference"/>
        </w:rPr>
        <w:footnoteReference w:id="67"/>
      </w:r>
      <w:r w:rsidR="00B918F0" w:rsidRPr="00BA2FD7">
        <w:t xml:space="preserve"> and the federal government = 10.</w:t>
      </w:r>
      <w:r w:rsidR="00EB515E" w:rsidRPr="00BA2FD7">
        <w:rPr>
          <w:rStyle w:val="FootnoteReference"/>
        </w:rPr>
        <w:footnoteReference w:id="68"/>
      </w:r>
      <w:r w:rsidR="00B25342">
        <w:t xml:space="preserve"> </w:t>
      </w:r>
      <w:r w:rsidR="00174045">
        <w:rPr>
          <w:rStyle w:val="FootnoteReference"/>
        </w:rPr>
        <w:footnoteReference w:id="69"/>
      </w:r>
      <w:r w:rsidR="00B918F0" w:rsidRPr="00BA2FD7">
        <w:t xml:space="preserve">  It is expected that the sign of  </w:t>
      </w:r>
      <w:r w:rsidR="00EB515E" w:rsidRPr="00BA2FD7">
        <w:rPr>
          <w:i/>
        </w:rPr>
        <w:t xml:space="preserve">Liberal—Conservative Party </w:t>
      </w:r>
      <w:r w:rsidR="00B918F0" w:rsidRPr="00BA2FD7">
        <w:rPr>
          <w:i/>
        </w:rPr>
        <w:t>Resources</w:t>
      </w:r>
      <w:r w:rsidR="00EB515E" w:rsidRPr="00BA2FD7">
        <w:rPr>
          <w:i/>
        </w:rPr>
        <w:t xml:space="preserve"> Difference</w:t>
      </w:r>
      <w:r w:rsidR="00B918F0" w:rsidRPr="00BA2FD7">
        <w:t xml:space="preserve"> will be pos</w:t>
      </w:r>
      <w:r w:rsidR="00510205">
        <w:t>itive, indicating that the USSC</w:t>
      </w:r>
      <w:r w:rsidR="00B918F0" w:rsidRPr="00BA2FD7">
        <w:t xml:space="preserve"> is more likely to rule in th</w:t>
      </w:r>
      <w:r w:rsidR="00EB515E" w:rsidRPr="00BA2FD7">
        <w:t>e liberal direction when the liberal party has greater resources than the conservative party</w:t>
      </w:r>
      <w:r w:rsidR="00B918F0" w:rsidRPr="00BA2FD7">
        <w:t>.  Conv</w:t>
      </w:r>
      <w:r w:rsidR="00EB515E" w:rsidRPr="00BA2FD7">
        <w:t xml:space="preserve">ersely, it is expected that this </w:t>
      </w:r>
      <w:r w:rsidR="00B918F0" w:rsidRPr="00BA2FD7">
        <w:t>variable will be negative in direction</w:t>
      </w:r>
      <w:r w:rsidR="00EB515E" w:rsidRPr="00BA2FD7">
        <w:t xml:space="preserve"> when the conservative party’s resource level exceeds that of the liberal party</w:t>
      </w:r>
      <w:r w:rsidR="00723A8F">
        <w:t>, indicating that the USSC</w:t>
      </w:r>
      <w:r w:rsidR="00B918F0" w:rsidRPr="00BA2FD7">
        <w:t xml:space="preserve"> is more likely to hand down a conservative decision</w:t>
      </w:r>
      <w:r w:rsidR="00EB515E" w:rsidRPr="00BA2FD7">
        <w:t>.</w:t>
      </w:r>
    </w:p>
    <w:p w:rsidR="00016CCF" w:rsidRDefault="00903B28" w:rsidP="000E0725">
      <w:pPr>
        <w:spacing w:line="480" w:lineRule="auto"/>
        <w:ind w:left="0" w:firstLine="720"/>
        <w:rPr>
          <w:szCs w:val="24"/>
        </w:rPr>
      </w:pPr>
      <w:r w:rsidRPr="00510205">
        <w:t xml:space="preserve">As mentioned previously, </w:t>
      </w:r>
      <w:r w:rsidR="00C34BBC" w:rsidRPr="00510205">
        <w:t xml:space="preserve">after estimating </w:t>
      </w:r>
      <w:r w:rsidR="00527518" w:rsidRPr="00510205">
        <w:t>my</w:t>
      </w:r>
      <w:r w:rsidR="00CC20A1">
        <w:t xml:space="preserve"> base and</w:t>
      </w:r>
      <w:r w:rsidR="00527518" w:rsidRPr="00510205">
        <w:t xml:space="preserve"> primary</w:t>
      </w:r>
      <w:r w:rsidR="00510205" w:rsidRPr="00510205">
        <w:t xml:space="preserve"> all-inclusive</w:t>
      </w:r>
      <w:r w:rsidR="00527518" w:rsidRPr="00510205">
        <w:t xml:space="preserve"> </w:t>
      </w:r>
      <w:proofErr w:type="spellStart"/>
      <w:r w:rsidR="00510205" w:rsidRPr="00510205">
        <w:t>logit</w:t>
      </w:r>
      <w:proofErr w:type="spellEnd"/>
      <w:r w:rsidR="00510205" w:rsidRPr="00510205">
        <w:t xml:space="preserve"> </w:t>
      </w:r>
      <w:r w:rsidR="00527518" w:rsidRPr="00510205">
        <w:t>model</w:t>
      </w:r>
      <w:r w:rsidR="00CC20A1">
        <w:t>s</w:t>
      </w:r>
      <w:r w:rsidR="00527518" w:rsidRPr="00510205">
        <w:t>, I</w:t>
      </w:r>
      <w:r w:rsidR="00510205" w:rsidRPr="00510205">
        <w:t xml:space="preserve"> estimate multiple subsidiary </w:t>
      </w:r>
      <w:proofErr w:type="spellStart"/>
      <w:r w:rsidR="00510205" w:rsidRPr="00510205">
        <w:t>logit</w:t>
      </w:r>
      <w:proofErr w:type="spellEnd"/>
      <w:r w:rsidR="00510205" w:rsidRPr="00510205">
        <w:t xml:space="preserve"> models</w:t>
      </w:r>
      <w:r w:rsidR="00DC3A5D">
        <w:t xml:space="preserve"> in order to provide a more contextualized analysis of amici impact</w:t>
      </w:r>
      <w:r w:rsidR="00016CCF">
        <w:t xml:space="preserve">. </w:t>
      </w:r>
      <w:r w:rsidR="00510205" w:rsidRPr="00510205">
        <w:t xml:space="preserve"> </w:t>
      </w:r>
      <w:r w:rsidR="00510205">
        <w:rPr>
          <w:szCs w:val="24"/>
        </w:rPr>
        <w:t xml:space="preserve">Because the primary model relies on a measure of judicial moderation </w:t>
      </w:r>
      <w:r w:rsidR="00510205">
        <w:rPr>
          <w:szCs w:val="24"/>
        </w:rPr>
        <w:lastRenderedPageBreak/>
        <w:t>in</w:t>
      </w:r>
      <w:r w:rsidR="00DC3A5D">
        <w:rPr>
          <w:szCs w:val="24"/>
        </w:rPr>
        <w:t xml:space="preserve">stead of a direct measure of judicial conservatism or liberalism, </w:t>
      </w:r>
      <w:r w:rsidR="00510205">
        <w:rPr>
          <w:szCs w:val="24"/>
        </w:rPr>
        <w:t>it is nece</w:t>
      </w:r>
      <w:r w:rsidR="000E0725">
        <w:rPr>
          <w:szCs w:val="24"/>
        </w:rPr>
        <w:t xml:space="preserve">ssary to include two </w:t>
      </w:r>
      <w:r w:rsidR="00016CCF">
        <w:rPr>
          <w:szCs w:val="24"/>
        </w:rPr>
        <w:t xml:space="preserve">separate </w:t>
      </w:r>
      <w:proofErr w:type="spellStart"/>
      <w:r w:rsidR="008F2118">
        <w:rPr>
          <w:szCs w:val="24"/>
        </w:rPr>
        <w:t>logit</w:t>
      </w:r>
      <w:proofErr w:type="spellEnd"/>
      <w:r w:rsidR="008F2118">
        <w:rPr>
          <w:szCs w:val="24"/>
        </w:rPr>
        <w:t xml:space="preserve"> </w:t>
      </w:r>
      <w:r w:rsidR="00510205">
        <w:rPr>
          <w:szCs w:val="24"/>
        </w:rPr>
        <w:t>models to assess whether</w:t>
      </w:r>
      <w:r w:rsidR="00DC3A5D">
        <w:rPr>
          <w:szCs w:val="24"/>
        </w:rPr>
        <w:t xml:space="preserve"> or not conservative and liberal</w:t>
      </w:r>
      <w:r w:rsidR="00510205">
        <w:rPr>
          <w:szCs w:val="24"/>
        </w:rPr>
        <w:t xml:space="preserve"> justices respond in the same way to amicus briefs</w:t>
      </w:r>
      <w:r w:rsidR="00DC3A5D">
        <w:rPr>
          <w:szCs w:val="24"/>
        </w:rPr>
        <w:t xml:space="preserve">.  </w:t>
      </w:r>
      <w:r w:rsidR="00016CCF">
        <w:rPr>
          <w:szCs w:val="24"/>
        </w:rPr>
        <w:t>The first of these</w:t>
      </w:r>
      <w:r w:rsidR="00510205">
        <w:rPr>
          <w:szCs w:val="24"/>
        </w:rPr>
        <w:t xml:space="preserve"> model</w:t>
      </w:r>
      <w:r w:rsidR="00016CCF">
        <w:rPr>
          <w:szCs w:val="24"/>
        </w:rPr>
        <w:t>s</w:t>
      </w:r>
      <w:r w:rsidR="00510205">
        <w:rPr>
          <w:szCs w:val="24"/>
        </w:rPr>
        <w:t xml:space="preserve"> includes only liberal justices and the second includes only conservative justices for all cases at the Roberts Court.  This will allow</w:t>
      </w:r>
      <w:r w:rsidR="00DC3A5D">
        <w:rPr>
          <w:szCs w:val="24"/>
        </w:rPr>
        <w:t xml:space="preserve"> for a comparison of </w:t>
      </w:r>
      <w:r w:rsidR="004F71AC">
        <w:rPr>
          <w:szCs w:val="24"/>
        </w:rPr>
        <w:t>liberal and conservative justices to see if they respond similarly or differently to amici</w:t>
      </w:r>
      <w:r w:rsidR="00510205">
        <w:rPr>
          <w:szCs w:val="24"/>
        </w:rPr>
        <w:t>.  Liberal justices are identified as those justices that have Martin-Quinn ideology scores of less than .4; conservative justices are those that have MQ scores of greater than .4.</w:t>
      </w:r>
      <w:r w:rsidR="00510205">
        <w:rPr>
          <w:rStyle w:val="FootnoteReference"/>
          <w:szCs w:val="24"/>
        </w:rPr>
        <w:footnoteReference w:id="70"/>
      </w:r>
      <w:r w:rsidR="00510205">
        <w:rPr>
          <w:szCs w:val="24"/>
        </w:rPr>
        <w:t xml:space="preserve">  Table 3.3 ranks each of the eleven justices that have served on the Roberts Court between the 2007-2011 terms from most conservative to least conservative according to their mean MQ ideology score over that five term span.</w:t>
      </w:r>
    </w:p>
    <w:p w:rsidR="0082221A" w:rsidRDefault="0082221A" w:rsidP="0082221A">
      <w:pPr>
        <w:spacing w:line="480" w:lineRule="auto"/>
        <w:ind w:left="0" w:firstLine="720"/>
        <w:rPr>
          <w:szCs w:val="24"/>
        </w:rPr>
      </w:pPr>
      <w:r>
        <w:rPr>
          <w:szCs w:val="24"/>
        </w:rPr>
        <w:t>These two ideology models are specified the same as the primary all-inclusive model, except that they exclude the variable controlling for judicial ideology along with the interaction variable, as ideology in essence will already be controlled for since these models will only be focused on liberal justices, and conservative justices, respectively.  Thus, the influence of amici on these two categories of justices will be directly observable without need for the inclusion of an interaction term or a separate control variable for judicial ideology.</w:t>
      </w:r>
    </w:p>
    <w:p w:rsidR="000E0725" w:rsidRDefault="0082221A" w:rsidP="0082221A">
      <w:pPr>
        <w:spacing w:line="480" w:lineRule="auto"/>
        <w:ind w:left="0" w:firstLine="720"/>
        <w:rPr>
          <w:szCs w:val="24"/>
        </w:rPr>
      </w:pPr>
      <w:r>
        <w:t xml:space="preserve">Next, another subsidiary </w:t>
      </w:r>
      <w:proofErr w:type="spellStart"/>
      <w:r>
        <w:t>logit</w:t>
      </w:r>
      <w:proofErr w:type="spellEnd"/>
      <w:r>
        <w:t xml:space="preserve"> model is included that only focuses </w:t>
      </w:r>
      <w:r w:rsidRPr="00510205">
        <w:t xml:space="preserve">on politically salient cases. </w:t>
      </w:r>
      <w:r>
        <w:t xml:space="preserve"> This salience model includes the same variables and interaction term as the primary all-inclusive model.  </w:t>
      </w:r>
      <w:r w:rsidRPr="00510205">
        <w:t>The inclusion of this model allows for an examin</w:t>
      </w:r>
      <w:r>
        <w:t>ation of how the salience of a</w:t>
      </w:r>
      <w:r w:rsidRPr="00510205">
        <w:t xml:space="preserve"> case blunts or heightens the impact of the pers</w:t>
      </w:r>
      <w:r>
        <w:t>uasion attempts of amici. I provide this model</w:t>
      </w:r>
    </w:p>
    <w:p w:rsidR="00294D28" w:rsidRPr="007F7BCD" w:rsidRDefault="00EF65E6" w:rsidP="00294D28">
      <w:pPr>
        <w:spacing w:line="480" w:lineRule="auto"/>
        <w:ind w:left="0" w:firstLine="0"/>
        <w:rPr>
          <w:b/>
          <w:szCs w:val="24"/>
        </w:rPr>
      </w:pPr>
      <w:proofErr w:type="gramStart"/>
      <w:r>
        <w:rPr>
          <w:b/>
          <w:szCs w:val="24"/>
        </w:rPr>
        <w:lastRenderedPageBreak/>
        <w:t>Table 3.3</w:t>
      </w:r>
      <w:r w:rsidR="007F7BCD" w:rsidRPr="007F7BCD">
        <w:rPr>
          <w:b/>
          <w:szCs w:val="24"/>
        </w:rPr>
        <w:t>.</w:t>
      </w:r>
      <w:proofErr w:type="gramEnd"/>
      <w:r w:rsidR="007F7BCD" w:rsidRPr="007F7BCD">
        <w:rPr>
          <w:b/>
          <w:szCs w:val="24"/>
        </w:rPr>
        <w:t xml:space="preserve"> Ranking of Justices According to Their Martin-Quinn Mean Ideology Scores, 2007-</w:t>
      </w:r>
      <w:r w:rsidR="0082221A">
        <w:rPr>
          <w:b/>
          <w:szCs w:val="24"/>
        </w:rPr>
        <w:t>2011 Terms</w:t>
      </w:r>
    </w:p>
    <w:tbl>
      <w:tblPr>
        <w:tblW w:w="0" w:type="auto"/>
        <w:jc w:val="center"/>
        <w:tblInd w:w="93" w:type="dxa"/>
        <w:tblBorders>
          <w:top w:val="single" w:sz="18" w:space="0" w:color="auto"/>
          <w:bottom w:val="single" w:sz="18" w:space="0" w:color="auto"/>
        </w:tblBorders>
        <w:tblLook w:val="04A0" w:firstRow="1" w:lastRow="0" w:firstColumn="1" w:lastColumn="0" w:noHBand="0" w:noVBand="1"/>
      </w:tblPr>
      <w:tblGrid>
        <w:gridCol w:w="681"/>
        <w:gridCol w:w="1934"/>
        <w:gridCol w:w="1964"/>
      </w:tblGrid>
      <w:tr w:rsidR="007F7BCD" w:rsidRPr="007F7BCD" w:rsidTr="007F7BCD">
        <w:trPr>
          <w:trHeight w:val="576"/>
          <w:jc w:val="center"/>
        </w:trPr>
        <w:tc>
          <w:tcPr>
            <w:tcW w:w="0" w:type="auto"/>
            <w:tcBorders>
              <w:top w:val="single" w:sz="18" w:space="0" w:color="auto"/>
              <w:bottom w:val="single" w:sz="18" w:space="0" w:color="auto"/>
            </w:tcBorders>
            <w:vAlign w:val="center"/>
          </w:tcPr>
          <w:p w:rsidR="007F7BCD" w:rsidRPr="007F7BCD" w:rsidRDefault="007F7BCD" w:rsidP="007F7BCD">
            <w:pPr>
              <w:ind w:left="0" w:firstLine="0"/>
              <w:rPr>
                <w:rFonts w:eastAsia="Batang" w:cs="Times New Roman"/>
                <w:bCs/>
                <w:color w:val="000000"/>
                <w:sz w:val="22"/>
              </w:rPr>
            </w:pPr>
            <w:r w:rsidRPr="007F7BCD">
              <w:rPr>
                <w:rFonts w:eastAsia="Batang" w:cs="Times New Roman"/>
                <w:bCs/>
                <w:color w:val="000000"/>
                <w:sz w:val="22"/>
              </w:rPr>
              <w:t>Rank</w:t>
            </w:r>
          </w:p>
        </w:tc>
        <w:tc>
          <w:tcPr>
            <w:tcW w:w="0" w:type="auto"/>
            <w:tcBorders>
              <w:top w:val="single" w:sz="18" w:space="0" w:color="auto"/>
              <w:bottom w:val="single" w:sz="18" w:space="0" w:color="auto"/>
            </w:tcBorders>
            <w:shd w:val="clear" w:color="auto" w:fill="auto"/>
            <w:noWrap/>
            <w:vAlign w:val="center"/>
            <w:hideMark/>
          </w:tcPr>
          <w:p w:rsidR="007F7BCD" w:rsidRPr="007F7BCD" w:rsidRDefault="007F7BCD" w:rsidP="007F7BCD">
            <w:pPr>
              <w:ind w:left="0" w:firstLine="0"/>
              <w:rPr>
                <w:rFonts w:eastAsia="Batang" w:cs="Times New Roman"/>
                <w:bCs/>
                <w:color w:val="000000"/>
                <w:sz w:val="22"/>
              </w:rPr>
            </w:pPr>
            <w:r w:rsidRPr="007F7BCD">
              <w:rPr>
                <w:rFonts w:eastAsia="Batang" w:cs="Times New Roman"/>
                <w:bCs/>
                <w:color w:val="000000"/>
                <w:sz w:val="22"/>
              </w:rPr>
              <w:t>Justice Name</w:t>
            </w:r>
          </w:p>
        </w:tc>
        <w:tc>
          <w:tcPr>
            <w:tcW w:w="0" w:type="auto"/>
            <w:tcBorders>
              <w:top w:val="single" w:sz="18" w:space="0" w:color="auto"/>
              <w:bottom w:val="single" w:sz="18" w:space="0" w:color="auto"/>
            </w:tcBorders>
            <w:shd w:val="clear" w:color="auto" w:fill="auto"/>
            <w:noWrap/>
            <w:vAlign w:val="center"/>
            <w:hideMark/>
          </w:tcPr>
          <w:p w:rsidR="007F7BCD" w:rsidRPr="007F7BCD" w:rsidRDefault="007F7BCD" w:rsidP="007F7BCD">
            <w:pPr>
              <w:ind w:left="0" w:firstLine="0"/>
              <w:jc w:val="center"/>
              <w:rPr>
                <w:rFonts w:eastAsia="Batang" w:cs="Times New Roman"/>
                <w:bCs/>
                <w:color w:val="000000"/>
                <w:sz w:val="22"/>
              </w:rPr>
            </w:pPr>
            <w:r w:rsidRPr="007F7BCD">
              <w:rPr>
                <w:rFonts w:eastAsia="Batang" w:cs="Times New Roman"/>
                <w:bCs/>
                <w:color w:val="000000"/>
                <w:sz w:val="22"/>
              </w:rPr>
              <w:t>MQ Ideology Mean</w:t>
            </w:r>
          </w:p>
        </w:tc>
      </w:tr>
      <w:tr w:rsidR="007F7BCD" w:rsidRPr="007F7BCD" w:rsidTr="007F7BCD">
        <w:trPr>
          <w:trHeight w:val="576"/>
          <w:jc w:val="center"/>
        </w:trPr>
        <w:tc>
          <w:tcPr>
            <w:tcW w:w="0" w:type="auto"/>
            <w:tcBorders>
              <w:top w:val="single" w:sz="18" w:space="0" w:color="auto"/>
            </w:tcBorders>
            <w:vAlign w:val="center"/>
          </w:tcPr>
          <w:p w:rsidR="007F7BCD" w:rsidRPr="007F7BCD" w:rsidRDefault="007F7BCD" w:rsidP="007F7BCD">
            <w:pPr>
              <w:ind w:left="0" w:firstLine="0"/>
              <w:rPr>
                <w:rFonts w:eastAsia="Batang" w:cs="Times New Roman"/>
                <w:color w:val="000000"/>
                <w:sz w:val="22"/>
              </w:rPr>
            </w:pPr>
            <w:r w:rsidRPr="007F7BCD">
              <w:rPr>
                <w:rFonts w:eastAsia="Batang" w:cs="Times New Roman"/>
                <w:color w:val="000000"/>
                <w:sz w:val="22"/>
              </w:rPr>
              <w:t>1</w:t>
            </w:r>
          </w:p>
        </w:tc>
        <w:tc>
          <w:tcPr>
            <w:tcW w:w="0" w:type="auto"/>
            <w:tcBorders>
              <w:top w:val="single" w:sz="18" w:space="0" w:color="auto"/>
            </w:tcBorders>
            <w:shd w:val="clear" w:color="auto" w:fill="auto"/>
            <w:noWrap/>
            <w:vAlign w:val="center"/>
            <w:hideMark/>
          </w:tcPr>
          <w:p w:rsidR="007F7BCD" w:rsidRPr="007F7BCD" w:rsidRDefault="007F7BCD" w:rsidP="007F7BCD">
            <w:pPr>
              <w:ind w:left="0" w:firstLine="0"/>
              <w:rPr>
                <w:rFonts w:eastAsia="Batang" w:cs="Times New Roman"/>
                <w:b/>
                <w:color w:val="000000"/>
                <w:sz w:val="22"/>
              </w:rPr>
            </w:pPr>
            <w:r w:rsidRPr="007F7BCD">
              <w:rPr>
                <w:rFonts w:eastAsia="Batang" w:cs="Times New Roman"/>
                <w:b/>
                <w:color w:val="000000"/>
                <w:sz w:val="22"/>
              </w:rPr>
              <w:t>Clarence Thomas</w:t>
            </w:r>
          </w:p>
        </w:tc>
        <w:tc>
          <w:tcPr>
            <w:tcW w:w="0" w:type="auto"/>
            <w:tcBorders>
              <w:top w:val="single" w:sz="18" w:space="0" w:color="auto"/>
            </w:tcBorders>
            <w:shd w:val="clear" w:color="auto" w:fill="auto"/>
            <w:noWrap/>
            <w:vAlign w:val="center"/>
            <w:hideMark/>
          </w:tcPr>
          <w:p w:rsidR="007F7BCD" w:rsidRPr="007F7BCD" w:rsidRDefault="007F7BCD" w:rsidP="007F7BCD">
            <w:pPr>
              <w:ind w:left="0" w:firstLine="0"/>
              <w:jc w:val="center"/>
              <w:rPr>
                <w:rFonts w:eastAsia="Batang" w:cs="Times New Roman"/>
                <w:color w:val="000000"/>
                <w:sz w:val="22"/>
              </w:rPr>
            </w:pPr>
            <w:r w:rsidRPr="007F7BCD">
              <w:rPr>
                <w:rFonts w:eastAsia="Batang" w:cs="Times New Roman"/>
                <w:color w:val="000000"/>
                <w:sz w:val="22"/>
              </w:rPr>
              <w:t>4.53</w:t>
            </w:r>
          </w:p>
        </w:tc>
      </w:tr>
      <w:tr w:rsidR="007F7BCD" w:rsidRPr="007F7BCD" w:rsidTr="007F7BCD">
        <w:trPr>
          <w:trHeight w:val="576"/>
          <w:jc w:val="center"/>
        </w:trPr>
        <w:tc>
          <w:tcPr>
            <w:tcW w:w="0" w:type="auto"/>
            <w:vAlign w:val="center"/>
          </w:tcPr>
          <w:p w:rsidR="007F7BCD" w:rsidRPr="007F7BCD" w:rsidRDefault="007F7BCD" w:rsidP="007F7BCD">
            <w:pPr>
              <w:ind w:left="0" w:firstLine="0"/>
              <w:rPr>
                <w:rFonts w:eastAsia="Batang" w:cs="Times New Roman"/>
                <w:color w:val="000000"/>
                <w:sz w:val="22"/>
              </w:rPr>
            </w:pPr>
            <w:r w:rsidRPr="007F7BCD">
              <w:rPr>
                <w:rFonts w:eastAsia="Batang" w:cs="Times New Roman"/>
                <w:color w:val="000000"/>
                <w:sz w:val="22"/>
              </w:rPr>
              <w:t>2</w:t>
            </w:r>
          </w:p>
        </w:tc>
        <w:tc>
          <w:tcPr>
            <w:tcW w:w="0" w:type="auto"/>
            <w:shd w:val="clear" w:color="auto" w:fill="auto"/>
            <w:noWrap/>
            <w:vAlign w:val="center"/>
            <w:hideMark/>
          </w:tcPr>
          <w:p w:rsidR="007F7BCD" w:rsidRPr="007F7BCD" w:rsidRDefault="007F7BCD" w:rsidP="007F7BCD">
            <w:pPr>
              <w:ind w:left="0" w:firstLine="0"/>
              <w:rPr>
                <w:rFonts w:eastAsia="Batang" w:cs="Times New Roman"/>
                <w:b/>
                <w:color w:val="000000"/>
                <w:sz w:val="22"/>
              </w:rPr>
            </w:pPr>
            <w:r w:rsidRPr="007F7BCD">
              <w:rPr>
                <w:rFonts w:eastAsia="Batang" w:cs="Times New Roman"/>
                <w:b/>
                <w:color w:val="000000"/>
                <w:sz w:val="22"/>
              </w:rPr>
              <w:t>Antonin Scalia</w:t>
            </w:r>
          </w:p>
        </w:tc>
        <w:tc>
          <w:tcPr>
            <w:tcW w:w="0" w:type="auto"/>
            <w:shd w:val="clear" w:color="auto" w:fill="auto"/>
            <w:noWrap/>
            <w:vAlign w:val="center"/>
            <w:hideMark/>
          </w:tcPr>
          <w:p w:rsidR="007F7BCD" w:rsidRPr="007F7BCD" w:rsidRDefault="007F7BCD" w:rsidP="007F7BCD">
            <w:pPr>
              <w:ind w:left="0" w:firstLine="0"/>
              <w:jc w:val="center"/>
              <w:rPr>
                <w:rFonts w:eastAsia="Batang" w:cs="Times New Roman"/>
                <w:color w:val="000000"/>
                <w:sz w:val="22"/>
              </w:rPr>
            </w:pPr>
            <w:r w:rsidRPr="007F7BCD">
              <w:rPr>
                <w:rFonts w:eastAsia="Batang" w:cs="Times New Roman"/>
                <w:color w:val="000000"/>
                <w:sz w:val="22"/>
              </w:rPr>
              <w:t>3.49</w:t>
            </w:r>
          </w:p>
        </w:tc>
      </w:tr>
      <w:tr w:rsidR="007F7BCD" w:rsidRPr="007F7BCD" w:rsidTr="007F7BCD">
        <w:trPr>
          <w:trHeight w:val="576"/>
          <w:jc w:val="center"/>
        </w:trPr>
        <w:tc>
          <w:tcPr>
            <w:tcW w:w="0" w:type="auto"/>
            <w:vAlign w:val="center"/>
          </w:tcPr>
          <w:p w:rsidR="007F7BCD" w:rsidRPr="007F7BCD" w:rsidRDefault="007F7BCD" w:rsidP="007F7BCD">
            <w:pPr>
              <w:ind w:left="0" w:firstLine="0"/>
              <w:rPr>
                <w:rFonts w:eastAsia="Batang" w:cs="Times New Roman"/>
                <w:color w:val="000000"/>
                <w:sz w:val="22"/>
              </w:rPr>
            </w:pPr>
            <w:r w:rsidRPr="007F7BCD">
              <w:rPr>
                <w:rFonts w:eastAsia="Batang" w:cs="Times New Roman"/>
                <w:color w:val="000000"/>
                <w:sz w:val="22"/>
              </w:rPr>
              <w:t>3</w:t>
            </w:r>
          </w:p>
        </w:tc>
        <w:tc>
          <w:tcPr>
            <w:tcW w:w="0" w:type="auto"/>
            <w:shd w:val="clear" w:color="auto" w:fill="auto"/>
            <w:noWrap/>
            <w:vAlign w:val="center"/>
            <w:hideMark/>
          </w:tcPr>
          <w:p w:rsidR="007F7BCD" w:rsidRPr="007F7BCD" w:rsidRDefault="007F7BCD" w:rsidP="007F7BCD">
            <w:pPr>
              <w:ind w:left="0" w:firstLine="0"/>
              <w:rPr>
                <w:rFonts w:eastAsia="Batang" w:cs="Times New Roman"/>
                <w:b/>
                <w:color w:val="000000"/>
                <w:sz w:val="22"/>
              </w:rPr>
            </w:pPr>
            <w:r w:rsidRPr="007F7BCD">
              <w:rPr>
                <w:rFonts w:eastAsia="Batang" w:cs="Times New Roman"/>
                <w:b/>
                <w:color w:val="000000"/>
                <w:sz w:val="22"/>
              </w:rPr>
              <w:t>Samuel Alito</w:t>
            </w:r>
          </w:p>
        </w:tc>
        <w:tc>
          <w:tcPr>
            <w:tcW w:w="0" w:type="auto"/>
            <w:shd w:val="clear" w:color="auto" w:fill="auto"/>
            <w:noWrap/>
            <w:vAlign w:val="center"/>
            <w:hideMark/>
          </w:tcPr>
          <w:p w:rsidR="007F7BCD" w:rsidRPr="007F7BCD" w:rsidRDefault="007F7BCD" w:rsidP="007F7BCD">
            <w:pPr>
              <w:ind w:left="0" w:firstLine="0"/>
              <w:jc w:val="center"/>
              <w:rPr>
                <w:rFonts w:eastAsia="Batang" w:cs="Times New Roman"/>
                <w:color w:val="000000"/>
                <w:sz w:val="22"/>
              </w:rPr>
            </w:pPr>
            <w:r w:rsidRPr="007F7BCD">
              <w:rPr>
                <w:rFonts w:eastAsia="Batang" w:cs="Times New Roman"/>
                <w:color w:val="000000"/>
                <w:sz w:val="22"/>
              </w:rPr>
              <w:t>2.57</w:t>
            </w:r>
          </w:p>
        </w:tc>
      </w:tr>
      <w:tr w:rsidR="007F7BCD" w:rsidRPr="007F7BCD" w:rsidTr="007F7BCD">
        <w:trPr>
          <w:trHeight w:val="576"/>
          <w:jc w:val="center"/>
        </w:trPr>
        <w:tc>
          <w:tcPr>
            <w:tcW w:w="0" w:type="auto"/>
            <w:vAlign w:val="center"/>
          </w:tcPr>
          <w:p w:rsidR="007F7BCD" w:rsidRPr="007F7BCD" w:rsidRDefault="007F7BCD" w:rsidP="007F7BCD">
            <w:pPr>
              <w:ind w:left="0" w:firstLine="0"/>
              <w:rPr>
                <w:rFonts w:eastAsia="Batang" w:cs="Times New Roman"/>
                <w:color w:val="000000"/>
                <w:sz w:val="22"/>
              </w:rPr>
            </w:pPr>
            <w:r w:rsidRPr="007F7BCD">
              <w:rPr>
                <w:rFonts w:eastAsia="Batang" w:cs="Times New Roman"/>
                <w:color w:val="000000"/>
                <w:sz w:val="22"/>
              </w:rPr>
              <w:t>4</w:t>
            </w:r>
          </w:p>
        </w:tc>
        <w:tc>
          <w:tcPr>
            <w:tcW w:w="0" w:type="auto"/>
            <w:shd w:val="clear" w:color="auto" w:fill="auto"/>
            <w:noWrap/>
            <w:vAlign w:val="center"/>
            <w:hideMark/>
          </w:tcPr>
          <w:p w:rsidR="007F7BCD" w:rsidRPr="007F7BCD" w:rsidRDefault="007F7BCD" w:rsidP="007F7BCD">
            <w:pPr>
              <w:ind w:left="0" w:firstLine="0"/>
              <w:rPr>
                <w:rFonts w:eastAsia="Batang" w:cs="Times New Roman"/>
                <w:b/>
                <w:color w:val="000000"/>
                <w:sz w:val="22"/>
              </w:rPr>
            </w:pPr>
            <w:r w:rsidRPr="007F7BCD">
              <w:rPr>
                <w:rFonts w:eastAsia="Batang" w:cs="Times New Roman"/>
                <w:b/>
                <w:color w:val="000000"/>
                <w:sz w:val="22"/>
              </w:rPr>
              <w:t>John Roberts</w:t>
            </w:r>
          </w:p>
        </w:tc>
        <w:tc>
          <w:tcPr>
            <w:tcW w:w="0" w:type="auto"/>
            <w:shd w:val="clear" w:color="auto" w:fill="auto"/>
            <w:noWrap/>
            <w:vAlign w:val="center"/>
            <w:hideMark/>
          </w:tcPr>
          <w:p w:rsidR="007F7BCD" w:rsidRPr="007F7BCD" w:rsidRDefault="007F7BCD" w:rsidP="007F7BCD">
            <w:pPr>
              <w:ind w:left="0" w:firstLine="0"/>
              <w:jc w:val="center"/>
              <w:rPr>
                <w:rFonts w:eastAsia="Batang" w:cs="Times New Roman"/>
                <w:color w:val="000000"/>
                <w:sz w:val="22"/>
              </w:rPr>
            </w:pPr>
            <w:r w:rsidRPr="007F7BCD">
              <w:rPr>
                <w:rFonts w:eastAsia="Batang" w:cs="Times New Roman"/>
                <w:color w:val="000000"/>
                <w:sz w:val="22"/>
              </w:rPr>
              <w:t>2.29</w:t>
            </w:r>
          </w:p>
        </w:tc>
      </w:tr>
      <w:tr w:rsidR="007F7BCD" w:rsidRPr="007F7BCD" w:rsidTr="007F7BCD">
        <w:trPr>
          <w:trHeight w:val="576"/>
          <w:jc w:val="center"/>
        </w:trPr>
        <w:tc>
          <w:tcPr>
            <w:tcW w:w="0" w:type="auto"/>
            <w:vAlign w:val="center"/>
          </w:tcPr>
          <w:p w:rsidR="007F7BCD" w:rsidRPr="007F7BCD" w:rsidRDefault="007F7BCD" w:rsidP="007F7BCD">
            <w:pPr>
              <w:ind w:left="0" w:firstLine="0"/>
              <w:rPr>
                <w:rFonts w:eastAsia="Batang" w:cs="Times New Roman"/>
                <w:color w:val="000000"/>
                <w:sz w:val="22"/>
              </w:rPr>
            </w:pPr>
            <w:r w:rsidRPr="007F7BCD">
              <w:rPr>
                <w:rFonts w:eastAsia="Batang" w:cs="Times New Roman"/>
                <w:color w:val="000000"/>
                <w:sz w:val="22"/>
              </w:rPr>
              <w:t>5</w:t>
            </w:r>
          </w:p>
        </w:tc>
        <w:tc>
          <w:tcPr>
            <w:tcW w:w="0" w:type="auto"/>
            <w:shd w:val="clear" w:color="auto" w:fill="auto"/>
            <w:noWrap/>
            <w:vAlign w:val="center"/>
            <w:hideMark/>
          </w:tcPr>
          <w:p w:rsidR="007F7BCD" w:rsidRPr="007F7BCD" w:rsidRDefault="007F7BCD" w:rsidP="007F7BCD">
            <w:pPr>
              <w:ind w:left="0" w:firstLine="0"/>
              <w:rPr>
                <w:rFonts w:eastAsia="Batang" w:cs="Times New Roman"/>
                <w:b/>
                <w:color w:val="000000"/>
                <w:sz w:val="22"/>
              </w:rPr>
            </w:pPr>
            <w:r w:rsidRPr="007F7BCD">
              <w:rPr>
                <w:rFonts w:eastAsia="Batang" w:cs="Times New Roman"/>
                <w:b/>
                <w:color w:val="000000"/>
                <w:sz w:val="22"/>
              </w:rPr>
              <w:t>Anthony Kennedy</w:t>
            </w:r>
          </w:p>
        </w:tc>
        <w:tc>
          <w:tcPr>
            <w:tcW w:w="0" w:type="auto"/>
            <w:shd w:val="clear" w:color="auto" w:fill="auto"/>
            <w:noWrap/>
            <w:vAlign w:val="center"/>
            <w:hideMark/>
          </w:tcPr>
          <w:p w:rsidR="007F7BCD" w:rsidRPr="007F7BCD" w:rsidRDefault="007F7BCD" w:rsidP="007F7BCD">
            <w:pPr>
              <w:ind w:left="0" w:firstLine="0"/>
              <w:jc w:val="center"/>
              <w:rPr>
                <w:rFonts w:eastAsia="Batang" w:cs="Times New Roman"/>
                <w:color w:val="000000"/>
                <w:sz w:val="22"/>
              </w:rPr>
            </w:pPr>
            <w:r w:rsidRPr="007F7BCD">
              <w:rPr>
                <w:rFonts w:eastAsia="Batang" w:cs="Times New Roman"/>
                <w:color w:val="000000"/>
                <w:sz w:val="22"/>
              </w:rPr>
              <w:t>1.16</w:t>
            </w:r>
          </w:p>
        </w:tc>
      </w:tr>
      <w:tr w:rsidR="007F7BCD" w:rsidRPr="007F7BCD" w:rsidTr="007F7BCD">
        <w:trPr>
          <w:trHeight w:val="576"/>
          <w:jc w:val="center"/>
        </w:trPr>
        <w:tc>
          <w:tcPr>
            <w:tcW w:w="0" w:type="auto"/>
            <w:vAlign w:val="center"/>
          </w:tcPr>
          <w:p w:rsidR="007F7BCD" w:rsidRPr="007F7BCD" w:rsidRDefault="007F7BCD" w:rsidP="007F7BCD">
            <w:pPr>
              <w:ind w:left="0" w:firstLine="0"/>
              <w:rPr>
                <w:rFonts w:eastAsia="Batang" w:cs="Times New Roman"/>
                <w:color w:val="000000"/>
                <w:sz w:val="22"/>
              </w:rPr>
            </w:pPr>
            <w:r w:rsidRPr="007F7BCD">
              <w:rPr>
                <w:rFonts w:eastAsia="Batang" w:cs="Times New Roman"/>
                <w:color w:val="000000"/>
                <w:sz w:val="22"/>
              </w:rPr>
              <w:t>6</w:t>
            </w:r>
          </w:p>
        </w:tc>
        <w:tc>
          <w:tcPr>
            <w:tcW w:w="0" w:type="auto"/>
            <w:shd w:val="clear" w:color="auto" w:fill="auto"/>
            <w:noWrap/>
            <w:vAlign w:val="center"/>
            <w:hideMark/>
          </w:tcPr>
          <w:p w:rsidR="007F7BCD" w:rsidRPr="007F7BCD" w:rsidRDefault="007F7BCD" w:rsidP="007F7BCD">
            <w:pPr>
              <w:ind w:left="0" w:firstLine="0"/>
              <w:rPr>
                <w:rFonts w:eastAsia="Batang" w:cs="Times New Roman"/>
                <w:b/>
                <w:color w:val="000000"/>
                <w:sz w:val="22"/>
              </w:rPr>
            </w:pPr>
            <w:r w:rsidRPr="007F7BCD">
              <w:rPr>
                <w:rFonts w:eastAsia="Batang" w:cs="Times New Roman"/>
                <w:b/>
                <w:color w:val="000000"/>
                <w:sz w:val="22"/>
              </w:rPr>
              <w:t>Elena Kagan</w:t>
            </w:r>
          </w:p>
        </w:tc>
        <w:tc>
          <w:tcPr>
            <w:tcW w:w="0" w:type="auto"/>
            <w:shd w:val="clear" w:color="auto" w:fill="auto"/>
            <w:noWrap/>
            <w:vAlign w:val="center"/>
            <w:hideMark/>
          </w:tcPr>
          <w:p w:rsidR="007F7BCD" w:rsidRPr="007F7BCD" w:rsidRDefault="007F7BCD" w:rsidP="007F7BCD">
            <w:pPr>
              <w:ind w:left="0" w:firstLine="0"/>
              <w:jc w:val="center"/>
              <w:rPr>
                <w:rFonts w:eastAsia="Batang" w:cs="Times New Roman"/>
                <w:color w:val="000000"/>
                <w:sz w:val="22"/>
              </w:rPr>
            </w:pPr>
            <w:r w:rsidRPr="007F7BCD">
              <w:rPr>
                <w:rFonts w:eastAsia="Batang" w:cs="Times New Roman"/>
                <w:color w:val="000000"/>
                <w:sz w:val="22"/>
              </w:rPr>
              <w:t>0.31</w:t>
            </w:r>
          </w:p>
        </w:tc>
      </w:tr>
      <w:tr w:rsidR="007F7BCD" w:rsidRPr="007F7BCD" w:rsidTr="007F7BCD">
        <w:trPr>
          <w:trHeight w:val="576"/>
          <w:jc w:val="center"/>
        </w:trPr>
        <w:tc>
          <w:tcPr>
            <w:tcW w:w="0" w:type="auto"/>
            <w:vAlign w:val="center"/>
          </w:tcPr>
          <w:p w:rsidR="007F7BCD" w:rsidRPr="007F7BCD" w:rsidRDefault="007F7BCD" w:rsidP="007F7BCD">
            <w:pPr>
              <w:ind w:left="0" w:firstLine="0"/>
              <w:rPr>
                <w:rFonts w:eastAsia="Batang" w:cs="Times New Roman"/>
                <w:color w:val="000000"/>
                <w:sz w:val="22"/>
              </w:rPr>
            </w:pPr>
            <w:r w:rsidRPr="007F7BCD">
              <w:rPr>
                <w:rFonts w:eastAsia="Batang" w:cs="Times New Roman"/>
                <w:color w:val="000000"/>
                <w:sz w:val="22"/>
              </w:rPr>
              <w:t>7</w:t>
            </w:r>
          </w:p>
        </w:tc>
        <w:tc>
          <w:tcPr>
            <w:tcW w:w="0" w:type="auto"/>
            <w:shd w:val="clear" w:color="auto" w:fill="auto"/>
            <w:noWrap/>
            <w:vAlign w:val="center"/>
            <w:hideMark/>
          </w:tcPr>
          <w:p w:rsidR="007F7BCD" w:rsidRPr="007F7BCD" w:rsidRDefault="007F7BCD" w:rsidP="007F7BCD">
            <w:pPr>
              <w:ind w:left="0" w:firstLine="0"/>
              <w:rPr>
                <w:rFonts w:eastAsia="Batang" w:cs="Times New Roman"/>
                <w:b/>
                <w:color w:val="000000"/>
                <w:sz w:val="22"/>
              </w:rPr>
            </w:pPr>
            <w:r w:rsidRPr="007F7BCD">
              <w:rPr>
                <w:rFonts w:eastAsia="Batang" w:cs="Times New Roman"/>
                <w:b/>
                <w:color w:val="000000"/>
                <w:sz w:val="22"/>
              </w:rPr>
              <w:t>S. Sotomayor</w:t>
            </w:r>
          </w:p>
        </w:tc>
        <w:tc>
          <w:tcPr>
            <w:tcW w:w="0" w:type="auto"/>
            <w:shd w:val="clear" w:color="auto" w:fill="auto"/>
            <w:noWrap/>
            <w:vAlign w:val="center"/>
            <w:hideMark/>
          </w:tcPr>
          <w:p w:rsidR="007F7BCD" w:rsidRPr="007F7BCD" w:rsidRDefault="007F7BCD" w:rsidP="007F7BCD">
            <w:pPr>
              <w:ind w:left="0" w:firstLine="0"/>
              <w:jc w:val="center"/>
              <w:rPr>
                <w:rFonts w:eastAsia="Batang" w:cs="Times New Roman"/>
                <w:color w:val="000000"/>
                <w:sz w:val="22"/>
              </w:rPr>
            </w:pPr>
            <w:r w:rsidRPr="007F7BCD">
              <w:rPr>
                <w:rFonts w:eastAsia="Batang" w:cs="Times New Roman"/>
                <w:color w:val="000000"/>
                <w:sz w:val="22"/>
              </w:rPr>
              <w:t>0.17</w:t>
            </w:r>
          </w:p>
        </w:tc>
      </w:tr>
      <w:tr w:rsidR="007F7BCD" w:rsidRPr="007F7BCD" w:rsidTr="007F7BCD">
        <w:trPr>
          <w:trHeight w:val="576"/>
          <w:jc w:val="center"/>
        </w:trPr>
        <w:tc>
          <w:tcPr>
            <w:tcW w:w="0" w:type="auto"/>
            <w:vAlign w:val="center"/>
          </w:tcPr>
          <w:p w:rsidR="007F7BCD" w:rsidRPr="007F7BCD" w:rsidRDefault="007F7BCD" w:rsidP="007F7BCD">
            <w:pPr>
              <w:ind w:left="0" w:firstLine="0"/>
              <w:rPr>
                <w:rFonts w:eastAsia="Batang" w:cs="Times New Roman"/>
                <w:color w:val="000000"/>
                <w:sz w:val="22"/>
              </w:rPr>
            </w:pPr>
            <w:r w:rsidRPr="007F7BCD">
              <w:rPr>
                <w:rFonts w:eastAsia="Batang" w:cs="Times New Roman"/>
                <w:color w:val="000000"/>
                <w:sz w:val="22"/>
              </w:rPr>
              <w:t>8</w:t>
            </w:r>
          </w:p>
        </w:tc>
        <w:tc>
          <w:tcPr>
            <w:tcW w:w="0" w:type="auto"/>
            <w:shd w:val="clear" w:color="auto" w:fill="auto"/>
            <w:noWrap/>
            <w:vAlign w:val="center"/>
            <w:hideMark/>
          </w:tcPr>
          <w:p w:rsidR="007F7BCD" w:rsidRPr="007F7BCD" w:rsidRDefault="007F7BCD" w:rsidP="007F7BCD">
            <w:pPr>
              <w:ind w:left="0" w:firstLine="0"/>
              <w:rPr>
                <w:rFonts w:eastAsia="Batang" w:cs="Times New Roman"/>
                <w:b/>
                <w:color w:val="000000"/>
                <w:sz w:val="22"/>
              </w:rPr>
            </w:pPr>
            <w:r w:rsidRPr="007F7BCD">
              <w:rPr>
                <w:rFonts w:eastAsia="Batang" w:cs="Times New Roman"/>
                <w:b/>
                <w:color w:val="000000"/>
                <w:sz w:val="22"/>
              </w:rPr>
              <w:t>Stephen Breyer</w:t>
            </w:r>
          </w:p>
        </w:tc>
        <w:tc>
          <w:tcPr>
            <w:tcW w:w="0" w:type="auto"/>
            <w:shd w:val="clear" w:color="auto" w:fill="auto"/>
            <w:noWrap/>
            <w:vAlign w:val="center"/>
            <w:hideMark/>
          </w:tcPr>
          <w:p w:rsidR="007F7BCD" w:rsidRPr="007F7BCD" w:rsidRDefault="007F7BCD" w:rsidP="007F7BCD">
            <w:pPr>
              <w:ind w:left="0" w:firstLine="0"/>
              <w:jc w:val="center"/>
              <w:rPr>
                <w:rFonts w:eastAsia="Batang" w:cs="Times New Roman"/>
                <w:color w:val="000000"/>
                <w:sz w:val="22"/>
              </w:rPr>
            </w:pPr>
            <w:r w:rsidRPr="007F7BCD">
              <w:rPr>
                <w:rFonts w:eastAsia="Batang" w:cs="Times New Roman"/>
                <w:color w:val="000000"/>
                <w:sz w:val="22"/>
              </w:rPr>
              <w:t>-0.2</w:t>
            </w:r>
          </w:p>
        </w:tc>
      </w:tr>
      <w:tr w:rsidR="007F7BCD" w:rsidRPr="007F7BCD" w:rsidTr="007F7BCD">
        <w:trPr>
          <w:trHeight w:val="576"/>
          <w:jc w:val="center"/>
        </w:trPr>
        <w:tc>
          <w:tcPr>
            <w:tcW w:w="0" w:type="auto"/>
            <w:vAlign w:val="center"/>
          </w:tcPr>
          <w:p w:rsidR="007F7BCD" w:rsidRPr="007F7BCD" w:rsidRDefault="007F7BCD" w:rsidP="007F7BCD">
            <w:pPr>
              <w:ind w:left="0" w:firstLine="0"/>
              <w:rPr>
                <w:rFonts w:eastAsia="Batang" w:cs="Times New Roman"/>
                <w:color w:val="000000"/>
                <w:sz w:val="22"/>
              </w:rPr>
            </w:pPr>
            <w:r w:rsidRPr="007F7BCD">
              <w:rPr>
                <w:rFonts w:eastAsia="Batang" w:cs="Times New Roman"/>
                <w:color w:val="000000"/>
                <w:sz w:val="22"/>
              </w:rPr>
              <w:t>9</w:t>
            </w:r>
          </w:p>
        </w:tc>
        <w:tc>
          <w:tcPr>
            <w:tcW w:w="0" w:type="auto"/>
            <w:shd w:val="clear" w:color="auto" w:fill="auto"/>
            <w:noWrap/>
            <w:vAlign w:val="center"/>
            <w:hideMark/>
          </w:tcPr>
          <w:p w:rsidR="007F7BCD" w:rsidRPr="007F7BCD" w:rsidRDefault="007F7BCD" w:rsidP="007F7BCD">
            <w:pPr>
              <w:ind w:left="0" w:firstLine="0"/>
              <w:rPr>
                <w:rFonts w:eastAsia="Batang" w:cs="Times New Roman"/>
                <w:b/>
                <w:color w:val="000000"/>
                <w:sz w:val="22"/>
              </w:rPr>
            </w:pPr>
            <w:r w:rsidRPr="007F7BCD">
              <w:rPr>
                <w:rFonts w:eastAsia="Batang" w:cs="Times New Roman"/>
                <w:b/>
                <w:color w:val="000000"/>
                <w:sz w:val="22"/>
              </w:rPr>
              <w:t>R.B. Ginsburg</w:t>
            </w:r>
          </w:p>
        </w:tc>
        <w:tc>
          <w:tcPr>
            <w:tcW w:w="0" w:type="auto"/>
            <w:shd w:val="clear" w:color="auto" w:fill="auto"/>
            <w:noWrap/>
            <w:vAlign w:val="center"/>
            <w:hideMark/>
          </w:tcPr>
          <w:p w:rsidR="007F7BCD" w:rsidRPr="007F7BCD" w:rsidRDefault="007F7BCD" w:rsidP="007F7BCD">
            <w:pPr>
              <w:ind w:left="0" w:firstLine="0"/>
              <w:jc w:val="center"/>
              <w:rPr>
                <w:rFonts w:eastAsia="Batang" w:cs="Times New Roman"/>
                <w:color w:val="000000"/>
                <w:sz w:val="22"/>
              </w:rPr>
            </w:pPr>
            <w:r w:rsidRPr="007F7BCD">
              <w:rPr>
                <w:rFonts w:eastAsia="Batang" w:cs="Times New Roman"/>
                <w:color w:val="000000"/>
                <w:sz w:val="22"/>
              </w:rPr>
              <w:t>-0.35</w:t>
            </w:r>
          </w:p>
        </w:tc>
      </w:tr>
      <w:tr w:rsidR="007F7BCD" w:rsidRPr="007F7BCD" w:rsidTr="007F7BCD">
        <w:trPr>
          <w:trHeight w:val="576"/>
          <w:jc w:val="center"/>
        </w:trPr>
        <w:tc>
          <w:tcPr>
            <w:tcW w:w="0" w:type="auto"/>
            <w:vAlign w:val="center"/>
          </w:tcPr>
          <w:p w:rsidR="007F7BCD" w:rsidRPr="007F7BCD" w:rsidRDefault="007F7BCD" w:rsidP="007F7BCD">
            <w:pPr>
              <w:ind w:left="0" w:firstLine="0"/>
              <w:rPr>
                <w:rFonts w:eastAsia="Batang" w:cs="Times New Roman"/>
                <w:color w:val="000000"/>
                <w:sz w:val="22"/>
              </w:rPr>
            </w:pPr>
            <w:r w:rsidRPr="007F7BCD">
              <w:rPr>
                <w:rFonts w:eastAsia="Batang" w:cs="Times New Roman"/>
                <w:color w:val="000000"/>
                <w:sz w:val="22"/>
              </w:rPr>
              <w:t>10</w:t>
            </w:r>
          </w:p>
        </w:tc>
        <w:tc>
          <w:tcPr>
            <w:tcW w:w="0" w:type="auto"/>
            <w:shd w:val="clear" w:color="auto" w:fill="auto"/>
            <w:noWrap/>
            <w:vAlign w:val="center"/>
            <w:hideMark/>
          </w:tcPr>
          <w:p w:rsidR="007F7BCD" w:rsidRPr="007F7BCD" w:rsidRDefault="007F7BCD" w:rsidP="007F7BCD">
            <w:pPr>
              <w:ind w:left="0" w:firstLine="0"/>
              <w:rPr>
                <w:rFonts w:eastAsia="Batang" w:cs="Times New Roman"/>
                <w:b/>
                <w:color w:val="000000"/>
                <w:sz w:val="22"/>
              </w:rPr>
            </w:pPr>
            <w:r w:rsidRPr="007F7BCD">
              <w:rPr>
                <w:rFonts w:eastAsia="Batang" w:cs="Times New Roman"/>
                <w:b/>
                <w:color w:val="000000"/>
                <w:sz w:val="22"/>
              </w:rPr>
              <w:t>David Souter</w:t>
            </w:r>
          </w:p>
        </w:tc>
        <w:tc>
          <w:tcPr>
            <w:tcW w:w="0" w:type="auto"/>
            <w:shd w:val="clear" w:color="auto" w:fill="auto"/>
            <w:noWrap/>
            <w:vAlign w:val="center"/>
            <w:hideMark/>
          </w:tcPr>
          <w:p w:rsidR="007F7BCD" w:rsidRPr="007F7BCD" w:rsidRDefault="007F7BCD" w:rsidP="007F7BCD">
            <w:pPr>
              <w:ind w:left="0" w:firstLine="0"/>
              <w:jc w:val="center"/>
              <w:rPr>
                <w:rFonts w:eastAsia="Batang" w:cs="Times New Roman"/>
                <w:color w:val="000000"/>
                <w:sz w:val="22"/>
              </w:rPr>
            </w:pPr>
            <w:r w:rsidRPr="007F7BCD">
              <w:rPr>
                <w:rFonts w:eastAsia="Batang" w:cs="Times New Roman"/>
                <w:color w:val="000000"/>
                <w:sz w:val="22"/>
              </w:rPr>
              <w:t>-1.06</w:t>
            </w:r>
          </w:p>
        </w:tc>
      </w:tr>
      <w:tr w:rsidR="007F7BCD" w:rsidRPr="007F7BCD" w:rsidTr="007F7BCD">
        <w:trPr>
          <w:trHeight w:val="576"/>
          <w:jc w:val="center"/>
        </w:trPr>
        <w:tc>
          <w:tcPr>
            <w:tcW w:w="0" w:type="auto"/>
            <w:vAlign w:val="center"/>
          </w:tcPr>
          <w:p w:rsidR="007F7BCD" w:rsidRPr="007F7BCD" w:rsidRDefault="007F7BCD" w:rsidP="007F7BCD">
            <w:pPr>
              <w:ind w:left="0" w:firstLine="0"/>
              <w:rPr>
                <w:rFonts w:eastAsia="Batang" w:cs="Times New Roman"/>
                <w:color w:val="000000"/>
                <w:sz w:val="22"/>
              </w:rPr>
            </w:pPr>
            <w:r w:rsidRPr="007F7BCD">
              <w:rPr>
                <w:rFonts w:eastAsia="Batang" w:cs="Times New Roman"/>
                <w:color w:val="000000"/>
                <w:sz w:val="22"/>
              </w:rPr>
              <w:t>11</w:t>
            </w:r>
          </w:p>
        </w:tc>
        <w:tc>
          <w:tcPr>
            <w:tcW w:w="0" w:type="auto"/>
            <w:shd w:val="clear" w:color="auto" w:fill="auto"/>
            <w:noWrap/>
            <w:vAlign w:val="center"/>
            <w:hideMark/>
          </w:tcPr>
          <w:p w:rsidR="007F7BCD" w:rsidRPr="007F7BCD" w:rsidRDefault="007F7BCD" w:rsidP="007F7BCD">
            <w:pPr>
              <w:ind w:left="0" w:firstLine="0"/>
              <w:rPr>
                <w:rFonts w:eastAsia="Batang" w:cs="Times New Roman"/>
                <w:b/>
                <w:color w:val="000000"/>
                <w:sz w:val="22"/>
              </w:rPr>
            </w:pPr>
            <w:r w:rsidRPr="007F7BCD">
              <w:rPr>
                <w:rFonts w:eastAsia="Batang" w:cs="Times New Roman"/>
                <w:b/>
                <w:color w:val="000000"/>
                <w:sz w:val="22"/>
              </w:rPr>
              <w:t>J.P. Stevens</w:t>
            </w:r>
          </w:p>
        </w:tc>
        <w:tc>
          <w:tcPr>
            <w:tcW w:w="0" w:type="auto"/>
            <w:shd w:val="clear" w:color="auto" w:fill="auto"/>
            <w:noWrap/>
            <w:vAlign w:val="center"/>
            <w:hideMark/>
          </w:tcPr>
          <w:p w:rsidR="007F7BCD" w:rsidRPr="007F7BCD" w:rsidRDefault="007F7BCD" w:rsidP="007F7BCD">
            <w:pPr>
              <w:ind w:left="0" w:firstLine="0"/>
              <w:jc w:val="center"/>
              <w:rPr>
                <w:rFonts w:eastAsia="Batang" w:cs="Times New Roman"/>
                <w:color w:val="000000"/>
                <w:sz w:val="22"/>
              </w:rPr>
            </w:pPr>
            <w:r w:rsidRPr="007F7BCD">
              <w:rPr>
                <w:rFonts w:eastAsia="Batang" w:cs="Times New Roman"/>
                <w:color w:val="000000"/>
                <w:sz w:val="22"/>
              </w:rPr>
              <w:t>-1.08</w:t>
            </w:r>
          </w:p>
        </w:tc>
      </w:tr>
    </w:tbl>
    <w:p w:rsidR="007F7BCD" w:rsidRPr="00294D28" w:rsidRDefault="007F7BCD" w:rsidP="00294D28">
      <w:pPr>
        <w:spacing w:line="480" w:lineRule="auto"/>
        <w:ind w:left="0" w:firstLine="0"/>
        <w:rPr>
          <w:szCs w:val="24"/>
        </w:rPr>
      </w:pPr>
    </w:p>
    <w:p w:rsidR="00CC20A1" w:rsidRDefault="00CC20A1" w:rsidP="004F71AC">
      <w:pPr>
        <w:spacing w:line="480" w:lineRule="auto"/>
        <w:ind w:left="0" w:firstLine="720"/>
        <w:rPr>
          <w:szCs w:val="24"/>
        </w:rPr>
      </w:pPr>
    </w:p>
    <w:p w:rsidR="00016CCF" w:rsidRDefault="0082221A" w:rsidP="0082221A">
      <w:pPr>
        <w:autoSpaceDE w:val="0"/>
        <w:autoSpaceDN w:val="0"/>
        <w:adjustRightInd w:val="0"/>
        <w:spacing w:line="480" w:lineRule="auto"/>
        <w:ind w:left="0" w:firstLine="0"/>
        <w:rPr>
          <w:rFonts w:cs="Times New Roman"/>
        </w:rPr>
      </w:pPr>
      <w:proofErr w:type="gramStart"/>
      <w:r w:rsidRPr="00510205">
        <w:t>because</w:t>
      </w:r>
      <w:proofErr w:type="gramEnd"/>
      <w:r w:rsidRPr="00510205">
        <w:t xml:space="preserve"> I expect the </w:t>
      </w:r>
      <w:r w:rsidRPr="00510205">
        <w:rPr>
          <w:rFonts w:cs="Times New Roman"/>
        </w:rPr>
        <w:t>influence of amicus briefs to be different in salient cases from others.  In salient cases, a justice’s ideology should play a more prominent role, reducing the likelihood of observing a judge casting an ideologically incongruent vote, and enhancing the likelihood of</w:t>
      </w:r>
      <w:r>
        <w:rPr>
          <w:rFonts w:cs="Times New Roman"/>
        </w:rPr>
        <w:t xml:space="preserve"> </w:t>
      </w:r>
      <w:r w:rsidR="00016CCF" w:rsidRPr="00510205">
        <w:rPr>
          <w:rFonts w:cs="Times New Roman"/>
        </w:rPr>
        <w:t xml:space="preserve">observing a judge cast an ideologically congruent vote.  Because of this, an ideologically advantage of amicus briefs/signers that is in the opposite direction of a justice’s ideology should not have as much sway over the justice in salient cases as in non-salient cases.  However, an ideologically advantage of amicus briefs/signers that is in the same direction of a justice’s </w:t>
      </w:r>
      <w:r w:rsidR="00016CCF" w:rsidRPr="00510205">
        <w:rPr>
          <w:rFonts w:cs="Times New Roman"/>
        </w:rPr>
        <w:lastRenderedPageBreak/>
        <w:t>ideology should positively influence the justice in both salient and non-salient cases, as such briefs/signers simply reinforce the justice’s natural tendencies.</w:t>
      </w:r>
      <w:r w:rsidR="00987963">
        <w:rPr>
          <w:rFonts w:cs="Times New Roman"/>
        </w:rPr>
        <w:t xml:space="preserve">  Therefore</w:t>
      </w:r>
      <w:r w:rsidR="004B2AE4">
        <w:rPr>
          <w:rFonts w:cs="Times New Roman"/>
        </w:rPr>
        <w:t>, amici influence can be expected in these salient cases, but only for</w:t>
      </w:r>
      <w:r w:rsidR="004F71AC">
        <w:rPr>
          <w:rFonts w:cs="Times New Roman"/>
        </w:rPr>
        <w:t xml:space="preserve"> those justices ideologically aligned with the amicus. </w:t>
      </w:r>
      <w:r w:rsidR="00987963">
        <w:rPr>
          <w:rFonts w:cs="Times New Roman"/>
        </w:rPr>
        <w:t>Consequently, t</w:t>
      </w:r>
      <w:r w:rsidR="004B2AE4">
        <w:rPr>
          <w:rFonts w:cs="Times New Roman"/>
        </w:rPr>
        <w:t>he level of</w:t>
      </w:r>
      <w:r w:rsidR="004F71AC">
        <w:rPr>
          <w:rFonts w:cs="Times New Roman"/>
        </w:rPr>
        <w:t xml:space="preserve"> amici</w:t>
      </w:r>
      <w:r w:rsidR="004B2AE4">
        <w:rPr>
          <w:rFonts w:cs="Times New Roman"/>
        </w:rPr>
        <w:t xml:space="preserve"> influence s</w:t>
      </w:r>
      <w:r w:rsidR="004F71AC">
        <w:rPr>
          <w:rFonts w:cs="Times New Roman"/>
        </w:rPr>
        <w:t>hould be less pronounced in the salience model</w:t>
      </w:r>
      <w:r w:rsidR="004B2AE4">
        <w:rPr>
          <w:rFonts w:cs="Times New Roman"/>
        </w:rPr>
        <w:t xml:space="preserve"> than</w:t>
      </w:r>
      <w:r w:rsidR="004F71AC">
        <w:rPr>
          <w:rFonts w:cs="Times New Roman"/>
        </w:rPr>
        <w:t xml:space="preserve"> in the primary all-inclusive model</w:t>
      </w:r>
      <w:r w:rsidR="004B2AE4">
        <w:rPr>
          <w:rFonts w:cs="Times New Roman"/>
        </w:rPr>
        <w:t>.</w:t>
      </w:r>
      <w:r w:rsidR="000E0725">
        <w:rPr>
          <w:rFonts w:cs="Times New Roman"/>
        </w:rPr>
        <w:t xml:space="preserve">  In addition, I include two more subsidiary </w:t>
      </w:r>
      <w:proofErr w:type="spellStart"/>
      <w:r w:rsidR="000E0725">
        <w:rPr>
          <w:rFonts w:cs="Times New Roman"/>
        </w:rPr>
        <w:t>logit</w:t>
      </w:r>
      <w:proofErr w:type="spellEnd"/>
      <w:r w:rsidR="000E0725">
        <w:rPr>
          <w:rFonts w:cs="Times New Roman"/>
        </w:rPr>
        <w:t xml:space="preserve"> models focusing on salient cases – one for conservative justices, and one for liberal justices – to determine if the justices respond differently to amici in salient cases.</w:t>
      </w:r>
    </w:p>
    <w:p w:rsidR="00016CCF" w:rsidRDefault="00016CCF" w:rsidP="00016CCF">
      <w:pPr>
        <w:spacing w:line="480" w:lineRule="auto"/>
        <w:ind w:left="0" w:firstLine="720"/>
        <w:rPr>
          <w:color w:val="FF0000"/>
        </w:rPr>
      </w:pPr>
      <w:r>
        <w:rPr>
          <w:rFonts w:cs="Times New Roman"/>
        </w:rPr>
        <w:t xml:space="preserve">To identify those cases which are politically salient, I use the list of top ten major cases compiled by CQ Press for </w:t>
      </w:r>
      <w:r>
        <w:t xml:space="preserve">each USSC term, which is published in its annual </w:t>
      </w:r>
      <w:r>
        <w:rPr>
          <w:i/>
        </w:rPr>
        <w:t>Supreme Court Yearbook</w:t>
      </w:r>
      <w:r>
        <w:t xml:space="preserve">.  The selection is based on such factors as the </w:t>
      </w:r>
      <w:r w:rsidR="004F71AC">
        <w:t>rulings' practical impact; its</w:t>
      </w:r>
      <w:r>
        <w:t xml:space="preserve"> significance as legal precedent; the degree of division on the Court; and the level of attention among interest groups, experts, and news media (</w:t>
      </w:r>
      <w:proofErr w:type="spellStart"/>
      <w:r>
        <w:t>Jost</w:t>
      </w:r>
      <w:proofErr w:type="spellEnd"/>
      <w:r>
        <w:t>, 2012).</w:t>
      </w:r>
      <w:r>
        <w:rPr>
          <w:rStyle w:val="FootnoteReference"/>
        </w:rPr>
        <w:footnoteReference w:id="71"/>
      </w:r>
      <w:r>
        <w:t xml:space="preserve">  </w:t>
      </w:r>
      <w:r>
        <w:rPr>
          <w:rFonts w:cs="Times New Roman"/>
        </w:rPr>
        <w:t xml:space="preserve">In the model including only politically salient cases, I expect the results </w:t>
      </w:r>
      <w:r w:rsidRPr="00EE405E">
        <w:rPr>
          <w:rFonts w:cs="Times New Roman"/>
        </w:rPr>
        <w:t>to show that</w:t>
      </w:r>
      <w:r w:rsidR="00A67FE4">
        <w:rPr>
          <w:rFonts w:cs="Times New Roman"/>
        </w:rPr>
        <w:t xml:space="preserve"> a relative advantage of amicus briefs </w:t>
      </w:r>
      <w:r>
        <w:t>that are incongruent w</w:t>
      </w:r>
      <w:r w:rsidRPr="00EE405E">
        <w:t xml:space="preserve">ith a justice’s ideology will not meaningfully influence that justice to vote inconsistent with her </w:t>
      </w:r>
      <w:r w:rsidRPr="00EE405E">
        <w:lastRenderedPageBreak/>
        <w:t>ideological preference</w:t>
      </w:r>
      <w:r>
        <w:t xml:space="preserve">, </w:t>
      </w:r>
      <w:r w:rsidRPr="00EE405E">
        <w:t xml:space="preserve">but that </w:t>
      </w:r>
      <w:r w:rsidR="00A67FE4">
        <w:t xml:space="preserve">a relative advantage of </w:t>
      </w:r>
      <w:r w:rsidRPr="00EE405E">
        <w:t>amicus briefs that are congru</w:t>
      </w:r>
      <w:r>
        <w:t>ent with a justice’s ideology will</w:t>
      </w:r>
      <w:r w:rsidRPr="00EE405E">
        <w:t xml:space="preserve"> make it more likely for that justice to vote </w:t>
      </w:r>
      <w:r w:rsidR="004F71AC">
        <w:t>consistently with her ideology</w:t>
      </w:r>
      <w:r w:rsidRPr="00EE405E">
        <w:t>.</w:t>
      </w:r>
      <w:r>
        <w:rPr>
          <w:color w:val="FF0000"/>
        </w:rPr>
        <w:t xml:space="preserve">  </w:t>
      </w:r>
    </w:p>
    <w:p w:rsidR="001D79FA" w:rsidRDefault="000E0725" w:rsidP="004B2AE4">
      <w:pPr>
        <w:spacing w:line="480" w:lineRule="auto"/>
        <w:ind w:left="0" w:firstLine="720"/>
        <w:rPr>
          <w:szCs w:val="24"/>
        </w:rPr>
      </w:pPr>
      <w:r>
        <w:rPr>
          <w:rFonts w:cs="Times New Roman"/>
          <w:szCs w:val="24"/>
        </w:rPr>
        <w:t>Further</w:t>
      </w:r>
      <w:r w:rsidR="00016CCF">
        <w:rPr>
          <w:rFonts w:cs="Times New Roman"/>
          <w:szCs w:val="24"/>
        </w:rPr>
        <w:t xml:space="preserve">, to investigate whether amici influence differs across issue areas, I include four other subsidiary </w:t>
      </w:r>
      <w:proofErr w:type="spellStart"/>
      <w:r w:rsidR="00A67FE4">
        <w:rPr>
          <w:rFonts w:cs="Times New Roman"/>
          <w:szCs w:val="24"/>
        </w:rPr>
        <w:t>logit</w:t>
      </w:r>
      <w:proofErr w:type="spellEnd"/>
      <w:r w:rsidR="00A67FE4">
        <w:rPr>
          <w:rFonts w:cs="Times New Roman"/>
          <w:szCs w:val="24"/>
        </w:rPr>
        <w:t xml:space="preserve"> </w:t>
      </w:r>
      <w:r w:rsidR="00016CCF">
        <w:rPr>
          <w:rFonts w:cs="Times New Roman"/>
          <w:szCs w:val="24"/>
        </w:rPr>
        <w:t xml:space="preserve">models corresponding to the four main case issue areas confronting the justices: </w:t>
      </w:r>
      <w:r w:rsidR="00016CCF">
        <w:rPr>
          <w:szCs w:val="24"/>
        </w:rPr>
        <w:t>criminal p</w:t>
      </w:r>
      <w:r w:rsidR="00016CCF" w:rsidRPr="00C145E5">
        <w:rPr>
          <w:szCs w:val="24"/>
        </w:rPr>
        <w:t xml:space="preserve">rocedure; </w:t>
      </w:r>
      <w:r w:rsidR="00016CCF">
        <w:rPr>
          <w:szCs w:val="24"/>
        </w:rPr>
        <w:t>civil rights and liberties; e</w:t>
      </w:r>
      <w:r w:rsidR="00016CCF" w:rsidRPr="00C145E5">
        <w:rPr>
          <w:szCs w:val="24"/>
        </w:rPr>
        <w:t>conomics</w:t>
      </w:r>
      <w:r w:rsidR="00016CCF">
        <w:rPr>
          <w:szCs w:val="24"/>
        </w:rPr>
        <w:t>; and judicial power and</w:t>
      </w:r>
      <w:r w:rsidR="00016CCF" w:rsidRPr="00C145E5">
        <w:rPr>
          <w:szCs w:val="24"/>
        </w:rPr>
        <w:t xml:space="preserve"> </w:t>
      </w:r>
      <w:r w:rsidR="00016CCF">
        <w:rPr>
          <w:szCs w:val="24"/>
        </w:rPr>
        <w:t>f</w:t>
      </w:r>
      <w:r w:rsidR="004B2AE4">
        <w:rPr>
          <w:szCs w:val="24"/>
        </w:rPr>
        <w:t xml:space="preserve">ederalism.  </w:t>
      </w:r>
      <w:r w:rsidR="00A67FE4">
        <w:rPr>
          <w:szCs w:val="24"/>
        </w:rPr>
        <w:t xml:space="preserve">These issue area models will provide an assessment as to whether the impact of amici is uniform across various issue areas, or whether amici have a differential impact depending on the type of case confronting the justices.  </w:t>
      </w:r>
      <w:r w:rsidR="00A67FE4" w:rsidRPr="00CC20A1">
        <w:rPr>
          <w:szCs w:val="24"/>
        </w:rPr>
        <w:t>These four issue area models will include the same variables and interaction term as the primary all-inclusive model.</w:t>
      </w:r>
    </w:p>
    <w:p w:rsidR="00EF65E6" w:rsidRPr="00663654" w:rsidRDefault="00527518" w:rsidP="00663654">
      <w:pPr>
        <w:spacing w:line="480" w:lineRule="auto"/>
        <w:ind w:left="0" w:firstLine="720"/>
        <w:rPr>
          <w:szCs w:val="24"/>
        </w:rPr>
      </w:pPr>
      <w:r w:rsidRPr="00CC20A1">
        <w:rPr>
          <w:szCs w:val="24"/>
        </w:rPr>
        <w:t>Lastly</w:t>
      </w:r>
      <w:r w:rsidR="007235B3" w:rsidRPr="00CC20A1">
        <w:rPr>
          <w:szCs w:val="24"/>
        </w:rPr>
        <w:t xml:space="preserve">, </w:t>
      </w:r>
      <w:r w:rsidR="00CC20A1" w:rsidRPr="00CC20A1">
        <w:rPr>
          <w:szCs w:val="24"/>
        </w:rPr>
        <w:t xml:space="preserve">in addition to the </w:t>
      </w:r>
      <w:proofErr w:type="spellStart"/>
      <w:r w:rsidR="00C5422B" w:rsidRPr="00CC20A1">
        <w:rPr>
          <w:szCs w:val="24"/>
        </w:rPr>
        <w:t>logit</w:t>
      </w:r>
      <w:proofErr w:type="spellEnd"/>
      <w:r w:rsidR="00C5422B" w:rsidRPr="00CC20A1">
        <w:rPr>
          <w:szCs w:val="24"/>
        </w:rPr>
        <w:t xml:space="preserve"> models described above</w:t>
      </w:r>
      <w:r w:rsidRPr="00CC20A1">
        <w:rPr>
          <w:szCs w:val="24"/>
        </w:rPr>
        <w:t>,</w:t>
      </w:r>
      <w:r w:rsidR="00CC20A1">
        <w:rPr>
          <w:szCs w:val="24"/>
        </w:rPr>
        <w:t xml:space="preserve"> I provide a table</w:t>
      </w:r>
      <w:r>
        <w:rPr>
          <w:szCs w:val="24"/>
        </w:rPr>
        <w:t xml:space="preserve"> detailing the </w:t>
      </w:r>
      <w:r w:rsidR="001F1E70">
        <w:rPr>
          <w:szCs w:val="24"/>
        </w:rPr>
        <w:t xml:space="preserve">Pearson’s </w:t>
      </w:r>
      <w:r>
        <w:rPr>
          <w:szCs w:val="24"/>
        </w:rPr>
        <w:t xml:space="preserve">correlation between the ideological direction of a justice’s vote and the </w:t>
      </w:r>
      <w:r w:rsidR="001F1E70">
        <w:rPr>
          <w:szCs w:val="24"/>
        </w:rPr>
        <w:t xml:space="preserve">amicus variables </w:t>
      </w:r>
      <w:r w:rsidR="0087418A">
        <w:rPr>
          <w:szCs w:val="24"/>
        </w:rPr>
        <w:t>(</w:t>
      </w:r>
      <w:r w:rsidR="0087418A">
        <w:rPr>
          <w:i/>
          <w:szCs w:val="24"/>
        </w:rPr>
        <w:t>Liberal</w:t>
      </w:r>
      <w:r w:rsidR="008F2118">
        <w:rPr>
          <w:i/>
          <w:szCs w:val="24"/>
        </w:rPr>
        <w:t>–</w:t>
      </w:r>
      <w:r w:rsidR="0087418A">
        <w:rPr>
          <w:i/>
          <w:szCs w:val="24"/>
        </w:rPr>
        <w:t>Conservative A</w:t>
      </w:r>
      <w:r w:rsidR="008F2118">
        <w:rPr>
          <w:i/>
          <w:szCs w:val="24"/>
        </w:rPr>
        <w:t>micus Brief Difference; Liberal</w:t>
      </w:r>
      <w:r w:rsidR="0087418A">
        <w:rPr>
          <w:i/>
          <w:szCs w:val="24"/>
        </w:rPr>
        <w:t>–Conservative Amicus Cosigner D</w:t>
      </w:r>
      <w:r w:rsidR="008F2118">
        <w:rPr>
          <w:i/>
          <w:szCs w:val="24"/>
        </w:rPr>
        <w:t>ifference; Prestigious Liberal-</w:t>
      </w:r>
      <w:r w:rsidR="0087418A">
        <w:rPr>
          <w:i/>
          <w:szCs w:val="24"/>
        </w:rPr>
        <w:t xml:space="preserve">Conservative Amicus </w:t>
      </w:r>
      <w:r w:rsidR="0087418A" w:rsidRPr="008F2118">
        <w:rPr>
          <w:i/>
          <w:szCs w:val="24"/>
        </w:rPr>
        <w:t>Difference</w:t>
      </w:r>
      <w:r w:rsidR="008F2118">
        <w:rPr>
          <w:i/>
          <w:szCs w:val="24"/>
        </w:rPr>
        <w:t>; SG Liberal Amicus</w:t>
      </w:r>
      <w:r w:rsidR="008F2118">
        <w:rPr>
          <w:szCs w:val="24"/>
        </w:rPr>
        <w:t xml:space="preserve">; </w:t>
      </w:r>
      <w:r w:rsidR="008F2118">
        <w:rPr>
          <w:i/>
          <w:szCs w:val="24"/>
        </w:rPr>
        <w:t>SG Conservative Amicus</w:t>
      </w:r>
      <w:r w:rsidR="0087418A">
        <w:rPr>
          <w:szCs w:val="24"/>
        </w:rPr>
        <w:t xml:space="preserve">) </w:t>
      </w:r>
      <w:r w:rsidRPr="0087418A">
        <w:rPr>
          <w:szCs w:val="24"/>
        </w:rPr>
        <w:t>for</w:t>
      </w:r>
      <w:r>
        <w:rPr>
          <w:szCs w:val="24"/>
        </w:rPr>
        <w:t xml:space="preserve"> each of the eleven justices that served during the 2007-2011 terms.</w:t>
      </w:r>
      <w:r w:rsidR="0051087B">
        <w:rPr>
          <w:szCs w:val="24"/>
        </w:rPr>
        <w:t xml:space="preserve"> </w:t>
      </w:r>
      <w:r w:rsidR="00CC20A1">
        <w:rPr>
          <w:szCs w:val="24"/>
        </w:rPr>
        <w:t>The purpose of this table</w:t>
      </w:r>
      <w:r w:rsidR="00C5422B">
        <w:rPr>
          <w:szCs w:val="24"/>
        </w:rPr>
        <w:t xml:space="preserve"> is to compare and contrast the influence of amici on each individual justice who has served at the Roberts Court.  These models</w:t>
      </w:r>
      <w:r w:rsidR="0087418A">
        <w:rPr>
          <w:szCs w:val="24"/>
        </w:rPr>
        <w:t>, graphs,</w:t>
      </w:r>
      <w:r w:rsidR="00CC20A1">
        <w:rPr>
          <w:szCs w:val="24"/>
        </w:rPr>
        <w:t xml:space="preserve"> and tables </w:t>
      </w:r>
      <w:r w:rsidR="00C5422B">
        <w:rPr>
          <w:szCs w:val="24"/>
        </w:rPr>
        <w:t>will provide ample opportunity to assess the impact of amici on the Roberts Court in a variety of conte</w:t>
      </w:r>
      <w:r w:rsidR="00663654">
        <w:rPr>
          <w:szCs w:val="24"/>
        </w:rPr>
        <w:t>xts.</w:t>
      </w:r>
    </w:p>
    <w:p w:rsidR="0087418A" w:rsidRDefault="0087418A" w:rsidP="00DA4C15">
      <w:pPr>
        <w:autoSpaceDE w:val="0"/>
        <w:autoSpaceDN w:val="0"/>
        <w:adjustRightInd w:val="0"/>
        <w:spacing w:line="480" w:lineRule="auto"/>
        <w:ind w:left="0" w:firstLine="0"/>
        <w:rPr>
          <w:b/>
          <w:sz w:val="32"/>
          <w:szCs w:val="32"/>
        </w:rPr>
      </w:pPr>
    </w:p>
    <w:p w:rsidR="00717635" w:rsidRDefault="00717635" w:rsidP="00DA4C15">
      <w:pPr>
        <w:autoSpaceDE w:val="0"/>
        <w:autoSpaceDN w:val="0"/>
        <w:adjustRightInd w:val="0"/>
        <w:spacing w:line="480" w:lineRule="auto"/>
        <w:ind w:left="0" w:firstLine="0"/>
        <w:rPr>
          <w:b/>
          <w:sz w:val="32"/>
          <w:szCs w:val="32"/>
        </w:rPr>
      </w:pPr>
    </w:p>
    <w:p w:rsidR="00717635" w:rsidRDefault="00717635" w:rsidP="00DA4C15">
      <w:pPr>
        <w:autoSpaceDE w:val="0"/>
        <w:autoSpaceDN w:val="0"/>
        <w:adjustRightInd w:val="0"/>
        <w:spacing w:line="480" w:lineRule="auto"/>
        <w:ind w:left="0" w:firstLine="0"/>
        <w:rPr>
          <w:b/>
          <w:sz w:val="32"/>
          <w:szCs w:val="32"/>
        </w:rPr>
      </w:pPr>
    </w:p>
    <w:p w:rsidR="00717635" w:rsidRDefault="00717635" w:rsidP="00DA4C15">
      <w:pPr>
        <w:autoSpaceDE w:val="0"/>
        <w:autoSpaceDN w:val="0"/>
        <w:adjustRightInd w:val="0"/>
        <w:spacing w:line="480" w:lineRule="auto"/>
        <w:ind w:left="0" w:firstLine="0"/>
        <w:rPr>
          <w:b/>
          <w:sz w:val="32"/>
          <w:szCs w:val="32"/>
        </w:rPr>
      </w:pPr>
    </w:p>
    <w:p w:rsidR="001F1E70" w:rsidRDefault="001F1E70" w:rsidP="00DA4C15">
      <w:pPr>
        <w:autoSpaceDE w:val="0"/>
        <w:autoSpaceDN w:val="0"/>
        <w:adjustRightInd w:val="0"/>
        <w:spacing w:line="480" w:lineRule="auto"/>
        <w:ind w:left="0" w:firstLine="0"/>
        <w:rPr>
          <w:b/>
          <w:sz w:val="32"/>
          <w:szCs w:val="32"/>
        </w:rPr>
      </w:pPr>
    </w:p>
    <w:p w:rsidR="00DA4C15" w:rsidRDefault="00E77CF3" w:rsidP="00E77CF3">
      <w:pPr>
        <w:autoSpaceDE w:val="0"/>
        <w:autoSpaceDN w:val="0"/>
        <w:adjustRightInd w:val="0"/>
        <w:spacing w:line="480" w:lineRule="auto"/>
        <w:ind w:left="0" w:firstLine="0"/>
        <w:jc w:val="center"/>
        <w:rPr>
          <w:b/>
          <w:sz w:val="32"/>
          <w:szCs w:val="32"/>
        </w:rPr>
      </w:pPr>
      <w:r>
        <w:rPr>
          <w:b/>
          <w:sz w:val="32"/>
          <w:szCs w:val="32"/>
        </w:rPr>
        <w:lastRenderedPageBreak/>
        <w:t>Chapter 4</w:t>
      </w:r>
      <w:r w:rsidR="00DA4C15" w:rsidRPr="00E71D36">
        <w:rPr>
          <w:b/>
          <w:sz w:val="32"/>
          <w:szCs w:val="32"/>
        </w:rPr>
        <w:t>: Amicus Participation at Roberts Court</w:t>
      </w:r>
    </w:p>
    <w:p w:rsidR="00D04205" w:rsidRDefault="00D04205" w:rsidP="0056631B">
      <w:pPr>
        <w:autoSpaceDE w:val="0"/>
        <w:autoSpaceDN w:val="0"/>
        <w:adjustRightInd w:val="0"/>
        <w:spacing w:line="480" w:lineRule="auto"/>
        <w:ind w:left="0" w:firstLine="720"/>
        <w:rPr>
          <w:szCs w:val="24"/>
        </w:rPr>
      </w:pPr>
      <w:r>
        <w:rPr>
          <w:szCs w:val="24"/>
        </w:rPr>
        <w:t xml:space="preserve">This chapter </w:t>
      </w:r>
      <w:r w:rsidR="00AA0A41">
        <w:rPr>
          <w:szCs w:val="24"/>
        </w:rPr>
        <w:t>provides a detailed description of amicus participation during the 2007-2011 terms of the USSC.  By the conclus</w:t>
      </w:r>
      <w:r w:rsidR="00DF0350">
        <w:rPr>
          <w:szCs w:val="24"/>
        </w:rPr>
        <w:t>ion of this chapter, I will demonstrate</w:t>
      </w:r>
      <w:r w:rsidR="00AA0A41">
        <w:rPr>
          <w:szCs w:val="24"/>
        </w:rPr>
        <w:t xml:space="preserve"> that amicus participation at the Roberts </w:t>
      </w:r>
      <w:r w:rsidR="00E820F2">
        <w:rPr>
          <w:szCs w:val="24"/>
        </w:rPr>
        <w:t xml:space="preserve">Court is prolific, </w:t>
      </w:r>
      <w:r w:rsidR="00AA0A41">
        <w:rPr>
          <w:szCs w:val="24"/>
        </w:rPr>
        <w:t>and</w:t>
      </w:r>
      <w:r w:rsidR="00DF0350">
        <w:rPr>
          <w:szCs w:val="24"/>
        </w:rPr>
        <w:t xml:space="preserve"> that</w:t>
      </w:r>
      <w:r w:rsidR="00AA0A41">
        <w:rPr>
          <w:szCs w:val="24"/>
        </w:rPr>
        <w:t xml:space="preserve"> this phenomenon is relatively consist</w:t>
      </w:r>
      <w:r w:rsidR="00E820F2">
        <w:rPr>
          <w:szCs w:val="24"/>
        </w:rPr>
        <w:t xml:space="preserve">ent across individual terms, across various </w:t>
      </w:r>
      <w:r w:rsidR="00AA0A41">
        <w:rPr>
          <w:szCs w:val="24"/>
        </w:rPr>
        <w:t>issue areas</w:t>
      </w:r>
      <w:r w:rsidR="00E820F2">
        <w:rPr>
          <w:szCs w:val="24"/>
        </w:rPr>
        <w:t>, and among differing categories of amicus participants</w:t>
      </w:r>
      <w:r w:rsidR="00AA0A41">
        <w:rPr>
          <w:szCs w:val="24"/>
        </w:rPr>
        <w:t>.  Specifi</w:t>
      </w:r>
      <w:r w:rsidR="00E820F2">
        <w:rPr>
          <w:szCs w:val="24"/>
        </w:rPr>
        <w:t xml:space="preserve">cally, this chapter includes the following information regarding </w:t>
      </w:r>
      <w:r w:rsidR="000772E0">
        <w:rPr>
          <w:szCs w:val="24"/>
        </w:rPr>
        <w:t xml:space="preserve">amici </w:t>
      </w:r>
      <w:r w:rsidR="00E820F2">
        <w:rPr>
          <w:szCs w:val="24"/>
        </w:rPr>
        <w:t xml:space="preserve">at the Roberts Court:  the </w:t>
      </w:r>
      <w:r w:rsidR="000A4179">
        <w:rPr>
          <w:szCs w:val="24"/>
        </w:rPr>
        <w:t xml:space="preserve">number and </w:t>
      </w:r>
      <w:r w:rsidR="00E820F2">
        <w:rPr>
          <w:szCs w:val="24"/>
        </w:rPr>
        <w:t>percent of cases with amicus participa</w:t>
      </w:r>
      <w:r w:rsidR="000772E0">
        <w:rPr>
          <w:szCs w:val="24"/>
        </w:rPr>
        <w:t>tion between 2007-2011</w:t>
      </w:r>
      <w:r w:rsidR="00E820F2">
        <w:rPr>
          <w:szCs w:val="24"/>
        </w:rPr>
        <w:t>, across individual terms, and across issue areas; the numbe</w:t>
      </w:r>
      <w:r w:rsidR="000A4179">
        <w:rPr>
          <w:szCs w:val="24"/>
        </w:rPr>
        <w:t xml:space="preserve">rs, </w:t>
      </w:r>
      <w:r w:rsidR="00E820F2">
        <w:rPr>
          <w:szCs w:val="24"/>
        </w:rPr>
        <w:t>percentage</w:t>
      </w:r>
      <w:r w:rsidR="000A4179">
        <w:rPr>
          <w:szCs w:val="24"/>
        </w:rPr>
        <w:t>s, and averages</w:t>
      </w:r>
      <w:r w:rsidR="00E820F2">
        <w:rPr>
          <w:szCs w:val="24"/>
        </w:rPr>
        <w:t xml:space="preserve"> of liberal, conservative, and total amicus briefs and cosigners</w:t>
      </w:r>
      <w:r w:rsidR="000772E0">
        <w:rPr>
          <w:szCs w:val="24"/>
        </w:rPr>
        <w:t xml:space="preserve"> between 2007-2011, and</w:t>
      </w:r>
      <w:r w:rsidR="00E820F2">
        <w:rPr>
          <w:szCs w:val="24"/>
        </w:rPr>
        <w:t xml:space="preserve"> across individual terms, issue areas, and amici categories;</w:t>
      </w:r>
      <w:r w:rsidR="000A4179">
        <w:rPr>
          <w:szCs w:val="24"/>
        </w:rPr>
        <w:t xml:space="preserve"> the percentage of amicus participation that each amicus category and subcategory represents;</w:t>
      </w:r>
      <w:r w:rsidR="00E820F2">
        <w:rPr>
          <w:szCs w:val="24"/>
        </w:rPr>
        <w:t xml:space="preserve"> the</w:t>
      </w:r>
      <w:r w:rsidR="000A4179">
        <w:rPr>
          <w:szCs w:val="24"/>
        </w:rPr>
        <w:t xml:space="preserve"> number and</w:t>
      </w:r>
      <w:r w:rsidR="00E820F2">
        <w:rPr>
          <w:szCs w:val="24"/>
        </w:rPr>
        <w:t xml:space="preserve"> percent of cases involving </w:t>
      </w:r>
      <w:r w:rsidR="000A4179">
        <w:rPr>
          <w:szCs w:val="24"/>
        </w:rPr>
        <w:t xml:space="preserve">various amicus categories; a ranking of the cases involving </w:t>
      </w:r>
      <w:r w:rsidR="00070D34">
        <w:rPr>
          <w:szCs w:val="24"/>
        </w:rPr>
        <w:t>the most</w:t>
      </w:r>
      <w:r w:rsidR="000A4179">
        <w:rPr>
          <w:szCs w:val="24"/>
        </w:rPr>
        <w:t xml:space="preserve"> amicus briefs and amicus signers; a listing of the most frequent</w:t>
      </w:r>
      <w:r w:rsidR="009828AF">
        <w:rPr>
          <w:szCs w:val="24"/>
        </w:rPr>
        <w:t xml:space="preserve"> tracked</w:t>
      </w:r>
      <w:r w:rsidR="000A4179">
        <w:rPr>
          <w:szCs w:val="24"/>
        </w:rPr>
        <w:t xml:space="preserve"> </w:t>
      </w:r>
      <w:r w:rsidR="00070D34">
        <w:rPr>
          <w:szCs w:val="24"/>
        </w:rPr>
        <w:t>amicus participants</w:t>
      </w:r>
      <w:r w:rsidR="000A4179">
        <w:rPr>
          <w:szCs w:val="24"/>
        </w:rPr>
        <w:t xml:space="preserve">; the most frequent </w:t>
      </w:r>
      <w:r w:rsidR="009828AF">
        <w:rPr>
          <w:szCs w:val="24"/>
        </w:rPr>
        <w:t xml:space="preserve">tracked </w:t>
      </w:r>
      <w:r w:rsidR="00070D34">
        <w:rPr>
          <w:szCs w:val="24"/>
        </w:rPr>
        <w:t>conservative amici</w:t>
      </w:r>
      <w:r w:rsidR="000A4179">
        <w:rPr>
          <w:szCs w:val="24"/>
        </w:rPr>
        <w:t>; the most frequent</w:t>
      </w:r>
      <w:r w:rsidR="00070D34">
        <w:rPr>
          <w:szCs w:val="24"/>
        </w:rPr>
        <w:t xml:space="preserve"> </w:t>
      </w:r>
      <w:r w:rsidR="009828AF">
        <w:rPr>
          <w:szCs w:val="24"/>
        </w:rPr>
        <w:t xml:space="preserve">tracked </w:t>
      </w:r>
      <w:r w:rsidR="00070D34">
        <w:rPr>
          <w:szCs w:val="24"/>
        </w:rPr>
        <w:t>liberal amici</w:t>
      </w:r>
      <w:r w:rsidR="00DB02B8">
        <w:rPr>
          <w:szCs w:val="24"/>
        </w:rPr>
        <w:t>;</w:t>
      </w:r>
      <w:r w:rsidR="000A4179">
        <w:rPr>
          <w:szCs w:val="24"/>
        </w:rPr>
        <w:t xml:space="preserve"> and lastly, a ranking of those</w:t>
      </w:r>
      <w:r w:rsidR="009828AF">
        <w:rPr>
          <w:szCs w:val="24"/>
        </w:rPr>
        <w:t xml:space="preserve"> tracked</w:t>
      </w:r>
      <w:r w:rsidR="000A4179">
        <w:rPr>
          <w:szCs w:val="24"/>
        </w:rPr>
        <w:t xml:space="preserve"> amici who have the highest winning percentage</w:t>
      </w:r>
      <w:r w:rsidR="000772E0">
        <w:rPr>
          <w:szCs w:val="24"/>
        </w:rPr>
        <w:t xml:space="preserve"> </w:t>
      </w:r>
      <w:r w:rsidR="000A4179">
        <w:rPr>
          <w:szCs w:val="24"/>
        </w:rPr>
        <w:t>at the Roberts Court.</w:t>
      </w:r>
    </w:p>
    <w:p w:rsidR="00955F6E" w:rsidRDefault="00955F6E" w:rsidP="00DA4C15">
      <w:pPr>
        <w:autoSpaceDE w:val="0"/>
        <w:autoSpaceDN w:val="0"/>
        <w:adjustRightInd w:val="0"/>
        <w:spacing w:line="480" w:lineRule="auto"/>
        <w:ind w:left="0" w:firstLine="0"/>
        <w:rPr>
          <w:szCs w:val="24"/>
        </w:rPr>
      </w:pPr>
    </w:p>
    <w:p w:rsidR="009828AF" w:rsidRPr="0056631B" w:rsidRDefault="009828AF" w:rsidP="009828AF">
      <w:pPr>
        <w:pStyle w:val="ListParagraph"/>
        <w:numPr>
          <w:ilvl w:val="0"/>
          <w:numId w:val="32"/>
        </w:numPr>
        <w:autoSpaceDE w:val="0"/>
        <w:autoSpaceDN w:val="0"/>
        <w:adjustRightInd w:val="0"/>
        <w:spacing w:line="480" w:lineRule="auto"/>
        <w:rPr>
          <w:b/>
          <w:szCs w:val="24"/>
        </w:rPr>
      </w:pPr>
      <w:r w:rsidRPr="0056631B">
        <w:rPr>
          <w:b/>
          <w:szCs w:val="24"/>
        </w:rPr>
        <w:t>Amicus Participation by Issue Area</w:t>
      </w:r>
    </w:p>
    <w:p w:rsidR="0082221A" w:rsidRDefault="002013F2" w:rsidP="0082221A">
      <w:pPr>
        <w:autoSpaceDE w:val="0"/>
        <w:autoSpaceDN w:val="0"/>
        <w:adjustRightInd w:val="0"/>
        <w:spacing w:line="480" w:lineRule="auto"/>
        <w:ind w:left="0" w:firstLine="0"/>
        <w:rPr>
          <w:szCs w:val="24"/>
        </w:rPr>
      </w:pPr>
      <w:r>
        <w:rPr>
          <w:szCs w:val="24"/>
        </w:rPr>
        <w:tab/>
        <w:t>Table 4.1</w:t>
      </w:r>
      <w:r w:rsidR="00070D34">
        <w:rPr>
          <w:szCs w:val="24"/>
        </w:rPr>
        <w:t xml:space="preserve"> presents information on the total amount of amicus briefs filed during the 2007-2011 terms, as well as across four basic issue areas. The first row indicates the percentage of cases with at least one amicus brief for each issue area, and all areas combined.  Notably, amicus briefs were present in</w:t>
      </w:r>
      <w:r w:rsidR="00152C62">
        <w:rPr>
          <w:szCs w:val="24"/>
        </w:rPr>
        <w:t xml:space="preserve"> over 96</w:t>
      </w:r>
      <w:r w:rsidR="00070D34">
        <w:rPr>
          <w:szCs w:val="24"/>
        </w:rPr>
        <w:t xml:space="preserve"> percent of all cases, and in at least 95 percent of cases in every issue area.  Not surprisingly, civil rights and liberties case</w:t>
      </w:r>
      <w:r w:rsidR="000772E0">
        <w:rPr>
          <w:szCs w:val="24"/>
        </w:rPr>
        <w:t>s</w:t>
      </w:r>
      <w:r w:rsidR="00070D34">
        <w:rPr>
          <w:szCs w:val="24"/>
        </w:rPr>
        <w:t xml:space="preserve"> experienced the highest percentage</w:t>
      </w:r>
      <w:r w:rsidR="00152C62">
        <w:rPr>
          <w:szCs w:val="24"/>
        </w:rPr>
        <w:t xml:space="preserve"> of amicus participation (99.18 percent</w:t>
      </w:r>
      <w:r w:rsidR="00070D34">
        <w:rPr>
          <w:szCs w:val="24"/>
        </w:rPr>
        <w:t xml:space="preserve">), but each of the other areas very closely followed.  </w:t>
      </w:r>
    </w:p>
    <w:p w:rsidR="0082221A" w:rsidRPr="0082221A" w:rsidRDefault="0082221A" w:rsidP="0082221A">
      <w:pPr>
        <w:autoSpaceDE w:val="0"/>
        <w:autoSpaceDN w:val="0"/>
        <w:adjustRightInd w:val="0"/>
        <w:spacing w:line="480" w:lineRule="auto"/>
        <w:ind w:left="0" w:firstLine="0"/>
        <w:rPr>
          <w:szCs w:val="24"/>
        </w:rPr>
      </w:pPr>
      <w:proofErr w:type="gramStart"/>
      <w:r>
        <w:rPr>
          <w:b/>
          <w:szCs w:val="24"/>
        </w:rPr>
        <w:lastRenderedPageBreak/>
        <w:t>Table 4.1.</w:t>
      </w:r>
      <w:proofErr w:type="gramEnd"/>
      <w:r>
        <w:rPr>
          <w:b/>
          <w:szCs w:val="24"/>
        </w:rPr>
        <w:t xml:space="preserve">  Amicus Curiae Briefs by Issue Areas, 2007-2011 Terms</w:t>
      </w:r>
    </w:p>
    <w:tbl>
      <w:tblPr>
        <w:tblW w:w="0" w:type="auto"/>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43"/>
        <w:gridCol w:w="1528"/>
        <w:gridCol w:w="1637"/>
        <w:gridCol w:w="1316"/>
        <w:gridCol w:w="1633"/>
        <w:gridCol w:w="1426"/>
      </w:tblGrid>
      <w:tr w:rsidR="0082221A" w:rsidRPr="00747086" w:rsidTr="002D72FB">
        <w:trPr>
          <w:trHeight w:val="962"/>
        </w:trPr>
        <w:tc>
          <w:tcPr>
            <w:tcW w:w="0" w:type="auto"/>
            <w:tcBorders>
              <w:top w:val="single" w:sz="18" w:space="0" w:color="auto"/>
              <w:left w:val="nil"/>
              <w:bottom w:val="single" w:sz="18" w:space="0" w:color="auto"/>
            </w:tcBorders>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p>
        </w:tc>
        <w:tc>
          <w:tcPr>
            <w:tcW w:w="0" w:type="auto"/>
            <w:tcBorders>
              <w:top w:val="single" w:sz="18" w:space="0" w:color="auto"/>
              <w:bottom w:val="single" w:sz="18" w:space="0" w:color="auto"/>
            </w:tcBorders>
            <w:shd w:val="clear" w:color="auto" w:fill="auto"/>
            <w:vAlign w:val="center"/>
            <w:hideMark/>
          </w:tcPr>
          <w:p w:rsidR="0082221A" w:rsidRPr="00747086" w:rsidRDefault="0082221A" w:rsidP="002D72FB">
            <w:pPr>
              <w:ind w:left="0" w:firstLine="0"/>
              <w:jc w:val="center"/>
              <w:rPr>
                <w:rFonts w:eastAsia="Times New Roman" w:cs="Times New Roman"/>
                <w:bCs/>
                <w:color w:val="000000"/>
                <w:sz w:val="22"/>
              </w:rPr>
            </w:pPr>
            <w:r w:rsidRPr="00747086">
              <w:rPr>
                <w:rFonts w:eastAsia="Times New Roman" w:cs="Times New Roman"/>
                <w:bCs/>
                <w:color w:val="000000"/>
                <w:sz w:val="22"/>
              </w:rPr>
              <w:t>Criminal Procedure</w:t>
            </w:r>
          </w:p>
        </w:tc>
        <w:tc>
          <w:tcPr>
            <w:tcW w:w="0" w:type="auto"/>
            <w:tcBorders>
              <w:top w:val="single" w:sz="18" w:space="0" w:color="auto"/>
              <w:bottom w:val="single" w:sz="18" w:space="0" w:color="auto"/>
            </w:tcBorders>
            <w:shd w:val="clear" w:color="auto" w:fill="auto"/>
            <w:vAlign w:val="center"/>
            <w:hideMark/>
          </w:tcPr>
          <w:p w:rsidR="0082221A" w:rsidRPr="00747086" w:rsidRDefault="0082221A" w:rsidP="002D72FB">
            <w:pPr>
              <w:ind w:left="0" w:firstLine="0"/>
              <w:jc w:val="center"/>
              <w:rPr>
                <w:rFonts w:eastAsia="Times New Roman" w:cs="Times New Roman"/>
                <w:bCs/>
                <w:color w:val="000000"/>
                <w:sz w:val="22"/>
              </w:rPr>
            </w:pPr>
            <w:r w:rsidRPr="00747086">
              <w:rPr>
                <w:rFonts w:eastAsia="Times New Roman" w:cs="Times New Roman"/>
                <w:bCs/>
                <w:color w:val="000000"/>
                <w:sz w:val="22"/>
              </w:rPr>
              <w:t xml:space="preserve">Civil Rights </w:t>
            </w:r>
            <w:r>
              <w:rPr>
                <w:rFonts w:eastAsia="Times New Roman" w:cs="Times New Roman"/>
                <w:bCs/>
                <w:color w:val="000000"/>
                <w:sz w:val="22"/>
              </w:rPr>
              <w:t>and</w:t>
            </w:r>
            <w:r w:rsidRPr="00747086">
              <w:rPr>
                <w:rFonts w:eastAsia="Times New Roman" w:cs="Times New Roman"/>
                <w:bCs/>
                <w:color w:val="000000"/>
                <w:sz w:val="22"/>
              </w:rPr>
              <w:t xml:space="preserve"> Liberties</w:t>
            </w:r>
          </w:p>
        </w:tc>
        <w:tc>
          <w:tcPr>
            <w:tcW w:w="0" w:type="auto"/>
            <w:tcBorders>
              <w:top w:val="single" w:sz="18" w:space="0" w:color="auto"/>
              <w:bottom w:val="single" w:sz="18" w:space="0" w:color="auto"/>
            </w:tcBorders>
            <w:shd w:val="clear" w:color="auto" w:fill="auto"/>
            <w:noWrap/>
            <w:vAlign w:val="center"/>
            <w:hideMark/>
          </w:tcPr>
          <w:p w:rsidR="0082221A" w:rsidRPr="00747086" w:rsidRDefault="0082221A" w:rsidP="002D72FB">
            <w:pPr>
              <w:ind w:left="0" w:firstLine="0"/>
              <w:jc w:val="center"/>
              <w:rPr>
                <w:rFonts w:eastAsia="Times New Roman" w:cs="Times New Roman"/>
                <w:bCs/>
                <w:color w:val="000000"/>
                <w:sz w:val="22"/>
              </w:rPr>
            </w:pPr>
            <w:r w:rsidRPr="00747086">
              <w:rPr>
                <w:rFonts w:eastAsia="Times New Roman" w:cs="Times New Roman"/>
                <w:bCs/>
                <w:color w:val="000000"/>
                <w:sz w:val="22"/>
              </w:rPr>
              <w:t>Economics</w:t>
            </w:r>
          </w:p>
        </w:tc>
        <w:tc>
          <w:tcPr>
            <w:tcW w:w="0" w:type="auto"/>
            <w:tcBorders>
              <w:top w:val="single" w:sz="18" w:space="0" w:color="auto"/>
              <w:bottom w:val="single" w:sz="18" w:space="0" w:color="auto"/>
            </w:tcBorders>
            <w:shd w:val="clear" w:color="auto" w:fill="auto"/>
            <w:vAlign w:val="center"/>
            <w:hideMark/>
          </w:tcPr>
          <w:p w:rsidR="0082221A" w:rsidRPr="00747086" w:rsidRDefault="0082221A" w:rsidP="002D72FB">
            <w:pPr>
              <w:ind w:left="0" w:firstLine="0"/>
              <w:jc w:val="center"/>
              <w:rPr>
                <w:rFonts w:eastAsia="Times New Roman" w:cs="Times New Roman"/>
                <w:bCs/>
                <w:color w:val="000000"/>
                <w:sz w:val="22"/>
              </w:rPr>
            </w:pPr>
            <w:r w:rsidRPr="00747086">
              <w:rPr>
                <w:rFonts w:eastAsia="Times New Roman" w:cs="Times New Roman"/>
                <w:bCs/>
                <w:color w:val="000000"/>
                <w:sz w:val="22"/>
              </w:rPr>
              <w:t xml:space="preserve">Judicial Power </w:t>
            </w:r>
            <w:r>
              <w:rPr>
                <w:rFonts w:eastAsia="Times New Roman" w:cs="Times New Roman"/>
                <w:bCs/>
                <w:color w:val="000000"/>
                <w:sz w:val="22"/>
              </w:rPr>
              <w:t>and</w:t>
            </w:r>
            <w:r w:rsidRPr="00747086">
              <w:rPr>
                <w:rFonts w:eastAsia="Times New Roman" w:cs="Times New Roman"/>
                <w:bCs/>
                <w:color w:val="000000"/>
                <w:sz w:val="22"/>
              </w:rPr>
              <w:t xml:space="preserve"> Federalism</w:t>
            </w:r>
          </w:p>
        </w:tc>
        <w:tc>
          <w:tcPr>
            <w:tcW w:w="0" w:type="auto"/>
            <w:tcBorders>
              <w:top w:val="single" w:sz="18" w:space="0" w:color="auto"/>
              <w:bottom w:val="single" w:sz="18" w:space="0" w:color="auto"/>
              <w:right w:val="nil"/>
            </w:tcBorders>
            <w:shd w:val="clear" w:color="auto" w:fill="auto"/>
            <w:vAlign w:val="center"/>
            <w:hideMark/>
          </w:tcPr>
          <w:p w:rsidR="0082221A" w:rsidRPr="00747086" w:rsidRDefault="0082221A" w:rsidP="002D72FB">
            <w:pPr>
              <w:ind w:left="0" w:firstLine="0"/>
              <w:jc w:val="center"/>
              <w:rPr>
                <w:rFonts w:eastAsia="Times New Roman" w:cs="Times New Roman"/>
                <w:bCs/>
                <w:color w:val="000000"/>
                <w:sz w:val="22"/>
              </w:rPr>
            </w:pPr>
            <w:r w:rsidRPr="00747086">
              <w:rPr>
                <w:rFonts w:eastAsia="Times New Roman" w:cs="Times New Roman"/>
                <w:bCs/>
                <w:color w:val="000000"/>
                <w:sz w:val="22"/>
              </w:rPr>
              <w:t>Totals*</w:t>
            </w:r>
          </w:p>
        </w:tc>
      </w:tr>
      <w:tr w:rsidR="0082221A" w:rsidRPr="00747086" w:rsidTr="002D72FB">
        <w:trPr>
          <w:trHeight w:val="864"/>
        </w:trPr>
        <w:tc>
          <w:tcPr>
            <w:tcW w:w="0" w:type="auto"/>
            <w:tcBorders>
              <w:top w:val="single" w:sz="18" w:space="0" w:color="auto"/>
              <w:left w:val="nil"/>
            </w:tcBorders>
            <w:shd w:val="clear" w:color="auto" w:fill="auto"/>
            <w:vAlign w:val="center"/>
            <w:hideMark/>
          </w:tcPr>
          <w:p w:rsidR="0082221A" w:rsidRPr="00747086" w:rsidRDefault="0082221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Percent of Cases with Amicus Briefs</w:t>
            </w:r>
          </w:p>
        </w:tc>
        <w:tc>
          <w:tcPr>
            <w:tcW w:w="0" w:type="auto"/>
            <w:tcBorders>
              <w:top w:val="single" w:sz="18" w:space="0" w:color="auto"/>
            </w:tcBorders>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95.18% (98)</w:t>
            </w:r>
          </w:p>
        </w:tc>
        <w:tc>
          <w:tcPr>
            <w:tcW w:w="0" w:type="auto"/>
            <w:tcBorders>
              <w:top w:val="single" w:sz="18" w:space="0" w:color="auto"/>
            </w:tcBorders>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99.18% (121)</w:t>
            </w:r>
          </w:p>
        </w:tc>
        <w:tc>
          <w:tcPr>
            <w:tcW w:w="0" w:type="auto"/>
            <w:tcBorders>
              <w:top w:val="single" w:sz="18" w:space="0" w:color="auto"/>
            </w:tcBorders>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97.87% (92)</w:t>
            </w:r>
          </w:p>
        </w:tc>
        <w:tc>
          <w:tcPr>
            <w:tcW w:w="0" w:type="auto"/>
            <w:tcBorders>
              <w:top w:val="single" w:sz="18" w:space="0" w:color="auto"/>
            </w:tcBorders>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97.22% (70)</w:t>
            </w:r>
          </w:p>
        </w:tc>
        <w:tc>
          <w:tcPr>
            <w:tcW w:w="0" w:type="auto"/>
            <w:tcBorders>
              <w:top w:val="single" w:sz="18" w:space="0" w:color="auto"/>
              <w:right w:val="nil"/>
            </w:tcBorders>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96.47% (383)</w:t>
            </w:r>
          </w:p>
        </w:tc>
      </w:tr>
      <w:tr w:rsidR="0082221A" w:rsidRPr="00747086" w:rsidTr="002D72FB">
        <w:trPr>
          <w:trHeight w:val="864"/>
        </w:trPr>
        <w:tc>
          <w:tcPr>
            <w:tcW w:w="0" w:type="auto"/>
            <w:tcBorders>
              <w:left w:val="nil"/>
            </w:tcBorders>
            <w:shd w:val="clear" w:color="auto" w:fill="auto"/>
            <w:vAlign w:val="center"/>
            <w:hideMark/>
          </w:tcPr>
          <w:p w:rsidR="0082221A" w:rsidRPr="00747086" w:rsidRDefault="0082221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Number of Briefs Filed</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637</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1,209</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955</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815</w:t>
            </w:r>
          </w:p>
        </w:tc>
        <w:tc>
          <w:tcPr>
            <w:tcW w:w="0" w:type="auto"/>
            <w:tcBorders>
              <w:right w:val="nil"/>
            </w:tcBorders>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3,639</w:t>
            </w:r>
          </w:p>
        </w:tc>
      </w:tr>
      <w:tr w:rsidR="0082221A" w:rsidRPr="00747086" w:rsidTr="002D72FB">
        <w:trPr>
          <w:trHeight w:val="864"/>
        </w:trPr>
        <w:tc>
          <w:tcPr>
            <w:tcW w:w="0" w:type="auto"/>
            <w:tcBorders>
              <w:left w:val="nil"/>
            </w:tcBorders>
            <w:shd w:val="clear" w:color="auto" w:fill="auto"/>
            <w:vAlign w:val="center"/>
            <w:hideMark/>
          </w:tcPr>
          <w:p w:rsidR="0082221A" w:rsidRPr="00747086" w:rsidRDefault="0082221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Number of Liberal Briefs Filed</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367</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633</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417</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345</w:t>
            </w:r>
          </w:p>
        </w:tc>
        <w:tc>
          <w:tcPr>
            <w:tcW w:w="0" w:type="auto"/>
            <w:tcBorders>
              <w:right w:val="nil"/>
            </w:tcBorders>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1,762</w:t>
            </w:r>
          </w:p>
        </w:tc>
      </w:tr>
      <w:tr w:rsidR="0082221A" w:rsidRPr="00747086" w:rsidTr="002D72FB">
        <w:trPr>
          <w:trHeight w:val="864"/>
        </w:trPr>
        <w:tc>
          <w:tcPr>
            <w:tcW w:w="0" w:type="auto"/>
            <w:tcBorders>
              <w:left w:val="nil"/>
            </w:tcBorders>
            <w:shd w:val="clear" w:color="auto" w:fill="auto"/>
            <w:vAlign w:val="center"/>
            <w:hideMark/>
          </w:tcPr>
          <w:p w:rsidR="0082221A" w:rsidRPr="00747086" w:rsidRDefault="0082221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Number of Conservative Briefs Filed</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255</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493</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402</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386</w:t>
            </w:r>
          </w:p>
        </w:tc>
        <w:tc>
          <w:tcPr>
            <w:tcW w:w="0" w:type="auto"/>
            <w:tcBorders>
              <w:right w:val="nil"/>
            </w:tcBorders>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1,535</w:t>
            </w:r>
          </w:p>
        </w:tc>
      </w:tr>
      <w:tr w:rsidR="0082221A" w:rsidRPr="00747086" w:rsidTr="002D72FB">
        <w:trPr>
          <w:trHeight w:val="864"/>
        </w:trPr>
        <w:tc>
          <w:tcPr>
            <w:tcW w:w="0" w:type="auto"/>
            <w:tcBorders>
              <w:left w:val="nil"/>
            </w:tcBorders>
            <w:shd w:val="clear" w:color="auto" w:fill="auto"/>
            <w:vAlign w:val="center"/>
            <w:hideMark/>
          </w:tcPr>
          <w:p w:rsidR="0082221A" w:rsidRPr="00747086" w:rsidRDefault="0082221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Number of Unspecifiable Briefs Filed</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15</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86</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132</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83</w:t>
            </w:r>
          </w:p>
        </w:tc>
        <w:tc>
          <w:tcPr>
            <w:tcW w:w="0" w:type="auto"/>
            <w:tcBorders>
              <w:right w:val="nil"/>
            </w:tcBorders>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339</w:t>
            </w:r>
          </w:p>
        </w:tc>
      </w:tr>
      <w:tr w:rsidR="0082221A" w:rsidRPr="00747086" w:rsidTr="002D72FB">
        <w:trPr>
          <w:trHeight w:val="864"/>
        </w:trPr>
        <w:tc>
          <w:tcPr>
            <w:tcW w:w="0" w:type="auto"/>
            <w:tcBorders>
              <w:left w:val="nil"/>
            </w:tcBorders>
            <w:shd w:val="clear" w:color="auto" w:fill="auto"/>
            <w:vAlign w:val="center"/>
            <w:hideMark/>
          </w:tcPr>
          <w:p w:rsidR="0082221A" w:rsidRPr="00747086" w:rsidRDefault="0082221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Mean Briefs Per Case</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5.95</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9.91</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10.15</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11.31</w:t>
            </w:r>
          </w:p>
        </w:tc>
        <w:tc>
          <w:tcPr>
            <w:tcW w:w="0" w:type="auto"/>
            <w:tcBorders>
              <w:right w:val="nil"/>
            </w:tcBorders>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9.17</w:t>
            </w:r>
          </w:p>
        </w:tc>
      </w:tr>
      <w:tr w:rsidR="0082221A" w:rsidRPr="00747086" w:rsidTr="002D72FB">
        <w:trPr>
          <w:trHeight w:val="864"/>
        </w:trPr>
        <w:tc>
          <w:tcPr>
            <w:tcW w:w="0" w:type="auto"/>
            <w:tcBorders>
              <w:left w:val="nil"/>
            </w:tcBorders>
            <w:shd w:val="clear" w:color="auto" w:fill="auto"/>
            <w:vAlign w:val="center"/>
            <w:hideMark/>
          </w:tcPr>
          <w:p w:rsidR="0082221A" w:rsidRPr="00747086" w:rsidRDefault="0082221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Mean Liberal Briefs Per Case</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3.43</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5.19</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4.44</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4.79</w:t>
            </w:r>
          </w:p>
        </w:tc>
        <w:tc>
          <w:tcPr>
            <w:tcW w:w="0" w:type="auto"/>
            <w:tcBorders>
              <w:right w:val="nil"/>
            </w:tcBorders>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4.44</w:t>
            </w:r>
          </w:p>
        </w:tc>
      </w:tr>
      <w:tr w:rsidR="0082221A" w:rsidRPr="00747086" w:rsidTr="002D72FB">
        <w:trPr>
          <w:trHeight w:val="864"/>
        </w:trPr>
        <w:tc>
          <w:tcPr>
            <w:tcW w:w="0" w:type="auto"/>
            <w:tcBorders>
              <w:left w:val="nil"/>
            </w:tcBorders>
            <w:shd w:val="clear" w:color="auto" w:fill="auto"/>
            <w:vAlign w:val="center"/>
            <w:hideMark/>
          </w:tcPr>
          <w:p w:rsidR="0082221A" w:rsidRPr="00747086" w:rsidRDefault="0082221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Mean Conservative Briefs Per Case</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2.38</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4.04</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4.27</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5.36</w:t>
            </w:r>
          </w:p>
        </w:tc>
        <w:tc>
          <w:tcPr>
            <w:tcW w:w="0" w:type="auto"/>
            <w:tcBorders>
              <w:right w:val="nil"/>
            </w:tcBorders>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3.86</w:t>
            </w:r>
          </w:p>
        </w:tc>
      </w:tr>
      <w:tr w:rsidR="0082221A" w:rsidRPr="00747086" w:rsidTr="002D72FB">
        <w:trPr>
          <w:trHeight w:val="864"/>
        </w:trPr>
        <w:tc>
          <w:tcPr>
            <w:tcW w:w="0" w:type="auto"/>
            <w:tcBorders>
              <w:left w:val="nil"/>
            </w:tcBorders>
            <w:shd w:val="clear" w:color="auto" w:fill="auto"/>
            <w:vAlign w:val="center"/>
            <w:hideMark/>
          </w:tcPr>
          <w:p w:rsidR="0082221A" w:rsidRPr="00747086" w:rsidRDefault="0082221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Mean Unspecifiable Briefs Per Case</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0.14</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0.7</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1.46</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1.15</w:t>
            </w:r>
          </w:p>
        </w:tc>
        <w:tc>
          <w:tcPr>
            <w:tcW w:w="0" w:type="auto"/>
            <w:tcBorders>
              <w:right w:val="nil"/>
            </w:tcBorders>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0.87</w:t>
            </w:r>
          </w:p>
        </w:tc>
      </w:tr>
      <w:tr w:rsidR="0082221A" w:rsidRPr="00747086" w:rsidTr="002D72FB">
        <w:trPr>
          <w:trHeight w:val="864"/>
        </w:trPr>
        <w:tc>
          <w:tcPr>
            <w:tcW w:w="0" w:type="auto"/>
            <w:tcBorders>
              <w:left w:val="nil"/>
            </w:tcBorders>
            <w:shd w:val="clear" w:color="auto" w:fill="auto"/>
            <w:vAlign w:val="center"/>
            <w:hideMark/>
          </w:tcPr>
          <w:p w:rsidR="0082221A" w:rsidRPr="00747086" w:rsidRDefault="0082221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Maximum Number of Briefs in a Case</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68</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53</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69</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87</w:t>
            </w:r>
          </w:p>
        </w:tc>
        <w:tc>
          <w:tcPr>
            <w:tcW w:w="0" w:type="auto"/>
            <w:tcBorders>
              <w:right w:val="nil"/>
            </w:tcBorders>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87.00</w:t>
            </w:r>
          </w:p>
        </w:tc>
      </w:tr>
      <w:tr w:rsidR="0082221A" w:rsidRPr="00747086" w:rsidTr="002D72FB">
        <w:trPr>
          <w:trHeight w:val="864"/>
        </w:trPr>
        <w:tc>
          <w:tcPr>
            <w:tcW w:w="0" w:type="auto"/>
            <w:tcBorders>
              <w:left w:val="nil"/>
            </w:tcBorders>
            <w:shd w:val="clear" w:color="auto" w:fill="auto"/>
            <w:vAlign w:val="center"/>
            <w:hideMark/>
          </w:tcPr>
          <w:p w:rsidR="0082221A" w:rsidRPr="00747086" w:rsidRDefault="0082221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Percent of Total Amicus Briefs</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17.50%</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33.22%</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26.24%</w:t>
            </w:r>
          </w:p>
        </w:tc>
        <w:tc>
          <w:tcPr>
            <w:tcW w:w="0" w:type="auto"/>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22.40%</w:t>
            </w:r>
          </w:p>
        </w:tc>
        <w:tc>
          <w:tcPr>
            <w:tcW w:w="0" w:type="auto"/>
            <w:tcBorders>
              <w:right w:val="nil"/>
            </w:tcBorders>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100%</w:t>
            </w:r>
          </w:p>
        </w:tc>
      </w:tr>
      <w:tr w:rsidR="0082221A" w:rsidRPr="00747086" w:rsidTr="002D72FB">
        <w:trPr>
          <w:trHeight w:val="864"/>
        </w:trPr>
        <w:tc>
          <w:tcPr>
            <w:tcW w:w="0" w:type="auto"/>
            <w:tcBorders>
              <w:left w:val="nil"/>
              <w:bottom w:val="single" w:sz="18" w:space="0" w:color="auto"/>
            </w:tcBorders>
            <w:shd w:val="clear" w:color="auto" w:fill="auto"/>
            <w:vAlign w:val="center"/>
            <w:hideMark/>
          </w:tcPr>
          <w:p w:rsidR="0082221A" w:rsidRPr="00747086" w:rsidRDefault="0082221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Percent of Cases Decided</w:t>
            </w:r>
          </w:p>
        </w:tc>
        <w:tc>
          <w:tcPr>
            <w:tcW w:w="0" w:type="auto"/>
            <w:tcBorders>
              <w:bottom w:val="single" w:sz="18" w:space="0" w:color="auto"/>
            </w:tcBorders>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26.95% (107)</w:t>
            </w:r>
          </w:p>
        </w:tc>
        <w:tc>
          <w:tcPr>
            <w:tcW w:w="0" w:type="auto"/>
            <w:tcBorders>
              <w:bottom w:val="single" w:sz="18" w:space="0" w:color="auto"/>
            </w:tcBorders>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30.73% (122)</w:t>
            </w:r>
          </w:p>
        </w:tc>
        <w:tc>
          <w:tcPr>
            <w:tcW w:w="0" w:type="auto"/>
            <w:tcBorders>
              <w:bottom w:val="single" w:sz="18" w:space="0" w:color="auto"/>
            </w:tcBorders>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23.68% (94)</w:t>
            </w:r>
          </w:p>
        </w:tc>
        <w:tc>
          <w:tcPr>
            <w:tcW w:w="0" w:type="auto"/>
            <w:tcBorders>
              <w:bottom w:val="single" w:sz="18" w:space="0" w:color="auto"/>
            </w:tcBorders>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18.14% (72)</w:t>
            </w:r>
          </w:p>
        </w:tc>
        <w:tc>
          <w:tcPr>
            <w:tcW w:w="0" w:type="auto"/>
            <w:tcBorders>
              <w:bottom w:val="single" w:sz="18" w:space="0" w:color="auto"/>
              <w:right w:val="nil"/>
            </w:tcBorders>
            <w:shd w:val="clear" w:color="auto" w:fill="auto"/>
            <w:noWrap/>
            <w:vAlign w:val="center"/>
            <w:hideMark/>
          </w:tcPr>
          <w:p w:rsidR="0082221A" w:rsidRPr="00747086" w:rsidRDefault="0082221A" w:rsidP="002D72FB">
            <w:pPr>
              <w:ind w:left="0" w:firstLine="0"/>
              <w:jc w:val="center"/>
              <w:rPr>
                <w:rFonts w:eastAsia="Times New Roman" w:cs="Times New Roman"/>
                <w:color w:val="000000"/>
                <w:sz w:val="22"/>
              </w:rPr>
            </w:pPr>
            <w:r w:rsidRPr="00747086">
              <w:rPr>
                <w:rFonts w:eastAsia="Times New Roman" w:cs="Times New Roman"/>
                <w:color w:val="000000"/>
                <w:sz w:val="22"/>
              </w:rPr>
              <w:t>100% (397)</w:t>
            </w:r>
          </w:p>
        </w:tc>
      </w:tr>
    </w:tbl>
    <w:p w:rsidR="0082221A" w:rsidRDefault="0082221A" w:rsidP="0082221A">
      <w:pPr>
        <w:ind w:left="0" w:firstLine="0"/>
        <w:rPr>
          <w:szCs w:val="24"/>
        </w:rPr>
      </w:pPr>
      <w:r>
        <w:rPr>
          <w:szCs w:val="24"/>
        </w:rPr>
        <w:t xml:space="preserve">*The total column includes the two cases from this time frame that do not fit into the four issue areas listed here.  Numbers in parentheses indicate the number of observations. </w:t>
      </w:r>
    </w:p>
    <w:p w:rsidR="0082221A" w:rsidRDefault="0082221A" w:rsidP="00DA4C15">
      <w:pPr>
        <w:autoSpaceDE w:val="0"/>
        <w:autoSpaceDN w:val="0"/>
        <w:adjustRightInd w:val="0"/>
        <w:spacing w:line="480" w:lineRule="auto"/>
        <w:ind w:left="0" w:firstLine="0"/>
        <w:rPr>
          <w:szCs w:val="24"/>
        </w:rPr>
      </w:pPr>
    </w:p>
    <w:p w:rsidR="00152C62" w:rsidRDefault="002013F2" w:rsidP="00DA4C15">
      <w:pPr>
        <w:autoSpaceDE w:val="0"/>
        <w:autoSpaceDN w:val="0"/>
        <w:adjustRightInd w:val="0"/>
        <w:spacing w:line="480" w:lineRule="auto"/>
        <w:ind w:left="0" w:firstLine="0"/>
        <w:rPr>
          <w:szCs w:val="24"/>
        </w:rPr>
      </w:pPr>
      <w:r>
        <w:rPr>
          <w:szCs w:val="24"/>
        </w:rPr>
        <w:lastRenderedPageBreak/>
        <w:tab/>
        <w:t>Rows 2 through 5 of Table 4.1</w:t>
      </w:r>
      <w:r w:rsidR="00070D34">
        <w:rPr>
          <w:szCs w:val="24"/>
        </w:rPr>
        <w:t xml:space="preserve"> present the total number of amicus briefs filed in each issue area, as well as the total number of liberal, conservative, and unspecifiable briefs filed.</w:t>
      </w:r>
      <w:r w:rsidR="00DF0E0D">
        <w:rPr>
          <w:szCs w:val="24"/>
        </w:rPr>
        <w:t xml:space="preserve">  3,639 amicus briefs were filed from 2007-2011 terms, with civil rights and liberties cases having the most briefs filed (1,209), followed, in order, by economics (955), judicial power and federalism (815), and criminal procedure (637) cases.  As one can see, almost twice as many briefs were filed in civil rights and liberties cases as in criminal procedure cases.   </w:t>
      </w:r>
    </w:p>
    <w:p w:rsidR="00BC2AE9" w:rsidRDefault="00152C62" w:rsidP="00152C62">
      <w:pPr>
        <w:autoSpaceDE w:val="0"/>
        <w:autoSpaceDN w:val="0"/>
        <w:adjustRightInd w:val="0"/>
        <w:spacing w:line="480" w:lineRule="auto"/>
        <w:ind w:left="0" w:firstLine="720"/>
        <w:rPr>
          <w:szCs w:val="24"/>
        </w:rPr>
      </w:pPr>
      <w:r>
        <w:rPr>
          <w:szCs w:val="24"/>
        </w:rPr>
        <w:t>As rows 3 and 4 show, the</w:t>
      </w:r>
      <w:r w:rsidR="00DF0E0D">
        <w:rPr>
          <w:szCs w:val="24"/>
        </w:rPr>
        <w:t xml:space="preserve"> total number of conservative and liberal </w:t>
      </w:r>
      <w:r>
        <w:rPr>
          <w:szCs w:val="24"/>
        </w:rPr>
        <w:t xml:space="preserve">amicus </w:t>
      </w:r>
      <w:r w:rsidR="00DF0E0D">
        <w:rPr>
          <w:szCs w:val="24"/>
        </w:rPr>
        <w:t>briefs is relatively balanced at the Roberts Court (1,762 to 1,535), with liberal briefs having a modest advantage.</w:t>
      </w:r>
      <w:r w:rsidR="000772E0">
        <w:rPr>
          <w:szCs w:val="24"/>
        </w:rPr>
        <w:t xml:space="preserve">  Rows 3 and 4</w:t>
      </w:r>
      <w:r>
        <w:rPr>
          <w:szCs w:val="24"/>
        </w:rPr>
        <w:t xml:space="preserve"> also demonstrate that liberal amicus briefs outnumber conservative</w:t>
      </w:r>
      <w:r w:rsidR="00DF0350">
        <w:rPr>
          <w:szCs w:val="24"/>
        </w:rPr>
        <w:t xml:space="preserve"> briefs</w:t>
      </w:r>
      <w:r>
        <w:rPr>
          <w:szCs w:val="24"/>
        </w:rPr>
        <w:t xml:space="preserve"> in all issue areas except judicia</w:t>
      </w:r>
      <w:r w:rsidR="000772E0">
        <w:rPr>
          <w:szCs w:val="24"/>
        </w:rPr>
        <w:t xml:space="preserve">l power and federalism cases.  </w:t>
      </w:r>
      <w:r>
        <w:rPr>
          <w:szCs w:val="24"/>
        </w:rPr>
        <w:t>This is understandable considering the</w:t>
      </w:r>
      <w:r w:rsidR="00DF0350">
        <w:rPr>
          <w:szCs w:val="24"/>
        </w:rPr>
        <w:t xml:space="preserve"> fact that governments, which</w:t>
      </w:r>
      <w:r w:rsidR="000772E0">
        <w:rPr>
          <w:szCs w:val="24"/>
        </w:rPr>
        <w:t xml:space="preserve"> generally advocate the conservative position as amici,</w:t>
      </w:r>
      <w:r>
        <w:rPr>
          <w:szCs w:val="24"/>
        </w:rPr>
        <w:t xml:space="preserve"> are parti</w:t>
      </w:r>
      <w:r w:rsidR="00BC2AE9">
        <w:rPr>
          <w:szCs w:val="24"/>
        </w:rPr>
        <w:t>cularly likely to be affected by</w:t>
      </w:r>
      <w:r>
        <w:rPr>
          <w:szCs w:val="24"/>
        </w:rPr>
        <w:t xml:space="preserve"> this category of cases</w:t>
      </w:r>
      <w:r w:rsidR="000772E0">
        <w:rPr>
          <w:szCs w:val="24"/>
        </w:rPr>
        <w:t>.</w:t>
      </w:r>
    </w:p>
    <w:p w:rsidR="00BC2AE9" w:rsidRDefault="00BC2AE9" w:rsidP="00152C62">
      <w:pPr>
        <w:autoSpaceDE w:val="0"/>
        <w:autoSpaceDN w:val="0"/>
        <w:adjustRightInd w:val="0"/>
        <w:spacing w:line="480" w:lineRule="auto"/>
        <w:ind w:left="0" w:firstLine="720"/>
        <w:rPr>
          <w:szCs w:val="24"/>
        </w:rPr>
      </w:pPr>
      <w:r>
        <w:rPr>
          <w:szCs w:val="24"/>
        </w:rPr>
        <w:t>Row 6</w:t>
      </w:r>
      <w:r w:rsidR="009A73E8">
        <w:rPr>
          <w:szCs w:val="24"/>
        </w:rPr>
        <w:t xml:space="preserve"> of Table 4.1</w:t>
      </w:r>
      <w:r>
        <w:rPr>
          <w:szCs w:val="24"/>
        </w:rPr>
        <w:t xml:space="preserve"> presents the mean number of total amicus briefs per case.  Notably, the Roberts Court averaged over 9 amicus briefs per case during the 2007-2011 terms.  </w:t>
      </w:r>
      <w:r w:rsidR="00152C62">
        <w:rPr>
          <w:szCs w:val="24"/>
        </w:rPr>
        <w:t xml:space="preserve"> </w:t>
      </w:r>
      <w:r>
        <w:rPr>
          <w:szCs w:val="24"/>
        </w:rPr>
        <w:t xml:space="preserve">Judicial power and federalism cases attracted the most mean amicus briefs per case (over 11), followed closely by economics (over 10) and civil rights and liberties cases (almost 10).   Criminal procedure cases attract the least number of briefs per cases (at almost 6).  Thus, in both absolute numbers and case averages, criminal procedure cases attract the least amount of amicus brief filings.  This finding </w:t>
      </w:r>
      <w:r w:rsidR="000B79ED">
        <w:rPr>
          <w:szCs w:val="24"/>
        </w:rPr>
        <w:t xml:space="preserve">could be explained by </w:t>
      </w:r>
      <w:r>
        <w:rPr>
          <w:szCs w:val="24"/>
        </w:rPr>
        <w:t xml:space="preserve">the fact that criminal defendants and prisoners tend to be low on the political resources, power, and </w:t>
      </w:r>
      <w:r w:rsidR="008B706A">
        <w:rPr>
          <w:szCs w:val="24"/>
        </w:rPr>
        <w:t>sympathy scales.  Nevertheless</w:t>
      </w:r>
      <w:r>
        <w:rPr>
          <w:szCs w:val="24"/>
        </w:rPr>
        <w:t>, amicus brief filings are quite robust</w:t>
      </w:r>
      <w:r w:rsidR="008B706A">
        <w:rPr>
          <w:szCs w:val="24"/>
        </w:rPr>
        <w:t xml:space="preserve"> </w:t>
      </w:r>
      <w:r w:rsidR="000772E0">
        <w:rPr>
          <w:szCs w:val="24"/>
        </w:rPr>
        <w:t>even in this category of</w:t>
      </w:r>
      <w:r w:rsidR="008B706A">
        <w:rPr>
          <w:szCs w:val="24"/>
        </w:rPr>
        <w:t xml:space="preserve"> cases</w:t>
      </w:r>
      <w:r>
        <w:rPr>
          <w:szCs w:val="24"/>
        </w:rPr>
        <w:t xml:space="preserve">.    </w:t>
      </w:r>
    </w:p>
    <w:p w:rsidR="00BC2AE9" w:rsidRDefault="00BC2AE9" w:rsidP="00152C62">
      <w:pPr>
        <w:autoSpaceDE w:val="0"/>
        <w:autoSpaceDN w:val="0"/>
        <w:adjustRightInd w:val="0"/>
        <w:spacing w:line="480" w:lineRule="auto"/>
        <w:ind w:left="0" w:firstLine="720"/>
        <w:rPr>
          <w:szCs w:val="24"/>
        </w:rPr>
      </w:pPr>
      <w:r>
        <w:rPr>
          <w:szCs w:val="24"/>
        </w:rPr>
        <w:t>Rows 7 and 8</w:t>
      </w:r>
      <w:r w:rsidR="000772E0">
        <w:rPr>
          <w:szCs w:val="24"/>
        </w:rPr>
        <w:t xml:space="preserve"> </w:t>
      </w:r>
      <w:r>
        <w:rPr>
          <w:szCs w:val="24"/>
        </w:rPr>
        <w:t>present the mean number of liberal briefs per case</w:t>
      </w:r>
      <w:r w:rsidR="008B706A">
        <w:rPr>
          <w:szCs w:val="24"/>
        </w:rPr>
        <w:t xml:space="preserve"> (4.44)</w:t>
      </w:r>
      <w:r>
        <w:rPr>
          <w:szCs w:val="24"/>
        </w:rPr>
        <w:t>, and the mean number of conservative briefs per case</w:t>
      </w:r>
      <w:r w:rsidR="008B706A">
        <w:rPr>
          <w:szCs w:val="24"/>
        </w:rPr>
        <w:t xml:space="preserve"> (3.86)</w:t>
      </w:r>
      <w:r>
        <w:rPr>
          <w:szCs w:val="24"/>
        </w:rPr>
        <w:t>, respectively.</w:t>
      </w:r>
      <w:r w:rsidR="008B706A">
        <w:rPr>
          <w:szCs w:val="24"/>
        </w:rPr>
        <w:t xml:space="preserve"> </w:t>
      </w:r>
      <w:r w:rsidR="008B3B9C">
        <w:rPr>
          <w:szCs w:val="24"/>
        </w:rPr>
        <w:t xml:space="preserve"> For every conservative amicus brief </w:t>
      </w:r>
      <w:r w:rsidR="008B3B9C">
        <w:rPr>
          <w:szCs w:val="24"/>
        </w:rPr>
        <w:lastRenderedPageBreak/>
        <w:t xml:space="preserve">that was filed, 1.15 liberal briefs were filed at the Roberts Court.  Liberal amicus briefs comprised 48.42 percent of total amicus briefs, while conservative amicus briefs comprised 42.18 percent of total briefs (with unspecifiable amicus briefs accounting for the remaining 9.32 percent). </w:t>
      </w:r>
      <w:r w:rsidR="008B706A">
        <w:rPr>
          <w:szCs w:val="24"/>
        </w:rPr>
        <w:t xml:space="preserve"> </w:t>
      </w:r>
      <w:r w:rsidR="00CD522B">
        <w:rPr>
          <w:szCs w:val="24"/>
        </w:rPr>
        <w:t>T</w:t>
      </w:r>
      <w:r w:rsidR="008B3B9C">
        <w:rPr>
          <w:szCs w:val="24"/>
        </w:rPr>
        <w:t>hese</w:t>
      </w:r>
      <w:r w:rsidR="008B706A">
        <w:rPr>
          <w:szCs w:val="24"/>
        </w:rPr>
        <w:t xml:space="preserve"> finding</w:t>
      </w:r>
      <w:r w:rsidR="008B3B9C">
        <w:rPr>
          <w:szCs w:val="24"/>
        </w:rPr>
        <w:t>s confirm</w:t>
      </w:r>
      <w:r w:rsidR="008B706A">
        <w:rPr>
          <w:szCs w:val="24"/>
        </w:rPr>
        <w:t xml:space="preserve"> that liberal and conservative bri</w:t>
      </w:r>
      <w:r w:rsidR="008B3B9C">
        <w:rPr>
          <w:szCs w:val="24"/>
        </w:rPr>
        <w:t>efs are relatively balanced at</w:t>
      </w:r>
      <w:r w:rsidR="008B706A">
        <w:rPr>
          <w:szCs w:val="24"/>
        </w:rPr>
        <w:t xml:space="preserve"> t</w:t>
      </w:r>
      <w:r w:rsidR="008B3B9C">
        <w:rPr>
          <w:szCs w:val="24"/>
        </w:rPr>
        <w:t xml:space="preserve">he Roberts Court. </w:t>
      </w:r>
      <w:r w:rsidR="000772E0">
        <w:rPr>
          <w:szCs w:val="24"/>
        </w:rPr>
        <w:t xml:space="preserve"> </w:t>
      </w:r>
      <w:r w:rsidR="008B3B9C">
        <w:rPr>
          <w:szCs w:val="24"/>
        </w:rPr>
        <w:t>I</w:t>
      </w:r>
      <w:r w:rsidR="000772E0">
        <w:rPr>
          <w:szCs w:val="24"/>
        </w:rPr>
        <w:t>t appears</w:t>
      </w:r>
      <w:r w:rsidR="008B3B9C">
        <w:rPr>
          <w:szCs w:val="24"/>
        </w:rPr>
        <w:t>, then,</w:t>
      </w:r>
      <w:r w:rsidR="000772E0">
        <w:rPr>
          <w:szCs w:val="24"/>
        </w:rPr>
        <w:t xml:space="preserve"> that</w:t>
      </w:r>
      <w:r w:rsidR="008B706A">
        <w:rPr>
          <w:szCs w:val="24"/>
        </w:rPr>
        <w:t xml:space="preserve"> count</w:t>
      </w:r>
      <w:r w:rsidR="000772E0">
        <w:rPr>
          <w:szCs w:val="24"/>
        </w:rPr>
        <w:t xml:space="preserve">eractive lobbying </w:t>
      </w:r>
      <w:r w:rsidR="008B706A">
        <w:rPr>
          <w:szCs w:val="24"/>
        </w:rPr>
        <w:t xml:space="preserve">is occurring among amici at the Roberts Court.  Liberal amicus briefs attract conservative responses, and vice versa.  </w:t>
      </w:r>
      <w:r w:rsidR="008B3B9C">
        <w:rPr>
          <w:szCs w:val="24"/>
        </w:rPr>
        <w:t>These</w:t>
      </w:r>
      <w:r w:rsidR="008C51EE">
        <w:rPr>
          <w:szCs w:val="24"/>
        </w:rPr>
        <w:t xml:space="preserve"> finding</w:t>
      </w:r>
      <w:r w:rsidR="008B3B9C">
        <w:rPr>
          <w:szCs w:val="24"/>
        </w:rPr>
        <w:t>s also provide</w:t>
      </w:r>
      <w:r w:rsidR="008C51EE">
        <w:rPr>
          <w:szCs w:val="24"/>
        </w:rPr>
        <w:t xml:space="preserve"> evidence that amici do not simply file briefs in cases they are predisposed to winning.  If this were the case, we would expect to see more conservative amicus briefs filed than liberal ones at the conservative Roberts Court</w:t>
      </w:r>
      <w:r w:rsidR="00DF0350">
        <w:rPr>
          <w:szCs w:val="24"/>
        </w:rPr>
        <w:t>.  B</w:t>
      </w:r>
      <w:r w:rsidR="008B3B9C">
        <w:rPr>
          <w:szCs w:val="24"/>
        </w:rPr>
        <w:t>ut the opposite is true</w:t>
      </w:r>
      <w:r w:rsidR="008C51EE">
        <w:rPr>
          <w:szCs w:val="24"/>
        </w:rPr>
        <w:t xml:space="preserve">. </w:t>
      </w:r>
      <w:r w:rsidR="008B3B9C">
        <w:rPr>
          <w:szCs w:val="24"/>
        </w:rPr>
        <w:t xml:space="preserve"> L</w:t>
      </w:r>
      <w:r w:rsidR="008C51EE">
        <w:rPr>
          <w:szCs w:val="24"/>
        </w:rPr>
        <w:t>iberal amicus briefs</w:t>
      </w:r>
      <w:r w:rsidR="000772E0">
        <w:rPr>
          <w:szCs w:val="24"/>
        </w:rPr>
        <w:t xml:space="preserve"> maintain</w:t>
      </w:r>
      <w:r w:rsidR="008B706A">
        <w:rPr>
          <w:szCs w:val="24"/>
        </w:rPr>
        <w:t xml:space="preserve"> an over .5 brief advantage on average over their conservative counterparts in all cases.</w:t>
      </w:r>
      <w:r w:rsidR="008B706A">
        <w:rPr>
          <w:rStyle w:val="FootnoteReference"/>
          <w:szCs w:val="24"/>
        </w:rPr>
        <w:footnoteReference w:id="72"/>
      </w:r>
      <w:r w:rsidR="008B706A">
        <w:rPr>
          <w:szCs w:val="24"/>
        </w:rPr>
        <w:t xml:space="preserve">  This finding is significant in that liberal a</w:t>
      </w:r>
      <w:r w:rsidR="008B3B9C">
        <w:rPr>
          <w:szCs w:val="24"/>
        </w:rPr>
        <w:t>micus briefs still have a modest</w:t>
      </w:r>
      <w:r w:rsidR="008B706A">
        <w:rPr>
          <w:szCs w:val="24"/>
        </w:rPr>
        <w:t xml:space="preserve"> advantage in terms of participation on what is widely regarded as a conservative Court.  Liberal amici apparently do not feel that lobbying the modestly conservative Robert Court is a lost cause; on the contrary, they </w:t>
      </w:r>
      <w:r w:rsidR="00382C4B">
        <w:rPr>
          <w:szCs w:val="24"/>
        </w:rPr>
        <w:t>seem to relish the challenge.</w:t>
      </w:r>
    </w:p>
    <w:p w:rsidR="0082221A" w:rsidRDefault="00DF0350" w:rsidP="0082221A">
      <w:pPr>
        <w:autoSpaceDE w:val="0"/>
        <w:autoSpaceDN w:val="0"/>
        <w:adjustRightInd w:val="0"/>
        <w:spacing w:line="480" w:lineRule="auto"/>
        <w:ind w:left="0" w:firstLine="720"/>
        <w:rPr>
          <w:szCs w:val="24"/>
        </w:rPr>
      </w:pPr>
      <w:r>
        <w:rPr>
          <w:szCs w:val="24"/>
        </w:rPr>
        <w:t>Comparing the issue areas, r</w:t>
      </w:r>
      <w:r w:rsidR="00DF1C8E">
        <w:rPr>
          <w:szCs w:val="24"/>
        </w:rPr>
        <w:t>ows 7 and 8 show that liberal and conservative briefs are most closely balanced in economics cases (4.44 vs. 4.27); while civil rights and liberties cases have the greatest difference between liberal and conservative briefs per case (</w:t>
      </w:r>
      <w:r w:rsidR="000539CB">
        <w:rPr>
          <w:szCs w:val="24"/>
        </w:rPr>
        <w:t>5.19 vs. 4.04).  Judicial power and federalism is the only category of cases in which conservative brief outnumber liberal briefs on average (5.36 to 4.79).</w:t>
      </w:r>
    </w:p>
    <w:p w:rsidR="00AB1CBB" w:rsidRDefault="000539CB" w:rsidP="0082221A">
      <w:pPr>
        <w:autoSpaceDE w:val="0"/>
        <w:autoSpaceDN w:val="0"/>
        <w:adjustRightInd w:val="0"/>
        <w:spacing w:line="480" w:lineRule="auto"/>
        <w:ind w:left="0" w:firstLine="720"/>
        <w:rPr>
          <w:szCs w:val="24"/>
        </w:rPr>
      </w:pPr>
      <w:r>
        <w:rPr>
          <w:szCs w:val="24"/>
        </w:rPr>
        <w:lastRenderedPageBreak/>
        <w:t>Row 10</w:t>
      </w:r>
      <w:r w:rsidR="002013F2">
        <w:rPr>
          <w:szCs w:val="24"/>
        </w:rPr>
        <w:t xml:space="preserve"> of Table 4.1</w:t>
      </w:r>
      <w:r w:rsidR="00382C4B">
        <w:rPr>
          <w:szCs w:val="24"/>
        </w:rPr>
        <w:t xml:space="preserve"> shows the maximum number of briefs filed in</w:t>
      </w:r>
      <w:r w:rsidR="001265A1">
        <w:rPr>
          <w:szCs w:val="24"/>
        </w:rPr>
        <w:t xml:space="preserve"> a case for each issue area, and all areas combined</w:t>
      </w:r>
      <w:r w:rsidR="001265A1">
        <w:rPr>
          <w:rStyle w:val="FootnoteReference"/>
          <w:szCs w:val="24"/>
        </w:rPr>
        <w:footnoteReference w:id="73"/>
      </w:r>
      <w:r w:rsidR="00382C4B">
        <w:rPr>
          <w:szCs w:val="24"/>
        </w:rPr>
        <w:t xml:space="preserve">.  </w:t>
      </w:r>
      <w:r w:rsidR="00382C4B">
        <w:rPr>
          <w:i/>
          <w:szCs w:val="24"/>
        </w:rPr>
        <w:t xml:space="preserve">Department of Health and Human Services v. Florida </w:t>
      </w:r>
      <w:r w:rsidR="00382C4B">
        <w:rPr>
          <w:szCs w:val="24"/>
        </w:rPr>
        <w:t>(2011 term) attracted th</w:t>
      </w:r>
      <w:r w:rsidR="0030128C">
        <w:rPr>
          <w:szCs w:val="24"/>
        </w:rPr>
        <w:t xml:space="preserve">e </w:t>
      </w:r>
      <w:r w:rsidR="001265A1">
        <w:rPr>
          <w:szCs w:val="24"/>
        </w:rPr>
        <w:t>most amicus br</w:t>
      </w:r>
      <w:r w:rsidR="00DF1C8E">
        <w:rPr>
          <w:szCs w:val="24"/>
        </w:rPr>
        <w:t>iefs of any case,</w:t>
      </w:r>
      <w:r w:rsidR="004D650F">
        <w:rPr>
          <w:szCs w:val="24"/>
        </w:rPr>
        <w:t xml:space="preserve"> </w:t>
      </w:r>
      <w:r w:rsidR="0030128C">
        <w:rPr>
          <w:szCs w:val="24"/>
        </w:rPr>
        <w:t>with</w:t>
      </w:r>
      <w:r w:rsidR="00382C4B">
        <w:rPr>
          <w:szCs w:val="24"/>
        </w:rPr>
        <w:t xml:space="preserve"> 87</w:t>
      </w:r>
      <w:r w:rsidR="00014355">
        <w:rPr>
          <w:szCs w:val="24"/>
        </w:rPr>
        <w:t xml:space="preserve"> briefs filed</w:t>
      </w:r>
      <w:r w:rsidR="00382C4B">
        <w:rPr>
          <w:szCs w:val="24"/>
        </w:rPr>
        <w:t xml:space="preserve">.   </w:t>
      </w:r>
      <w:r w:rsidR="00CD522B">
        <w:rPr>
          <w:szCs w:val="24"/>
        </w:rPr>
        <w:t>This particular case was a part of the broader consolidated health care law case involving the constitutionality of the Patient Protection and Affor</w:t>
      </w:r>
      <w:r w:rsidR="0028659C">
        <w:rPr>
          <w:szCs w:val="24"/>
        </w:rPr>
        <w:t xml:space="preserve">dable Care Act, which consolidated three docket numbers into one case:  </w:t>
      </w:r>
      <w:r w:rsidR="0028659C">
        <w:rPr>
          <w:i/>
          <w:szCs w:val="24"/>
        </w:rPr>
        <w:t xml:space="preserve">Department of Health and Human Services v. Florida </w:t>
      </w:r>
      <w:r w:rsidR="0028659C">
        <w:rPr>
          <w:szCs w:val="24"/>
        </w:rPr>
        <w:t>(11-398</w:t>
      </w:r>
      <w:r w:rsidR="00014355">
        <w:rPr>
          <w:szCs w:val="24"/>
        </w:rPr>
        <w:t>; 87 briefs</w:t>
      </w:r>
      <w:r w:rsidR="0028659C">
        <w:rPr>
          <w:szCs w:val="24"/>
        </w:rPr>
        <w:t xml:space="preserve">); </w:t>
      </w:r>
      <w:r w:rsidR="0028659C">
        <w:rPr>
          <w:i/>
          <w:szCs w:val="24"/>
        </w:rPr>
        <w:t>Florida vs. Department of Health and Human Services</w:t>
      </w:r>
      <w:r w:rsidR="004D650F">
        <w:rPr>
          <w:i/>
          <w:szCs w:val="24"/>
        </w:rPr>
        <w:t xml:space="preserve"> </w:t>
      </w:r>
      <w:r w:rsidR="0028659C">
        <w:rPr>
          <w:szCs w:val="24"/>
        </w:rPr>
        <w:t>(11-400</w:t>
      </w:r>
      <w:r w:rsidR="00014355">
        <w:rPr>
          <w:szCs w:val="24"/>
        </w:rPr>
        <w:t>; 52 briefs</w:t>
      </w:r>
      <w:r w:rsidR="0028659C">
        <w:rPr>
          <w:szCs w:val="24"/>
        </w:rPr>
        <w:t xml:space="preserve">); and </w:t>
      </w:r>
      <w:r w:rsidR="0028659C" w:rsidRPr="0028659C">
        <w:rPr>
          <w:i/>
          <w:szCs w:val="24"/>
        </w:rPr>
        <w:t xml:space="preserve">National Federation of Independent Business vs. </w:t>
      </w:r>
      <w:proofErr w:type="spellStart"/>
      <w:r w:rsidR="0028659C" w:rsidRPr="0028659C">
        <w:rPr>
          <w:i/>
          <w:szCs w:val="24"/>
        </w:rPr>
        <w:t>Sebelius</w:t>
      </w:r>
      <w:proofErr w:type="spellEnd"/>
      <w:r w:rsidR="0028659C" w:rsidRPr="0028659C">
        <w:rPr>
          <w:i/>
          <w:szCs w:val="24"/>
        </w:rPr>
        <w:t xml:space="preserve"> </w:t>
      </w:r>
      <w:r w:rsidR="0028659C">
        <w:rPr>
          <w:szCs w:val="24"/>
        </w:rPr>
        <w:t>(11-393</w:t>
      </w:r>
      <w:r w:rsidR="00014355">
        <w:rPr>
          <w:szCs w:val="24"/>
        </w:rPr>
        <w:t>; 29 briefs</w:t>
      </w:r>
      <w:r w:rsidR="0028659C">
        <w:rPr>
          <w:szCs w:val="24"/>
        </w:rPr>
        <w:t>)</w:t>
      </w:r>
      <w:r w:rsidR="00014355">
        <w:rPr>
          <w:szCs w:val="24"/>
        </w:rPr>
        <w:t xml:space="preserve">.  </w:t>
      </w:r>
      <w:r w:rsidR="00014355" w:rsidRPr="000B6661">
        <w:rPr>
          <w:szCs w:val="24"/>
        </w:rPr>
        <w:t>Altogether, this consolidated health care law case was accompanied by the filing of 168 amicus briefs, 136 of which were unique, and 3</w:t>
      </w:r>
      <w:r w:rsidR="000B6661">
        <w:rPr>
          <w:szCs w:val="24"/>
        </w:rPr>
        <w:t>2 of which were the same brief</w:t>
      </w:r>
      <w:r w:rsidR="00014355" w:rsidRPr="000B6661">
        <w:rPr>
          <w:szCs w:val="24"/>
        </w:rPr>
        <w:t xml:space="preserve"> filed in more than one of these three docket numbers.</w:t>
      </w:r>
      <w:r w:rsidR="00014355">
        <w:rPr>
          <w:color w:val="FF0000"/>
          <w:szCs w:val="24"/>
        </w:rPr>
        <w:t xml:space="preserve">  </w:t>
      </w:r>
      <w:r w:rsidR="00014355">
        <w:rPr>
          <w:szCs w:val="24"/>
        </w:rPr>
        <w:t xml:space="preserve">This case set the all-time USSC record for number of amicus brief filings. </w:t>
      </w:r>
      <w:r w:rsidR="0030128C">
        <w:rPr>
          <w:szCs w:val="24"/>
        </w:rPr>
        <w:t xml:space="preserve"> The criminal procedure case that attracted the most amicus participation (68 briefs), was </w:t>
      </w:r>
      <w:r w:rsidR="0030128C">
        <w:rPr>
          <w:i/>
          <w:szCs w:val="24"/>
        </w:rPr>
        <w:t xml:space="preserve">District of Columbia v. Heller </w:t>
      </w:r>
      <w:r w:rsidR="004D650F">
        <w:rPr>
          <w:szCs w:val="24"/>
        </w:rPr>
        <w:t>(2007 term), involving the consti</w:t>
      </w:r>
      <w:r w:rsidR="0090420F">
        <w:rPr>
          <w:szCs w:val="24"/>
        </w:rPr>
        <w:t>tutionality of District of Columbia’s gun restrictions and whether the Second Amendment protects an individual’s right to own a firearm for purposes of self-defense</w:t>
      </w:r>
      <w:r w:rsidR="0030128C">
        <w:rPr>
          <w:szCs w:val="24"/>
        </w:rPr>
        <w:t xml:space="preserve">.   The civil rights and liberties case with the most amicus briefs (53) was </w:t>
      </w:r>
      <w:r w:rsidR="0030128C">
        <w:rPr>
          <w:i/>
          <w:szCs w:val="24"/>
        </w:rPr>
        <w:t xml:space="preserve">Citizens United v.  Federal Election Commission </w:t>
      </w:r>
      <w:r w:rsidR="0090420F">
        <w:rPr>
          <w:szCs w:val="24"/>
        </w:rPr>
        <w:t xml:space="preserve">(2009 term), regarding whether the First Amendment prohibits the government from restricting independent political expenditures by corporations, associations, and labor unions. </w:t>
      </w:r>
      <w:r w:rsidR="0030128C">
        <w:rPr>
          <w:szCs w:val="24"/>
        </w:rPr>
        <w:t xml:space="preserve">  The economics case having the most amicus briefs (69) was </w:t>
      </w:r>
      <w:proofErr w:type="spellStart"/>
      <w:r w:rsidR="0030128C">
        <w:rPr>
          <w:i/>
          <w:szCs w:val="24"/>
        </w:rPr>
        <w:t>Bilski</w:t>
      </w:r>
      <w:proofErr w:type="spellEnd"/>
      <w:r w:rsidR="0030128C">
        <w:rPr>
          <w:i/>
          <w:szCs w:val="24"/>
        </w:rPr>
        <w:t xml:space="preserve"> v. </w:t>
      </w:r>
      <w:proofErr w:type="spellStart"/>
      <w:r w:rsidR="0030128C">
        <w:rPr>
          <w:i/>
          <w:szCs w:val="24"/>
        </w:rPr>
        <w:t>Kappos</w:t>
      </w:r>
      <w:proofErr w:type="spellEnd"/>
      <w:r w:rsidR="0030128C">
        <w:rPr>
          <w:i/>
          <w:szCs w:val="24"/>
        </w:rPr>
        <w:t xml:space="preserve">, </w:t>
      </w:r>
      <w:r w:rsidR="00DF1C8E">
        <w:rPr>
          <w:szCs w:val="24"/>
        </w:rPr>
        <w:t xml:space="preserve">involving a patent dispute over whether business methods could be patented. </w:t>
      </w:r>
    </w:p>
    <w:p w:rsidR="00A537FA" w:rsidRDefault="00AB1CBB" w:rsidP="00AB1CBB">
      <w:pPr>
        <w:autoSpaceDE w:val="0"/>
        <w:autoSpaceDN w:val="0"/>
        <w:adjustRightInd w:val="0"/>
        <w:spacing w:line="480" w:lineRule="auto"/>
        <w:ind w:left="0" w:firstLine="720"/>
        <w:rPr>
          <w:szCs w:val="24"/>
        </w:rPr>
      </w:pPr>
      <w:r>
        <w:rPr>
          <w:szCs w:val="24"/>
        </w:rPr>
        <w:t xml:space="preserve">Table A.1, located in the Appendix, lists a ranking of all cases during the 2007-2011 terms of the Roberts that were accompanied by at least 25 amicus briefs.  This table provides information regarding the case name, docket number, term, vote, ideological direction of the </w:t>
      </w:r>
      <w:r>
        <w:rPr>
          <w:szCs w:val="24"/>
        </w:rPr>
        <w:lastRenderedPageBreak/>
        <w:t xml:space="preserve">decision, specific number of amicus briefs, </w:t>
      </w:r>
      <w:proofErr w:type="gramStart"/>
      <w:r>
        <w:rPr>
          <w:szCs w:val="24"/>
        </w:rPr>
        <w:t>the</w:t>
      </w:r>
      <w:proofErr w:type="gramEnd"/>
      <w:r>
        <w:rPr>
          <w:szCs w:val="24"/>
        </w:rPr>
        <w:t xml:space="preserve"> net difference in the number of liberal and conservative briefs in the case, along with a brief description of the case holding.  </w:t>
      </w:r>
    </w:p>
    <w:p w:rsidR="000539CB" w:rsidRDefault="000539CB" w:rsidP="000539CB">
      <w:pPr>
        <w:autoSpaceDE w:val="0"/>
        <w:autoSpaceDN w:val="0"/>
        <w:adjustRightInd w:val="0"/>
        <w:spacing w:line="480" w:lineRule="auto"/>
        <w:ind w:left="0" w:firstLine="720"/>
        <w:rPr>
          <w:szCs w:val="24"/>
        </w:rPr>
      </w:pPr>
      <w:r>
        <w:rPr>
          <w:szCs w:val="24"/>
        </w:rPr>
        <w:t>Row 12 demonstrates that the USSC decides more civil rights and liberties cases than any other category, followed by criminal procedure, economics, and judicial power and federalism cases, respectively.  This helps explain, in part, why civil liberties and rights cases attract more amicus briefs, in absolute numbers, than the other categories, as we know from Row 6 that economics and judicial power and federalism cases attracted slightly more amicus briefs on average per case than did civil rights and liberties cases.</w:t>
      </w:r>
    </w:p>
    <w:p w:rsidR="0082221A" w:rsidRDefault="0082221A" w:rsidP="0082221A">
      <w:pPr>
        <w:autoSpaceDE w:val="0"/>
        <w:autoSpaceDN w:val="0"/>
        <w:adjustRightInd w:val="0"/>
        <w:spacing w:line="480" w:lineRule="auto"/>
        <w:ind w:left="0" w:firstLine="720"/>
        <w:rPr>
          <w:szCs w:val="24"/>
        </w:rPr>
      </w:pPr>
      <w:r>
        <w:rPr>
          <w:szCs w:val="24"/>
        </w:rPr>
        <w:t>Table 4.2 presents information on the total number of amicus brief cosigners during the 2007-2011 terms, as well as across four basic issue areas.  Rows 1 and 2 of Table 4.2 present the total number of amicus cosigners in each issue area, along with the ratio of cosigners to briefs in each issue area.  24,476 amici signed briefs from 2007-2011 terms, with judicial power and federalism cases having the most cosigners (7,484), followed, in order, by criminal procedure (7,131), civil rights and liberties (</w:t>
      </w:r>
      <w:r w:rsidRPr="00747086">
        <w:rPr>
          <w:rFonts w:eastAsia="Times New Roman" w:cs="Times New Roman"/>
          <w:sz w:val="22"/>
        </w:rPr>
        <w:t>6,132</w:t>
      </w:r>
      <w:r>
        <w:rPr>
          <w:szCs w:val="24"/>
        </w:rPr>
        <w:t>), and economics (</w:t>
      </w:r>
      <w:r>
        <w:rPr>
          <w:rFonts w:eastAsia="Times New Roman" w:cs="Times New Roman"/>
          <w:sz w:val="22"/>
        </w:rPr>
        <w:t>3,632</w:t>
      </w:r>
      <w:r>
        <w:rPr>
          <w:szCs w:val="24"/>
        </w:rPr>
        <w:t xml:space="preserve">) cases.  Comparing the total number of amicus cosigners (24,476) to the total number of amicus briefs (3,639) at the Roberts Courts, we see that for every one amicus brief that is filed, an average of 6.7 amici cosign such briefs.  It should be obvious then, that one must look beyond simply amicus briefs, to amicus cosigners, when assessing amicus participation, otherwise one is left with an incomplete picture of the nature and extent of amicus participation and impact at the Roberts Court. </w:t>
      </w:r>
    </w:p>
    <w:p w:rsidR="00617C8A" w:rsidRDefault="0082221A" w:rsidP="00617C8A">
      <w:pPr>
        <w:autoSpaceDE w:val="0"/>
        <w:autoSpaceDN w:val="0"/>
        <w:adjustRightInd w:val="0"/>
        <w:spacing w:line="480" w:lineRule="auto"/>
        <w:ind w:left="0" w:firstLine="720"/>
        <w:rPr>
          <w:szCs w:val="24"/>
        </w:rPr>
      </w:pPr>
      <w:r>
        <w:rPr>
          <w:szCs w:val="24"/>
        </w:rPr>
        <w:t xml:space="preserve">When comparing Tables 4.1 and 4.2, one can see that amicus cosigner participation presents quite a different story to that of amicus brief participation across issue areas.  While judicial power and federalism cases ranked third in terms of numbers of briefs filed, they ranked first in the number of amicus cosigners of the four issue areas. And while criminal procedure </w:t>
      </w:r>
    </w:p>
    <w:p w:rsidR="00617C8A" w:rsidRPr="00617C8A" w:rsidRDefault="00617C8A" w:rsidP="00617C8A">
      <w:pPr>
        <w:autoSpaceDE w:val="0"/>
        <w:autoSpaceDN w:val="0"/>
        <w:adjustRightInd w:val="0"/>
        <w:spacing w:line="480" w:lineRule="auto"/>
        <w:ind w:left="0" w:firstLine="0"/>
        <w:rPr>
          <w:szCs w:val="24"/>
        </w:rPr>
      </w:pPr>
      <w:proofErr w:type="gramStart"/>
      <w:r>
        <w:rPr>
          <w:b/>
          <w:szCs w:val="24"/>
        </w:rPr>
        <w:lastRenderedPageBreak/>
        <w:t>Table 4.2.</w:t>
      </w:r>
      <w:proofErr w:type="gramEnd"/>
      <w:r>
        <w:rPr>
          <w:b/>
          <w:szCs w:val="24"/>
        </w:rPr>
        <w:t xml:space="preserve">  Amicus Curiae Cosigners by Issue Areas, 2007-2011 Terms</w:t>
      </w:r>
    </w:p>
    <w:tbl>
      <w:tblPr>
        <w:tblW w:w="0" w:type="auto"/>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35"/>
        <w:gridCol w:w="1524"/>
        <w:gridCol w:w="1628"/>
        <w:gridCol w:w="1316"/>
        <w:gridCol w:w="1619"/>
        <w:gridCol w:w="1261"/>
      </w:tblGrid>
      <w:tr w:rsidR="00617C8A" w:rsidRPr="00747086" w:rsidTr="002D72FB">
        <w:trPr>
          <w:trHeight w:val="864"/>
        </w:trPr>
        <w:tc>
          <w:tcPr>
            <w:tcW w:w="0" w:type="auto"/>
            <w:tcBorders>
              <w:top w:val="single" w:sz="18" w:space="0" w:color="auto"/>
              <w:left w:val="nil"/>
              <w:bottom w:val="single" w:sz="18" w:space="0" w:color="auto"/>
            </w:tcBorders>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p>
        </w:tc>
        <w:tc>
          <w:tcPr>
            <w:tcW w:w="0" w:type="auto"/>
            <w:tcBorders>
              <w:top w:val="single" w:sz="18" w:space="0" w:color="auto"/>
              <w:bottom w:val="single" w:sz="18" w:space="0" w:color="auto"/>
            </w:tcBorders>
            <w:shd w:val="clear" w:color="auto" w:fill="auto"/>
            <w:vAlign w:val="center"/>
            <w:hideMark/>
          </w:tcPr>
          <w:p w:rsidR="00617C8A" w:rsidRPr="00747086" w:rsidRDefault="00617C8A" w:rsidP="002D72FB">
            <w:pPr>
              <w:ind w:left="0" w:firstLine="0"/>
              <w:jc w:val="center"/>
              <w:rPr>
                <w:rFonts w:eastAsia="Times New Roman" w:cs="Times New Roman"/>
                <w:bCs/>
                <w:color w:val="000000"/>
                <w:sz w:val="22"/>
              </w:rPr>
            </w:pPr>
            <w:r w:rsidRPr="00747086">
              <w:rPr>
                <w:rFonts w:eastAsia="Times New Roman" w:cs="Times New Roman"/>
                <w:bCs/>
                <w:color w:val="000000"/>
                <w:sz w:val="22"/>
              </w:rPr>
              <w:t>Criminal Procedure</w:t>
            </w:r>
          </w:p>
        </w:tc>
        <w:tc>
          <w:tcPr>
            <w:tcW w:w="0" w:type="auto"/>
            <w:tcBorders>
              <w:top w:val="single" w:sz="18" w:space="0" w:color="auto"/>
              <w:bottom w:val="single" w:sz="18" w:space="0" w:color="auto"/>
            </w:tcBorders>
            <w:shd w:val="clear" w:color="auto" w:fill="auto"/>
            <w:vAlign w:val="center"/>
            <w:hideMark/>
          </w:tcPr>
          <w:p w:rsidR="00617C8A" w:rsidRPr="00747086" w:rsidRDefault="00617C8A" w:rsidP="002D72FB">
            <w:pPr>
              <w:ind w:left="0" w:firstLine="0"/>
              <w:jc w:val="center"/>
              <w:rPr>
                <w:rFonts w:eastAsia="Times New Roman" w:cs="Times New Roman"/>
                <w:bCs/>
                <w:color w:val="000000"/>
                <w:sz w:val="22"/>
              </w:rPr>
            </w:pPr>
            <w:r w:rsidRPr="00747086">
              <w:rPr>
                <w:rFonts w:eastAsia="Times New Roman" w:cs="Times New Roman"/>
                <w:bCs/>
                <w:color w:val="000000"/>
                <w:sz w:val="22"/>
              </w:rPr>
              <w:t xml:space="preserve">Civil Rights </w:t>
            </w:r>
            <w:r>
              <w:rPr>
                <w:rFonts w:eastAsia="Times New Roman" w:cs="Times New Roman"/>
                <w:bCs/>
                <w:color w:val="000000"/>
                <w:sz w:val="22"/>
              </w:rPr>
              <w:t>and</w:t>
            </w:r>
            <w:r w:rsidRPr="00747086">
              <w:rPr>
                <w:rFonts w:eastAsia="Times New Roman" w:cs="Times New Roman"/>
                <w:bCs/>
                <w:color w:val="000000"/>
                <w:sz w:val="22"/>
              </w:rPr>
              <w:t xml:space="preserve"> Liberties</w:t>
            </w:r>
          </w:p>
        </w:tc>
        <w:tc>
          <w:tcPr>
            <w:tcW w:w="0" w:type="auto"/>
            <w:tcBorders>
              <w:top w:val="single" w:sz="18" w:space="0" w:color="auto"/>
              <w:bottom w:val="single" w:sz="18" w:space="0" w:color="auto"/>
            </w:tcBorders>
            <w:shd w:val="clear" w:color="auto" w:fill="auto"/>
            <w:noWrap/>
            <w:vAlign w:val="center"/>
            <w:hideMark/>
          </w:tcPr>
          <w:p w:rsidR="00617C8A" w:rsidRPr="00747086" w:rsidRDefault="00617C8A" w:rsidP="002D72FB">
            <w:pPr>
              <w:ind w:left="0" w:firstLine="0"/>
              <w:jc w:val="center"/>
              <w:rPr>
                <w:rFonts w:eastAsia="Times New Roman" w:cs="Times New Roman"/>
                <w:bCs/>
                <w:color w:val="000000"/>
                <w:sz w:val="22"/>
              </w:rPr>
            </w:pPr>
            <w:r w:rsidRPr="00747086">
              <w:rPr>
                <w:rFonts w:eastAsia="Times New Roman" w:cs="Times New Roman"/>
                <w:bCs/>
                <w:color w:val="000000"/>
                <w:sz w:val="22"/>
              </w:rPr>
              <w:t>Economics</w:t>
            </w:r>
          </w:p>
        </w:tc>
        <w:tc>
          <w:tcPr>
            <w:tcW w:w="0" w:type="auto"/>
            <w:tcBorders>
              <w:top w:val="single" w:sz="18" w:space="0" w:color="auto"/>
              <w:bottom w:val="single" w:sz="18" w:space="0" w:color="auto"/>
            </w:tcBorders>
            <w:shd w:val="clear" w:color="auto" w:fill="auto"/>
            <w:vAlign w:val="center"/>
            <w:hideMark/>
          </w:tcPr>
          <w:p w:rsidR="00617C8A" w:rsidRPr="00747086" w:rsidRDefault="00617C8A" w:rsidP="002D72FB">
            <w:pPr>
              <w:ind w:left="0" w:firstLine="0"/>
              <w:jc w:val="center"/>
              <w:rPr>
                <w:rFonts w:eastAsia="Times New Roman" w:cs="Times New Roman"/>
                <w:bCs/>
                <w:color w:val="000000"/>
                <w:sz w:val="22"/>
              </w:rPr>
            </w:pPr>
            <w:r w:rsidRPr="00747086">
              <w:rPr>
                <w:rFonts w:eastAsia="Times New Roman" w:cs="Times New Roman"/>
                <w:bCs/>
                <w:color w:val="000000"/>
                <w:sz w:val="22"/>
              </w:rPr>
              <w:t xml:space="preserve">Judicial Power </w:t>
            </w:r>
            <w:r>
              <w:rPr>
                <w:rFonts w:eastAsia="Times New Roman" w:cs="Times New Roman"/>
                <w:bCs/>
                <w:color w:val="000000"/>
                <w:sz w:val="22"/>
              </w:rPr>
              <w:t>and</w:t>
            </w:r>
            <w:r w:rsidRPr="00747086">
              <w:rPr>
                <w:rFonts w:eastAsia="Times New Roman" w:cs="Times New Roman"/>
                <w:bCs/>
                <w:color w:val="000000"/>
                <w:sz w:val="22"/>
              </w:rPr>
              <w:t xml:space="preserve"> Federalism</w:t>
            </w:r>
          </w:p>
        </w:tc>
        <w:tc>
          <w:tcPr>
            <w:tcW w:w="0" w:type="auto"/>
            <w:tcBorders>
              <w:top w:val="single" w:sz="18" w:space="0" w:color="auto"/>
              <w:bottom w:val="single" w:sz="18" w:space="0" w:color="auto"/>
              <w:right w:val="nil"/>
            </w:tcBorders>
            <w:shd w:val="clear" w:color="auto" w:fill="auto"/>
            <w:vAlign w:val="center"/>
            <w:hideMark/>
          </w:tcPr>
          <w:p w:rsidR="00617C8A" w:rsidRPr="00747086" w:rsidRDefault="00617C8A" w:rsidP="002D72FB">
            <w:pPr>
              <w:ind w:left="0" w:firstLine="0"/>
              <w:jc w:val="center"/>
              <w:rPr>
                <w:rFonts w:eastAsia="Times New Roman" w:cs="Times New Roman"/>
                <w:bCs/>
                <w:color w:val="000000"/>
                <w:sz w:val="22"/>
              </w:rPr>
            </w:pPr>
            <w:r w:rsidRPr="00747086">
              <w:rPr>
                <w:rFonts w:eastAsia="Times New Roman" w:cs="Times New Roman"/>
                <w:bCs/>
                <w:color w:val="000000"/>
                <w:sz w:val="22"/>
              </w:rPr>
              <w:t>Totals</w:t>
            </w:r>
          </w:p>
        </w:tc>
      </w:tr>
      <w:tr w:rsidR="00617C8A" w:rsidRPr="00747086" w:rsidTr="002D72FB">
        <w:trPr>
          <w:trHeight w:val="864"/>
        </w:trPr>
        <w:tc>
          <w:tcPr>
            <w:tcW w:w="0" w:type="auto"/>
            <w:tcBorders>
              <w:top w:val="single" w:sz="18" w:space="0" w:color="auto"/>
              <w:left w:val="nil"/>
              <w:bottom w:val="nil"/>
            </w:tcBorders>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Number of Amicus Cosigners</w:t>
            </w:r>
          </w:p>
        </w:tc>
        <w:tc>
          <w:tcPr>
            <w:tcW w:w="0" w:type="auto"/>
            <w:tcBorders>
              <w:top w:val="single" w:sz="18" w:space="0" w:color="auto"/>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7,131</w:t>
            </w:r>
          </w:p>
        </w:tc>
        <w:tc>
          <w:tcPr>
            <w:tcW w:w="0" w:type="auto"/>
            <w:tcBorders>
              <w:top w:val="single" w:sz="18" w:space="0" w:color="auto"/>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6,132</w:t>
            </w:r>
          </w:p>
        </w:tc>
        <w:tc>
          <w:tcPr>
            <w:tcW w:w="0" w:type="auto"/>
            <w:tcBorders>
              <w:top w:val="single" w:sz="18" w:space="0" w:color="auto"/>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3,632</w:t>
            </w:r>
          </w:p>
        </w:tc>
        <w:tc>
          <w:tcPr>
            <w:tcW w:w="0" w:type="auto"/>
            <w:tcBorders>
              <w:top w:val="single" w:sz="18" w:space="0" w:color="auto"/>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7,484</w:t>
            </w:r>
          </w:p>
        </w:tc>
        <w:tc>
          <w:tcPr>
            <w:tcW w:w="0" w:type="auto"/>
            <w:tcBorders>
              <w:top w:val="single" w:sz="18" w:space="0" w:color="auto"/>
              <w:bottom w:val="nil"/>
              <w:right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24,476</w:t>
            </w:r>
          </w:p>
        </w:tc>
      </w:tr>
      <w:tr w:rsidR="00617C8A" w:rsidRPr="00747086" w:rsidTr="002D72FB">
        <w:trPr>
          <w:trHeight w:val="864"/>
        </w:trPr>
        <w:tc>
          <w:tcPr>
            <w:tcW w:w="0" w:type="auto"/>
            <w:tcBorders>
              <w:top w:val="nil"/>
              <w:left w:val="nil"/>
              <w:bottom w:val="nil"/>
            </w:tcBorders>
            <w:shd w:val="clear" w:color="auto" w:fill="auto"/>
            <w:vAlign w:val="center"/>
          </w:tcPr>
          <w:p w:rsidR="00617C8A" w:rsidRPr="00747086" w:rsidRDefault="00617C8A" w:rsidP="002D72FB">
            <w:pPr>
              <w:ind w:left="0" w:firstLine="0"/>
              <w:jc w:val="center"/>
              <w:rPr>
                <w:rFonts w:eastAsia="Times New Roman" w:cs="Times New Roman"/>
                <w:b/>
                <w:bCs/>
                <w:color w:val="000000"/>
                <w:sz w:val="22"/>
              </w:rPr>
            </w:pPr>
            <w:r>
              <w:rPr>
                <w:rFonts w:eastAsia="Times New Roman" w:cs="Times New Roman"/>
                <w:b/>
                <w:bCs/>
                <w:color w:val="000000"/>
                <w:sz w:val="22"/>
              </w:rPr>
              <w:t>Ratio of Cosigners to Briefs</w:t>
            </w:r>
          </w:p>
        </w:tc>
        <w:tc>
          <w:tcPr>
            <w:tcW w:w="0" w:type="auto"/>
            <w:tcBorders>
              <w:top w:val="nil"/>
              <w:bottom w:val="nil"/>
            </w:tcBorders>
            <w:shd w:val="clear" w:color="auto" w:fill="auto"/>
            <w:noWrap/>
            <w:vAlign w:val="center"/>
          </w:tcPr>
          <w:p w:rsidR="00617C8A" w:rsidRPr="00747086" w:rsidRDefault="00617C8A" w:rsidP="002D72FB">
            <w:pPr>
              <w:ind w:left="0" w:firstLine="0"/>
              <w:jc w:val="center"/>
              <w:rPr>
                <w:rFonts w:eastAsia="Times New Roman" w:cs="Times New Roman"/>
                <w:sz w:val="22"/>
              </w:rPr>
            </w:pPr>
            <w:r>
              <w:rPr>
                <w:rFonts w:eastAsia="Times New Roman" w:cs="Times New Roman"/>
                <w:sz w:val="22"/>
              </w:rPr>
              <w:t>11.2 to 1</w:t>
            </w:r>
          </w:p>
        </w:tc>
        <w:tc>
          <w:tcPr>
            <w:tcW w:w="0" w:type="auto"/>
            <w:tcBorders>
              <w:top w:val="nil"/>
              <w:bottom w:val="nil"/>
            </w:tcBorders>
            <w:shd w:val="clear" w:color="auto" w:fill="auto"/>
            <w:noWrap/>
            <w:vAlign w:val="center"/>
          </w:tcPr>
          <w:p w:rsidR="00617C8A" w:rsidRPr="00747086" w:rsidRDefault="00617C8A" w:rsidP="002D72FB">
            <w:pPr>
              <w:ind w:left="0" w:firstLine="0"/>
              <w:jc w:val="center"/>
              <w:rPr>
                <w:rFonts w:eastAsia="Times New Roman" w:cs="Times New Roman"/>
                <w:sz w:val="22"/>
              </w:rPr>
            </w:pPr>
            <w:r>
              <w:rPr>
                <w:rFonts w:eastAsia="Times New Roman" w:cs="Times New Roman"/>
                <w:sz w:val="22"/>
              </w:rPr>
              <w:t>5.1 to 1</w:t>
            </w:r>
          </w:p>
        </w:tc>
        <w:tc>
          <w:tcPr>
            <w:tcW w:w="0" w:type="auto"/>
            <w:tcBorders>
              <w:top w:val="nil"/>
              <w:bottom w:val="nil"/>
            </w:tcBorders>
            <w:shd w:val="clear" w:color="auto" w:fill="auto"/>
            <w:noWrap/>
            <w:vAlign w:val="center"/>
          </w:tcPr>
          <w:p w:rsidR="00617C8A" w:rsidRPr="00747086" w:rsidRDefault="00617C8A" w:rsidP="002D72FB">
            <w:pPr>
              <w:ind w:left="0" w:firstLine="0"/>
              <w:jc w:val="center"/>
              <w:rPr>
                <w:rFonts w:eastAsia="Times New Roman" w:cs="Times New Roman"/>
                <w:sz w:val="22"/>
              </w:rPr>
            </w:pPr>
            <w:r>
              <w:rPr>
                <w:rFonts w:eastAsia="Times New Roman" w:cs="Times New Roman"/>
                <w:sz w:val="22"/>
              </w:rPr>
              <w:t>3.8 to 1</w:t>
            </w:r>
          </w:p>
        </w:tc>
        <w:tc>
          <w:tcPr>
            <w:tcW w:w="0" w:type="auto"/>
            <w:tcBorders>
              <w:top w:val="nil"/>
              <w:bottom w:val="nil"/>
            </w:tcBorders>
            <w:shd w:val="clear" w:color="auto" w:fill="auto"/>
            <w:noWrap/>
            <w:vAlign w:val="center"/>
          </w:tcPr>
          <w:p w:rsidR="00617C8A" w:rsidRPr="00747086" w:rsidRDefault="00617C8A" w:rsidP="002D72FB">
            <w:pPr>
              <w:ind w:left="0" w:firstLine="0"/>
              <w:jc w:val="center"/>
              <w:rPr>
                <w:rFonts w:eastAsia="Times New Roman" w:cs="Times New Roman"/>
                <w:sz w:val="22"/>
              </w:rPr>
            </w:pPr>
            <w:r>
              <w:rPr>
                <w:rFonts w:eastAsia="Times New Roman" w:cs="Times New Roman"/>
                <w:sz w:val="22"/>
              </w:rPr>
              <w:t>9.2 to 1</w:t>
            </w:r>
          </w:p>
        </w:tc>
        <w:tc>
          <w:tcPr>
            <w:tcW w:w="0" w:type="auto"/>
            <w:tcBorders>
              <w:top w:val="nil"/>
              <w:bottom w:val="nil"/>
              <w:right w:val="nil"/>
            </w:tcBorders>
            <w:shd w:val="clear" w:color="auto" w:fill="auto"/>
            <w:noWrap/>
            <w:vAlign w:val="center"/>
          </w:tcPr>
          <w:p w:rsidR="00617C8A" w:rsidRPr="00747086" w:rsidRDefault="00617C8A" w:rsidP="002D72FB">
            <w:pPr>
              <w:ind w:left="0" w:firstLine="0"/>
              <w:jc w:val="center"/>
              <w:rPr>
                <w:rFonts w:eastAsia="Times New Roman" w:cs="Times New Roman"/>
                <w:sz w:val="22"/>
              </w:rPr>
            </w:pPr>
            <w:r>
              <w:rPr>
                <w:rFonts w:eastAsia="Times New Roman" w:cs="Times New Roman"/>
                <w:sz w:val="22"/>
              </w:rPr>
              <w:t>6.7 to 1</w:t>
            </w:r>
          </w:p>
        </w:tc>
      </w:tr>
      <w:tr w:rsidR="00617C8A" w:rsidRPr="00747086" w:rsidTr="002D72FB">
        <w:trPr>
          <w:trHeight w:val="864"/>
        </w:trPr>
        <w:tc>
          <w:tcPr>
            <w:tcW w:w="0" w:type="auto"/>
            <w:tcBorders>
              <w:top w:val="nil"/>
              <w:left w:val="nil"/>
              <w:bottom w:val="nil"/>
            </w:tcBorders>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Number of Liberal Amicus Cosigners</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3,440</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3,289</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1,841</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3,738</w:t>
            </w:r>
          </w:p>
        </w:tc>
        <w:tc>
          <w:tcPr>
            <w:tcW w:w="0" w:type="auto"/>
            <w:tcBorders>
              <w:top w:val="nil"/>
              <w:bottom w:val="nil"/>
              <w:right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12,308</w:t>
            </w:r>
          </w:p>
        </w:tc>
      </w:tr>
      <w:tr w:rsidR="00617C8A" w:rsidRPr="00747086" w:rsidTr="002D72FB">
        <w:trPr>
          <w:trHeight w:val="864"/>
        </w:trPr>
        <w:tc>
          <w:tcPr>
            <w:tcW w:w="0" w:type="auto"/>
            <w:tcBorders>
              <w:top w:val="nil"/>
              <w:left w:val="nil"/>
              <w:bottom w:val="nil"/>
            </w:tcBorders>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Number of Conservative Amicus Cosigners</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3,655</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2,405</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1,376</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3,355</w:t>
            </w:r>
          </w:p>
        </w:tc>
        <w:tc>
          <w:tcPr>
            <w:tcW w:w="0" w:type="auto"/>
            <w:tcBorders>
              <w:top w:val="nil"/>
              <w:bottom w:val="nil"/>
              <w:right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10,791</w:t>
            </w:r>
          </w:p>
        </w:tc>
      </w:tr>
      <w:tr w:rsidR="00617C8A" w:rsidRPr="00747086" w:rsidTr="002D72FB">
        <w:trPr>
          <w:trHeight w:val="864"/>
        </w:trPr>
        <w:tc>
          <w:tcPr>
            <w:tcW w:w="0" w:type="auto"/>
            <w:tcBorders>
              <w:top w:val="nil"/>
              <w:left w:val="nil"/>
              <w:bottom w:val="nil"/>
            </w:tcBorders>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Number of Unspecifiable Amicus Cosigners</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36</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438</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415</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391</w:t>
            </w:r>
          </w:p>
        </w:tc>
        <w:tc>
          <w:tcPr>
            <w:tcW w:w="0" w:type="auto"/>
            <w:tcBorders>
              <w:top w:val="nil"/>
              <w:bottom w:val="nil"/>
              <w:right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1,377</w:t>
            </w:r>
          </w:p>
        </w:tc>
      </w:tr>
      <w:tr w:rsidR="00617C8A" w:rsidRPr="00747086" w:rsidTr="002D72FB">
        <w:trPr>
          <w:trHeight w:val="864"/>
        </w:trPr>
        <w:tc>
          <w:tcPr>
            <w:tcW w:w="0" w:type="auto"/>
            <w:tcBorders>
              <w:top w:val="nil"/>
              <w:left w:val="nil"/>
              <w:bottom w:val="nil"/>
            </w:tcBorders>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Mean Amicus Cosigners Per Case</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66.64</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50.26</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38.73</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103.94</w:t>
            </w:r>
          </w:p>
        </w:tc>
        <w:tc>
          <w:tcPr>
            <w:tcW w:w="0" w:type="auto"/>
            <w:tcBorders>
              <w:top w:val="nil"/>
              <w:bottom w:val="nil"/>
              <w:right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61.69</w:t>
            </w:r>
          </w:p>
        </w:tc>
      </w:tr>
      <w:tr w:rsidR="00617C8A" w:rsidRPr="00747086" w:rsidTr="002D72FB">
        <w:trPr>
          <w:trHeight w:val="864"/>
        </w:trPr>
        <w:tc>
          <w:tcPr>
            <w:tcW w:w="0" w:type="auto"/>
            <w:tcBorders>
              <w:top w:val="nil"/>
              <w:left w:val="nil"/>
              <w:bottom w:val="nil"/>
            </w:tcBorders>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Mean Liberal Cosigners Per Case</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32.15</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26.96</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19.63</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51.92</w:t>
            </w:r>
          </w:p>
        </w:tc>
        <w:tc>
          <w:tcPr>
            <w:tcW w:w="0" w:type="auto"/>
            <w:tcBorders>
              <w:top w:val="nil"/>
              <w:bottom w:val="nil"/>
              <w:right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31.02</w:t>
            </w:r>
          </w:p>
        </w:tc>
      </w:tr>
      <w:tr w:rsidR="00617C8A" w:rsidRPr="00747086" w:rsidTr="002D72FB">
        <w:trPr>
          <w:trHeight w:val="864"/>
        </w:trPr>
        <w:tc>
          <w:tcPr>
            <w:tcW w:w="0" w:type="auto"/>
            <w:tcBorders>
              <w:top w:val="nil"/>
              <w:left w:val="nil"/>
              <w:bottom w:val="nil"/>
            </w:tcBorders>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Mean Conservative Cosigners Per Case</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34.16</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19.71</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14.67</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46.6</w:t>
            </w:r>
          </w:p>
        </w:tc>
        <w:tc>
          <w:tcPr>
            <w:tcW w:w="0" w:type="auto"/>
            <w:tcBorders>
              <w:top w:val="nil"/>
              <w:bottom w:val="nil"/>
              <w:right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27.20</w:t>
            </w:r>
          </w:p>
        </w:tc>
      </w:tr>
      <w:tr w:rsidR="00617C8A" w:rsidRPr="00747086" w:rsidTr="002D72FB">
        <w:trPr>
          <w:trHeight w:val="864"/>
        </w:trPr>
        <w:tc>
          <w:tcPr>
            <w:tcW w:w="0" w:type="auto"/>
            <w:tcBorders>
              <w:top w:val="nil"/>
              <w:left w:val="nil"/>
              <w:bottom w:val="nil"/>
            </w:tcBorders>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Mean Unspecifiable Cosigners Per Case</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0.33</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3.59</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4.43</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5.42</w:t>
            </w:r>
          </w:p>
        </w:tc>
        <w:tc>
          <w:tcPr>
            <w:tcW w:w="0" w:type="auto"/>
            <w:tcBorders>
              <w:top w:val="nil"/>
              <w:bottom w:val="nil"/>
              <w:right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3.47</w:t>
            </w:r>
          </w:p>
        </w:tc>
      </w:tr>
      <w:tr w:rsidR="00617C8A" w:rsidRPr="00747086" w:rsidTr="002D72FB">
        <w:trPr>
          <w:trHeight w:val="864"/>
        </w:trPr>
        <w:tc>
          <w:tcPr>
            <w:tcW w:w="0" w:type="auto"/>
            <w:tcBorders>
              <w:top w:val="nil"/>
              <w:left w:val="nil"/>
              <w:bottom w:val="nil"/>
            </w:tcBorders>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Maximum Number of Amicus Cosigners in a Case</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1,622</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249</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178</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1,928</w:t>
            </w:r>
          </w:p>
        </w:tc>
        <w:tc>
          <w:tcPr>
            <w:tcW w:w="0" w:type="auto"/>
            <w:tcBorders>
              <w:top w:val="nil"/>
              <w:bottom w:val="nil"/>
              <w:right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1,928</w:t>
            </w:r>
          </w:p>
        </w:tc>
      </w:tr>
      <w:tr w:rsidR="00617C8A" w:rsidRPr="00747086" w:rsidTr="002D72FB">
        <w:trPr>
          <w:trHeight w:val="864"/>
        </w:trPr>
        <w:tc>
          <w:tcPr>
            <w:tcW w:w="0" w:type="auto"/>
            <w:tcBorders>
              <w:top w:val="nil"/>
              <w:left w:val="nil"/>
              <w:bottom w:val="nil"/>
            </w:tcBorders>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Percent of Total Amicus Cosigners</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29.13%</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25.05%</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14.84%</w:t>
            </w:r>
          </w:p>
        </w:tc>
        <w:tc>
          <w:tcPr>
            <w:tcW w:w="0" w:type="auto"/>
            <w:tcBorders>
              <w:top w:val="nil"/>
              <w:bottom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30.58%</w:t>
            </w:r>
          </w:p>
        </w:tc>
        <w:tc>
          <w:tcPr>
            <w:tcW w:w="0" w:type="auto"/>
            <w:tcBorders>
              <w:top w:val="nil"/>
              <w:bottom w:val="nil"/>
              <w:right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100%</w:t>
            </w:r>
          </w:p>
        </w:tc>
      </w:tr>
      <w:tr w:rsidR="00617C8A" w:rsidRPr="00747086" w:rsidTr="002D72FB">
        <w:trPr>
          <w:trHeight w:val="864"/>
        </w:trPr>
        <w:tc>
          <w:tcPr>
            <w:tcW w:w="0" w:type="auto"/>
            <w:tcBorders>
              <w:top w:val="nil"/>
              <w:left w:val="nil"/>
              <w:bottom w:val="single" w:sz="18" w:space="0" w:color="auto"/>
            </w:tcBorders>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Percent of Cases Decided</w:t>
            </w:r>
          </w:p>
        </w:tc>
        <w:tc>
          <w:tcPr>
            <w:tcW w:w="0" w:type="auto"/>
            <w:tcBorders>
              <w:top w:val="nil"/>
              <w:bottom w:val="single" w:sz="18" w:space="0" w:color="auto"/>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26.95% (107)</w:t>
            </w:r>
          </w:p>
        </w:tc>
        <w:tc>
          <w:tcPr>
            <w:tcW w:w="0" w:type="auto"/>
            <w:tcBorders>
              <w:top w:val="nil"/>
              <w:bottom w:val="single" w:sz="18" w:space="0" w:color="auto"/>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30.73% (122)</w:t>
            </w:r>
          </w:p>
        </w:tc>
        <w:tc>
          <w:tcPr>
            <w:tcW w:w="0" w:type="auto"/>
            <w:tcBorders>
              <w:top w:val="nil"/>
              <w:bottom w:val="single" w:sz="18" w:space="0" w:color="auto"/>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23.68% (94)</w:t>
            </w:r>
          </w:p>
        </w:tc>
        <w:tc>
          <w:tcPr>
            <w:tcW w:w="0" w:type="auto"/>
            <w:tcBorders>
              <w:top w:val="nil"/>
              <w:bottom w:val="single" w:sz="18" w:space="0" w:color="auto"/>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18.14% (72)</w:t>
            </w:r>
          </w:p>
        </w:tc>
        <w:tc>
          <w:tcPr>
            <w:tcW w:w="0" w:type="auto"/>
            <w:tcBorders>
              <w:top w:val="nil"/>
              <w:bottom w:val="single" w:sz="18" w:space="0" w:color="auto"/>
              <w:right w:val="nil"/>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100% (397)</w:t>
            </w:r>
          </w:p>
        </w:tc>
      </w:tr>
    </w:tbl>
    <w:p w:rsidR="00617C8A" w:rsidRDefault="00617C8A" w:rsidP="00617C8A">
      <w:pPr>
        <w:ind w:left="0" w:firstLine="0"/>
        <w:rPr>
          <w:szCs w:val="24"/>
        </w:rPr>
      </w:pPr>
      <w:r>
        <w:rPr>
          <w:szCs w:val="24"/>
        </w:rPr>
        <w:t>*The total column includes the two cases from this time frame that do not fit into the four issue areas listed here.  Numbers in parentheses indicate the number of observations.</w:t>
      </w:r>
    </w:p>
    <w:p w:rsidR="0082221A" w:rsidRPr="00617C8A" w:rsidRDefault="0082221A" w:rsidP="00617C8A">
      <w:pPr>
        <w:autoSpaceDE w:val="0"/>
        <w:autoSpaceDN w:val="0"/>
        <w:adjustRightInd w:val="0"/>
        <w:spacing w:line="480" w:lineRule="auto"/>
        <w:ind w:left="0" w:firstLine="0"/>
        <w:rPr>
          <w:b/>
          <w:szCs w:val="24"/>
        </w:rPr>
      </w:pPr>
      <w:proofErr w:type="gramStart"/>
      <w:r>
        <w:rPr>
          <w:szCs w:val="24"/>
        </w:rPr>
        <w:lastRenderedPageBreak/>
        <w:t>cases</w:t>
      </w:r>
      <w:proofErr w:type="gramEnd"/>
      <w:r>
        <w:rPr>
          <w:szCs w:val="24"/>
        </w:rPr>
        <w:t xml:space="preserve"> had the lowest number of amicus briefs of any of the four issue areas, they had the second most amicus cosigners.  Also of note, while economics cases had the second most amicus briefs filed, they had the least number of amicus cosigners of any of the issue areas.  </w:t>
      </w:r>
    </w:p>
    <w:p w:rsidR="00DB02B8" w:rsidRDefault="006900CD" w:rsidP="006900CD">
      <w:pPr>
        <w:autoSpaceDE w:val="0"/>
        <w:autoSpaceDN w:val="0"/>
        <w:adjustRightInd w:val="0"/>
        <w:spacing w:line="480" w:lineRule="auto"/>
        <w:ind w:left="0" w:firstLine="720"/>
        <w:rPr>
          <w:szCs w:val="24"/>
        </w:rPr>
      </w:pPr>
      <w:r>
        <w:rPr>
          <w:szCs w:val="24"/>
        </w:rPr>
        <w:t>In fact, criminal procedure amicus cosigners outnumbered economics cosigners by an almost 2:1 ratio; and judicial power and federalism amicus cosigners outnumbered economics cosigners by an over 2:1 ratio.</w:t>
      </w:r>
      <w:r w:rsidR="000C0680">
        <w:rPr>
          <w:szCs w:val="24"/>
        </w:rPr>
        <w:t xml:space="preserve">  </w:t>
      </w:r>
      <w:r w:rsidR="00D82C2C">
        <w:rPr>
          <w:szCs w:val="24"/>
        </w:rPr>
        <w:t>I</w:t>
      </w:r>
      <w:r w:rsidR="000C0680">
        <w:rPr>
          <w:szCs w:val="24"/>
        </w:rPr>
        <w:t>n economics cases</w:t>
      </w:r>
      <w:r w:rsidR="001072F9">
        <w:rPr>
          <w:szCs w:val="24"/>
        </w:rPr>
        <w:t xml:space="preserve"> amici</w:t>
      </w:r>
      <w:r w:rsidR="000C0680">
        <w:rPr>
          <w:szCs w:val="24"/>
        </w:rPr>
        <w:t xml:space="preserve"> are much less likely to collaborate together on briefs, whereas amici in judicial power and federalism and criminal procedure cases are much more likely to collaborate.  This finding could be explained, in part, by the fact that </w:t>
      </w:r>
      <w:r w:rsidR="001072F9">
        <w:rPr>
          <w:szCs w:val="24"/>
        </w:rPr>
        <w:t>state and local government amici</w:t>
      </w:r>
      <w:r w:rsidR="000C0680">
        <w:rPr>
          <w:szCs w:val="24"/>
        </w:rPr>
        <w:t xml:space="preserve"> often collaborate together on briefs, and these amici are more likely to be directly affected by criminal procedure and judicial power and federalism cases, than the other two issue areas. </w:t>
      </w:r>
      <w:r w:rsidR="00822274">
        <w:rPr>
          <w:szCs w:val="24"/>
        </w:rPr>
        <w:t xml:space="preserve"> The lesser willingness of amici to collaborate in economics cases might be explained by the fact that amici in economics cases are t</w:t>
      </w:r>
      <w:r w:rsidR="00DF0350">
        <w:rPr>
          <w:szCs w:val="24"/>
        </w:rPr>
        <w:t>ypically business interests, which</w:t>
      </w:r>
      <w:r w:rsidR="00822274">
        <w:rPr>
          <w:szCs w:val="24"/>
        </w:rPr>
        <w:t xml:space="preserve"> are likely to have more resources than many other amici, and thus feel less need to pool resources and collaborate on the filing of amicus briefs.  </w:t>
      </w:r>
      <w:r w:rsidR="00BD017C">
        <w:rPr>
          <w:szCs w:val="24"/>
        </w:rPr>
        <w:t>The ranking of amici collaboration from greatest to least across issue areas is as follows</w:t>
      </w:r>
      <w:r w:rsidR="00D82C2C">
        <w:rPr>
          <w:szCs w:val="24"/>
        </w:rPr>
        <w:t>:  criminal procedure</w:t>
      </w:r>
      <w:r w:rsidR="001072F9">
        <w:rPr>
          <w:szCs w:val="24"/>
        </w:rPr>
        <w:t>;</w:t>
      </w:r>
      <w:r w:rsidR="00BD017C">
        <w:rPr>
          <w:szCs w:val="24"/>
        </w:rPr>
        <w:t xml:space="preserve"> judicial power and federalism</w:t>
      </w:r>
      <w:r w:rsidR="001072F9">
        <w:rPr>
          <w:szCs w:val="24"/>
        </w:rPr>
        <w:t xml:space="preserve">; </w:t>
      </w:r>
      <w:r w:rsidR="00D82C2C">
        <w:rPr>
          <w:szCs w:val="24"/>
        </w:rPr>
        <w:t xml:space="preserve">civil rights and liberties; </w:t>
      </w:r>
      <w:r w:rsidR="001072F9">
        <w:rPr>
          <w:szCs w:val="24"/>
        </w:rPr>
        <w:t xml:space="preserve">and </w:t>
      </w:r>
      <w:r w:rsidR="00D82C2C">
        <w:rPr>
          <w:szCs w:val="24"/>
        </w:rPr>
        <w:t xml:space="preserve">economics.  </w:t>
      </w:r>
    </w:p>
    <w:p w:rsidR="00792C46" w:rsidRDefault="00E9317A" w:rsidP="00792C46">
      <w:pPr>
        <w:autoSpaceDE w:val="0"/>
        <w:autoSpaceDN w:val="0"/>
        <w:adjustRightInd w:val="0"/>
        <w:spacing w:line="480" w:lineRule="auto"/>
        <w:ind w:left="0" w:firstLine="720"/>
        <w:rPr>
          <w:szCs w:val="24"/>
        </w:rPr>
      </w:pPr>
      <w:r>
        <w:rPr>
          <w:szCs w:val="24"/>
        </w:rPr>
        <w:t>Rows 3-5</w:t>
      </w:r>
      <w:r w:rsidR="002013F2">
        <w:rPr>
          <w:szCs w:val="24"/>
        </w:rPr>
        <w:t xml:space="preserve"> of Table 4.2</w:t>
      </w:r>
      <w:r w:rsidR="000B79ED">
        <w:rPr>
          <w:szCs w:val="24"/>
        </w:rPr>
        <w:t xml:space="preserve"> show the</w:t>
      </w:r>
      <w:r w:rsidR="006900CD">
        <w:rPr>
          <w:szCs w:val="24"/>
        </w:rPr>
        <w:t xml:space="preserve"> number of liberal, conservative, and unspecifiable amicus cosigners</w:t>
      </w:r>
      <w:r w:rsidR="00BD017C">
        <w:rPr>
          <w:szCs w:val="24"/>
        </w:rPr>
        <w:t xml:space="preserve"> in total, and across issue areas</w:t>
      </w:r>
      <w:r w:rsidR="000B79ED">
        <w:rPr>
          <w:szCs w:val="24"/>
        </w:rPr>
        <w:t xml:space="preserve">.  </w:t>
      </w:r>
      <w:r w:rsidR="00BD017C">
        <w:rPr>
          <w:szCs w:val="24"/>
        </w:rPr>
        <w:t>Consistent with the findings regarding amicus briefs, we see once again that total liberal cosigners outnumber total conservative cosigners</w:t>
      </w:r>
      <w:r w:rsidR="00822274">
        <w:rPr>
          <w:szCs w:val="24"/>
        </w:rPr>
        <w:t>, but that this liberal advantage is modest</w:t>
      </w:r>
      <w:r w:rsidR="00BD017C">
        <w:rPr>
          <w:szCs w:val="24"/>
        </w:rPr>
        <w:t xml:space="preserve">.  The ratio of liberal to conservative amicus cosigners is 1.14 to 1, which is almost identical to the ratio of liberal to conservative amicus briefs (1.15 to 1).   </w:t>
      </w:r>
      <w:r w:rsidR="000B79ED">
        <w:rPr>
          <w:szCs w:val="24"/>
        </w:rPr>
        <w:t>Criminal procedure is the only issue area in which conservative cosigners outnumber liberal ones.</w:t>
      </w:r>
      <w:r w:rsidR="001072F9">
        <w:rPr>
          <w:szCs w:val="24"/>
        </w:rPr>
        <w:t xml:space="preserve">  </w:t>
      </w:r>
      <w:r w:rsidR="003A2A08">
        <w:rPr>
          <w:szCs w:val="24"/>
        </w:rPr>
        <w:t xml:space="preserve">This can be explained by the predominance of governmental amici in criminal procedure </w:t>
      </w:r>
      <w:r w:rsidR="003A2A08">
        <w:rPr>
          <w:szCs w:val="24"/>
        </w:rPr>
        <w:lastRenderedPageBreak/>
        <w:t xml:space="preserve">cases.  </w:t>
      </w:r>
      <w:r w:rsidR="001072F9">
        <w:rPr>
          <w:szCs w:val="24"/>
        </w:rPr>
        <w:t>By contrast, civil rights and liberties cases exhibit the greatest advantage of liberal cosigners of the issue areas.  This finding should not come as a surprise, as those amici most attracted to civil rights and liberties cases tend to be more liberal in their orientation, as they typically side with the interests of the pro civil rights and liberties claimant against the interests of governmental regulation.</w:t>
      </w:r>
      <w:r w:rsidR="00822274">
        <w:rPr>
          <w:szCs w:val="24"/>
        </w:rPr>
        <w:t xml:space="preserve">  </w:t>
      </w:r>
    </w:p>
    <w:p w:rsidR="00792C46" w:rsidRDefault="00792C46" w:rsidP="00792C46">
      <w:pPr>
        <w:autoSpaceDE w:val="0"/>
        <w:autoSpaceDN w:val="0"/>
        <w:adjustRightInd w:val="0"/>
        <w:spacing w:line="480" w:lineRule="auto"/>
        <w:ind w:left="0" w:firstLine="720"/>
        <w:rPr>
          <w:szCs w:val="24"/>
        </w:rPr>
      </w:pPr>
      <w:r>
        <w:rPr>
          <w:szCs w:val="24"/>
        </w:rPr>
        <w:t>When comparing the collaboration levels of total liberal and conservative amici at the Roberts Court</w:t>
      </w:r>
      <w:r w:rsidR="00751DFB">
        <w:rPr>
          <w:szCs w:val="24"/>
        </w:rPr>
        <w:t xml:space="preserve"> (as evidenced by their willingness to cosign briefs instead of filing separate briefs)</w:t>
      </w:r>
      <w:r>
        <w:rPr>
          <w:szCs w:val="24"/>
        </w:rPr>
        <w:t xml:space="preserve">, </w:t>
      </w:r>
      <w:r w:rsidR="002013F2">
        <w:rPr>
          <w:szCs w:val="24"/>
        </w:rPr>
        <w:t>one reaches a notable conclusion</w:t>
      </w:r>
      <w:r>
        <w:rPr>
          <w:szCs w:val="24"/>
        </w:rPr>
        <w:t xml:space="preserve">: the ratio of cosigners to briefs for both liberal and conservative amici is virtually identical: 6.99 liberal amici cosign together for every liberal brief that is filed, while 7.03 conservative amici cosign together for every conservative brief that is filed on average. </w:t>
      </w:r>
      <w:r w:rsidR="0055016C">
        <w:rPr>
          <w:szCs w:val="24"/>
        </w:rPr>
        <w:t xml:space="preserve"> Thus, collaboration is the very common</w:t>
      </w:r>
      <w:r>
        <w:rPr>
          <w:szCs w:val="24"/>
        </w:rPr>
        <w:t xml:space="preserve"> among both conservative and liberal amici, and this collaboration tends to be strikingly balanced</w:t>
      </w:r>
      <w:r w:rsidR="0055016C">
        <w:rPr>
          <w:szCs w:val="24"/>
        </w:rPr>
        <w:t xml:space="preserve">.  </w:t>
      </w:r>
      <w:r>
        <w:rPr>
          <w:szCs w:val="24"/>
        </w:rPr>
        <w:t>Thi</w:t>
      </w:r>
      <w:r w:rsidR="00751DFB">
        <w:rPr>
          <w:szCs w:val="24"/>
        </w:rPr>
        <w:t xml:space="preserve">s is </w:t>
      </w:r>
      <w:r>
        <w:rPr>
          <w:szCs w:val="24"/>
        </w:rPr>
        <w:t xml:space="preserve">one more finding bolstering the conclusion that amici are engaged in an ideological arms race, and that they engage in counteractive lobbying behavior.   </w:t>
      </w:r>
    </w:p>
    <w:p w:rsidR="00751DFB" w:rsidRDefault="00751DFB" w:rsidP="00792C46">
      <w:pPr>
        <w:autoSpaceDE w:val="0"/>
        <w:autoSpaceDN w:val="0"/>
        <w:adjustRightInd w:val="0"/>
        <w:spacing w:line="480" w:lineRule="auto"/>
        <w:ind w:left="0" w:firstLine="720"/>
        <w:rPr>
          <w:szCs w:val="24"/>
        </w:rPr>
      </w:pPr>
      <w:r>
        <w:rPr>
          <w:szCs w:val="24"/>
        </w:rPr>
        <w:t xml:space="preserve">However, upon examination of the four issue areas, we see that differences do exist in the collaboration levels of liberal and conservative amici. The ratio of liberal to conservative cosigners for each </w:t>
      </w:r>
      <w:r w:rsidR="002013F2">
        <w:rPr>
          <w:szCs w:val="24"/>
        </w:rPr>
        <w:t xml:space="preserve">amicus </w:t>
      </w:r>
      <w:r>
        <w:rPr>
          <w:szCs w:val="24"/>
        </w:rPr>
        <w:t>brief across issue areas is as follows: criminal procedure – 9.37 to 14.33; civil rights and liberties – 5.20 to 4.87; economics – 4.41 to 3.42; and judicial power and federalism – 10.</w:t>
      </w:r>
      <w:r w:rsidR="00E9317A">
        <w:rPr>
          <w:szCs w:val="24"/>
        </w:rPr>
        <w:t>33 to 8.69.   The main conclusion</w:t>
      </w:r>
      <w:r>
        <w:rPr>
          <w:szCs w:val="24"/>
        </w:rPr>
        <w:t xml:space="preserve"> regarding amicus collaboration draw</w:t>
      </w:r>
      <w:r w:rsidR="00E9317A">
        <w:rPr>
          <w:szCs w:val="24"/>
        </w:rPr>
        <w:t>n</w:t>
      </w:r>
      <w:r>
        <w:rPr>
          <w:szCs w:val="24"/>
        </w:rPr>
        <w:t xml:space="preserve"> from these</w:t>
      </w:r>
      <w:r w:rsidR="00E9317A">
        <w:rPr>
          <w:szCs w:val="24"/>
        </w:rPr>
        <w:t xml:space="preserve"> cosigner ratios is that </w:t>
      </w:r>
      <w:r>
        <w:rPr>
          <w:szCs w:val="24"/>
        </w:rPr>
        <w:t>liberal amici exhib</w:t>
      </w:r>
      <w:r w:rsidR="00E9317A">
        <w:rPr>
          <w:szCs w:val="24"/>
        </w:rPr>
        <w:t>it slightly higher collaboration levels</w:t>
      </w:r>
      <w:r>
        <w:rPr>
          <w:szCs w:val="24"/>
        </w:rPr>
        <w:t xml:space="preserve"> than do conservative amici in every issue area except criminal procedure.</w:t>
      </w:r>
      <w:r w:rsidR="00E9317A">
        <w:rPr>
          <w:szCs w:val="24"/>
        </w:rPr>
        <w:t xml:space="preserve">  The criminal procedure anomaly</w:t>
      </w:r>
      <w:r>
        <w:rPr>
          <w:szCs w:val="24"/>
        </w:rPr>
        <w:t xml:space="preserve"> is likely due to the fact that states typically cosign amicus briefs together rather than filing separat</w:t>
      </w:r>
      <w:r w:rsidR="00E9317A">
        <w:rPr>
          <w:szCs w:val="24"/>
        </w:rPr>
        <w:t>ely,</w:t>
      </w:r>
      <w:r w:rsidR="002013F2">
        <w:rPr>
          <w:szCs w:val="24"/>
        </w:rPr>
        <w:t xml:space="preserve"> and that</w:t>
      </w:r>
      <w:r w:rsidR="00E9317A">
        <w:rPr>
          <w:szCs w:val="24"/>
        </w:rPr>
        <w:t xml:space="preserve"> </w:t>
      </w:r>
      <w:r>
        <w:rPr>
          <w:szCs w:val="24"/>
        </w:rPr>
        <w:t>states are predominant amici in criminal procedure cases</w:t>
      </w:r>
      <w:r w:rsidR="00E9317A">
        <w:rPr>
          <w:szCs w:val="24"/>
        </w:rPr>
        <w:t>, and</w:t>
      </w:r>
      <w:r w:rsidR="002013F2">
        <w:rPr>
          <w:szCs w:val="24"/>
        </w:rPr>
        <w:t xml:space="preserve"> that</w:t>
      </w:r>
      <w:r w:rsidR="00E9317A">
        <w:rPr>
          <w:szCs w:val="24"/>
        </w:rPr>
        <w:t xml:space="preserve"> </w:t>
      </w:r>
      <w:r w:rsidR="00E9317A">
        <w:rPr>
          <w:szCs w:val="24"/>
        </w:rPr>
        <w:lastRenderedPageBreak/>
        <w:t>states in criminal procedure cases usually represent the conservative position</w:t>
      </w:r>
      <w:r>
        <w:rPr>
          <w:szCs w:val="24"/>
        </w:rPr>
        <w:t xml:space="preserve">.  </w:t>
      </w:r>
      <w:r w:rsidR="00E9317A">
        <w:rPr>
          <w:szCs w:val="24"/>
        </w:rPr>
        <w:t xml:space="preserve"> In short, while amicus briefs and cosigners are relatively ideologically balanced at the Roberts Court, liberal amici are slightly more likely to file briefs, and also slightly more likely to collaborate in most issue areas. </w:t>
      </w:r>
    </w:p>
    <w:p w:rsidR="009D2C54" w:rsidRDefault="009D2C54" w:rsidP="00DB02B8">
      <w:pPr>
        <w:autoSpaceDE w:val="0"/>
        <w:autoSpaceDN w:val="0"/>
        <w:adjustRightInd w:val="0"/>
        <w:spacing w:line="480" w:lineRule="auto"/>
        <w:ind w:left="0" w:firstLine="720"/>
        <w:rPr>
          <w:szCs w:val="24"/>
        </w:rPr>
      </w:pPr>
      <w:r>
        <w:rPr>
          <w:szCs w:val="24"/>
        </w:rPr>
        <w:t>Ro</w:t>
      </w:r>
      <w:r w:rsidR="002013F2">
        <w:rPr>
          <w:szCs w:val="24"/>
        </w:rPr>
        <w:t>w 6 of Table 4.2</w:t>
      </w:r>
      <w:r w:rsidR="00DB02B8">
        <w:rPr>
          <w:szCs w:val="24"/>
        </w:rPr>
        <w:t xml:space="preserve"> presents t</w:t>
      </w:r>
      <w:r>
        <w:rPr>
          <w:szCs w:val="24"/>
        </w:rPr>
        <w:t>he mean number of total amicus cosigners</w:t>
      </w:r>
      <w:r w:rsidR="00DB02B8">
        <w:rPr>
          <w:szCs w:val="24"/>
        </w:rPr>
        <w:t xml:space="preserve"> per case.  Notably, the Roberts Court averaged </w:t>
      </w:r>
      <w:r>
        <w:rPr>
          <w:szCs w:val="24"/>
        </w:rPr>
        <w:t xml:space="preserve">almost 62 cosigners </w:t>
      </w:r>
      <w:r w:rsidR="00DB02B8">
        <w:rPr>
          <w:szCs w:val="24"/>
        </w:rPr>
        <w:t>per case during the 2007-2011 terms.   Judicial power and federalism cases attra</w:t>
      </w:r>
      <w:r>
        <w:rPr>
          <w:szCs w:val="24"/>
        </w:rPr>
        <w:t xml:space="preserve">cted the most mean amicus cosigners per case (almost 104), followed by criminal procedure (over 66), </w:t>
      </w:r>
      <w:r w:rsidR="00DB02B8">
        <w:rPr>
          <w:szCs w:val="24"/>
        </w:rPr>
        <w:t>civil right</w:t>
      </w:r>
      <w:r>
        <w:rPr>
          <w:szCs w:val="24"/>
        </w:rPr>
        <w:t>s and liberties cases (over 50</w:t>
      </w:r>
      <w:r w:rsidR="00DB02B8">
        <w:rPr>
          <w:szCs w:val="24"/>
        </w:rPr>
        <w:t>)</w:t>
      </w:r>
      <w:r>
        <w:rPr>
          <w:szCs w:val="24"/>
        </w:rPr>
        <w:t>, and lastly economics (almost 39)</w:t>
      </w:r>
      <w:r w:rsidR="00DB02B8">
        <w:rPr>
          <w:szCs w:val="24"/>
        </w:rPr>
        <w:t xml:space="preserve">.   </w:t>
      </w:r>
      <w:r>
        <w:rPr>
          <w:szCs w:val="24"/>
        </w:rPr>
        <w:t>T</w:t>
      </w:r>
      <w:r w:rsidR="00DB02B8">
        <w:rPr>
          <w:szCs w:val="24"/>
        </w:rPr>
        <w:t>hus, in both absolute numbers and c</w:t>
      </w:r>
      <w:r>
        <w:rPr>
          <w:szCs w:val="24"/>
        </w:rPr>
        <w:t>ase averages, economics</w:t>
      </w:r>
      <w:r w:rsidR="00DB02B8">
        <w:rPr>
          <w:szCs w:val="24"/>
        </w:rPr>
        <w:t xml:space="preserve"> cases attract the leas</w:t>
      </w:r>
      <w:r>
        <w:rPr>
          <w:szCs w:val="24"/>
        </w:rPr>
        <w:t>t amount of amicus cosigners, despite having the second highest amicus brief filings in absolute numbers and mean briefs per case</w:t>
      </w:r>
      <w:r w:rsidR="00DB02B8">
        <w:rPr>
          <w:szCs w:val="24"/>
        </w:rPr>
        <w:t xml:space="preserve">.  </w:t>
      </w:r>
      <w:r>
        <w:rPr>
          <w:szCs w:val="24"/>
        </w:rPr>
        <w:t xml:space="preserve">As stated above, this indicates that amici in economics cases are more likely to choose to file solo briefs, rather than to collaborate compared to amici in other issue areas.  </w:t>
      </w:r>
      <w:r w:rsidR="00E57EC3">
        <w:rPr>
          <w:szCs w:val="24"/>
        </w:rPr>
        <w:t>As mentioned previously, t</w:t>
      </w:r>
      <w:r>
        <w:rPr>
          <w:szCs w:val="24"/>
        </w:rPr>
        <w:t>his finding is likely due</w:t>
      </w:r>
      <w:r w:rsidR="00DB49CB">
        <w:rPr>
          <w:szCs w:val="24"/>
        </w:rPr>
        <w:t>, in part, to the higher resource</w:t>
      </w:r>
      <w:r>
        <w:rPr>
          <w:szCs w:val="24"/>
        </w:rPr>
        <w:t xml:space="preserve"> levels possessed by economic amici compared to others</w:t>
      </w:r>
      <w:r w:rsidR="00DB49CB">
        <w:rPr>
          <w:szCs w:val="24"/>
        </w:rPr>
        <w:t>.</w:t>
      </w:r>
    </w:p>
    <w:p w:rsidR="00A55B70" w:rsidRDefault="00DB02B8" w:rsidP="00DB02B8">
      <w:pPr>
        <w:autoSpaceDE w:val="0"/>
        <w:autoSpaceDN w:val="0"/>
        <w:adjustRightInd w:val="0"/>
        <w:spacing w:line="480" w:lineRule="auto"/>
        <w:ind w:left="0" w:firstLine="720"/>
        <w:rPr>
          <w:szCs w:val="24"/>
        </w:rPr>
      </w:pPr>
      <w:r>
        <w:rPr>
          <w:szCs w:val="24"/>
        </w:rPr>
        <w:t>Rows 7 and 8</w:t>
      </w:r>
      <w:r w:rsidR="00E57EC3">
        <w:rPr>
          <w:szCs w:val="24"/>
        </w:rPr>
        <w:t xml:space="preserve"> of Table 4.2</w:t>
      </w:r>
      <w:r>
        <w:rPr>
          <w:szCs w:val="24"/>
        </w:rPr>
        <w:t xml:space="preserve"> present t</w:t>
      </w:r>
      <w:r w:rsidR="00DB49CB">
        <w:rPr>
          <w:szCs w:val="24"/>
        </w:rPr>
        <w:t>he mean number of liberal cosigners per case (31.0</w:t>
      </w:r>
      <w:r>
        <w:rPr>
          <w:szCs w:val="24"/>
        </w:rPr>
        <w:t>), and the me</w:t>
      </w:r>
      <w:r w:rsidR="00DB49CB">
        <w:rPr>
          <w:szCs w:val="24"/>
        </w:rPr>
        <w:t>an number of conservative cosigners per case (27.2</w:t>
      </w:r>
      <w:r>
        <w:rPr>
          <w:szCs w:val="24"/>
        </w:rPr>
        <w:t xml:space="preserve">), respectively. </w:t>
      </w:r>
      <w:r w:rsidR="00DB49CB">
        <w:rPr>
          <w:szCs w:val="24"/>
        </w:rPr>
        <w:t xml:space="preserve"> Therefore, a 3.8 liberal amicus cosigner advantage </w:t>
      </w:r>
      <w:r w:rsidR="00E57EC3">
        <w:rPr>
          <w:szCs w:val="24"/>
        </w:rPr>
        <w:t xml:space="preserve">over conservative cosigners </w:t>
      </w:r>
      <w:r w:rsidR="00DB49CB">
        <w:rPr>
          <w:szCs w:val="24"/>
        </w:rPr>
        <w:t xml:space="preserve">exists on average for each case at the Roberts Court. </w:t>
      </w:r>
      <w:r>
        <w:rPr>
          <w:szCs w:val="24"/>
        </w:rPr>
        <w:t xml:space="preserve"> </w:t>
      </w:r>
      <w:r w:rsidR="00DB49CB">
        <w:rPr>
          <w:szCs w:val="24"/>
        </w:rPr>
        <w:t>As stated previously, f</w:t>
      </w:r>
      <w:r>
        <w:rPr>
          <w:szCs w:val="24"/>
        </w:rPr>
        <w:t>or</w:t>
      </w:r>
      <w:r w:rsidR="00DB49CB">
        <w:rPr>
          <w:szCs w:val="24"/>
        </w:rPr>
        <w:t xml:space="preserve"> every conservative amicus cosigner, 1.14 liberal cosigners were present on average </w:t>
      </w:r>
      <w:r>
        <w:rPr>
          <w:szCs w:val="24"/>
        </w:rPr>
        <w:t>at the Roberts Court.  Liberal am</w:t>
      </w:r>
      <w:r w:rsidR="00E57EC3">
        <w:rPr>
          <w:szCs w:val="24"/>
        </w:rPr>
        <w:t>icus cosigners comprise</w:t>
      </w:r>
      <w:r w:rsidR="00DB49CB">
        <w:rPr>
          <w:szCs w:val="24"/>
        </w:rPr>
        <w:t xml:space="preserve"> 50.29 percent of total amicus cosigners</w:t>
      </w:r>
      <w:r>
        <w:rPr>
          <w:szCs w:val="24"/>
        </w:rPr>
        <w:t xml:space="preserve">, </w:t>
      </w:r>
      <w:r w:rsidR="00DB49CB">
        <w:rPr>
          <w:szCs w:val="24"/>
        </w:rPr>
        <w:t>while conserv</w:t>
      </w:r>
      <w:r w:rsidR="00E57EC3">
        <w:rPr>
          <w:szCs w:val="24"/>
        </w:rPr>
        <w:t>ative amicus cosigners comprise</w:t>
      </w:r>
      <w:r w:rsidR="00DB49CB">
        <w:rPr>
          <w:szCs w:val="24"/>
        </w:rPr>
        <w:t xml:space="preserve"> 44.09 percent of total cosigners</w:t>
      </w:r>
      <w:r>
        <w:rPr>
          <w:szCs w:val="24"/>
        </w:rPr>
        <w:t xml:space="preserve"> (</w:t>
      </w:r>
      <w:r w:rsidR="00DB49CB">
        <w:rPr>
          <w:szCs w:val="24"/>
        </w:rPr>
        <w:t>with unspecifiable amicus cosigners</w:t>
      </w:r>
      <w:r>
        <w:rPr>
          <w:szCs w:val="24"/>
        </w:rPr>
        <w:t xml:space="preserve"> a</w:t>
      </w:r>
      <w:r w:rsidR="00DB49CB">
        <w:rPr>
          <w:szCs w:val="24"/>
        </w:rPr>
        <w:t>ccounting for the remaining 5.63</w:t>
      </w:r>
      <w:r>
        <w:rPr>
          <w:szCs w:val="24"/>
        </w:rPr>
        <w:t xml:space="preserve"> percent).  These findings </w:t>
      </w:r>
      <w:r w:rsidR="00DB49CB">
        <w:rPr>
          <w:szCs w:val="24"/>
        </w:rPr>
        <w:t xml:space="preserve">provide further </w:t>
      </w:r>
      <w:r>
        <w:rPr>
          <w:szCs w:val="24"/>
        </w:rPr>
        <w:t>confirm</w:t>
      </w:r>
      <w:r w:rsidR="00DB49CB">
        <w:rPr>
          <w:szCs w:val="24"/>
        </w:rPr>
        <w:t>ation of the relatively ideologically balanced nature of amicus participation at the Roberts Court</w:t>
      </w:r>
      <w:r w:rsidR="00E57EC3">
        <w:rPr>
          <w:szCs w:val="24"/>
        </w:rPr>
        <w:t>, with a slight liberal advantage</w:t>
      </w:r>
      <w:r w:rsidR="00DB49CB">
        <w:rPr>
          <w:szCs w:val="24"/>
        </w:rPr>
        <w:t xml:space="preserve">.  </w:t>
      </w:r>
    </w:p>
    <w:p w:rsidR="00DB02B8" w:rsidRDefault="00E57EC3" w:rsidP="00DB02B8">
      <w:pPr>
        <w:autoSpaceDE w:val="0"/>
        <w:autoSpaceDN w:val="0"/>
        <w:adjustRightInd w:val="0"/>
        <w:spacing w:line="480" w:lineRule="auto"/>
        <w:ind w:left="0" w:firstLine="720"/>
        <w:rPr>
          <w:szCs w:val="24"/>
        </w:rPr>
      </w:pPr>
      <w:r>
        <w:rPr>
          <w:szCs w:val="24"/>
        </w:rPr>
        <w:lastRenderedPageBreak/>
        <w:t>S</w:t>
      </w:r>
      <w:r w:rsidR="00A55B70">
        <w:rPr>
          <w:szCs w:val="24"/>
        </w:rPr>
        <w:t xml:space="preserve">imilar to the findings regarding amicus briefs, these findings regarding amicus cosigners provide additional </w:t>
      </w:r>
      <w:r w:rsidR="00DB02B8">
        <w:rPr>
          <w:szCs w:val="24"/>
        </w:rPr>
        <w:t>evidence that</w:t>
      </w:r>
      <w:r w:rsidR="00A55B70">
        <w:rPr>
          <w:szCs w:val="24"/>
        </w:rPr>
        <w:t xml:space="preserve"> amici do not simply participate</w:t>
      </w:r>
      <w:r w:rsidR="00DB02B8">
        <w:rPr>
          <w:szCs w:val="24"/>
        </w:rPr>
        <w:t xml:space="preserve"> in cases they are predisposed to winning.  If this were the case, we would expect to see</w:t>
      </w:r>
      <w:r w:rsidR="00A55B70">
        <w:rPr>
          <w:szCs w:val="24"/>
        </w:rPr>
        <w:t xml:space="preserve"> more conservative amicus cosigners </w:t>
      </w:r>
      <w:r w:rsidR="00DB02B8">
        <w:rPr>
          <w:szCs w:val="24"/>
        </w:rPr>
        <w:t xml:space="preserve">than liberal ones at the conservative Roberts Court, but the opposite is true.  </w:t>
      </w:r>
      <w:r w:rsidR="00A55B70">
        <w:rPr>
          <w:szCs w:val="24"/>
        </w:rPr>
        <w:t>Once again, liberal amici are not reluctant to lobby at the Roberts Court, ind</w:t>
      </w:r>
      <w:r>
        <w:rPr>
          <w:szCs w:val="24"/>
        </w:rPr>
        <w:t>icating that they do not think</w:t>
      </w:r>
      <w:r w:rsidR="00A55B70">
        <w:rPr>
          <w:szCs w:val="24"/>
        </w:rPr>
        <w:t xml:space="preserve"> that such lobbying is a waste of time, money, or effort.</w:t>
      </w:r>
    </w:p>
    <w:p w:rsidR="00A55B70" w:rsidRDefault="00DB02B8" w:rsidP="00DB02B8">
      <w:pPr>
        <w:autoSpaceDE w:val="0"/>
        <w:autoSpaceDN w:val="0"/>
        <w:adjustRightInd w:val="0"/>
        <w:spacing w:line="480" w:lineRule="auto"/>
        <w:ind w:left="0" w:firstLine="720"/>
        <w:rPr>
          <w:szCs w:val="24"/>
        </w:rPr>
      </w:pPr>
      <w:r>
        <w:rPr>
          <w:szCs w:val="24"/>
        </w:rPr>
        <w:t>Comparing the issue areas</w:t>
      </w:r>
      <w:r w:rsidR="00A55B70">
        <w:rPr>
          <w:szCs w:val="24"/>
        </w:rPr>
        <w:t>, Rows 7 and 8 show that libera</w:t>
      </w:r>
      <w:r w:rsidR="00E57EC3">
        <w:rPr>
          <w:szCs w:val="24"/>
        </w:rPr>
        <w:t>l amici enjoy an approximately seven</w:t>
      </w:r>
      <w:r w:rsidR="00A55B70">
        <w:rPr>
          <w:szCs w:val="24"/>
        </w:rPr>
        <w:t xml:space="preserve"> cosigner advantage over conservative amici on average in civil rights and liberties cases, </w:t>
      </w:r>
      <w:r w:rsidR="00E57EC3">
        <w:rPr>
          <w:szCs w:val="24"/>
        </w:rPr>
        <w:t>and approximately a five</w:t>
      </w:r>
      <w:r w:rsidR="00A55B70">
        <w:rPr>
          <w:szCs w:val="24"/>
        </w:rPr>
        <w:t xml:space="preserve"> cosigner advantage on average in economics and judicial power and federalism cases.  On the other hand, criminal procedure cases have two more conservative amicus cosigners than liberal ones on average</w:t>
      </w:r>
      <w:r>
        <w:rPr>
          <w:szCs w:val="24"/>
        </w:rPr>
        <w:t xml:space="preserve">.  </w:t>
      </w:r>
    </w:p>
    <w:p w:rsidR="004531C6" w:rsidRDefault="00E57EC3" w:rsidP="00DB02B8">
      <w:pPr>
        <w:autoSpaceDE w:val="0"/>
        <w:autoSpaceDN w:val="0"/>
        <w:adjustRightInd w:val="0"/>
        <w:spacing w:line="480" w:lineRule="auto"/>
        <w:ind w:left="0" w:firstLine="720"/>
        <w:rPr>
          <w:szCs w:val="24"/>
        </w:rPr>
      </w:pPr>
      <w:r>
        <w:rPr>
          <w:szCs w:val="24"/>
        </w:rPr>
        <w:t>Row 11 of Table 4.2</w:t>
      </w:r>
      <w:r w:rsidR="00DB02B8">
        <w:rPr>
          <w:szCs w:val="24"/>
        </w:rPr>
        <w:t xml:space="preserve"> sh</w:t>
      </w:r>
      <w:r w:rsidR="00A55B70">
        <w:rPr>
          <w:szCs w:val="24"/>
        </w:rPr>
        <w:t>ows the maximum number of cosigners</w:t>
      </w:r>
      <w:r w:rsidR="00DB02B8">
        <w:rPr>
          <w:szCs w:val="24"/>
        </w:rPr>
        <w:t xml:space="preserve"> filed in a case for each issue area, and all areas combined</w:t>
      </w:r>
      <w:r w:rsidR="00DB02B8">
        <w:rPr>
          <w:rStyle w:val="FootnoteReference"/>
          <w:szCs w:val="24"/>
        </w:rPr>
        <w:footnoteReference w:id="74"/>
      </w:r>
      <w:r w:rsidR="00DB02B8">
        <w:rPr>
          <w:szCs w:val="24"/>
        </w:rPr>
        <w:t xml:space="preserve">.  </w:t>
      </w:r>
      <w:r w:rsidR="00F03854">
        <w:rPr>
          <w:szCs w:val="24"/>
        </w:rPr>
        <w:t xml:space="preserve">Just as is with case with amicus briefs, </w:t>
      </w:r>
      <w:r w:rsidR="00DB02B8">
        <w:rPr>
          <w:i/>
          <w:szCs w:val="24"/>
        </w:rPr>
        <w:t>Department of Health and Human Services v. Florida</w:t>
      </w:r>
      <w:r>
        <w:rPr>
          <w:i/>
          <w:szCs w:val="24"/>
        </w:rPr>
        <w:t xml:space="preserve"> </w:t>
      </w:r>
      <w:r>
        <w:rPr>
          <w:szCs w:val="24"/>
        </w:rPr>
        <w:t>(11-398) (2011 term)</w:t>
      </w:r>
      <w:r w:rsidR="00DB02B8">
        <w:rPr>
          <w:i/>
          <w:szCs w:val="24"/>
        </w:rPr>
        <w:t xml:space="preserve"> </w:t>
      </w:r>
      <w:r w:rsidR="00DB02B8">
        <w:rPr>
          <w:szCs w:val="24"/>
        </w:rPr>
        <w:t>attracted the most ami</w:t>
      </w:r>
      <w:r w:rsidR="00A55B70">
        <w:rPr>
          <w:szCs w:val="24"/>
        </w:rPr>
        <w:t>c</w:t>
      </w:r>
      <w:r>
        <w:rPr>
          <w:szCs w:val="24"/>
        </w:rPr>
        <w:t xml:space="preserve">us cosigners (1,928) of any case during the 2007-2011 terms of the Roberts Court.  </w:t>
      </w:r>
      <w:r w:rsidR="00F03854">
        <w:rPr>
          <w:szCs w:val="24"/>
        </w:rPr>
        <w:t xml:space="preserve">As stated previously, </w:t>
      </w:r>
      <w:r w:rsidR="00F03854">
        <w:rPr>
          <w:i/>
          <w:szCs w:val="24"/>
        </w:rPr>
        <w:t>Department of Health and Human Services v. Florida</w:t>
      </w:r>
      <w:r w:rsidR="00DB02B8">
        <w:rPr>
          <w:szCs w:val="24"/>
        </w:rPr>
        <w:t xml:space="preserve"> was a part of the broader consolidated health care law case involving the constitutionality of the Patient Protection and Affordable Care Act, which consolidated three docket numbers into one case:  </w:t>
      </w:r>
      <w:r w:rsidR="00DB02B8">
        <w:rPr>
          <w:i/>
          <w:szCs w:val="24"/>
        </w:rPr>
        <w:t xml:space="preserve">Department of Health and Human Services v. Florida </w:t>
      </w:r>
      <w:r w:rsidR="004531C6">
        <w:rPr>
          <w:szCs w:val="24"/>
        </w:rPr>
        <w:t>(11-398; 1,928 cosigners</w:t>
      </w:r>
      <w:r w:rsidR="00DB02B8">
        <w:rPr>
          <w:szCs w:val="24"/>
        </w:rPr>
        <w:t xml:space="preserve">); </w:t>
      </w:r>
      <w:r w:rsidR="00DB02B8">
        <w:rPr>
          <w:i/>
          <w:szCs w:val="24"/>
        </w:rPr>
        <w:t xml:space="preserve">Florida vs. Department of Health and Human Services </w:t>
      </w:r>
      <w:r w:rsidR="004531C6">
        <w:rPr>
          <w:szCs w:val="24"/>
        </w:rPr>
        <w:t>(11-400; 1,413 cosigners</w:t>
      </w:r>
      <w:r w:rsidR="00DB02B8">
        <w:rPr>
          <w:szCs w:val="24"/>
        </w:rPr>
        <w:t xml:space="preserve">); and </w:t>
      </w:r>
      <w:r w:rsidR="00DB02B8" w:rsidRPr="0028659C">
        <w:rPr>
          <w:i/>
          <w:szCs w:val="24"/>
        </w:rPr>
        <w:t xml:space="preserve">National Federation of Independent Business vs. </w:t>
      </w:r>
      <w:proofErr w:type="spellStart"/>
      <w:r w:rsidR="00DB02B8" w:rsidRPr="0028659C">
        <w:rPr>
          <w:i/>
          <w:szCs w:val="24"/>
        </w:rPr>
        <w:t>Sebelius</w:t>
      </w:r>
      <w:proofErr w:type="spellEnd"/>
      <w:r w:rsidR="00DB02B8" w:rsidRPr="0028659C">
        <w:rPr>
          <w:i/>
          <w:szCs w:val="24"/>
        </w:rPr>
        <w:t xml:space="preserve"> </w:t>
      </w:r>
      <w:r w:rsidR="004531C6">
        <w:rPr>
          <w:szCs w:val="24"/>
        </w:rPr>
        <w:t>(11-393; 450</w:t>
      </w:r>
      <w:r w:rsidR="00DB2A76">
        <w:rPr>
          <w:szCs w:val="24"/>
        </w:rPr>
        <w:t xml:space="preserve"> cosigners</w:t>
      </w:r>
      <w:r w:rsidR="00DB02B8">
        <w:rPr>
          <w:szCs w:val="24"/>
        </w:rPr>
        <w:t xml:space="preserve">).  </w:t>
      </w:r>
      <w:r w:rsidR="00DB02B8" w:rsidRPr="000B6661">
        <w:rPr>
          <w:szCs w:val="24"/>
        </w:rPr>
        <w:t>Altogether, this consolidated health care</w:t>
      </w:r>
      <w:r w:rsidR="004531C6">
        <w:rPr>
          <w:szCs w:val="24"/>
        </w:rPr>
        <w:t xml:space="preserve"> law case was </w:t>
      </w:r>
      <w:r w:rsidR="004531C6">
        <w:rPr>
          <w:szCs w:val="24"/>
        </w:rPr>
        <w:lastRenderedPageBreak/>
        <w:t xml:space="preserve">accompanied by 3,791 cosigners (some of which </w:t>
      </w:r>
      <w:r>
        <w:rPr>
          <w:szCs w:val="24"/>
        </w:rPr>
        <w:t xml:space="preserve">are </w:t>
      </w:r>
      <w:r w:rsidR="004531C6">
        <w:rPr>
          <w:szCs w:val="24"/>
        </w:rPr>
        <w:t>duplicative, as some of the same briefs were filed in a couple of docket numbers)</w:t>
      </w:r>
      <w:r w:rsidR="00DB02B8" w:rsidRPr="000B6661">
        <w:rPr>
          <w:szCs w:val="24"/>
        </w:rPr>
        <w:t>.</w:t>
      </w:r>
      <w:r w:rsidR="00DB02B8">
        <w:rPr>
          <w:color w:val="FF0000"/>
          <w:szCs w:val="24"/>
        </w:rPr>
        <w:t xml:space="preserve">  </w:t>
      </w:r>
    </w:p>
    <w:p w:rsidR="00D82C2C" w:rsidRDefault="00DB02B8" w:rsidP="00A0753B">
      <w:pPr>
        <w:autoSpaceDE w:val="0"/>
        <w:autoSpaceDN w:val="0"/>
        <w:adjustRightInd w:val="0"/>
        <w:spacing w:line="480" w:lineRule="auto"/>
        <w:ind w:left="0" w:firstLine="720"/>
        <w:rPr>
          <w:szCs w:val="24"/>
        </w:rPr>
      </w:pPr>
      <w:r>
        <w:rPr>
          <w:szCs w:val="24"/>
        </w:rPr>
        <w:t>The criminal procedure case that attract</w:t>
      </w:r>
      <w:r w:rsidR="004531C6">
        <w:rPr>
          <w:szCs w:val="24"/>
        </w:rPr>
        <w:t>ed the most amici cosigners (1,622 cosigners</w:t>
      </w:r>
      <w:r>
        <w:rPr>
          <w:szCs w:val="24"/>
        </w:rPr>
        <w:t xml:space="preserve">), was </w:t>
      </w:r>
      <w:r w:rsidR="004531C6">
        <w:rPr>
          <w:i/>
          <w:szCs w:val="24"/>
        </w:rPr>
        <w:t xml:space="preserve">McDonald v. City of Chicago </w:t>
      </w:r>
      <w:r w:rsidR="00674980">
        <w:rPr>
          <w:szCs w:val="24"/>
        </w:rPr>
        <w:t xml:space="preserve">(08-1521) </w:t>
      </w:r>
      <w:r w:rsidR="004531C6">
        <w:rPr>
          <w:szCs w:val="24"/>
        </w:rPr>
        <w:t>(2010</w:t>
      </w:r>
      <w:r>
        <w:rPr>
          <w:szCs w:val="24"/>
        </w:rPr>
        <w:t xml:space="preserve"> term), involving the constitutionality of </w:t>
      </w:r>
      <w:r w:rsidR="004531C6">
        <w:rPr>
          <w:szCs w:val="24"/>
        </w:rPr>
        <w:t xml:space="preserve">Chicago’s </w:t>
      </w:r>
      <w:r>
        <w:rPr>
          <w:szCs w:val="24"/>
        </w:rPr>
        <w:t>gun restrictions and whether the Second Amendment</w:t>
      </w:r>
      <w:r w:rsidR="004531C6">
        <w:rPr>
          <w:szCs w:val="24"/>
        </w:rPr>
        <w:t>’s right to bear arms limits the ability of states and local governments to restrict guns</w:t>
      </w:r>
      <w:r>
        <w:rPr>
          <w:szCs w:val="24"/>
        </w:rPr>
        <w:t>.   The civil rights and liberties c</w:t>
      </w:r>
      <w:r w:rsidR="006735AB">
        <w:rPr>
          <w:szCs w:val="24"/>
        </w:rPr>
        <w:t>ase with the most amicus cosigners (249</w:t>
      </w:r>
      <w:r>
        <w:rPr>
          <w:szCs w:val="24"/>
        </w:rPr>
        <w:t xml:space="preserve">) was </w:t>
      </w:r>
      <w:r w:rsidR="006735AB" w:rsidRPr="00674980">
        <w:rPr>
          <w:i/>
          <w:szCs w:val="24"/>
        </w:rPr>
        <w:t>Christian Legal Society v. Martinez</w:t>
      </w:r>
      <w:r w:rsidR="00674980" w:rsidRPr="00674980">
        <w:rPr>
          <w:szCs w:val="24"/>
        </w:rPr>
        <w:t xml:space="preserve"> (</w:t>
      </w:r>
      <w:r w:rsidR="00674980" w:rsidRPr="00674980">
        <w:rPr>
          <w:rFonts w:eastAsia="Times New Roman" w:cs="Times New Roman"/>
          <w:color w:val="000000"/>
          <w:szCs w:val="24"/>
        </w:rPr>
        <w:t>08-1371)</w:t>
      </w:r>
      <w:r w:rsidR="006735AB">
        <w:rPr>
          <w:i/>
          <w:szCs w:val="24"/>
        </w:rPr>
        <w:t xml:space="preserve"> </w:t>
      </w:r>
      <w:r>
        <w:rPr>
          <w:szCs w:val="24"/>
        </w:rPr>
        <w:t>(2009 term), regarding whether</w:t>
      </w:r>
      <w:r w:rsidR="006735AB">
        <w:rPr>
          <w:szCs w:val="24"/>
        </w:rPr>
        <w:t xml:space="preserve">, consistent with the First Amendment, a public law school could bar recognition of student campus chapter of the Christian Legal Society because it required students to subscribe to a “statement of beliefs” and refrain from proscribed behavior, including homosexuality, in order to become a member. </w:t>
      </w:r>
      <w:r>
        <w:rPr>
          <w:szCs w:val="24"/>
        </w:rPr>
        <w:t xml:space="preserve"> The economics ca</w:t>
      </w:r>
      <w:r w:rsidR="006735AB">
        <w:rPr>
          <w:szCs w:val="24"/>
        </w:rPr>
        <w:t>se having the most amicus cosigners</w:t>
      </w:r>
      <w:r>
        <w:rPr>
          <w:szCs w:val="24"/>
        </w:rPr>
        <w:t xml:space="preserve"> (69) was</w:t>
      </w:r>
      <w:r w:rsidR="006735AB">
        <w:rPr>
          <w:szCs w:val="24"/>
        </w:rPr>
        <w:t xml:space="preserve"> </w:t>
      </w:r>
      <w:r w:rsidR="006735AB">
        <w:rPr>
          <w:i/>
          <w:szCs w:val="24"/>
        </w:rPr>
        <w:t xml:space="preserve">Microsoft v. i4i Limited Partnership </w:t>
      </w:r>
      <w:r w:rsidR="006735AB">
        <w:rPr>
          <w:szCs w:val="24"/>
        </w:rPr>
        <w:t>(10-249) (2010 term)</w:t>
      </w:r>
      <w:r>
        <w:rPr>
          <w:i/>
          <w:szCs w:val="24"/>
        </w:rPr>
        <w:t xml:space="preserve">, </w:t>
      </w:r>
      <w:r>
        <w:rPr>
          <w:szCs w:val="24"/>
        </w:rPr>
        <w:t>invol</w:t>
      </w:r>
      <w:r w:rsidR="00674980">
        <w:rPr>
          <w:szCs w:val="24"/>
        </w:rPr>
        <w:t>ving whether the Patent Act requires an invalidity defense to be proved by clear and convincing evidence.</w:t>
      </w:r>
      <w:r>
        <w:rPr>
          <w:szCs w:val="24"/>
        </w:rPr>
        <w:t xml:space="preserve"> </w:t>
      </w:r>
    </w:p>
    <w:p w:rsidR="009828AF" w:rsidRPr="00617C8A" w:rsidRDefault="00CB3F86" w:rsidP="00617C8A">
      <w:pPr>
        <w:autoSpaceDE w:val="0"/>
        <w:autoSpaceDN w:val="0"/>
        <w:adjustRightInd w:val="0"/>
        <w:spacing w:line="480" w:lineRule="auto"/>
        <w:ind w:left="0" w:firstLine="720"/>
        <w:rPr>
          <w:szCs w:val="24"/>
        </w:rPr>
      </w:pPr>
      <w:r>
        <w:rPr>
          <w:szCs w:val="24"/>
        </w:rPr>
        <w:t xml:space="preserve">Table A.2, located in the Appendix, </w:t>
      </w:r>
      <w:r w:rsidR="00EA3322">
        <w:rPr>
          <w:szCs w:val="24"/>
        </w:rPr>
        <w:t xml:space="preserve">ranks </w:t>
      </w:r>
      <w:r>
        <w:rPr>
          <w:szCs w:val="24"/>
        </w:rPr>
        <w:t>all</w:t>
      </w:r>
      <w:r w:rsidR="00EA3322">
        <w:rPr>
          <w:szCs w:val="24"/>
        </w:rPr>
        <w:t xml:space="preserve"> of the</w:t>
      </w:r>
      <w:r>
        <w:rPr>
          <w:szCs w:val="24"/>
        </w:rPr>
        <w:t xml:space="preserve"> cases during the 2007-2011 terms of the Roberts that possessed at least 125 amicus cosigners.  This table provides information regarding the case name, docket number, term, vote, ideological direction of the decision, specific number of amicus cosigners, </w:t>
      </w:r>
      <w:proofErr w:type="gramStart"/>
      <w:r>
        <w:rPr>
          <w:szCs w:val="24"/>
        </w:rPr>
        <w:t>the</w:t>
      </w:r>
      <w:proofErr w:type="gramEnd"/>
      <w:r>
        <w:rPr>
          <w:szCs w:val="24"/>
        </w:rPr>
        <w:t xml:space="preserve"> net difference in the number of liberal and conservative cosigners in the case, along with a brief description of the case holding.  </w:t>
      </w:r>
    </w:p>
    <w:p w:rsidR="0082221A" w:rsidRDefault="0082221A" w:rsidP="00755480">
      <w:pPr>
        <w:spacing w:line="480" w:lineRule="auto"/>
        <w:ind w:left="0" w:firstLine="0"/>
        <w:rPr>
          <w:b/>
          <w:szCs w:val="24"/>
        </w:rPr>
      </w:pPr>
    </w:p>
    <w:p w:rsidR="00A0753B" w:rsidRPr="0056631B" w:rsidRDefault="009828AF" w:rsidP="009828AF">
      <w:pPr>
        <w:pStyle w:val="ListParagraph"/>
        <w:numPr>
          <w:ilvl w:val="0"/>
          <w:numId w:val="32"/>
        </w:numPr>
        <w:spacing w:line="480" w:lineRule="auto"/>
        <w:rPr>
          <w:b/>
          <w:szCs w:val="24"/>
        </w:rPr>
      </w:pPr>
      <w:r w:rsidRPr="0056631B">
        <w:rPr>
          <w:b/>
          <w:szCs w:val="24"/>
        </w:rPr>
        <w:t>Amicus Participation by Term</w:t>
      </w:r>
    </w:p>
    <w:p w:rsidR="00A0753B" w:rsidRDefault="00A0753B" w:rsidP="003C7E7E">
      <w:pPr>
        <w:spacing w:line="480" w:lineRule="auto"/>
        <w:ind w:left="0" w:firstLine="0"/>
        <w:rPr>
          <w:szCs w:val="24"/>
        </w:rPr>
      </w:pPr>
      <w:r>
        <w:rPr>
          <w:szCs w:val="24"/>
        </w:rPr>
        <w:tab/>
      </w:r>
      <w:r w:rsidR="00E57EC3">
        <w:rPr>
          <w:szCs w:val="24"/>
        </w:rPr>
        <w:t>Table 4.3</w:t>
      </w:r>
      <w:r w:rsidR="00B514FF">
        <w:rPr>
          <w:szCs w:val="24"/>
        </w:rPr>
        <w:t xml:space="preserve"> presents inf</w:t>
      </w:r>
      <w:r w:rsidR="0038073D">
        <w:rPr>
          <w:szCs w:val="24"/>
        </w:rPr>
        <w:t>ormation regarding amicus brief filings</w:t>
      </w:r>
      <w:r w:rsidR="00B514FF">
        <w:rPr>
          <w:szCs w:val="24"/>
        </w:rPr>
        <w:t xml:space="preserve"> by term</w:t>
      </w:r>
      <w:r w:rsidR="0038073D">
        <w:rPr>
          <w:szCs w:val="24"/>
        </w:rPr>
        <w:t xml:space="preserve"> of the Roberts Court</w:t>
      </w:r>
      <w:r w:rsidR="00B514FF">
        <w:rPr>
          <w:szCs w:val="24"/>
        </w:rPr>
        <w:t xml:space="preserve">.  </w:t>
      </w:r>
      <w:r w:rsidR="0038073D">
        <w:rPr>
          <w:szCs w:val="24"/>
        </w:rPr>
        <w:t xml:space="preserve">The percentage of cases each term accompanied by at least one amicus brief was remarkably consistent, ranging from just over 95 percent of cases to just over 97 percent of cases </w:t>
      </w:r>
      <w:r w:rsidR="0038073D">
        <w:rPr>
          <w:szCs w:val="24"/>
        </w:rPr>
        <w:lastRenderedPageBreak/>
        <w:t>over the 5 terms.  The 2011 term had the highest percentage of cases with amicus participation, but each of the other terms clo</w:t>
      </w:r>
      <w:r w:rsidR="00E57EC3">
        <w:rPr>
          <w:szCs w:val="24"/>
        </w:rPr>
        <w:t>sely followed.  Row 2 of Table 4.3</w:t>
      </w:r>
      <w:r w:rsidR="0038073D">
        <w:rPr>
          <w:szCs w:val="24"/>
        </w:rPr>
        <w:t xml:space="preserve"> shows that the 2010 term of the Roberts Court had the most amicus briefs filed (834), followed by the 2011 term (754).  The 2008 term had </w:t>
      </w:r>
      <w:r w:rsidR="003C7E7E">
        <w:rPr>
          <w:szCs w:val="24"/>
        </w:rPr>
        <w:t xml:space="preserve">the fewest amicus briefs (659).  </w:t>
      </w:r>
      <w:r w:rsidR="00E57EC3">
        <w:rPr>
          <w:szCs w:val="24"/>
        </w:rPr>
        <w:t>Rows 3-5 of Table 4.3</w:t>
      </w:r>
      <w:r w:rsidR="00E54AF2">
        <w:rPr>
          <w:szCs w:val="24"/>
        </w:rPr>
        <w:t xml:space="preserve"> show the number of liberal, conservative, and unspecifiable briefs filed each term.  Liberal amicus briefs outnumbered conservative briefs in every term, with the liberal advantage being greatest in the </w:t>
      </w:r>
      <w:r w:rsidR="00FB03AD">
        <w:rPr>
          <w:szCs w:val="24"/>
        </w:rPr>
        <w:t xml:space="preserve">2007 term (111 liberal brief </w:t>
      </w:r>
      <w:proofErr w:type="gramStart"/>
      <w:r w:rsidR="00FB03AD">
        <w:rPr>
          <w:szCs w:val="24"/>
        </w:rPr>
        <w:t>advantage</w:t>
      </w:r>
      <w:proofErr w:type="gramEnd"/>
      <w:r w:rsidR="00FB03AD">
        <w:rPr>
          <w:szCs w:val="24"/>
        </w:rPr>
        <w:t xml:space="preserve"> over conservative briefs).   </w:t>
      </w:r>
    </w:p>
    <w:p w:rsidR="00FB03AD" w:rsidRDefault="00FB03AD" w:rsidP="00075E1F">
      <w:pPr>
        <w:spacing w:line="480" w:lineRule="auto"/>
        <w:ind w:left="0" w:firstLine="0"/>
        <w:rPr>
          <w:szCs w:val="24"/>
        </w:rPr>
      </w:pPr>
      <w:r>
        <w:rPr>
          <w:szCs w:val="24"/>
        </w:rPr>
        <w:tab/>
        <w:t>Row 6 depicts the mean number of amicus briefs filed each case during each term.   The 2010 and 2011 terms had the greatest mean number of amicus briefs per case – both at 9.8 briefs per case.   By contrast, the 2008 term had the fewest amicus brief filings per case (7.75).   Rows 7-9 illustrate the mean number of liberal, conservative, and unspecifiable amicus briefs per case, respectively.  While more libe</w:t>
      </w:r>
      <w:r w:rsidR="00414087">
        <w:rPr>
          <w:szCs w:val="24"/>
        </w:rPr>
        <w:t xml:space="preserve">ral amicus briefs were filed </w:t>
      </w:r>
      <w:r>
        <w:rPr>
          <w:szCs w:val="24"/>
        </w:rPr>
        <w:t xml:space="preserve">per case in every term, the liberal advantage was greatest during the 2007 term (1.52 brief advantage), and was smallest during the 2009 term (.17 brief advantage).  </w:t>
      </w:r>
    </w:p>
    <w:p w:rsidR="0003668E" w:rsidRPr="0038073D" w:rsidRDefault="0003668E" w:rsidP="00075E1F">
      <w:pPr>
        <w:spacing w:line="480" w:lineRule="auto"/>
        <w:ind w:left="0" w:firstLine="0"/>
        <w:rPr>
          <w:szCs w:val="24"/>
        </w:rPr>
      </w:pPr>
      <w:r>
        <w:rPr>
          <w:szCs w:val="24"/>
        </w:rPr>
        <w:tab/>
        <w:t>Row 10</w:t>
      </w:r>
      <w:r w:rsidR="00E57EC3">
        <w:rPr>
          <w:szCs w:val="24"/>
        </w:rPr>
        <w:t xml:space="preserve"> of Table 4.3</w:t>
      </w:r>
      <w:r>
        <w:rPr>
          <w:szCs w:val="24"/>
        </w:rPr>
        <w:t xml:space="preserve"> shows the maximum number of amicus briefs filed in a case each term.  2011 had the case with the most amicus briefs, </w:t>
      </w:r>
      <w:r>
        <w:rPr>
          <w:i/>
          <w:szCs w:val="24"/>
        </w:rPr>
        <w:t xml:space="preserve">Department of Health and Human Services v. Florida </w:t>
      </w:r>
      <w:r>
        <w:rPr>
          <w:szCs w:val="24"/>
        </w:rPr>
        <w:t>(11-398) (87 briefs)</w:t>
      </w:r>
      <w:r w:rsidR="0038073D">
        <w:rPr>
          <w:szCs w:val="24"/>
        </w:rPr>
        <w:t xml:space="preserve">. </w:t>
      </w:r>
      <w:r>
        <w:rPr>
          <w:szCs w:val="24"/>
        </w:rPr>
        <w:t xml:space="preserve">The case accompanied by the most amicus briefs in the 2009 term was </w:t>
      </w:r>
      <w:proofErr w:type="spellStart"/>
      <w:r>
        <w:rPr>
          <w:i/>
          <w:szCs w:val="24"/>
        </w:rPr>
        <w:t>Bilski</w:t>
      </w:r>
      <w:proofErr w:type="spellEnd"/>
      <w:r>
        <w:rPr>
          <w:i/>
          <w:szCs w:val="24"/>
        </w:rPr>
        <w:t xml:space="preserve"> v. </w:t>
      </w:r>
      <w:proofErr w:type="spellStart"/>
      <w:r>
        <w:rPr>
          <w:i/>
          <w:szCs w:val="24"/>
        </w:rPr>
        <w:t>Kappos</w:t>
      </w:r>
      <w:proofErr w:type="spellEnd"/>
      <w:r>
        <w:rPr>
          <w:i/>
          <w:szCs w:val="24"/>
        </w:rPr>
        <w:t xml:space="preserve"> </w:t>
      </w:r>
      <w:r>
        <w:rPr>
          <w:szCs w:val="24"/>
        </w:rPr>
        <w:t>(08-294)</w:t>
      </w:r>
      <w:r w:rsidR="0038073D">
        <w:rPr>
          <w:szCs w:val="24"/>
        </w:rPr>
        <w:t xml:space="preserve"> (69 briefs)</w:t>
      </w:r>
      <w:r>
        <w:rPr>
          <w:szCs w:val="24"/>
        </w:rPr>
        <w:t xml:space="preserve">.  The case in the 2007 term with the most amicus briefs was </w:t>
      </w:r>
      <w:r w:rsidR="0038073D">
        <w:rPr>
          <w:i/>
          <w:szCs w:val="24"/>
        </w:rPr>
        <w:t xml:space="preserve">District of Columbia v. Heller </w:t>
      </w:r>
      <w:r w:rsidR="0038073D">
        <w:rPr>
          <w:szCs w:val="24"/>
        </w:rPr>
        <w:t xml:space="preserve">(07-290) (68 briefs).   </w:t>
      </w:r>
      <w:r w:rsidR="0038073D">
        <w:rPr>
          <w:i/>
          <w:szCs w:val="24"/>
        </w:rPr>
        <w:t xml:space="preserve">Microsoft v. i4i Limited Partnership </w:t>
      </w:r>
      <w:r w:rsidR="0038073D">
        <w:rPr>
          <w:szCs w:val="24"/>
        </w:rPr>
        <w:t xml:space="preserve">(10-290) (48 briefs) </w:t>
      </w:r>
      <w:r w:rsidR="00414087">
        <w:rPr>
          <w:szCs w:val="24"/>
        </w:rPr>
        <w:t xml:space="preserve">had </w:t>
      </w:r>
      <w:r w:rsidR="0038073D">
        <w:rPr>
          <w:szCs w:val="24"/>
        </w:rPr>
        <w:t xml:space="preserve">the most amicus briefs filed in the 2010 term.  Lastly, the case with the most amicus briefs from the 2008 term was </w:t>
      </w:r>
      <w:r w:rsidR="0038073D" w:rsidRPr="00414087">
        <w:rPr>
          <w:i/>
          <w:szCs w:val="24"/>
        </w:rPr>
        <w:t>Wyeth v. Levine</w:t>
      </w:r>
      <w:r w:rsidR="0038073D">
        <w:rPr>
          <w:szCs w:val="24"/>
        </w:rPr>
        <w:t xml:space="preserve"> (06-1249), in which the USSC decided to allow failure-to-warn suits in state court against </w:t>
      </w:r>
      <w:r w:rsidR="00E35CB6">
        <w:rPr>
          <w:szCs w:val="24"/>
        </w:rPr>
        <w:t>drug makers</w:t>
      </w:r>
      <w:r w:rsidR="0038073D">
        <w:rPr>
          <w:szCs w:val="24"/>
        </w:rPr>
        <w:t xml:space="preserve"> despite federal regulation.</w:t>
      </w:r>
    </w:p>
    <w:p w:rsidR="00617C8A" w:rsidRPr="00075E1F" w:rsidRDefault="00617C8A" w:rsidP="00617C8A">
      <w:pPr>
        <w:spacing w:line="480" w:lineRule="auto"/>
        <w:ind w:left="0" w:firstLine="0"/>
        <w:rPr>
          <w:b/>
          <w:szCs w:val="24"/>
        </w:rPr>
      </w:pPr>
      <w:proofErr w:type="gramStart"/>
      <w:r>
        <w:rPr>
          <w:b/>
          <w:szCs w:val="24"/>
        </w:rPr>
        <w:lastRenderedPageBreak/>
        <w:t>Table 4.3.</w:t>
      </w:r>
      <w:proofErr w:type="gramEnd"/>
      <w:r>
        <w:rPr>
          <w:b/>
          <w:szCs w:val="24"/>
        </w:rPr>
        <w:t xml:space="preserve">  Amicus Curiae Briefs by Term</w:t>
      </w:r>
    </w:p>
    <w:tbl>
      <w:tblPr>
        <w:tblW w:w="0" w:type="auto"/>
        <w:tblInd w:w="93" w:type="dxa"/>
        <w:tblBorders>
          <w:top w:val="single" w:sz="4" w:space="0" w:color="auto"/>
          <w:bottom w:val="single" w:sz="4" w:space="0" w:color="auto"/>
        </w:tblBorders>
        <w:tblLayout w:type="fixed"/>
        <w:tblLook w:val="04A0" w:firstRow="1" w:lastRow="0" w:firstColumn="1" w:lastColumn="0" w:noHBand="0" w:noVBand="1"/>
      </w:tblPr>
      <w:tblGrid>
        <w:gridCol w:w="1725"/>
        <w:gridCol w:w="1077"/>
        <w:gridCol w:w="1315"/>
        <w:gridCol w:w="1314"/>
        <w:gridCol w:w="1314"/>
        <w:gridCol w:w="1314"/>
        <w:gridCol w:w="1424"/>
      </w:tblGrid>
      <w:tr w:rsidR="00617C8A" w:rsidRPr="00747086" w:rsidTr="002D72FB">
        <w:trPr>
          <w:trHeight w:val="864"/>
        </w:trPr>
        <w:tc>
          <w:tcPr>
            <w:tcW w:w="1725" w:type="dxa"/>
            <w:tcBorders>
              <w:top w:val="single" w:sz="18" w:space="0" w:color="auto"/>
              <w:left w:val="nil"/>
              <w:bottom w:val="single" w:sz="18" w:space="0" w:color="auto"/>
            </w:tcBorders>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p>
        </w:tc>
        <w:tc>
          <w:tcPr>
            <w:tcW w:w="1077" w:type="dxa"/>
            <w:tcBorders>
              <w:top w:val="single" w:sz="18" w:space="0" w:color="auto"/>
              <w:bottom w:val="single" w:sz="18" w:space="0" w:color="auto"/>
            </w:tcBorders>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2007-08</w:t>
            </w:r>
          </w:p>
        </w:tc>
        <w:tc>
          <w:tcPr>
            <w:tcW w:w="1315" w:type="dxa"/>
            <w:tcBorders>
              <w:top w:val="single" w:sz="18" w:space="0" w:color="auto"/>
              <w:bottom w:val="single" w:sz="18" w:space="0" w:color="auto"/>
            </w:tcBorders>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2008-09</w:t>
            </w:r>
          </w:p>
        </w:tc>
        <w:tc>
          <w:tcPr>
            <w:tcW w:w="1314" w:type="dxa"/>
            <w:tcBorders>
              <w:top w:val="single" w:sz="18" w:space="0" w:color="auto"/>
              <w:bottom w:val="single" w:sz="18" w:space="0" w:color="auto"/>
            </w:tcBorders>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2009-10</w:t>
            </w:r>
          </w:p>
        </w:tc>
        <w:tc>
          <w:tcPr>
            <w:tcW w:w="1314" w:type="dxa"/>
            <w:tcBorders>
              <w:top w:val="single" w:sz="18" w:space="0" w:color="auto"/>
              <w:bottom w:val="single" w:sz="18" w:space="0" w:color="auto"/>
            </w:tcBorders>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2010-11</w:t>
            </w:r>
          </w:p>
        </w:tc>
        <w:tc>
          <w:tcPr>
            <w:tcW w:w="1314" w:type="dxa"/>
            <w:tcBorders>
              <w:top w:val="single" w:sz="18" w:space="0" w:color="auto"/>
              <w:bottom w:val="single" w:sz="18" w:space="0" w:color="auto"/>
            </w:tcBorders>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2011-12</w:t>
            </w:r>
          </w:p>
        </w:tc>
        <w:tc>
          <w:tcPr>
            <w:tcW w:w="1424" w:type="dxa"/>
            <w:tcBorders>
              <w:top w:val="single" w:sz="18" w:space="0" w:color="auto"/>
              <w:bottom w:val="single" w:sz="18" w:space="0" w:color="auto"/>
              <w:right w:val="nil"/>
            </w:tcBorders>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Totals</w:t>
            </w:r>
          </w:p>
        </w:tc>
      </w:tr>
      <w:tr w:rsidR="00617C8A" w:rsidRPr="00747086" w:rsidTr="002D72FB">
        <w:trPr>
          <w:trHeight w:val="864"/>
        </w:trPr>
        <w:tc>
          <w:tcPr>
            <w:tcW w:w="1725" w:type="dxa"/>
            <w:tcBorders>
              <w:top w:val="single" w:sz="18" w:space="0" w:color="auto"/>
            </w:tcBorders>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Percent of Cases with Amicus Briefs</w:t>
            </w:r>
          </w:p>
        </w:tc>
        <w:tc>
          <w:tcPr>
            <w:tcW w:w="1077" w:type="dxa"/>
            <w:tcBorders>
              <w:top w:val="single" w:sz="18" w:space="0" w:color="auto"/>
            </w:tcBorders>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97.26% (71)</w:t>
            </w:r>
          </w:p>
        </w:tc>
        <w:tc>
          <w:tcPr>
            <w:tcW w:w="1315" w:type="dxa"/>
            <w:tcBorders>
              <w:top w:val="single" w:sz="18" w:space="0" w:color="auto"/>
            </w:tcBorders>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96.47% (82)</w:t>
            </w:r>
          </w:p>
        </w:tc>
        <w:tc>
          <w:tcPr>
            <w:tcW w:w="1314" w:type="dxa"/>
            <w:tcBorders>
              <w:top w:val="single" w:sz="18" w:space="0" w:color="auto"/>
            </w:tcBorders>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96.10% (74)</w:t>
            </w:r>
          </w:p>
        </w:tc>
        <w:tc>
          <w:tcPr>
            <w:tcW w:w="1314" w:type="dxa"/>
            <w:tcBorders>
              <w:top w:val="single" w:sz="18" w:space="0" w:color="auto"/>
            </w:tcBorders>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95.29% (81)</w:t>
            </w:r>
          </w:p>
        </w:tc>
        <w:tc>
          <w:tcPr>
            <w:tcW w:w="1314" w:type="dxa"/>
            <w:tcBorders>
              <w:top w:val="single" w:sz="18" w:space="0" w:color="auto"/>
            </w:tcBorders>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97.40% (75)</w:t>
            </w:r>
          </w:p>
        </w:tc>
        <w:tc>
          <w:tcPr>
            <w:tcW w:w="1424" w:type="dxa"/>
            <w:tcBorders>
              <w:top w:val="single" w:sz="18" w:space="0" w:color="auto"/>
            </w:tcBorders>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96.47% (383)</w:t>
            </w:r>
          </w:p>
        </w:tc>
      </w:tr>
      <w:tr w:rsidR="00617C8A" w:rsidRPr="00747086" w:rsidTr="002D72FB">
        <w:trPr>
          <w:trHeight w:val="864"/>
        </w:trPr>
        <w:tc>
          <w:tcPr>
            <w:tcW w:w="1725" w:type="dxa"/>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Number of Briefs Filed</w:t>
            </w:r>
          </w:p>
        </w:tc>
        <w:tc>
          <w:tcPr>
            <w:tcW w:w="1077"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661</w:t>
            </w:r>
          </w:p>
        </w:tc>
        <w:tc>
          <w:tcPr>
            <w:tcW w:w="1315"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659</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731</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834</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754</w:t>
            </w:r>
          </w:p>
        </w:tc>
        <w:tc>
          <w:tcPr>
            <w:tcW w:w="1424" w:type="dxa"/>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3,639</w:t>
            </w:r>
          </w:p>
        </w:tc>
      </w:tr>
      <w:tr w:rsidR="00617C8A" w:rsidRPr="00747086" w:rsidTr="002D72FB">
        <w:trPr>
          <w:trHeight w:val="864"/>
        </w:trPr>
        <w:tc>
          <w:tcPr>
            <w:tcW w:w="1725" w:type="dxa"/>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Number of Liberal Briefs Filed</w:t>
            </w:r>
          </w:p>
        </w:tc>
        <w:tc>
          <w:tcPr>
            <w:tcW w:w="1077"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359</w:t>
            </w:r>
          </w:p>
        </w:tc>
        <w:tc>
          <w:tcPr>
            <w:tcW w:w="1315"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298</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328</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413</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364</w:t>
            </w:r>
          </w:p>
        </w:tc>
        <w:tc>
          <w:tcPr>
            <w:tcW w:w="1424" w:type="dxa"/>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1,762</w:t>
            </w:r>
          </w:p>
        </w:tc>
      </w:tr>
      <w:tr w:rsidR="00617C8A" w:rsidRPr="00747086" w:rsidTr="002D72FB">
        <w:trPr>
          <w:trHeight w:val="864"/>
        </w:trPr>
        <w:tc>
          <w:tcPr>
            <w:tcW w:w="1725" w:type="dxa"/>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Number of Conservative Briefs Filed</w:t>
            </w:r>
          </w:p>
        </w:tc>
        <w:tc>
          <w:tcPr>
            <w:tcW w:w="1077"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248</w:t>
            </w:r>
          </w:p>
        </w:tc>
        <w:tc>
          <w:tcPr>
            <w:tcW w:w="1315"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277</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315</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392</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303</w:t>
            </w:r>
          </w:p>
        </w:tc>
        <w:tc>
          <w:tcPr>
            <w:tcW w:w="1424" w:type="dxa"/>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1,535</w:t>
            </w:r>
          </w:p>
        </w:tc>
      </w:tr>
      <w:tr w:rsidR="00617C8A" w:rsidRPr="00747086" w:rsidTr="002D72FB">
        <w:trPr>
          <w:trHeight w:val="864"/>
        </w:trPr>
        <w:tc>
          <w:tcPr>
            <w:tcW w:w="1725" w:type="dxa"/>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Number of Unspecifiable Briefs Filed</w:t>
            </w:r>
          </w:p>
        </w:tc>
        <w:tc>
          <w:tcPr>
            <w:tcW w:w="1077"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55</w:t>
            </w:r>
          </w:p>
        </w:tc>
        <w:tc>
          <w:tcPr>
            <w:tcW w:w="1315"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84</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88</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28</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87</w:t>
            </w:r>
          </w:p>
        </w:tc>
        <w:tc>
          <w:tcPr>
            <w:tcW w:w="1424" w:type="dxa"/>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342</w:t>
            </w:r>
          </w:p>
        </w:tc>
      </w:tr>
      <w:tr w:rsidR="00617C8A" w:rsidRPr="00747086" w:rsidTr="002D72FB">
        <w:trPr>
          <w:trHeight w:val="864"/>
        </w:trPr>
        <w:tc>
          <w:tcPr>
            <w:tcW w:w="1725" w:type="dxa"/>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Mean Briefs Per Case</w:t>
            </w:r>
          </w:p>
        </w:tc>
        <w:tc>
          <w:tcPr>
            <w:tcW w:w="1077"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9.07</w:t>
            </w:r>
          </w:p>
        </w:tc>
        <w:tc>
          <w:tcPr>
            <w:tcW w:w="1315"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7.75</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9.49</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9.81</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9.79</w:t>
            </w:r>
          </w:p>
        </w:tc>
        <w:tc>
          <w:tcPr>
            <w:tcW w:w="1424" w:type="dxa"/>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9.17</w:t>
            </w:r>
          </w:p>
        </w:tc>
      </w:tr>
      <w:tr w:rsidR="00617C8A" w:rsidRPr="00747086" w:rsidTr="002D72FB">
        <w:trPr>
          <w:trHeight w:val="864"/>
        </w:trPr>
        <w:tc>
          <w:tcPr>
            <w:tcW w:w="1725" w:type="dxa"/>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Mean Liberal Briefs Per Case</w:t>
            </w:r>
          </w:p>
        </w:tc>
        <w:tc>
          <w:tcPr>
            <w:tcW w:w="1077"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4.93</w:t>
            </w:r>
          </w:p>
        </w:tc>
        <w:tc>
          <w:tcPr>
            <w:tcW w:w="1315"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3.51</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4.26</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4.86</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4.73</w:t>
            </w:r>
          </w:p>
        </w:tc>
        <w:tc>
          <w:tcPr>
            <w:tcW w:w="1424" w:type="dxa"/>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4.44</w:t>
            </w:r>
          </w:p>
        </w:tc>
      </w:tr>
      <w:tr w:rsidR="00617C8A" w:rsidRPr="00747086" w:rsidTr="002D72FB">
        <w:trPr>
          <w:trHeight w:val="864"/>
        </w:trPr>
        <w:tc>
          <w:tcPr>
            <w:tcW w:w="1725" w:type="dxa"/>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Mean Conservative Briefs Per Case</w:t>
            </w:r>
          </w:p>
        </w:tc>
        <w:tc>
          <w:tcPr>
            <w:tcW w:w="1077"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3.41</w:t>
            </w:r>
          </w:p>
        </w:tc>
        <w:tc>
          <w:tcPr>
            <w:tcW w:w="1315"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3.26</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4.09</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4.61</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3.94</w:t>
            </w:r>
          </w:p>
        </w:tc>
        <w:tc>
          <w:tcPr>
            <w:tcW w:w="1424" w:type="dxa"/>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3.86</w:t>
            </w:r>
          </w:p>
        </w:tc>
      </w:tr>
      <w:tr w:rsidR="00617C8A" w:rsidRPr="00747086" w:rsidTr="002D72FB">
        <w:trPr>
          <w:trHeight w:val="864"/>
        </w:trPr>
        <w:tc>
          <w:tcPr>
            <w:tcW w:w="1725" w:type="dxa"/>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Mean Unspecifiable Briefs Per Case</w:t>
            </w:r>
          </w:p>
        </w:tc>
        <w:tc>
          <w:tcPr>
            <w:tcW w:w="1077"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0.76</w:t>
            </w:r>
          </w:p>
        </w:tc>
        <w:tc>
          <w:tcPr>
            <w:tcW w:w="1315"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0.99</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1.14</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0.33</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1.17</w:t>
            </w:r>
          </w:p>
        </w:tc>
        <w:tc>
          <w:tcPr>
            <w:tcW w:w="1424" w:type="dxa"/>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0.87</w:t>
            </w:r>
          </w:p>
        </w:tc>
      </w:tr>
      <w:tr w:rsidR="00617C8A" w:rsidRPr="00747086" w:rsidTr="002D72FB">
        <w:trPr>
          <w:trHeight w:val="864"/>
        </w:trPr>
        <w:tc>
          <w:tcPr>
            <w:tcW w:w="1725" w:type="dxa"/>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Maximum Number of Briefs in a Case</w:t>
            </w:r>
          </w:p>
        </w:tc>
        <w:tc>
          <w:tcPr>
            <w:tcW w:w="1077"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68</w:t>
            </w:r>
          </w:p>
        </w:tc>
        <w:tc>
          <w:tcPr>
            <w:tcW w:w="1315"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30</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69</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48</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87</w:t>
            </w:r>
          </w:p>
        </w:tc>
        <w:tc>
          <w:tcPr>
            <w:tcW w:w="1424" w:type="dxa"/>
            <w:shd w:val="clear" w:color="auto" w:fill="auto"/>
            <w:noWrap/>
            <w:vAlign w:val="center"/>
            <w:hideMark/>
          </w:tcPr>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87.00</w:t>
            </w:r>
          </w:p>
        </w:tc>
      </w:tr>
      <w:tr w:rsidR="00617C8A" w:rsidRPr="00747086" w:rsidTr="002D72FB">
        <w:trPr>
          <w:trHeight w:val="864"/>
        </w:trPr>
        <w:tc>
          <w:tcPr>
            <w:tcW w:w="1725" w:type="dxa"/>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Percent of Total Amicus Briefs</w:t>
            </w:r>
          </w:p>
        </w:tc>
        <w:tc>
          <w:tcPr>
            <w:tcW w:w="1077"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18.16%</w:t>
            </w:r>
          </w:p>
        </w:tc>
        <w:tc>
          <w:tcPr>
            <w:tcW w:w="1315"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18.11%</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20.09%</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22.92%</w:t>
            </w:r>
          </w:p>
        </w:tc>
        <w:tc>
          <w:tcPr>
            <w:tcW w:w="131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20.72%</w:t>
            </w:r>
          </w:p>
        </w:tc>
        <w:tc>
          <w:tcPr>
            <w:tcW w:w="1424" w:type="dxa"/>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100%</w:t>
            </w:r>
          </w:p>
        </w:tc>
      </w:tr>
      <w:tr w:rsidR="00617C8A" w:rsidRPr="00747086" w:rsidTr="002D72FB">
        <w:trPr>
          <w:trHeight w:val="864"/>
        </w:trPr>
        <w:tc>
          <w:tcPr>
            <w:tcW w:w="1725" w:type="dxa"/>
            <w:tcBorders>
              <w:bottom w:val="single" w:sz="18" w:space="0" w:color="auto"/>
            </w:tcBorders>
            <w:shd w:val="clear" w:color="auto" w:fill="auto"/>
            <w:vAlign w:val="center"/>
            <w:hideMark/>
          </w:tcPr>
          <w:p w:rsidR="00617C8A" w:rsidRPr="00747086" w:rsidRDefault="00617C8A" w:rsidP="002D72FB">
            <w:pPr>
              <w:ind w:left="0" w:firstLine="0"/>
              <w:jc w:val="center"/>
              <w:rPr>
                <w:rFonts w:eastAsia="Times New Roman" w:cs="Times New Roman"/>
                <w:b/>
                <w:bCs/>
                <w:color w:val="000000"/>
                <w:sz w:val="22"/>
              </w:rPr>
            </w:pPr>
            <w:r w:rsidRPr="00747086">
              <w:rPr>
                <w:rFonts w:eastAsia="Times New Roman" w:cs="Times New Roman"/>
                <w:b/>
                <w:bCs/>
                <w:color w:val="000000"/>
                <w:sz w:val="22"/>
              </w:rPr>
              <w:t>Percent of Cases Decided</w:t>
            </w:r>
          </w:p>
        </w:tc>
        <w:tc>
          <w:tcPr>
            <w:tcW w:w="1077" w:type="dxa"/>
            <w:tcBorders>
              <w:bottom w:val="single" w:sz="18" w:space="0" w:color="auto"/>
            </w:tcBorders>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18.39% (73)</w:t>
            </w:r>
          </w:p>
        </w:tc>
        <w:tc>
          <w:tcPr>
            <w:tcW w:w="1315" w:type="dxa"/>
            <w:tcBorders>
              <w:bottom w:val="single" w:sz="18" w:space="0" w:color="auto"/>
            </w:tcBorders>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21.41% (85)</w:t>
            </w:r>
          </w:p>
        </w:tc>
        <w:tc>
          <w:tcPr>
            <w:tcW w:w="1314" w:type="dxa"/>
            <w:tcBorders>
              <w:bottom w:val="single" w:sz="18" w:space="0" w:color="auto"/>
            </w:tcBorders>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19.40% (77)</w:t>
            </w:r>
          </w:p>
        </w:tc>
        <w:tc>
          <w:tcPr>
            <w:tcW w:w="1314" w:type="dxa"/>
            <w:tcBorders>
              <w:bottom w:val="single" w:sz="18" w:space="0" w:color="auto"/>
            </w:tcBorders>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21.41% (85)</w:t>
            </w:r>
          </w:p>
        </w:tc>
        <w:tc>
          <w:tcPr>
            <w:tcW w:w="1314" w:type="dxa"/>
            <w:tcBorders>
              <w:bottom w:val="single" w:sz="18" w:space="0" w:color="auto"/>
            </w:tcBorders>
            <w:shd w:val="clear" w:color="auto" w:fill="auto"/>
            <w:noWrap/>
            <w:vAlign w:val="center"/>
            <w:hideMark/>
          </w:tcPr>
          <w:p w:rsidR="00617C8A" w:rsidRPr="00747086" w:rsidRDefault="00617C8A" w:rsidP="002D72FB">
            <w:pPr>
              <w:ind w:left="0" w:firstLine="0"/>
              <w:jc w:val="center"/>
              <w:rPr>
                <w:rFonts w:eastAsia="Times New Roman" w:cs="Times New Roman"/>
                <w:color w:val="000000"/>
                <w:sz w:val="22"/>
              </w:rPr>
            </w:pPr>
            <w:r w:rsidRPr="00747086">
              <w:rPr>
                <w:rFonts w:eastAsia="Times New Roman" w:cs="Times New Roman"/>
                <w:color w:val="000000"/>
                <w:sz w:val="22"/>
              </w:rPr>
              <w:t>21.41% (77)</w:t>
            </w:r>
          </w:p>
        </w:tc>
        <w:tc>
          <w:tcPr>
            <w:tcW w:w="1424" w:type="dxa"/>
            <w:tcBorders>
              <w:bottom w:val="single" w:sz="18" w:space="0" w:color="auto"/>
            </w:tcBorders>
            <w:shd w:val="clear" w:color="auto" w:fill="auto"/>
            <w:noWrap/>
            <w:vAlign w:val="center"/>
            <w:hideMark/>
          </w:tcPr>
          <w:p w:rsidR="00617C8A" w:rsidRDefault="00617C8A" w:rsidP="002D72FB">
            <w:pPr>
              <w:ind w:left="0" w:firstLine="0"/>
              <w:jc w:val="center"/>
              <w:rPr>
                <w:rFonts w:eastAsia="Times New Roman" w:cs="Times New Roman"/>
                <w:sz w:val="22"/>
              </w:rPr>
            </w:pPr>
            <w:r w:rsidRPr="00747086">
              <w:rPr>
                <w:rFonts w:eastAsia="Times New Roman" w:cs="Times New Roman"/>
                <w:sz w:val="22"/>
              </w:rPr>
              <w:t xml:space="preserve">100% </w:t>
            </w:r>
          </w:p>
          <w:p w:rsidR="00617C8A" w:rsidRPr="00747086" w:rsidRDefault="00617C8A" w:rsidP="002D72FB">
            <w:pPr>
              <w:ind w:left="0" w:firstLine="0"/>
              <w:jc w:val="center"/>
              <w:rPr>
                <w:rFonts w:eastAsia="Times New Roman" w:cs="Times New Roman"/>
                <w:sz w:val="22"/>
              </w:rPr>
            </w:pPr>
            <w:r w:rsidRPr="00747086">
              <w:rPr>
                <w:rFonts w:eastAsia="Times New Roman" w:cs="Times New Roman"/>
                <w:sz w:val="22"/>
              </w:rPr>
              <w:t>(397)</w:t>
            </w:r>
          </w:p>
        </w:tc>
      </w:tr>
    </w:tbl>
    <w:p w:rsidR="00617C8A" w:rsidRDefault="00617C8A" w:rsidP="00617C8A">
      <w:pPr>
        <w:spacing w:line="480" w:lineRule="auto"/>
        <w:ind w:left="0" w:firstLine="0"/>
        <w:rPr>
          <w:szCs w:val="24"/>
        </w:rPr>
      </w:pPr>
      <w:r>
        <w:rPr>
          <w:szCs w:val="24"/>
        </w:rPr>
        <w:t>Numbers in parentheses indicate the number of observations.</w:t>
      </w:r>
    </w:p>
    <w:p w:rsidR="00617C8A" w:rsidRDefault="00FB03AD" w:rsidP="00075E1F">
      <w:pPr>
        <w:spacing w:line="480" w:lineRule="auto"/>
        <w:ind w:left="0" w:firstLine="0"/>
        <w:rPr>
          <w:szCs w:val="24"/>
        </w:rPr>
      </w:pPr>
      <w:r>
        <w:rPr>
          <w:szCs w:val="24"/>
        </w:rPr>
        <w:tab/>
      </w:r>
    </w:p>
    <w:p w:rsidR="00E57EC3" w:rsidRDefault="00FB03AD" w:rsidP="00617C8A">
      <w:pPr>
        <w:spacing w:line="480" w:lineRule="auto"/>
        <w:ind w:left="0" w:firstLine="720"/>
        <w:rPr>
          <w:szCs w:val="24"/>
        </w:rPr>
      </w:pPr>
      <w:r>
        <w:rPr>
          <w:szCs w:val="24"/>
        </w:rPr>
        <w:lastRenderedPageBreak/>
        <w:t>Row 11</w:t>
      </w:r>
      <w:r w:rsidR="00617C8A">
        <w:rPr>
          <w:szCs w:val="24"/>
        </w:rPr>
        <w:t xml:space="preserve"> of Table 4.3</w:t>
      </w:r>
      <w:r>
        <w:rPr>
          <w:szCs w:val="24"/>
        </w:rPr>
        <w:t xml:space="preserve"> demonstrates that </w:t>
      </w:r>
      <w:r w:rsidR="0003668E">
        <w:rPr>
          <w:szCs w:val="24"/>
        </w:rPr>
        <w:t>each term was roughly equivalent in terms of</w:t>
      </w:r>
      <w:r>
        <w:rPr>
          <w:szCs w:val="24"/>
        </w:rPr>
        <w:t xml:space="preserve"> its share of the total percentage of amicus briefs, ranging from a low of </w:t>
      </w:r>
      <w:r w:rsidR="0003668E">
        <w:rPr>
          <w:szCs w:val="24"/>
        </w:rPr>
        <w:t>just over 18</w:t>
      </w:r>
      <w:r>
        <w:rPr>
          <w:szCs w:val="24"/>
        </w:rPr>
        <w:t xml:space="preserve"> percent in the 2008 term, to a high of almost 23 percent in the</w:t>
      </w:r>
      <w:r w:rsidR="0003668E">
        <w:rPr>
          <w:szCs w:val="24"/>
        </w:rPr>
        <w:t xml:space="preserve"> 2010 term.   Likewise, Row 12 shows that each term was roughly equivalent in terms of its share of the total caseload, ranging from just over 18 to just over 21 percent. </w:t>
      </w:r>
    </w:p>
    <w:p w:rsidR="00617C8A" w:rsidRDefault="00617C8A" w:rsidP="00617C8A">
      <w:pPr>
        <w:spacing w:line="480" w:lineRule="auto"/>
        <w:ind w:left="0" w:firstLine="720"/>
        <w:rPr>
          <w:szCs w:val="24"/>
        </w:rPr>
      </w:pPr>
      <w:r>
        <w:rPr>
          <w:szCs w:val="24"/>
        </w:rPr>
        <w:t>In similar fashion, Table 4.4 presents information regarding amicus cosigners by term of the Roberts Court.  Row 1 of Table 4.4 shows that the 2011 term by far had the most amici participation in the form of brief cosigners (7,307), followed by the 2009 term (4,969).  Not only did the 2010 term have the fewest amicus briefs, it also had the fewest cosigners (3,744).  Rows 2-4 of Table 4.4 show the number of liberal, conservative, and unspecifiable amicus cosigners each term.  Liberal amici outnumbered conservative amici cosigners in three (2007, 2008, 2011) of the five terms, with the liberal cosigner advantage being greatest in the 2007 term (1,415 liberal cosigner advantage).   In fact, of the five terms, the 2007 term exhibited the greatest liberal amicus advantage both in terms of briefs and cosigners.  In both the 2009 and 2010 terms, the number of conservative amici cosigners outnumbered liberal cosigners, with this conservative amici advantage being greatest in the 2009 term (986 conservative cosigner advantage).</w:t>
      </w:r>
    </w:p>
    <w:p w:rsidR="00617C8A" w:rsidRPr="0072205C" w:rsidRDefault="00617C8A" w:rsidP="0072205C">
      <w:pPr>
        <w:spacing w:line="480" w:lineRule="auto"/>
        <w:ind w:left="0" w:firstLine="720"/>
        <w:rPr>
          <w:szCs w:val="24"/>
        </w:rPr>
      </w:pPr>
      <w:r>
        <w:rPr>
          <w:szCs w:val="24"/>
        </w:rPr>
        <w:t xml:space="preserve">Row 5 depicts the mean number of amicus brief cosigners for each case during each term. The 2011 term had the greatest mean number of amicus cosigners per case (94.9), due in large part to the impact of the consolidated health care law cases, which had a total of 3,791 cosigners and significantly elevated the means for the 2011 term.  The mean number of amicus cosigners per case in the 2011 term more than doubled the mean number of cosigners in the 2008 and 2010 terms, with 45 and 44 cosigners per case, respectively.  Rows 6-8 illustrate the mean number of </w:t>
      </w:r>
    </w:p>
    <w:p w:rsidR="00030B97" w:rsidRPr="00747086" w:rsidRDefault="00027304" w:rsidP="00075E1F">
      <w:pPr>
        <w:spacing w:line="480" w:lineRule="auto"/>
        <w:ind w:left="0" w:firstLine="0"/>
        <w:rPr>
          <w:szCs w:val="24"/>
        </w:rPr>
      </w:pPr>
      <w:proofErr w:type="gramStart"/>
      <w:r>
        <w:rPr>
          <w:b/>
          <w:szCs w:val="24"/>
        </w:rPr>
        <w:lastRenderedPageBreak/>
        <w:t>Table 4.4</w:t>
      </w:r>
      <w:r w:rsidR="00030B97">
        <w:rPr>
          <w:b/>
          <w:szCs w:val="24"/>
        </w:rPr>
        <w:t>.</w:t>
      </w:r>
      <w:proofErr w:type="gramEnd"/>
      <w:r w:rsidR="00030B97">
        <w:rPr>
          <w:b/>
          <w:szCs w:val="24"/>
        </w:rPr>
        <w:t xml:space="preserve">  Amicus Curiae Cosigners by Term</w:t>
      </w:r>
    </w:p>
    <w:tbl>
      <w:tblPr>
        <w:tblW w:w="0" w:type="auto"/>
        <w:tblInd w:w="93" w:type="dxa"/>
        <w:tblBorders>
          <w:top w:val="single" w:sz="4" w:space="0" w:color="auto"/>
          <w:bottom w:val="single" w:sz="4" w:space="0" w:color="auto"/>
        </w:tblBorders>
        <w:tblLayout w:type="fixed"/>
        <w:tblLook w:val="04A0" w:firstRow="1" w:lastRow="0" w:firstColumn="1" w:lastColumn="0" w:noHBand="0" w:noVBand="1"/>
      </w:tblPr>
      <w:tblGrid>
        <w:gridCol w:w="1995"/>
        <w:gridCol w:w="963"/>
        <w:gridCol w:w="1316"/>
        <w:gridCol w:w="1316"/>
        <w:gridCol w:w="1316"/>
        <w:gridCol w:w="1316"/>
        <w:gridCol w:w="1261"/>
      </w:tblGrid>
      <w:tr w:rsidR="00030B97" w:rsidRPr="00747086" w:rsidTr="00BD0C47">
        <w:trPr>
          <w:trHeight w:val="864"/>
        </w:trPr>
        <w:tc>
          <w:tcPr>
            <w:tcW w:w="1995" w:type="dxa"/>
            <w:tcBorders>
              <w:top w:val="single" w:sz="18" w:space="0" w:color="auto"/>
              <w:left w:val="nil"/>
              <w:bottom w:val="single" w:sz="18" w:space="0" w:color="auto"/>
            </w:tcBorders>
            <w:shd w:val="clear" w:color="auto" w:fill="auto"/>
            <w:vAlign w:val="center"/>
            <w:hideMark/>
          </w:tcPr>
          <w:p w:rsidR="00030B97" w:rsidRPr="00747086" w:rsidRDefault="00030B97" w:rsidP="00030B97">
            <w:pPr>
              <w:ind w:left="0" w:firstLine="0"/>
              <w:jc w:val="center"/>
              <w:rPr>
                <w:rFonts w:eastAsia="Times New Roman" w:cs="Times New Roman"/>
                <w:b/>
                <w:bCs/>
                <w:color w:val="000000"/>
                <w:sz w:val="22"/>
              </w:rPr>
            </w:pPr>
          </w:p>
        </w:tc>
        <w:tc>
          <w:tcPr>
            <w:tcW w:w="963" w:type="dxa"/>
            <w:tcBorders>
              <w:top w:val="single" w:sz="18" w:space="0" w:color="auto"/>
              <w:bottom w:val="single" w:sz="18" w:space="0" w:color="auto"/>
            </w:tcBorders>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2007-08</w:t>
            </w:r>
          </w:p>
        </w:tc>
        <w:tc>
          <w:tcPr>
            <w:tcW w:w="1316" w:type="dxa"/>
            <w:tcBorders>
              <w:top w:val="single" w:sz="18" w:space="0" w:color="auto"/>
              <w:bottom w:val="single" w:sz="18" w:space="0" w:color="auto"/>
            </w:tcBorders>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2008-09</w:t>
            </w:r>
          </w:p>
        </w:tc>
        <w:tc>
          <w:tcPr>
            <w:tcW w:w="1316" w:type="dxa"/>
            <w:tcBorders>
              <w:top w:val="single" w:sz="18" w:space="0" w:color="auto"/>
              <w:bottom w:val="single" w:sz="18" w:space="0" w:color="auto"/>
            </w:tcBorders>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2009-10</w:t>
            </w:r>
          </w:p>
        </w:tc>
        <w:tc>
          <w:tcPr>
            <w:tcW w:w="1316" w:type="dxa"/>
            <w:tcBorders>
              <w:top w:val="single" w:sz="18" w:space="0" w:color="auto"/>
              <w:bottom w:val="single" w:sz="18" w:space="0" w:color="auto"/>
            </w:tcBorders>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2010-11</w:t>
            </w:r>
          </w:p>
        </w:tc>
        <w:tc>
          <w:tcPr>
            <w:tcW w:w="1316" w:type="dxa"/>
            <w:tcBorders>
              <w:top w:val="single" w:sz="18" w:space="0" w:color="auto"/>
              <w:bottom w:val="single" w:sz="18" w:space="0" w:color="auto"/>
            </w:tcBorders>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2011-12</w:t>
            </w:r>
          </w:p>
        </w:tc>
        <w:tc>
          <w:tcPr>
            <w:tcW w:w="1261" w:type="dxa"/>
            <w:tcBorders>
              <w:top w:val="single" w:sz="18" w:space="0" w:color="auto"/>
              <w:bottom w:val="single" w:sz="18" w:space="0" w:color="auto"/>
              <w:right w:val="nil"/>
            </w:tcBorders>
            <w:shd w:val="clear" w:color="auto" w:fill="auto"/>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Totals</w:t>
            </w:r>
          </w:p>
        </w:tc>
      </w:tr>
      <w:tr w:rsidR="00030B97" w:rsidRPr="00747086" w:rsidTr="00BD0C47">
        <w:trPr>
          <w:trHeight w:val="864"/>
        </w:trPr>
        <w:tc>
          <w:tcPr>
            <w:tcW w:w="1995" w:type="dxa"/>
            <w:tcBorders>
              <w:top w:val="single" w:sz="18" w:space="0" w:color="auto"/>
            </w:tcBorders>
            <w:shd w:val="clear" w:color="auto" w:fill="auto"/>
            <w:vAlign w:val="center"/>
            <w:hideMark/>
          </w:tcPr>
          <w:p w:rsidR="00030B97" w:rsidRPr="00747086" w:rsidRDefault="00030B97" w:rsidP="00030B97">
            <w:pPr>
              <w:ind w:left="0" w:firstLine="0"/>
              <w:jc w:val="center"/>
              <w:rPr>
                <w:rFonts w:eastAsia="Times New Roman" w:cs="Times New Roman"/>
                <w:b/>
                <w:bCs/>
                <w:color w:val="000000"/>
                <w:sz w:val="22"/>
              </w:rPr>
            </w:pPr>
            <w:r w:rsidRPr="00747086">
              <w:rPr>
                <w:rFonts w:eastAsia="Times New Roman" w:cs="Times New Roman"/>
                <w:b/>
                <w:bCs/>
                <w:color w:val="000000"/>
                <w:sz w:val="22"/>
              </w:rPr>
              <w:t>Number of Amicus Cosigners</w:t>
            </w:r>
          </w:p>
        </w:tc>
        <w:tc>
          <w:tcPr>
            <w:tcW w:w="963" w:type="dxa"/>
            <w:tcBorders>
              <w:top w:val="single" w:sz="18" w:space="0" w:color="auto"/>
            </w:tcBorders>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4,597</w:t>
            </w:r>
          </w:p>
        </w:tc>
        <w:tc>
          <w:tcPr>
            <w:tcW w:w="1316" w:type="dxa"/>
            <w:tcBorders>
              <w:top w:val="single" w:sz="18" w:space="0" w:color="auto"/>
            </w:tcBorders>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3,859</w:t>
            </w:r>
          </w:p>
        </w:tc>
        <w:tc>
          <w:tcPr>
            <w:tcW w:w="1316" w:type="dxa"/>
            <w:tcBorders>
              <w:top w:val="single" w:sz="18" w:space="0" w:color="auto"/>
            </w:tcBorders>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4,969</w:t>
            </w:r>
          </w:p>
        </w:tc>
        <w:tc>
          <w:tcPr>
            <w:tcW w:w="1316" w:type="dxa"/>
            <w:tcBorders>
              <w:top w:val="single" w:sz="18" w:space="0" w:color="auto"/>
            </w:tcBorders>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3,744</w:t>
            </w:r>
          </w:p>
        </w:tc>
        <w:tc>
          <w:tcPr>
            <w:tcW w:w="1316" w:type="dxa"/>
            <w:tcBorders>
              <w:top w:val="single" w:sz="18" w:space="0" w:color="auto"/>
            </w:tcBorders>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7,307</w:t>
            </w:r>
          </w:p>
        </w:tc>
        <w:tc>
          <w:tcPr>
            <w:tcW w:w="1261" w:type="dxa"/>
            <w:tcBorders>
              <w:top w:val="single" w:sz="18" w:space="0" w:color="auto"/>
            </w:tcBorders>
            <w:shd w:val="clear" w:color="auto" w:fill="auto"/>
            <w:noWrap/>
            <w:vAlign w:val="center"/>
            <w:hideMark/>
          </w:tcPr>
          <w:p w:rsidR="00030B97" w:rsidRPr="00747086" w:rsidRDefault="00030B97" w:rsidP="00030B97">
            <w:pPr>
              <w:ind w:left="0" w:firstLine="0"/>
              <w:jc w:val="center"/>
              <w:rPr>
                <w:rFonts w:eastAsia="Times New Roman" w:cs="Times New Roman"/>
                <w:sz w:val="22"/>
              </w:rPr>
            </w:pPr>
            <w:r w:rsidRPr="00747086">
              <w:rPr>
                <w:rFonts w:eastAsia="Times New Roman" w:cs="Times New Roman"/>
                <w:sz w:val="22"/>
              </w:rPr>
              <w:t>24,476</w:t>
            </w:r>
          </w:p>
        </w:tc>
      </w:tr>
      <w:tr w:rsidR="00030B97" w:rsidRPr="00747086" w:rsidTr="00747086">
        <w:trPr>
          <w:trHeight w:val="864"/>
        </w:trPr>
        <w:tc>
          <w:tcPr>
            <w:tcW w:w="1995" w:type="dxa"/>
            <w:shd w:val="clear" w:color="auto" w:fill="auto"/>
            <w:vAlign w:val="center"/>
            <w:hideMark/>
          </w:tcPr>
          <w:p w:rsidR="00030B97" w:rsidRPr="00747086" w:rsidRDefault="00030B97" w:rsidP="00030B97">
            <w:pPr>
              <w:ind w:left="0" w:firstLine="0"/>
              <w:jc w:val="center"/>
              <w:rPr>
                <w:rFonts w:eastAsia="Times New Roman" w:cs="Times New Roman"/>
                <w:b/>
                <w:bCs/>
                <w:color w:val="000000"/>
                <w:sz w:val="22"/>
              </w:rPr>
            </w:pPr>
            <w:r w:rsidRPr="00747086">
              <w:rPr>
                <w:rFonts w:eastAsia="Times New Roman" w:cs="Times New Roman"/>
                <w:b/>
                <w:bCs/>
                <w:color w:val="000000"/>
                <w:sz w:val="22"/>
              </w:rPr>
              <w:t>Number of Liberal Amicus Cosigners</w:t>
            </w:r>
          </w:p>
        </w:tc>
        <w:tc>
          <w:tcPr>
            <w:tcW w:w="963"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2,908</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1,858</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1,812</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1,790</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3,940</w:t>
            </w:r>
          </w:p>
        </w:tc>
        <w:tc>
          <w:tcPr>
            <w:tcW w:w="1261" w:type="dxa"/>
            <w:shd w:val="clear" w:color="auto" w:fill="auto"/>
            <w:noWrap/>
            <w:vAlign w:val="center"/>
            <w:hideMark/>
          </w:tcPr>
          <w:p w:rsidR="00030B97" w:rsidRPr="00747086" w:rsidRDefault="00030B97" w:rsidP="00030B97">
            <w:pPr>
              <w:ind w:left="0" w:firstLine="0"/>
              <w:jc w:val="center"/>
              <w:rPr>
                <w:rFonts w:eastAsia="Times New Roman" w:cs="Times New Roman"/>
                <w:sz w:val="22"/>
              </w:rPr>
            </w:pPr>
            <w:r w:rsidRPr="00747086">
              <w:rPr>
                <w:rFonts w:eastAsia="Times New Roman" w:cs="Times New Roman"/>
                <w:sz w:val="22"/>
              </w:rPr>
              <w:t>12,308</w:t>
            </w:r>
          </w:p>
        </w:tc>
      </w:tr>
      <w:tr w:rsidR="00030B97" w:rsidRPr="00747086" w:rsidTr="00747086">
        <w:trPr>
          <w:trHeight w:val="864"/>
        </w:trPr>
        <w:tc>
          <w:tcPr>
            <w:tcW w:w="1995" w:type="dxa"/>
            <w:shd w:val="clear" w:color="auto" w:fill="auto"/>
            <w:vAlign w:val="center"/>
            <w:hideMark/>
          </w:tcPr>
          <w:p w:rsidR="00030B97" w:rsidRPr="00747086" w:rsidRDefault="00030B97" w:rsidP="00030B97">
            <w:pPr>
              <w:ind w:left="0" w:firstLine="0"/>
              <w:jc w:val="center"/>
              <w:rPr>
                <w:rFonts w:eastAsia="Times New Roman" w:cs="Times New Roman"/>
                <w:b/>
                <w:bCs/>
                <w:color w:val="000000"/>
                <w:sz w:val="22"/>
              </w:rPr>
            </w:pPr>
            <w:r w:rsidRPr="00747086">
              <w:rPr>
                <w:rFonts w:eastAsia="Times New Roman" w:cs="Times New Roman"/>
                <w:b/>
                <w:bCs/>
                <w:color w:val="000000"/>
                <w:sz w:val="22"/>
              </w:rPr>
              <w:t>Number of Conservative Amicus Cosigners</w:t>
            </w:r>
          </w:p>
        </w:tc>
        <w:tc>
          <w:tcPr>
            <w:tcW w:w="963"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1,493</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1,478</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2,798</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1,903</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3,119</w:t>
            </w:r>
          </w:p>
        </w:tc>
        <w:tc>
          <w:tcPr>
            <w:tcW w:w="1261" w:type="dxa"/>
            <w:shd w:val="clear" w:color="auto" w:fill="auto"/>
            <w:noWrap/>
            <w:vAlign w:val="center"/>
            <w:hideMark/>
          </w:tcPr>
          <w:p w:rsidR="00030B97" w:rsidRPr="00747086" w:rsidRDefault="00030B97" w:rsidP="00030B97">
            <w:pPr>
              <w:ind w:left="0" w:firstLine="0"/>
              <w:jc w:val="center"/>
              <w:rPr>
                <w:rFonts w:eastAsia="Times New Roman" w:cs="Times New Roman"/>
                <w:sz w:val="22"/>
              </w:rPr>
            </w:pPr>
            <w:r w:rsidRPr="00747086">
              <w:rPr>
                <w:rFonts w:eastAsia="Times New Roman" w:cs="Times New Roman"/>
                <w:sz w:val="22"/>
              </w:rPr>
              <w:t>10,791</w:t>
            </w:r>
          </w:p>
        </w:tc>
      </w:tr>
      <w:tr w:rsidR="00030B97" w:rsidRPr="00747086" w:rsidTr="00747086">
        <w:trPr>
          <w:trHeight w:val="864"/>
        </w:trPr>
        <w:tc>
          <w:tcPr>
            <w:tcW w:w="1995" w:type="dxa"/>
            <w:shd w:val="clear" w:color="auto" w:fill="auto"/>
            <w:vAlign w:val="center"/>
            <w:hideMark/>
          </w:tcPr>
          <w:p w:rsidR="00030B97" w:rsidRPr="00747086" w:rsidRDefault="00030B97" w:rsidP="00030B97">
            <w:pPr>
              <w:ind w:left="0" w:firstLine="0"/>
              <w:jc w:val="center"/>
              <w:rPr>
                <w:rFonts w:eastAsia="Times New Roman" w:cs="Times New Roman"/>
                <w:b/>
                <w:bCs/>
                <w:color w:val="000000"/>
                <w:sz w:val="22"/>
              </w:rPr>
            </w:pPr>
            <w:r w:rsidRPr="00747086">
              <w:rPr>
                <w:rFonts w:eastAsia="Times New Roman" w:cs="Times New Roman"/>
                <w:b/>
                <w:bCs/>
                <w:color w:val="000000"/>
                <w:sz w:val="22"/>
              </w:rPr>
              <w:t>Number of Unspecifiable Amicus Cosigners</w:t>
            </w:r>
          </w:p>
        </w:tc>
        <w:tc>
          <w:tcPr>
            <w:tcW w:w="963"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196</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523</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359</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51</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248</w:t>
            </w:r>
          </w:p>
        </w:tc>
        <w:tc>
          <w:tcPr>
            <w:tcW w:w="1261" w:type="dxa"/>
            <w:shd w:val="clear" w:color="auto" w:fill="auto"/>
            <w:noWrap/>
            <w:vAlign w:val="center"/>
            <w:hideMark/>
          </w:tcPr>
          <w:p w:rsidR="00030B97" w:rsidRPr="00747086" w:rsidRDefault="00030B97" w:rsidP="00030B97">
            <w:pPr>
              <w:ind w:left="0" w:firstLine="0"/>
              <w:jc w:val="center"/>
              <w:rPr>
                <w:rFonts w:eastAsia="Times New Roman" w:cs="Times New Roman"/>
                <w:sz w:val="22"/>
              </w:rPr>
            </w:pPr>
            <w:r w:rsidRPr="00747086">
              <w:rPr>
                <w:rFonts w:eastAsia="Times New Roman" w:cs="Times New Roman"/>
                <w:sz w:val="22"/>
              </w:rPr>
              <w:t>1,377</w:t>
            </w:r>
          </w:p>
        </w:tc>
      </w:tr>
      <w:tr w:rsidR="00030B97" w:rsidRPr="00747086" w:rsidTr="00747086">
        <w:trPr>
          <w:trHeight w:val="864"/>
        </w:trPr>
        <w:tc>
          <w:tcPr>
            <w:tcW w:w="1995" w:type="dxa"/>
            <w:shd w:val="clear" w:color="auto" w:fill="auto"/>
            <w:vAlign w:val="center"/>
            <w:hideMark/>
          </w:tcPr>
          <w:p w:rsidR="00030B97" w:rsidRPr="00747086" w:rsidRDefault="00030B97" w:rsidP="00030B97">
            <w:pPr>
              <w:ind w:left="0" w:firstLine="0"/>
              <w:jc w:val="center"/>
              <w:rPr>
                <w:rFonts w:eastAsia="Times New Roman" w:cs="Times New Roman"/>
                <w:b/>
                <w:bCs/>
                <w:color w:val="000000"/>
                <w:sz w:val="22"/>
              </w:rPr>
            </w:pPr>
            <w:r w:rsidRPr="00747086">
              <w:rPr>
                <w:rFonts w:eastAsia="Times New Roman" w:cs="Times New Roman"/>
                <w:b/>
                <w:bCs/>
                <w:color w:val="000000"/>
                <w:sz w:val="22"/>
              </w:rPr>
              <w:t>Mean Amicus Cosigners Per Case</w:t>
            </w:r>
          </w:p>
        </w:tc>
        <w:tc>
          <w:tcPr>
            <w:tcW w:w="963"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63.16</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45.4</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64.53</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44.05</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94.9</w:t>
            </w:r>
          </w:p>
        </w:tc>
        <w:tc>
          <w:tcPr>
            <w:tcW w:w="1261"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61.69</w:t>
            </w:r>
          </w:p>
        </w:tc>
      </w:tr>
      <w:tr w:rsidR="00030B97" w:rsidRPr="00747086" w:rsidTr="00747086">
        <w:trPr>
          <w:trHeight w:val="864"/>
        </w:trPr>
        <w:tc>
          <w:tcPr>
            <w:tcW w:w="1995" w:type="dxa"/>
            <w:shd w:val="clear" w:color="auto" w:fill="auto"/>
            <w:vAlign w:val="center"/>
            <w:hideMark/>
          </w:tcPr>
          <w:p w:rsidR="00030B97" w:rsidRPr="00747086" w:rsidRDefault="00030B97" w:rsidP="00030B97">
            <w:pPr>
              <w:ind w:left="0" w:firstLine="0"/>
              <w:jc w:val="center"/>
              <w:rPr>
                <w:rFonts w:eastAsia="Times New Roman" w:cs="Times New Roman"/>
                <w:b/>
                <w:bCs/>
                <w:color w:val="000000"/>
                <w:sz w:val="22"/>
              </w:rPr>
            </w:pPr>
            <w:r w:rsidRPr="00747086">
              <w:rPr>
                <w:rFonts w:eastAsia="Times New Roman" w:cs="Times New Roman"/>
                <w:b/>
                <w:bCs/>
                <w:color w:val="000000"/>
                <w:sz w:val="22"/>
              </w:rPr>
              <w:t>Mean Liberal Cosigners Per Case</w:t>
            </w:r>
          </w:p>
        </w:tc>
        <w:tc>
          <w:tcPr>
            <w:tcW w:w="963"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39.96</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21.86</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23.53</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21.06</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51.17</w:t>
            </w:r>
          </w:p>
        </w:tc>
        <w:tc>
          <w:tcPr>
            <w:tcW w:w="1261"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31.02</w:t>
            </w:r>
          </w:p>
        </w:tc>
      </w:tr>
      <w:tr w:rsidR="00030B97" w:rsidRPr="00747086" w:rsidTr="00747086">
        <w:trPr>
          <w:trHeight w:val="864"/>
        </w:trPr>
        <w:tc>
          <w:tcPr>
            <w:tcW w:w="1995" w:type="dxa"/>
            <w:shd w:val="clear" w:color="auto" w:fill="auto"/>
            <w:vAlign w:val="center"/>
            <w:hideMark/>
          </w:tcPr>
          <w:p w:rsidR="00030B97" w:rsidRPr="00747086" w:rsidRDefault="00030B97" w:rsidP="00030B97">
            <w:pPr>
              <w:ind w:left="0" w:firstLine="0"/>
              <w:jc w:val="center"/>
              <w:rPr>
                <w:rFonts w:eastAsia="Times New Roman" w:cs="Times New Roman"/>
                <w:b/>
                <w:bCs/>
                <w:color w:val="000000"/>
                <w:sz w:val="22"/>
              </w:rPr>
            </w:pPr>
            <w:r w:rsidRPr="00747086">
              <w:rPr>
                <w:rFonts w:eastAsia="Times New Roman" w:cs="Times New Roman"/>
                <w:b/>
                <w:bCs/>
                <w:color w:val="000000"/>
                <w:sz w:val="22"/>
              </w:rPr>
              <w:t>Mean Conservative Cosigners Per Case</w:t>
            </w:r>
          </w:p>
        </w:tc>
        <w:tc>
          <w:tcPr>
            <w:tcW w:w="963"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20.51</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17.39</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36.33</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22.39</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40.51</w:t>
            </w:r>
          </w:p>
        </w:tc>
        <w:tc>
          <w:tcPr>
            <w:tcW w:w="1261"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27.2</w:t>
            </w:r>
          </w:p>
        </w:tc>
      </w:tr>
      <w:tr w:rsidR="00030B97" w:rsidRPr="00747086" w:rsidTr="00747086">
        <w:trPr>
          <w:trHeight w:val="864"/>
        </w:trPr>
        <w:tc>
          <w:tcPr>
            <w:tcW w:w="1995" w:type="dxa"/>
            <w:shd w:val="clear" w:color="auto" w:fill="auto"/>
            <w:vAlign w:val="center"/>
            <w:hideMark/>
          </w:tcPr>
          <w:p w:rsidR="00030B97" w:rsidRPr="00747086" w:rsidRDefault="00030B97" w:rsidP="00030B97">
            <w:pPr>
              <w:ind w:left="0" w:firstLine="0"/>
              <w:jc w:val="center"/>
              <w:rPr>
                <w:rFonts w:eastAsia="Times New Roman" w:cs="Times New Roman"/>
                <w:b/>
                <w:bCs/>
                <w:color w:val="000000"/>
                <w:sz w:val="22"/>
              </w:rPr>
            </w:pPr>
            <w:r w:rsidRPr="00747086">
              <w:rPr>
                <w:rFonts w:eastAsia="Times New Roman" w:cs="Times New Roman"/>
                <w:b/>
                <w:bCs/>
                <w:color w:val="000000"/>
                <w:sz w:val="22"/>
              </w:rPr>
              <w:t>Mean Unspecifiable Cosigners Per Case</w:t>
            </w:r>
          </w:p>
        </w:tc>
        <w:tc>
          <w:tcPr>
            <w:tcW w:w="963"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2.69</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6.15</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4.67</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0.6</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3.22</w:t>
            </w:r>
          </w:p>
        </w:tc>
        <w:tc>
          <w:tcPr>
            <w:tcW w:w="1261"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3.47</w:t>
            </w:r>
          </w:p>
        </w:tc>
      </w:tr>
      <w:tr w:rsidR="00030B97" w:rsidRPr="00747086" w:rsidTr="00747086">
        <w:trPr>
          <w:trHeight w:val="864"/>
        </w:trPr>
        <w:tc>
          <w:tcPr>
            <w:tcW w:w="1995" w:type="dxa"/>
            <w:shd w:val="clear" w:color="auto" w:fill="auto"/>
            <w:vAlign w:val="center"/>
            <w:hideMark/>
          </w:tcPr>
          <w:p w:rsidR="00030B97" w:rsidRPr="00747086" w:rsidRDefault="00030B97" w:rsidP="00030B97">
            <w:pPr>
              <w:ind w:left="0" w:firstLine="0"/>
              <w:jc w:val="center"/>
              <w:rPr>
                <w:rFonts w:eastAsia="Times New Roman" w:cs="Times New Roman"/>
                <w:b/>
                <w:bCs/>
                <w:color w:val="000000"/>
                <w:sz w:val="22"/>
              </w:rPr>
            </w:pPr>
            <w:r w:rsidRPr="00747086">
              <w:rPr>
                <w:rFonts w:eastAsia="Times New Roman" w:cs="Times New Roman"/>
                <w:b/>
                <w:bCs/>
                <w:color w:val="000000"/>
                <w:sz w:val="22"/>
              </w:rPr>
              <w:t>Maximum Number of Amicus Cosigners in a Case</w:t>
            </w:r>
          </w:p>
        </w:tc>
        <w:tc>
          <w:tcPr>
            <w:tcW w:w="963"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920</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228</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1,622</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182</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1,928</w:t>
            </w:r>
          </w:p>
        </w:tc>
        <w:tc>
          <w:tcPr>
            <w:tcW w:w="1261" w:type="dxa"/>
            <w:shd w:val="clear" w:color="auto" w:fill="auto"/>
            <w:noWrap/>
            <w:vAlign w:val="center"/>
            <w:hideMark/>
          </w:tcPr>
          <w:p w:rsidR="00030B97" w:rsidRPr="00747086" w:rsidRDefault="00030B97" w:rsidP="00030B97">
            <w:pPr>
              <w:ind w:left="0" w:firstLine="0"/>
              <w:jc w:val="center"/>
              <w:rPr>
                <w:rFonts w:eastAsia="Times New Roman" w:cs="Times New Roman"/>
                <w:sz w:val="22"/>
              </w:rPr>
            </w:pPr>
            <w:r w:rsidRPr="00747086">
              <w:rPr>
                <w:rFonts w:eastAsia="Times New Roman" w:cs="Times New Roman"/>
                <w:sz w:val="22"/>
              </w:rPr>
              <w:t>1,928</w:t>
            </w:r>
          </w:p>
        </w:tc>
      </w:tr>
      <w:tr w:rsidR="00030B97" w:rsidRPr="00747086" w:rsidTr="00747086">
        <w:trPr>
          <w:trHeight w:val="864"/>
        </w:trPr>
        <w:tc>
          <w:tcPr>
            <w:tcW w:w="1995" w:type="dxa"/>
            <w:shd w:val="clear" w:color="auto" w:fill="auto"/>
            <w:vAlign w:val="center"/>
            <w:hideMark/>
          </w:tcPr>
          <w:p w:rsidR="00030B97" w:rsidRPr="00747086" w:rsidRDefault="00030B97" w:rsidP="00030B97">
            <w:pPr>
              <w:ind w:left="0" w:firstLine="0"/>
              <w:jc w:val="center"/>
              <w:rPr>
                <w:rFonts w:eastAsia="Times New Roman" w:cs="Times New Roman"/>
                <w:b/>
                <w:bCs/>
                <w:color w:val="000000"/>
                <w:sz w:val="22"/>
              </w:rPr>
            </w:pPr>
            <w:r w:rsidRPr="00747086">
              <w:rPr>
                <w:rFonts w:eastAsia="Times New Roman" w:cs="Times New Roman"/>
                <w:b/>
                <w:bCs/>
                <w:color w:val="000000"/>
                <w:sz w:val="22"/>
              </w:rPr>
              <w:t>Percent of Total Amicus Cosigners</w:t>
            </w:r>
          </w:p>
        </w:tc>
        <w:tc>
          <w:tcPr>
            <w:tcW w:w="963"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18.78%</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15.77%</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20.30%</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15.30%</w:t>
            </w:r>
          </w:p>
        </w:tc>
        <w:tc>
          <w:tcPr>
            <w:tcW w:w="1316" w:type="dxa"/>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29.85%</w:t>
            </w:r>
          </w:p>
        </w:tc>
        <w:tc>
          <w:tcPr>
            <w:tcW w:w="1261" w:type="dxa"/>
            <w:shd w:val="clear" w:color="auto" w:fill="auto"/>
            <w:noWrap/>
            <w:vAlign w:val="center"/>
            <w:hideMark/>
          </w:tcPr>
          <w:p w:rsidR="00030B97" w:rsidRPr="00747086" w:rsidRDefault="00030B97" w:rsidP="00030B97">
            <w:pPr>
              <w:ind w:left="0" w:firstLine="0"/>
              <w:jc w:val="center"/>
              <w:rPr>
                <w:rFonts w:eastAsia="Times New Roman" w:cs="Times New Roman"/>
                <w:sz w:val="22"/>
              </w:rPr>
            </w:pPr>
            <w:r w:rsidRPr="00747086">
              <w:rPr>
                <w:rFonts w:eastAsia="Times New Roman" w:cs="Times New Roman"/>
                <w:sz w:val="22"/>
              </w:rPr>
              <w:t>100%</w:t>
            </w:r>
          </w:p>
        </w:tc>
      </w:tr>
      <w:tr w:rsidR="00030B97" w:rsidRPr="00747086" w:rsidTr="00BD0C47">
        <w:trPr>
          <w:trHeight w:val="864"/>
        </w:trPr>
        <w:tc>
          <w:tcPr>
            <w:tcW w:w="1995" w:type="dxa"/>
            <w:tcBorders>
              <w:bottom w:val="single" w:sz="18" w:space="0" w:color="auto"/>
            </w:tcBorders>
            <w:shd w:val="clear" w:color="auto" w:fill="auto"/>
            <w:vAlign w:val="center"/>
            <w:hideMark/>
          </w:tcPr>
          <w:p w:rsidR="00030B97" w:rsidRPr="00747086" w:rsidRDefault="00030B97" w:rsidP="00030B97">
            <w:pPr>
              <w:ind w:left="0" w:firstLine="0"/>
              <w:jc w:val="center"/>
              <w:rPr>
                <w:rFonts w:eastAsia="Times New Roman" w:cs="Times New Roman"/>
                <w:b/>
                <w:bCs/>
                <w:color w:val="000000"/>
                <w:sz w:val="22"/>
              </w:rPr>
            </w:pPr>
            <w:r w:rsidRPr="00747086">
              <w:rPr>
                <w:rFonts w:eastAsia="Times New Roman" w:cs="Times New Roman"/>
                <w:b/>
                <w:bCs/>
                <w:color w:val="000000"/>
                <w:sz w:val="22"/>
              </w:rPr>
              <w:t>Percent of Cases Decided</w:t>
            </w:r>
          </w:p>
        </w:tc>
        <w:tc>
          <w:tcPr>
            <w:tcW w:w="963" w:type="dxa"/>
            <w:tcBorders>
              <w:bottom w:val="single" w:sz="18" w:space="0" w:color="auto"/>
            </w:tcBorders>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18.39% (73)</w:t>
            </w:r>
          </w:p>
        </w:tc>
        <w:tc>
          <w:tcPr>
            <w:tcW w:w="1316" w:type="dxa"/>
            <w:tcBorders>
              <w:bottom w:val="single" w:sz="18" w:space="0" w:color="auto"/>
            </w:tcBorders>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21.41% (85)</w:t>
            </w:r>
          </w:p>
        </w:tc>
        <w:tc>
          <w:tcPr>
            <w:tcW w:w="1316" w:type="dxa"/>
            <w:tcBorders>
              <w:bottom w:val="single" w:sz="18" w:space="0" w:color="auto"/>
            </w:tcBorders>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19.40% (77)</w:t>
            </w:r>
          </w:p>
        </w:tc>
        <w:tc>
          <w:tcPr>
            <w:tcW w:w="1316" w:type="dxa"/>
            <w:tcBorders>
              <w:bottom w:val="single" w:sz="18" w:space="0" w:color="auto"/>
            </w:tcBorders>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21.41% (85)</w:t>
            </w:r>
          </w:p>
        </w:tc>
        <w:tc>
          <w:tcPr>
            <w:tcW w:w="1316" w:type="dxa"/>
            <w:tcBorders>
              <w:bottom w:val="single" w:sz="18" w:space="0" w:color="auto"/>
            </w:tcBorders>
            <w:shd w:val="clear" w:color="auto" w:fill="auto"/>
            <w:noWrap/>
            <w:vAlign w:val="center"/>
            <w:hideMark/>
          </w:tcPr>
          <w:p w:rsidR="00030B97" w:rsidRPr="00747086" w:rsidRDefault="00030B97" w:rsidP="00030B97">
            <w:pPr>
              <w:ind w:left="0" w:firstLine="0"/>
              <w:jc w:val="center"/>
              <w:rPr>
                <w:rFonts w:eastAsia="Times New Roman" w:cs="Times New Roman"/>
                <w:color w:val="000000"/>
                <w:sz w:val="22"/>
              </w:rPr>
            </w:pPr>
            <w:r w:rsidRPr="00747086">
              <w:rPr>
                <w:rFonts w:eastAsia="Times New Roman" w:cs="Times New Roman"/>
                <w:color w:val="000000"/>
                <w:sz w:val="22"/>
              </w:rPr>
              <w:t>21.41% (77)</w:t>
            </w:r>
          </w:p>
        </w:tc>
        <w:tc>
          <w:tcPr>
            <w:tcW w:w="1261" w:type="dxa"/>
            <w:tcBorders>
              <w:bottom w:val="single" w:sz="18" w:space="0" w:color="auto"/>
            </w:tcBorders>
            <w:shd w:val="clear" w:color="auto" w:fill="auto"/>
            <w:noWrap/>
            <w:vAlign w:val="center"/>
            <w:hideMark/>
          </w:tcPr>
          <w:p w:rsidR="00030B97" w:rsidRPr="00747086" w:rsidRDefault="00030B97" w:rsidP="00030B97">
            <w:pPr>
              <w:ind w:left="0" w:firstLine="0"/>
              <w:jc w:val="center"/>
              <w:rPr>
                <w:rFonts w:eastAsia="Times New Roman" w:cs="Times New Roman"/>
                <w:sz w:val="22"/>
              </w:rPr>
            </w:pPr>
            <w:r w:rsidRPr="00747086">
              <w:rPr>
                <w:rFonts w:eastAsia="Times New Roman" w:cs="Times New Roman"/>
                <w:sz w:val="22"/>
              </w:rPr>
              <w:t>100% (397)</w:t>
            </w:r>
          </w:p>
        </w:tc>
      </w:tr>
    </w:tbl>
    <w:p w:rsidR="00030B97" w:rsidRDefault="00030B97" w:rsidP="00030B97">
      <w:pPr>
        <w:spacing w:line="480" w:lineRule="auto"/>
        <w:ind w:left="0" w:firstLine="0"/>
        <w:rPr>
          <w:szCs w:val="24"/>
        </w:rPr>
      </w:pPr>
      <w:r>
        <w:rPr>
          <w:szCs w:val="24"/>
        </w:rPr>
        <w:t>Numbers in parentheses indicate the number of observations.</w:t>
      </w:r>
    </w:p>
    <w:p w:rsidR="003C7E7E" w:rsidRDefault="003C7E7E" w:rsidP="003C7E7E">
      <w:pPr>
        <w:spacing w:line="480" w:lineRule="auto"/>
        <w:ind w:left="0" w:firstLine="720"/>
        <w:rPr>
          <w:szCs w:val="24"/>
        </w:rPr>
      </w:pPr>
    </w:p>
    <w:p w:rsidR="003C7E7E" w:rsidRDefault="003C7E7E" w:rsidP="003C7E7E">
      <w:pPr>
        <w:spacing w:line="480" w:lineRule="auto"/>
        <w:ind w:left="0" w:firstLine="0"/>
        <w:rPr>
          <w:szCs w:val="24"/>
        </w:rPr>
      </w:pPr>
      <w:r>
        <w:rPr>
          <w:szCs w:val="24"/>
        </w:rPr>
        <w:t xml:space="preserve"> </w:t>
      </w:r>
    </w:p>
    <w:p w:rsidR="0072205C" w:rsidRDefault="0072205C" w:rsidP="00592DBC">
      <w:pPr>
        <w:spacing w:line="480" w:lineRule="auto"/>
        <w:ind w:left="0" w:firstLine="0"/>
        <w:rPr>
          <w:szCs w:val="24"/>
        </w:rPr>
      </w:pPr>
      <w:proofErr w:type="gramStart"/>
      <w:r>
        <w:rPr>
          <w:szCs w:val="24"/>
        </w:rPr>
        <w:lastRenderedPageBreak/>
        <w:t>liberal</w:t>
      </w:r>
      <w:proofErr w:type="gramEnd"/>
      <w:r>
        <w:rPr>
          <w:szCs w:val="24"/>
        </w:rPr>
        <w:t xml:space="preserve">, conservative, and unspecifiable amicus cosigners per case.  Liberal amicus cosigner advantage per case was most pronounced in the 2007 (19 liberal cosigner advantage) and 2011 (almost 11 cosigner advantage) terms.  On the other side, conservative cosigner advantage per case was greatest during the 2009 term (almost 13 conservative cosigner advantage), and also present during the 2010 term (over 2 cosigner advantage).  </w:t>
      </w:r>
      <w:r w:rsidR="00414215">
        <w:rPr>
          <w:szCs w:val="24"/>
        </w:rPr>
        <w:tab/>
      </w:r>
    </w:p>
    <w:p w:rsidR="003C7E7E" w:rsidRDefault="00414215" w:rsidP="0072205C">
      <w:pPr>
        <w:spacing w:line="480" w:lineRule="auto"/>
        <w:ind w:left="0" w:firstLine="720"/>
        <w:rPr>
          <w:szCs w:val="24"/>
        </w:rPr>
      </w:pPr>
      <w:r>
        <w:rPr>
          <w:szCs w:val="24"/>
        </w:rPr>
        <w:t>Row 9</w:t>
      </w:r>
      <w:r w:rsidR="00960E7F">
        <w:rPr>
          <w:szCs w:val="24"/>
        </w:rPr>
        <w:t xml:space="preserve"> of Table 4.4</w:t>
      </w:r>
      <w:r w:rsidR="003C7E7E">
        <w:rPr>
          <w:szCs w:val="24"/>
        </w:rPr>
        <w:t xml:space="preserve"> shows the maximum numbe</w:t>
      </w:r>
      <w:r>
        <w:rPr>
          <w:szCs w:val="24"/>
        </w:rPr>
        <w:t>r of amicus cosigners</w:t>
      </w:r>
      <w:r w:rsidR="003C7E7E">
        <w:rPr>
          <w:szCs w:val="24"/>
        </w:rPr>
        <w:t xml:space="preserve"> in a case each term.  </w:t>
      </w:r>
      <w:r>
        <w:rPr>
          <w:szCs w:val="24"/>
        </w:rPr>
        <w:t xml:space="preserve">Just as with amicus briefs, </w:t>
      </w:r>
      <w:r w:rsidR="003C7E7E">
        <w:rPr>
          <w:szCs w:val="24"/>
        </w:rPr>
        <w:t xml:space="preserve">the </w:t>
      </w:r>
      <w:r>
        <w:rPr>
          <w:szCs w:val="24"/>
        </w:rPr>
        <w:t>case with the most amicus cosigners</w:t>
      </w:r>
      <w:r w:rsidR="00960E7F">
        <w:rPr>
          <w:szCs w:val="24"/>
        </w:rPr>
        <w:t xml:space="preserve"> in the 2011 term</w:t>
      </w:r>
      <w:r>
        <w:rPr>
          <w:szCs w:val="24"/>
        </w:rPr>
        <w:t xml:space="preserve"> was</w:t>
      </w:r>
      <w:r w:rsidR="003C7E7E">
        <w:rPr>
          <w:szCs w:val="24"/>
        </w:rPr>
        <w:t xml:space="preserve"> </w:t>
      </w:r>
      <w:r w:rsidR="003C7E7E">
        <w:rPr>
          <w:i/>
          <w:szCs w:val="24"/>
        </w:rPr>
        <w:t xml:space="preserve">Department of Health and Human Services v. Florida </w:t>
      </w:r>
      <w:r>
        <w:rPr>
          <w:szCs w:val="24"/>
        </w:rPr>
        <w:t>(11-398) (1,928 cosigners</w:t>
      </w:r>
      <w:r w:rsidR="003C7E7E">
        <w:rPr>
          <w:szCs w:val="24"/>
        </w:rPr>
        <w:t>)</w:t>
      </w:r>
      <w:r>
        <w:rPr>
          <w:szCs w:val="24"/>
        </w:rPr>
        <w:t>, a part of the larger consolidated health care law case</w:t>
      </w:r>
      <w:r w:rsidR="003C7E7E">
        <w:rPr>
          <w:szCs w:val="24"/>
        </w:rPr>
        <w:t xml:space="preserve">. </w:t>
      </w:r>
      <w:r>
        <w:rPr>
          <w:szCs w:val="24"/>
        </w:rPr>
        <w:t xml:space="preserve"> </w:t>
      </w:r>
      <w:r w:rsidR="003C7E7E">
        <w:rPr>
          <w:szCs w:val="24"/>
        </w:rPr>
        <w:t>The case accom</w:t>
      </w:r>
      <w:r>
        <w:rPr>
          <w:szCs w:val="24"/>
        </w:rPr>
        <w:t>panied by the most amicus cosigners</w:t>
      </w:r>
      <w:r w:rsidR="003C7E7E">
        <w:rPr>
          <w:szCs w:val="24"/>
        </w:rPr>
        <w:t xml:space="preserve"> in the 2009 term was </w:t>
      </w:r>
      <w:r w:rsidR="00241719">
        <w:rPr>
          <w:i/>
          <w:szCs w:val="24"/>
        </w:rPr>
        <w:t xml:space="preserve">McDonald v. City of Chicago </w:t>
      </w:r>
      <w:r w:rsidR="00241719">
        <w:rPr>
          <w:szCs w:val="24"/>
        </w:rPr>
        <w:t>(08-1521) (1,622 cosigners</w:t>
      </w:r>
      <w:r w:rsidR="003C7E7E">
        <w:rPr>
          <w:szCs w:val="24"/>
        </w:rPr>
        <w:t xml:space="preserve">).  </w:t>
      </w:r>
      <w:r w:rsidR="00241719">
        <w:rPr>
          <w:szCs w:val="24"/>
        </w:rPr>
        <w:t>Just as with amicus briefs, t</w:t>
      </w:r>
      <w:r w:rsidR="003C7E7E">
        <w:rPr>
          <w:szCs w:val="24"/>
        </w:rPr>
        <w:t xml:space="preserve">he case in the 2007 </w:t>
      </w:r>
      <w:r w:rsidR="00E35CB6">
        <w:rPr>
          <w:szCs w:val="24"/>
        </w:rPr>
        <w:t>term with the most amicus cosigners</w:t>
      </w:r>
      <w:r w:rsidR="003C7E7E">
        <w:rPr>
          <w:szCs w:val="24"/>
        </w:rPr>
        <w:t xml:space="preserve"> was </w:t>
      </w:r>
      <w:r w:rsidR="003C7E7E">
        <w:rPr>
          <w:i/>
          <w:szCs w:val="24"/>
        </w:rPr>
        <w:t xml:space="preserve">District of Columbia v. Heller </w:t>
      </w:r>
      <w:r w:rsidR="00241719">
        <w:rPr>
          <w:szCs w:val="24"/>
        </w:rPr>
        <w:t>(07-290) (920</w:t>
      </w:r>
      <w:r w:rsidR="00E35CB6">
        <w:rPr>
          <w:szCs w:val="24"/>
        </w:rPr>
        <w:t xml:space="preserve"> cosigners</w:t>
      </w:r>
      <w:r w:rsidR="003C7E7E">
        <w:rPr>
          <w:szCs w:val="24"/>
        </w:rPr>
        <w:t xml:space="preserve">).   </w:t>
      </w:r>
      <w:r w:rsidR="00241719">
        <w:rPr>
          <w:i/>
          <w:szCs w:val="24"/>
        </w:rPr>
        <w:t xml:space="preserve">Republic of Iraq v. Simon </w:t>
      </w:r>
      <w:r w:rsidR="00241719">
        <w:rPr>
          <w:szCs w:val="24"/>
        </w:rPr>
        <w:t>(08-539) (228 cosigners</w:t>
      </w:r>
      <w:r w:rsidR="003C7E7E">
        <w:rPr>
          <w:szCs w:val="24"/>
        </w:rPr>
        <w:t xml:space="preserve">) </w:t>
      </w:r>
      <w:r w:rsidR="00522748">
        <w:rPr>
          <w:szCs w:val="24"/>
        </w:rPr>
        <w:t xml:space="preserve">had </w:t>
      </w:r>
      <w:r w:rsidR="00241719">
        <w:rPr>
          <w:szCs w:val="24"/>
        </w:rPr>
        <w:t xml:space="preserve">the most amicus cosigners </w:t>
      </w:r>
      <w:r w:rsidR="00960E7F">
        <w:rPr>
          <w:szCs w:val="24"/>
        </w:rPr>
        <w:t>in the 2008</w:t>
      </w:r>
      <w:r w:rsidR="003C7E7E">
        <w:rPr>
          <w:szCs w:val="24"/>
        </w:rPr>
        <w:t xml:space="preserve"> term</w:t>
      </w:r>
      <w:r w:rsidR="00241719">
        <w:rPr>
          <w:szCs w:val="24"/>
        </w:rPr>
        <w:t xml:space="preserve"> (along with its companion case </w:t>
      </w:r>
      <w:r w:rsidR="00241719">
        <w:rPr>
          <w:i/>
          <w:szCs w:val="24"/>
        </w:rPr>
        <w:t xml:space="preserve">Republic of Iraq v. </w:t>
      </w:r>
      <w:proofErr w:type="spellStart"/>
      <w:r w:rsidR="00241719">
        <w:rPr>
          <w:i/>
          <w:szCs w:val="24"/>
        </w:rPr>
        <w:t>Beaty</w:t>
      </w:r>
      <w:proofErr w:type="spellEnd"/>
      <w:r w:rsidR="00241719">
        <w:rPr>
          <w:i/>
          <w:szCs w:val="24"/>
        </w:rPr>
        <w:t xml:space="preserve"> </w:t>
      </w:r>
      <w:r w:rsidR="00241719">
        <w:rPr>
          <w:szCs w:val="24"/>
        </w:rPr>
        <w:t xml:space="preserve">(07-1090) (which had 217 cosigners, most of which were identical to those in </w:t>
      </w:r>
      <w:r w:rsidR="00241719">
        <w:rPr>
          <w:i/>
          <w:szCs w:val="24"/>
        </w:rPr>
        <w:t>Republic of Iraq v. Simon</w:t>
      </w:r>
      <w:r w:rsidR="00241719">
        <w:rPr>
          <w:szCs w:val="24"/>
        </w:rPr>
        <w:t>)</w:t>
      </w:r>
      <w:r w:rsidR="003C7E7E">
        <w:rPr>
          <w:szCs w:val="24"/>
        </w:rPr>
        <w:t xml:space="preserve">. </w:t>
      </w:r>
      <w:r w:rsidR="00860228">
        <w:rPr>
          <w:szCs w:val="24"/>
        </w:rPr>
        <w:t xml:space="preserve"> </w:t>
      </w:r>
      <w:r w:rsidR="00522748">
        <w:rPr>
          <w:szCs w:val="24"/>
        </w:rPr>
        <w:t xml:space="preserve">This case involved the question of whether the U.S. courts have jurisdiction over Iraq for claims involving alleged misdeeds that occurred during Saddam Hussein’s regime. </w:t>
      </w:r>
      <w:r w:rsidR="003C7E7E">
        <w:rPr>
          <w:szCs w:val="24"/>
        </w:rPr>
        <w:t xml:space="preserve"> Lastly, the </w:t>
      </w:r>
      <w:r w:rsidR="00241719">
        <w:rPr>
          <w:szCs w:val="24"/>
        </w:rPr>
        <w:t>case with the mos</w:t>
      </w:r>
      <w:r w:rsidR="00960E7F">
        <w:rPr>
          <w:szCs w:val="24"/>
        </w:rPr>
        <w:t>t amicus cosigners from the 2010</w:t>
      </w:r>
      <w:r w:rsidR="003C7E7E">
        <w:rPr>
          <w:szCs w:val="24"/>
        </w:rPr>
        <w:t xml:space="preserve"> term was </w:t>
      </w:r>
      <w:r w:rsidR="00241719">
        <w:rPr>
          <w:i/>
          <w:szCs w:val="24"/>
        </w:rPr>
        <w:t>Brown v. Entertainment Merchants</w:t>
      </w:r>
      <w:r w:rsidR="00960E7F">
        <w:rPr>
          <w:i/>
          <w:szCs w:val="24"/>
        </w:rPr>
        <w:t xml:space="preserve"> Association</w:t>
      </w:r>
      <w:r w:rsidR="00241719">
        <w:rPr>
          <w:i/>
          <w:szCs w:val="24"/>
        </w:rPr>
        <w:t xml:space="preserve"> </w:t>
      </w:r>
      <w:r w:rsidR="00522748">
        <w:rPr>
          <w:szCs w:val="24"/>
        </w:rPr>
        <w:t xml:space="preserve">(182 cosigners), </w:t>
      </w:r>
      <w:r w:rsidR="003C7E7E">
        <w:rPr>
          <w:szCs w:val="24"/>
        </w:rPr>
        <w:t xml:space="preserve">in which the USSC </w:t>
      </w:r>
      <w:r w:rsidR="00241719">
        <w:rPr>
          <w:szCs w:val="24"/>
        </w:rPr>
        <w:t>struck down a California law banning the sale or rental of violent video games to minors based upon the First Amendm</w:t>
      </w:r>
      <w:r w:rsidR="00592DBC">
        <w:rPr>
          <w:szCs w:val="24"/>
        </w:rPr>
        <w:t>ent.</w:t>
      </w:r>
    </w:p>
    <w:p w:rsidR="00592DBC" w:rsidRDefault="00592DBC" w:rsidP="00592DBC">
      <w:pPr>
        <w:spacing w:line="480" w:lineRule="auto"/>
        <w:ind w:left="0" w:firstLine="0"/>
        <w:rPr>
          <w:szCs w:val="24"/>
        </w:rPr>
      </w:pPr>
    </w:p>
    <w:p w:rsidR="0072205C" w:rsidRDefault="0072205C" w:rsidP="00592DBC">
      <w:pPr>
        <w:spacing w:line="480" w:lineRule="auto"/>
        <w:ind w:left="0" w:firstLine="0"/>
        <w:rPr>
          <w:szCs w:val="24"/>
        </w:rPr>
      </w:pPr>
    </w:p>
    <w:p w:rsidR="0072205C" w:rsidRDefault="0072205C" w:rsidP="00592DBC">
      <w:pPr>
        <w:spacing w:line="480" w:lineRule="auto"/>
        <w:ind w:left="0" w:firstLine="0"/>
        <w:rPr>
          <w:szCs w:val="24"/>
        </w:rPr>
      </w:pPr>
    </w:p>
    <w:p w:rsidR="00CB3F86" w:rsidRPr="0056631B" w:rsidRDefault="003D07F6" w:rsidP="003D07F6">
      <w:pPr>
        <w:pStyle w:val="ListParagraph"/>
        <w:numPr>
          <w:ilvl w:val="0"/>
          <w:numId w:val="32"/>
        </w:numPr>
        <w:spacing w:line="480" w:lineRule="auto"/>
        <w:rPr>
          <w:b/>
          <w:szCs w:val="24"/>
        </w:rPr>
      </w:pPr>
      <w:r w:rsidRPr="0056631B">
        <w:rPr>
          <w:b/>
          <w:szCs w:val="24"/>
        </w:rPr>
        <w:lastRenderedPageBreak/>
        <w:t>Amicus Participation by Amicus Category</w:t>
      </w:r>
    </w:p>
    <w:p w:rsidR="007F5EBC" w:rsidRDefault="003D07F6" w:rsidP="007F5EBC">
      <w:pPr>
        <w:spacing w:line="480" w:lineRule="auto"/>
        <w:ind w:left="0" w:firstLine="720"/>
        <w:rPr>
          <w:szCs w:val="24"/>
        </w:rPr>
      </w:pPr>
      <w:r>
        <w:rPr>
          <w:szCs w:val="24"/>
        </w:rPr>
        <w:t xml:space="preserve">In this section, I investigate the nature of the amici who participate at the Roberts Court.  </w:t>
      </w:r>
      <w:r w:rsidR="009E718A">
        <w:rPr>
          <w:szCs w:val="24"/>
        </w:rPr>
        <w:t>I have categorized all amici</w:t>
      </w:r>
      <w:r>
        <w:rPr>
          <w:szCs w:val="24"/>
        </w:rPr>
        <w:t xml:space="preserve"> </w:t>
      </w:r>
      <w:r w:rsidR="009E718A">
        <w:rPr>
          <w:szCs w:val="24"/>
        </w:rPr>
        <w:t>as fallin</w:t>
      </w:r>
      <w:r w:rsidR="00647C30">
        <w:rPr>
          <w:szCs w:val="24"/>
        </w:rPr>
        <w:t>g into one of three basic categories</w:t>
      </w:r>
      <w:r w:rsidR="009E718A">
        <w:rPr>
          <w:szCs w:val="24"/>
        </w:rPr>
        <w:t xml:space="preserve">: (1) interest groups; (2) governments; or (3) individuals.  </w:t>
      </w:r>
      <w:r>
        <w:rPr>
          <w:szCs w:val="24"/>
        </w:rPr>
        <w:t>Governmental amici include the Solicitor General, state governments</w:t>
      </w:r>
      <w:r>
        <w:rPr>
          <w:rStyle w:val="FootnoteReference"/>
          <w:szCs w:val="24"/>
        </w:rPr>
        <w:footnoteReference w:id="75"/>
      </w:r>
      <w:r>
        <w:rPr>
          <w:szCs w:val="24"/>
        </w:rPr>
        <w:t>, local governments</w:t>
      </w:r>
      <w:r>
        <w:rPr>
          <w:rStyle w:val="FootnoteReference"/>
          <w:szCs w:val="24"/>
        </w:rPr>
        <w:footnoteReference w:id="76"/>
      </w:r>
      <w:r w:rsidR="007417AD">
        <w:rPr>
          <w:szCs w:val="24"/>
        </w:rPr>
        <w:t>, and foreign governments.  Individuals include any person who signs their individual name on an amicus brief.  Common examples of amici individuals are academics, scientists, members of Congress, state legislators, governors, and other current and former government officials.   Interest groups are all amici who are not governments or individuals.  Interest gro</w:t>
      </w:r>
      <w:r w:rsidR="007C7BD8">
        <w:rPr>
          <w:szCs w:val="24"/>
        </w:rPr>
        <w:t>ups take many forms, including</w:t>
      </w:r>
      <w:r w:rsidR="007417AD">
        <w:rPr>
          <w:szCs w:val="24"/>
        </w:rPr>
        <w:t xml:space="preserve"> corporations (AT</w:t>
      </w:r>
      <w:r w:rsidR="00463D9C">
        <w:rPr>
          <w:szCs w:val="24"/>
        </w:rPr>
        <w:t>&amp;</w:t>
      </w:r>
      <w:r w:rsidR="007417AD">
        <w:rPr>
          <w:szCs w:val="24"/>
        </w:rPr>
        <w:t>T, General Electric, Google</w:t>
      </w:r>
      <w:r w:rsidR="00477B45">
        <w:rPr>
          <w:szCs w:val="24"/>
        </w:rPr>
        <w:t xml:space="preserve">, </w:t>
      </w:r>
      <w:proofErr w:type="spellStart"/>
      <w:r w:rsidR="00477B45">
        <w:rPr>
          <w:szCs w:val="24"/>
        </w:rPr>
        <w:t>WalMart</w:t>
      </w:r>
      <w:proofErr w:type="spellEnd"/>
      <w:r w:rsidR="00477B45">
        <w:rPr>
          <w:szCs w:val="24"/>
        </w:rPr>
        <w:t>, Microsoft</w:t>
      </w:r>
      <w:r w:rsidR="007417AD">
        <w:rPr>
          <w:szCs w:val="24"/>
        </w:rPr>
        <w:t>), public advocacy organizations (ACLU, Mothers Against Drunk Driving, NAACP</w:t>
      </w:r>
      <w:r w:rsidR="00477B45">
        <w:rPr>
          <w:szCs w:val="24"/>
        </w:rPr>
        <w:t>, National Rifle Association, PETA, Sierra Club, National Organization for Women</w:t>
      </w:r>
      <w:r w:rsidR="007417AD">
        <w:rPr>
          <w:szCs w:val="24"/>
        </w:rPr>
        <w:t>), public interest law firms (American Center for Law and Justice, Pacific Legal Foundation, Mental Health Law Project</w:t>
      </w:r>
      <w:r w:rsidR="007F5EBC">
        <w:rPr>
          <w:szCs w:val="24"/>
        </w:rPr>
        <w:t>, Rutherford Institute</w:t>
      </w:r>
      <w:r w:rsidR="007417AD">
        <w:rPr>
          <w:szCs w:val="24"/>
        </w:rPr>
        <w:t xml:space="preserve">), trade associations (American Sociological Association, American Bankers Association, </w:t>
      </w:r>
      <w:r w:rsidR="00477B45">
        <w:rPr>
          <w:szCs w:val="24"/>
        </w:rPr>
        <w:t>American Bar Association), unions (United Mine Workers, American Federation of Teachers, National Education Association), and peak associations (Chamber of Commerce of the United States, AFL-CIO, National League of Cities).  Other examples of interest groups include churches</w:t>
      </w:r>
      <w:r w:rsidR="007F5EBC">
        <w:rPr>
          <w:szCs w:val="24"/>
        </w:rPr>
        <w:t xml:space="preserve"> and religious organizations</w:t>
      </w:r>
      <w:r w:rsidR="00477B45">
        <w:rPr>
          <w:szCs w:val="24"/>
        </w:rPr>
        <w:t>, political parties</w:t>
      </w:r>
      <w:r w:rsidR="007F5EBC">
        <w:rPr>
          <w:szCs w:val="24"/>
        </w:rPr>
        <w:t xml:space="preserve">, </w:t>
      </w:r>
      <w:r w:rsidR="00477B45">
        <w:rPr>
          <w:szCs w:val="24"/>
        </w:rPr>
        <w:t xml:space="preserve">political action committees, </w:t>
      </w:r>
      <w:r w:rsidR="007F5EBC">
        <w:rPr>
          <w:szCs w:val="24"/>
        </w:rPr>
        <w:t>charities, universities and colleges, th</w:t>
      </w:r>
      <w:r w:rsidR="005607AC">
        <w:rPr>
          <w:szCs w:val="24"/>
        </w:rPr>
        <w:t>ink tanks, and ad hoc coalitions</w:t>
      </w:r>
      <w:r w:rsidR="007F5EBC">
        <w:rPr>
          <w:szCs w:val="24"/>
        </w:rPr>
        <w:t>.</w:t>
      </w:r>
    </w:p>
    <w:p w:rsidR="00522748" w:rsidRDefault="00960E7F" w:rsidP="007F5EBC">
      <w:pPr>
        <w:spacing w:line="480" w:lineRule="auto"/>
        <w:ind w:left="0" w:firstLine="720"/>
        <w:rPr>
          <w:szCs w:val="24"/>
        </w:rPr>
      </w:pPr>
      <w:r>
        <w:rPr>
          <w:szCs w:val="24"/>
        </w:rPr>
        <w:t>Table 4.5</w:t>
      </w:r>
      <w:r w:rsidR="00522748">
        <w:rPr>
          <w:szCs w:val="24"/>
        </w:rPr>
        <w:t xml:space="preserve"> presents information on the levels of participation by each of the categories of amici during the 2007-2011</w:t>
      </w:r>
      <w:r w:rsidR="00460DB2">
        <w:rPr>
          <w:szCs w:val="24"/>
        </w:rPr>
        <w:t xml:space="preserve"> terms.  </w:t>
      </w:r>
      <w:r w:rsidR="003F113D">
        <w:rPr>
          <w:szCs w:val="24"/>
        </w:rPr>
        <w:t xml:space="preserve">Column 2 reports the number and percentage of total amici that each amici category and subcategory represents.  Interestingly, individuals are the most </w:t>
      </w:r>
      <w:r w:rsidR="003F113D">
        <w:rPr>
          <w:szCs w:val="24"/>
        </w:rPr>
        <w:lastRenderedPageBreak/>
        <w:t xml:space="preserve">frequent amici category at the Roberts Court, comprising 47.3 percent of total amici.  This finding is noteworthy, as it differs sharply from prior findings regarding the prominence of individuals as amici at the USSC.   For example, </w:t>
      </w:r>
      <w:proofErr w:type="spellStart"/>
      <w:r w:rsidR="003F113D">
        <w:rPr>
          <w:szCs w:val="24"/>
        </w:rPr>
        <w:t>Caldeira</w:t>
      </w:r>
      <w:proofErr w:type="spellEnd"/>
      <w:r w:rsidR="003F113D">
        <w:rPr>
          <w:szCs w:val="24"/>
        </w:rPr>
        <w:t xml:space="preserve"> </w:t>
      </w:r>
      <w:r w:rsidR="000D6839">
        <w:rPr>
          <w:szCs w:val="24"/>
        </w:rPr>
        <w:t>and</w:t>
      </w:r>
      <w:r w:rsidR="003F113D">
        <w:rPr>
          <w:szCs w:val="24"/>
        </w:rPr>
        <w:t xml:space="preserve"> Wright (1990) find that only six percent of amici during the 1982 term were individuals.  Collins </w:t>
      </w:r>
      <w:r w:rsidR="000D6839">
        <w:rPr>
          <w:szCs w:val="24"/>
        </w:rPr>
        <w:t>and</w:t>
      </w:r>
      <w:r w:rsidR="003F113D">
        <w:rPr>
          <w:szCs w:val="24"/>
        </w:rPr>
        <w:t xml:space="preserve"> </w:t>
      </w:r>
      <w:proofErr w:type="spellStart"/>
      <w:r w:rsidR="003F113D">
        <w:rPr>
          <w:szCs w:val="24"/>
        </w:rPr>
        <w:t>Solowiej</w:t>
      </w:r>
      <w:proofErr w:type="spellEnd"/>
      <w:r w:rsidR="003F113D">
        <w:rPr>
          <w:szCs w:val="24"/>
        </w:rPr>
        <w:t xml:space="preserve"> (2007, 967) show that individuals accounted for only about 22 percent of amici in the 1995 term.  And Collins</w:t>
      </w:r>
      <w:r w:rsidR="00AB3313">
        <w:rPr>
          <w:szCs w:val="24"/>
        </w:rPr>
        <w:t xml:space="preserve"> (2008, 61)</w:t>
      </w:r>
      <w:r w:rsidR="003F113D">
        <w:rPr>
          <w:szCs w:val="24"/>
        </w:rPr>
        <w:t>, in an analysis of the 1950, 1968, 1982, and 1995 terms of the USSC</w:t>
      </w:r>
      <w:r w:rsidR="00AB3313">
        <w:rPr>
          <w:szCs w:val="24"/>
        </w:rPr>
        <w:t xml:space="preserve">, finds that </w:t>
      </w:r>
      <w:r w:rsidR="003F113D">
        <w:rPr>
          <w:szCs w:val="24"/>
        </w:rPr>
        <w:t>account</w:t>
      </w:r>
      <w:r w:rsidR="00AB3313">
        <w:rPr>
          <w:szCs w:val="24"/>
        </w:rPr>
        <w:t>ed</w:t>
      </w:r>
      <w:r w:rsidR="003F113D">
        <w:rPr>
          <w:szCs w:val="24"/>
        </w:rPr>
        <w:t xml:space="preserve"> for </w:t>
      </w:r>
      <w:r w:rsidR="00AB3313">
        <w:rPr>
          <w:szCs w:val="24"/>
        </w:rPr>
        <w:t xml:space="preserve">only </w:t>
      </w:r>
      <w:r w:rsidR="003F113D">
        <w:rPr>
          <w:szCs w:val="24"/>
        </w:rPr>
        <w:t>12.1 perc</w:t>
      </w:r>
      <w:r w:rsidR="00AB3313">
        <w:rPr>
          <w:szCs w:val="24"/>
        </w:rPr>
        <w:t xml:space="preserve">ent of amicus participants.  Thus, the Roberts Court </w:t>
      </w:r>
      <w:proofErr w:type="gramStart"/>
      <w:r w:rsidR="00AB3313">
        <w:rPr>
          <w:szCs w:val="24"/>
        </w:rPr>
        <w:t>has</w:t>
      </w:r>
      <w:proofErr w:type="gramEnd"/>
      <w:r w:rsidR="00AB3313">
        <w:rPr>
          <w:szCs w:val="24"/>
        </w:rPr>
        <w:t xml:space="preserve"> seen a significant increase in the percentage of individuals who are participating as amici. </w:t>
      </w:r>
    </w:p>
    <w:p w:rsidR="006C5DC1" w:rsidRDefault="00AB3313" w:rsidP="00520B48">
      <w:pPr>
        <w:spacing w:line="480" w:lineRule="auto"/>
        <w:ind w:left="0" w:firstLine="720"/>
        <w:rPr>
          <w:szCs w:val="24"/>
        </w:rPr>
      </w:pPr>
      <w:r>
        <w:rPr>
          <w:szCs w:val="24"/>
        </w:rPr>
        <w:t xml:space="preserve">Interest groups account for 35.75 percent of all amici at the Roberts Court.  </w:t>
      </w:r>
      <w:r w:rsidR="007C7BD8">
        <w:rPr>
          <w:szCs w:val="24"/>
        </w:rPr>
        <w:t xml:space="preserve"> This finding</w:t>
      </w:r>
      <w:r w:rsidR="00520B48">
        <w:rPr>
          <w:szCs w:val="24"/>
        </w:rPr>
        <w:t xml:space="preserve"> is </w:t>
      </w:r>
      <w:r>
        <w:rPr>
          <w:szCs w:val="24"/>
        </w:rPr>
        <w:t>noteworthy in that it also departs from Collins (2008, 61) findings, in which interest groups (excluding governments and individuals), constitute</w:t>
      </w:r>
      <w:r w:rsidR="00520B48">
        <w:rPr>
          <w:szCs w:val="24"/>
        </w:rPr>
        <w:t>d 56.8 percent of all amici during the 1950, 1968, 1982, and 1995 terms of the USSC. In addition, I find that governments constitute</w:t>
      </w:r>
      <w:r>
        <w:rPr>
          <w:szCs w:val="24"/>
        </w:rPr>
        <w:t xml:space="preserve"> almost 17 percent of am</w:t>
      </w:r>
      <w:r w:rsidR="00520B48">
        <w:rPr>
          <w:szCs w:val="24"/>
        </w:rPr>
        <w:t>ici at the Roberts Court.  This finding also</w:t>
      </w:r>
      <w:r>
        <w:rPr>
          <w:szCs w:val="24"/>
        </w:rPr>
        <w:t xml:space="preserve"> departs from</w:t>
      </w:r>
      <w:r w:rsidR="00520B48">
        <w:rPr>
          <w:szCs w:val="24"/>
        </w:rPr>
        <w:t xml:space="preserve"> those of Collins (2008), </w:t>
      </w:r>
      <w:r w:rsidR="007C7BD8">
        <w:rPr>
          <w:szCs w:val="24"/>
        </w:rPr>
        <w:t xml:space="preserve">who shows </w:t>
      </w:r>
      <w:r w:rsidR="00520B48">
        <w:rPr>
          <w:szCs w:val="24"/>
        </w:rPr>
        <w:t xml:space="preserve">that </w:t>
      </w:r>
      <w:r>
        <w:rPr>
          <w:szCs w:val="24"/>
        </w:rPr>
        <w:t>governmental amici accounted for just</w:t>
      </w:r>
      <w:r w:rsidR="00520B48">
        <w:rPr>
          <w:szCs w:val="24"/>
        </w:rPr>
        <w:t xml:space="preserve"> over 31 percent of total amici.   Thus, the percentage of individuals participating as amici is significantly higher at the Roberts Court than in prior terms of the USSC, and the percentage of interest groups and governments is significantly lower.  Perhaps individuals are more aware today than in times past of the prominent role the USSC plays in shaping public policies, as well as more aware of the potential of amici to influence judicial outcomes at the USSC.  </w:t>
      </w:r>
      <w:r w:rsidR="00402B23">
        <w:rPr>
          <w:szCs w:val="24"/>
        </w:rPr>
        <w:t xml:space="preserve"> The increased presence of individual amici might also be a testament to the increased ability of individuals to share information and communicate efficiently in our technological age, thus making it easier to collaborate and pool resources for the purposes of filing amicus briefs.</w:t>
      </w:r>
      <w:r w:rsidR="006C5DC1">
        <w:rPr>
          <w:rStyle w:val="FootnoteReference"/>
          <w:szCs w:val="24"/>
        </w:rPr>
        <w:footnoteReference w:id="77"/>
      </w:r>
    </w:p>
    <w:p w:rsidR="0072205C" w:rsidRPr="00D65124" w:rsidRDefault="0072205C" w:rsidP="0072205C">
      <w:pPr>
        <w:spacing w:line="480" w:lineRule="auto"/>
        <w:ind w:left="0" w:firstLine="0"/>
        <w:rPr>
          <w:b/>
          <w:szCs w:val="24"/>
        </w:rPr>
      </w:pPr>
      <w:proofErr w:type="gramStart"/>
      <w:r>
        <w:rPr>
          <w:b/>
          <w:szCs w:val="24"/>
        </w:rPr>
        <w:lastRenderedPageBreak/>
        <w:t>Table 4.5</w:t>
      </w:r>
      <w:r w:rsidRPr="00D65124">
        <w:rPr>
          <w:b/>
          <w:szCs w:val="24"/>
        </w:rPr>
        <w:t>.</w:t>
      </w:r>
      <w:proofErr w:type="gramEnd"/>
      <w:r w:rsidRPr="00D65124">
        <w:rPr>
          <w:b/>
          <w:szCs w:val="24"/>
        </w:rPr>
        <w:t xml:space="preserve">  Amicus Curiae Participation by A</w:t>
      </w:r>
      <w:r w:rsidR="00BA4819">
        <w:rPr>
          <w:b/>
          <w:szCs w:val="24"/>
        </w:rPr>
        <w:t>micus Category, 2007-2011 Terms</w:t>
      </w:r>
    </w:p>
    <w:tbl>
      <w:tblPr>
        <w:tblW w:w="9195"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795"/>
        <w:gridCol w:w="3240"/>
        <w:gridCol w:w="2160"/>
      </w:tblGrid>
      <w:tr w:rsidR="0072205C" w:rsidRPr="00301516" w:rsidTr="002D72FB">
        <w:trPr>
          <w:trHeight w:val="432"/>
        </w:trPr>
        <w:tc>
          <w:tcPr>
            <w:tcW w:w="3795" w:type="dxa"/>
            <w:tcBorders>
              <w:top w:val="single" w:sz="18" w:space="0" w:color="auto"/>
              <w:left w:val="nil"/>
              <w:bottom w:val="single" w:sz="18" w:space="0" w:color="auto"/>
            </w:tcBorders>
            <w:shd w:val="clear" w:color="auto" w:fill="auto"/>
            <w:noWrap/>
            <w:vAlign w:val="center"/>
            <w:hideMark/>
          </w:tcPr>
          <w:p w:rsidR="0072205C" w:rsidRPr="00647C30" w:rsidRDefault="0072205C" w:rsidP="002D72FB">
            <w:pPr>
              <w:ind w:left="0" w:firstLine="0"/>
              <w:jc w:val="center"/>
              <w:rPr>
                <w:rFonts w:eastAsia="Times New Roman" w:cs="Times New Roman"/>
                <w:bCs/>
                <w:color w:val="000000"/>
                <w:sz w:val="22"/>
              </w:rPr>
            </w:pPr>
            <w:r w:rsidRPr="00647C30">
              <w:rPr>
                <w:rFonts w:eastAsia="Times New Roman" w:cs="Times New Roman"/>
                <w:bCs/>
                <w:color w:val="000000"/>
                <w:sz w:val="22"/>
              </w:rPr>
              <w:t>Amicus Category</w:t>
            </w:r>
          </w:p>
        </w:tc>
        <w:tc>
          <w:tcPr>
            <w:tcW w:w="3240" w:type="dxa"/>
            <w:tcBorders>
              <w:top w:val="single" w:sz="18" w:space="0" w:color="auto"/>
              <w:bottom w:val="single" w:sz="18" w:space="0" w:color="auto"/>
            </w:tcBorders>
            <w:shd w:val="clear" w:color="auto" w:fill="auto"/>
            <w:noWrap/>
            <w:vAlign w:val="center"/>
            <w:hideMark/>
          </w:tcPr>
          <w:p w:rsidR="0072205C" w:rsidRPr="00647C30" w:rsidRDefault="0072205C" w:rsidP="002D72FB">
            <w:pPr>
              <w:ind w:left="0" w:firstLine="0"/>
              <w:jc w:val="center"/>
              <w:rPr>
                <w:rFonts w:eastAsia="Times New Roman" w:cs="Times New Roman"/>
                <w:bCs/>
                <w:color w:val="000000"/>
                <w:sz w:val="22"/>
              </w:rPr>
            </w:pPr>
            <w:r w:rsidRPr="00647C30">
              <w:rPr>
                <w:rFonts w:eastAsia="Times New Roman" w:cs="Times New Roman"/>
                <w:bCs/>
                <w:color w:val="000000"/>
                <w:sz w:val="22"/>
              </w:rPr>
              <w:t>Number of Amici*</w:t>
            </w:r>
          </w:p>
        </w:tc>
        <w:tc>
          <w:tcPr>
            <w:tcW w:w="2160" w:type="dxa"/>
            <w:tcBorders>
              <w:top w:val="single" w:sz="18" w:space="0" w:color="auto"/>
              <w:bottom w:val="single" w:sz="18" w:space="0" w:color="auto"/>
              <w:right w:val="nil"/>
            </w:tcBorders>
            <w:shd w:val="clear" w:color="auto" w:fill="auto"/>
            <w:noWrap/>
            <w:vAlign w:val="center"/>
            <w:hideMark/>
          </w:tcPr>
          <w:p w:rsidR="0072205C" w:rsidRPr="00647C30" w:rsidRDefault="0072205C" w:rsidP="002D72FB">
            <w:pPr>
              <w:ind w:left="0" w:firstLine="0"/>
              <w:jc w:val="center"/>
              <w:rPr>
                <w:rFonts w:eastAsia="Times New Roman" w:cs="Times New Roman"/>
                <w:bCs/>
                <w:color w:val="000000"/>
                <w:sz w:val="22"/>
              </w:rPr>
            </w:pPr>
            <w:r w:rsidRPr="00647C30">
              <w:rPr>
                <w:rFonts w:eastAsia="Times New Roman" w:cs="Times New Roman"/>
                <w:bCs/>
                <w:color w:val="000000"/>
                <w:sz w:val="22"/>
              </w:rPr>
              <w:t>Number of Cases**</w:t>
            </w:r>
          </w:p>
        </w:tc>
      </w:tr>
      <w:tr w:rsidR="0072205C" w:rsidRPr="00301516" w:rsidTr="002D72FB">
        <w:trPr>
          <w:trHeight w:val="432"/>
        </w:trPr>
        <w:tc>
          <w:tcPr>
            <w:tcW w:w="3795" w:type="dxa"/>
            <w:tcBorders>
              <w:top w:val="single" w:sz="18" w:space="0" w:color="auto"/>
              <w:left w:val="nil"/>
            </w:tcBorders>
            <w:shd w:val="clear" w:color="auto" w:fill="auto"/>
            <w:noWrap/>
            <w:vAlign w:val="center"/>
            <w:hideMark/>
          </w:tcPr>
          <w:p w:rsidR="0072205C" w:rsidRPr="00301516" w:rsidRDefault="0072205C" w:rsidP="002D72FB">
            <w:pPr>
              <w:ind w:left="0" w:firstLine="0"/>
              <w:rPr>
                <w:rFonts w:eastAsia="Times New Roman" w:cs="Times New Roman"/>
                <w:b/>
                <w:bCs/>
                <w:color w:val="000000"/>
                <w:sz w:val="22"/>
              </w:rPr>
            </w:pPr>
            <w:r w:rsidRPr="00301516">
              <w:rPr>
                <w:rFonts w:eastAsia="Times New Roman" w:cs="Times New Roman"/>
                <w:b/>
                <w:bCs/>
                <w:color w:val="000000"/>
                <w:sz w:val="22"/>
              </w:rPr>
              <w:t>Interest Groups</w:t>
            </w:r>
          </w:p>
        </w:tc>
        <w:tc>
          <w:tcPr>
            <w:tcW w:w="3240" w:type="dxa"/>
            <w:tcBorders>
              <w:top w:val="single" w:sz="18" w:space="0" w:color="auto"/>
            </w:tcBorders>
            <w:shd w:val="clear" w:color="auto" w:fill="auto"/>
            <w:noWrap/>
            <w:vAlign w:val="center"/>
            <w:hideMark/>
          </w:tcPr>
          <w:p w:rsidR="0072205C" w:rsidRPr="00301516" w:rsidRDefault="0072205C" w:rsidP="002D72FB">
            <w:pPr>
              <w:ind w:left="0" w:firstLine="0"/>
              <w:rPr>
                <w:rFonts w:eastAsia="Times New Roman" w:cs="Times New Roman"/>
                <w:sz w:val="22"/>
              </w:rPr>
            </w:pPr>
            <w:r w:rsidRPr="00301516">
              <w:rPr>
                <w:rFonts w:eastAsia="Times New Roman" w:cs="Times New Roman"/>
                <w:sz w:val="22"/>
              </w:rPr>
              <w:t xml:space="preserve">8,750 (35.75%) </w:t>
            </w:r>
          </w:p>
        </w:tc>
        <w:tc>
          <w:tcPr>
            <w:tcW w:w="2160" w:type="dxa"/>
            <w:tcBorders>
              <w:top w:val="single" w:sz="18" w:space="0" w:color="auto"/>
              <w:right w:val="nil"/>
            </w:tcBorders>
            <w:shd w:val="clear" w:color="auto" w:fill="auto"/>
            <w:noWrap/>
            <w:vAlign w:val="center"/>
            <w:hideMark/>
          </w:tcPr>
          <w:p w:rsidR="0072205C" w:rsidRPr="00301516" w:rsidRDefault="0072205C" w:rsidP="002D72FB">
            <w:pPr>
              <w:ind w:left="0" w:firstLine="0"/>
              <w:jc w:val="center"/>
              <w:rPr>
                <w:rFonts w:eastAsia="Times New Roman" w:cs="Times New Roman"/>
                <w:sz w:val="22"/>
              </w:rPr>
            </w:pPr>
            <w:r w:rsidRPr="00301516">
              <w:rPr>
                <w:rFonts w:eastAsia="Times New Roman" w:cs="Times New Roman"/>
                <w:sz w:val="22"/>
              </w:rPr>
              <w:t>370 (93.20%)</w:t>
            </w:r>
          </w:p>
        </w:tc>
      </w:tr>
      <w:tr w:rsidR="0072205C" w:rsidRPr="00301516" w:rsidTr="002D72FB">
        <w:trPr>
          <w:trHeight w:val="432"/>
        </w:trPr>
        <w:tc>
          <w:tcPr>
            <w:tcW w:w="3795" w:type="dxa"/>
            <w:tcBorders>
              <w:left w:val="nil"/>
            </w:tcBorders>
            <w:shd w:val="clear" w:color="auto" w:fill="auto"/>
            <w:noWrap/>
            <w:vAlign w:val="center"/>
            <w:hideMark/>
          </w:tcPr>
          <w:p w:rsidR="0072205C" w:rsidRPr="00301516" w:rsidRDefault="0072205C" w:rsidP="002D72FB">
            <w:pPr>
              <w:ind w:left="0" w:firstLine="0"/>
              <w:jc w:val="right"/>
              <w:rPr>
                <w:rFonts w:eastAsia="Times New Roman" w:cs="Times New Roman"/>
                <w:b/>
                <w:bCs/>
                <w:color w:val="000000"/>
                <w:sz w:val="22"/>
              </w:rPr>
            </w:pPr>
            <w:r w:rsidRPr="00301516">
              <w:rPr>
                <w:rFonts w:eastAsia="Times New Roman" w:cs="Times New Roman"/>
                <w:b/>
                <w:bCs/>
                <w:color w:val="000000"/>
                <w:sz w:val="22"/>
              </w:rPr>
              <w:t>Liberal Interest Groups</w:t>
            </w:r>
          </w:p>
        </w:tc>
        <w:tc>
          <w:tcPr>
            <w:tcW w:w="3240" w:type="dxa"/>
            <w:shd w:val="clear" w:color="auto" w:fill="auto"/>
            <w:noWrap/>
            <w:vAlign w:val="center"/>
            <w:hideMark/>
          </w:tcPr>
          <w:p w:rsidR="0072205C" w:rsidRPr="00301516" w:rsidRDefault="0072205C" w:rsidP="002D72FB">
            <w:pPr>
              <w:ind w:left="0" w:firstLine="0"/>
              <w:jc w:val="right"/>
              <w:rPr>
                <w:rFonts w:eastAsia="Times New Roman" w:cs="Times New Roman"/>
                <w:sz w:val="22"/>
              </w:rPr>
            </w:pPr>
            <w:r w:rsidRPr="00301516">
              <w:rPr>
                <w:rFonts w:eastAsia="Times New Roman" w:cs="Times New Roman"/>
                <w:sz w:val="22"/>
              </w:rPr>
              <w:t>4,582 (52.37%)</w:t>
            </w:r>
          </w:p>
        </w:tc>
        <w:tc>
          <w:tcPr>
            <w:tcW w:w="2160" w:type="dxa"/>
            <w:tcBorders>
              <w:right w:val="nil"/>
            </w:tcBorders>
            <w:shd w:val="clear" w:color="auto" w:fill="auto"/>
            <w:noWrap/>
            <w:vAlign w:val="center"/>
            <w:hideMark/>
          </w:tcPr>
          <w:p w:rsidR="0072205C" w:rsidRPr="00301516" w:rsidRDefault="0072205C" w:rsidP="002D72FB">
            <w:pPr>
              <w:ind w:left="0" w:firstLine="0"/>
              <w:jc w:val="center"/>
              <w:rPr>
                <w:rFonts w:eastAsia="Times New Roman" w:cs="Times New Roman"/>
                <w:sz w:val="22"/>
              </w:rPr>
            </w:pPr>
            <w:r w:rsidRPr="00301516">
              <w:rPr>
                <w:rFonts w:eastAsia="Times New Roman" w:cs="Times New Roman"/>
                <w:sz w:val="22"/>
              </w:rPr>
              <w:t>319 (80.35%)</w:t>
            </w:r>
          </w:p>
        </w:tc>
      </w:tr>
      <w:tr w:rsidR="0072205C" w:rsidRPr="00301516" w:rsidTr="002D72FB">
        <w:trPr>
          <w:trHeight w:val="432"/>
        </w:trPr>
        <w:tc>
          <w:tcPr>
            <w:tcW w:w="3795" w:type="dxa"/>
            <w:tcBorders>
              <w:left w:val="nil"/>
            </w:tcBorders>
            <w:shd w:val="clear" w:color="auto" w:fill="auto"/>
            <w:noWrap/>
            <w:vAlign w:val="center"/>
            <w:hideMark/>
          </w:tcPr>
          <w:p w:rsidR="0072205C" w:rsidRPr="00301516" w:rsidRDefault="0072205C" w:rsidP="002D72FB">
            <w:pPr>
              <w:ind w:left="0" w:firstLine="0"/>
              <w:jc w:val="right"/>
              <w:rPr>
                <w:rFonts w:eastAsia="Times New Roman" w:cs="Times New Roman"/>
                <w:b/>
                <w:bCs/>
                <w:color w:val="000000"/>
                <w:sz w:val="22"/>
              </w:rPr>
            </w:pPr>
            <w:r w:rsidRPr="00301516">
              <w:rPr>
                <w:rFonts w:eastAsia="Times New Roman" w:cs="Times New Roman"/>
                <w:b/>
                <w:bCs/>
                <w:color w:val="000000"/>
                <w:sz w:val="22"/>
              </w:rPr>
              <w:t>Conservative Interest Groups</w:t>
            </w:r>
          </w:p>
        </w:tc>
        <w:tc>
          <w:tcPr>
            <w:tcW w:w="3240" w:type="dxa"/>
            <w:shd w:val="clear" w:color="auto" w:fill="auto"/>
            <w:noWrap/>
            <w:vAlign w:val="center"/>
            <w:hideMark/>
          </w:tcPr>
          <w:p w:rsidR="0072205C" w:rsidRPr="00301516" w:rsidRDefault="0072205C" w:rsidP="002D72FB">
            <w:pPr>
              <w:ind w:left="0" w:firstLine="0"/>
              <w:jc w:val="right"/>
              <w:rPr>
                <w:rFonts w:eastAsia="Times New Roman" w:cs="Times New Roman"/>
                <w:sz w:val="22"/>
              </w:rPr>
            </w:pPr>
            <w:r w:rsidRPr="00301516">
              <w:rPr>
                <w:rFonts w:eastAsia="Times New Roman" w:cs="Times New Roman"/>
                <w:sz w:val="22"/>
              </w:rPr>
              <w:t>3,545 (40.51%)</w:t>
            </w:r>
          </w:p>
        </w:tc>
        <w:tc>
          <w:tcPr>
            <w:tcW w:w="2160" w:type="dxa"/>
            <w:tcBorders>
              <w:right w:val="nil"/>
            </w:tcBorders>
            <w:shd w:val="clear" w:color="auto" w:fill="auto"/>
            <w:noWrap/>
            <w:vAlign w:val="center"/>
            <w:hideMark/>
          </w:tcPr>
          <w:p w:rsidR="0072205C" w:rsidRPr="00301516" w:rsidRDefault="0072205C" w:rsidP="002D72FB">
            <w:pPr>
              <w:ind w:left="0" w:firstLine="0"/>
              <w:jc w:val="center"/>
              <w:rPr>
                <w:rFonts w:eastAsia="Times New Roman" w:cs="Times New Roman"/>
                <w:sz w:val="22"/>
              </w:rPr>
            </w:pPr>
            <w:r w:rsidRPr="00301516">
              <w:rPr>
                <w:rFonts w:eastAsia="Times New Roman" w:cs="Times New Roman"/>
                <w:sz w:val="22"/>
              </w:rPr>
              <w:t>257 (64.74%)</w:t>
            </w:r>
          </w:p>
        </w:tc>
      </w:tr>
      <w:tr w:rsidR="0072205C" w:rsidRPr="00301516" w:rsidTr="002D72FB">
        <w:trPr>
          <w:trHeight w:val="432"/>
        </w:trPr>
        <w:tc>
          <w:tcPr>
            <w:tcW w:w="3795" w:type="dxa"/>
            <w:tcBorders>
              <w:left w:val="nil"/>
            </w:tcBorders>
            <w:shd w:val="clear" w:color="auto" w:fill="auto"/>
            <w:noWrap/>
            <w:vAlign w:val="center"/>
            <w:hideMark/>
          </w:tcPr>
          <w:p w:rsidR="0072205C" w:rsidRPr="00301516" w:rsidRDefault="0072205C" w:rsidP="002D72FB">
            <w:pPr>
              <w:ind w:left="0" w:firstLine="0"/>
              <w:jc w:val="right"/>
              <w:rPr>
                <w:rFonts w:eastAsia="Times New Roman" w:cs="Times New Roman"/>
                <w:b/>
                <w:bCs/>
                <w:color w:val="000000"/>
                <w:sz w:val="22"/>
              </w:rPr>
            </w:pPr>
            <w:r w:rsidRPr="00301516">
              <w:rPr>
                <w:rFonts w:eastAsia="Times New Roman" w:cs="Times New Roman"/>
                <w:b/>
                <w:bCs/>
                <w:color w:val="000000"/>
                <w:sz w:val="22"/>
              </w:rPr>
              <w:t>Unspecifiable Interest Groups</w:t>
            </w:r>
          </w:p>
        </w:tc>
        <w:tc>
          <w:tcPr>
            <w:tcW w:w="3240" w:type="dxa"/>
            <w:shd w:val="clear" w:color="auto" w:fill="auto"/>
            <w:noWrap/>
            <w:vAlign w:val="center"/>
            <w:hideMark/>
          </w:tcPr>
          <w:p w:rsidR="0072205C" w:rsidRPr="00301516" w:rsidRDefault="0072205C" w:rsidP="002D72FB">
            <w:pPr>
              <w:ind w:left="0" w:firstLine="0"/>
              <w:jc w:val="right"/>
              <w:rPr>
                <w:rFonts w:eastAsia="Times New Roman" w:cs="Times New Roman"/>
                <w:sz w:val="22"/>
              </w:rPr>
            </w:pPr>
            <w:r w:rsidRPr="00301516">
              <w:rPr>
                <w:rFonts w:eastAsia="Times New Roman" w:cs="Times New Roman"/>
                <w:sz w:val="22"/>
              </w:rPr>
              <w:t>623 (7.12%)</w:t>
            </w:r>
          </w:p>
        </w:tc>
        <w:tc>
          <w:tcPr>
            <w:tcW w:w="2160" w:type="dxa"/>
            <w:tcBorders>
              <w:right w:val="nil"/>
            </w:tcBorders>
            <w:shd w:val="clear" w:color="auto" w:fill="auto"/>
            <w:noWrap/>
            <w:vAlign w:val="center"/>
            <w:hideMark/>
          </w:tcPr>
          <w:p w:rsidR="0072205C" w:rsidRPr="00301516" w:rsidRDefault="0072205C" w:rsidP="002D72FB">
            <w:pPr>
              <w:ind w:left="0" w:firstLine="0"/>
              <w:jc w:val="center"/>
              <w:rPr>
                <w:rFonts w:eastAsia="Times New Roman" w:cs="Times New Roman"/>
                <w:sz w:val="22"/>
              </w:rPr>
            </w:pPr>
          </w:p>
        </w:tc>
      </w:tr>
      <w:tr w:rsidR="0072205C" w:rsidRPr="00301516" w:rsidTr="002D72FB">
        <w:trPr>
          <w:trHeight w:val="432"/>
        </w:trPr>
        <w:tc>
          <w:tcPr>
            <w:tcW w:w="3795" w:type="dxa"/>
            <w:tcBorders>
              <w:left w:val="nil"/>
            </w:tcBorders>
            <w:shd w:val="clear" w:color="auto" w:fill="auto"/>
            <w:noWrap/>
            <w:vAlign w:val="center"/>
            <w:hideMark/>
          </w:tcPr>
          <w:p w:rsidR="0072205C" w:rsidRPr="00301516" w:rsidRDefault="0072205C" w:rsidP="002D72FB">
            <w:pPr>
              <w:ind w:left="0" w:firstLine="0"/>
              <w:rPr>
                <w:rFonts w:eastAsia="Times New Roman" w:cs="Times New Roman"/>
                <w:b/>
                <w:bCs/>
                <w:color w:val="000000"/>
                <w:sz w:val="22"/>
              </w:rPr>
            </w:pPr>
            <w:r w:rsidRPr="00301516">
              <w:rPr>
                <w:rFonts w:eastAsia="Times New Roman" w:cs="Times New Roman"/>
                <w:b/>
                <w:bCs/>
                <w:color w:val="000000"/>
                <w:sz w:val="22"/>
              </w:rPr>
              <w:t>Governments</w:t>
            </w:r>
          </w:p>
        </w:tc>
        <w:tc>
          <w:tcPr>
            <w:tcW w:w="3240" w:type="dxa"/>
            <w:shd w:val="clear" w:color="auto" w:fill="auto"/>
            <w:noWrap/>
            <w:vAlign w:val="center"/>
            <w:hideMark/>
          </w:tcPr>
          <w:p w:rsidR="0072205C" w:rsidRPr="00301516" w:rsidRDefault="0072205C" w:rsidP="002D72FB">
            <w:pPr>
              <w:ind w:left="0" w:firstLine="0"/>
              <w:rPr>
                <w:rFonts w:eastAsia="Times New Roman" w:cs="Times New Roman"/>
                <w:sz w:val="22"/>
              </w:rPr>
            </w:pPr>
            <w:r w:rsidRPr="00301516">
              <w:rPr>
                <w:rFonts w:eastAsia="Times New Roman" w:cs="Times New Roman"/>
                <w:sz w:val="22"/>
              </w:rPr>
              <w:t>4,148 (16.95%)</w:t>
            </w:r>
          </w:p>
        </w:tc>
        <w:tc>
          <w:tcPr>
            <w:tcW w:w="2160" w:type="dxa"/>
            <w:tcBorders>
              <w:right w:val="nil"/>
            </w:tcBorders>
            <w:shd w:val="clear" w:color="auto" w:fill="auto"/>
            <w:noWrap/>
            <w:vAlign w:val="center"/>
            <w:hideMark/>
          </w:tcPr>
          <w:p w:rsidR="0072205C" w:rsidRPr="00301516" w:rsidRDefault="0072205C" w:rsidP="002D72FB">
            <w:pPr>
              <w:ind w:left="0" w:firstLine="0"/>
              <w:jc w:val="center"/>
              <w:rPr>
                <w:rFonts w:eastAsia="Times New Roman" w:cs="Times New Roman"/>
                <w:sz w:val="22"/>
              </w:rPr>
            </w:pPr>
            <w:r w:rsidRPr="00301516">
              <w:rPr>
                <w:rFonts w:eastAsia="Times New Roman" w:cs="Times New Roman"/>
                <w:sz w:val="22"/>
              </w:rPr>
              <w:t>251 (63.22%)</w:t>
            </w:r>
          </w:p>
        </w:tc>
      </w:tr>
      <w:tr w:rsidR="0072205C" w:rsidRPr="00301516" w:rsidTr="002D72FB">
        <w:trPr>
          <w:trHeight w:val="432"/>
        </w:trPr>
        <w:tc>
          <w:tcPr>
            <w:tcW w:w="3795" w:type="dxa"/>
            <w:tcBorders>
              <w:left w:val="nil"/>
            </w:tcBorders>
            <w:shd w:val="clear" w:color="auto" w:fill="auto"/>
            <w:noWrap/>
            <w:vAlign w:val="center"/>
            <w:hideMark/>
          </w:tcPr>
          <w:p w:rsidR="0072205C" w:rsidRPr="00301516" w:rsidRDefault="0072205C" w:rsidP="002D72FB">
            <w:pPr>
              <w:ind w:left="0" w:firstLine="0"/>
              <w:jc w:val="right"/>
              <w:rPr>
                <w:rFonts w:eastAsia="Times New Roman" w:cs="Times New Roman"/>
                <w:b/>
                <w:bCs/>
                <w:color w:val="000000"/>
                <w:sz w:val="22"/>
              </w:rPr>
            </w:pPr>
            <w:r w:rsidRPr="00301516">
              <w:rPr>
                <w:rFonts w:eastAsia="Times New Roman" w:cs="Times New Roman"/>
                <w:b/>
                <w:bCs/>
                <w:color w:val="000000"/>
                <w:sz w:val="22"/>
              </w:rPr>
              <w:t>Liberal Governments</w:t>
            </w:r>
          </w:p>
        </w:tc>
        <w:tc>
          <w:tcPr>
            <w:tcW w:w="3240" w:type="dxa"/>
            <w:shd w:val="clear" w:color="auto" w:fill="auto"/>
            <w:noWrap/>
            <w:vAlign w:val="center"/>
            <w:hideMark/>
          </w:tcPr>
          <w:p w:rsidR="0072205C" w:rsidRPr="00301516" w:rsidRDefault="0072205C" w:rsidP="002D72FB">
            <w:pPr>
              <w:ind w:left="0" w:firstLine="0"/>
              <w:jc w:val="right"/>
              <w:rPr>
                <w:rFonts w:eastAsia="Times New Roman" w:cs="Times New Roman"/>
                <w:sz w:val="22"/>
              </w:rPr>
            </w:pPr>
            <w:r w:rsidRPr="00301516">
              <w:rPr>
                <w:rFonts w:eastAsia="Times New Roman" w:cs="Times New Roman"/>
                <w:sz w:val="22"/>
              </w:rPr>
              <w:t>997 (24.04%)</w:t>
            </w:r>
          </w:p>
        </w:tc>
        <w:tc>
          <w:tcPr>
            <w:tcW w:w="2160" w:type="dxa"/>
            <w:tcBorders>
              <w:right w:val="nil"/>
            </w:tcBorders>
            <w:shd w:val="clear" w:color="auto" w:fill="auto"/>
            <w:noWrap/>
            <w:vAlign w:val="center"/>
            <w:hideMark/>
          </w:tcPr>
          <w:p w:rsidR="0072205C" w:rsidRPr="00301516" w:rsidRDefault="0072205C" w:rsidP="002D72FB">
            <w:pPr>
              <w:ind w:left="0" w:firstLine="0"/>
              <w:jc w:val="center"/>
              <w:rPr>
                <w:rFonts w:eastAsia="Times New Roman" w:cs="Times New Roman"/>
                <w:sz w:val="22"/>
              </w:rPr>
            </w:pPr>
            <w:r w:rsidRPr="00301516">
              <w:rPr>
                <w:rFonts w:eastAsia="Times New Roman" w:cs="Times New Roman"/>
                <w:sz w:val="22"/>
              </w:rPr>
              <w:t>84 (21.16%)</w:t>
            </w:r>
          </w:p>
        </w:tc>
      </w:tr>
      <w:tr w:rsidR="0072205C" w:rsidRPr="00301516" w:rsidTr="002D72FB">
        <w:trPr>
          <w:trHeight w:val="432"/>
        </w:trPr>
        <w:tc>
          <w:tcPr>
            <w:tcW w:w="3795" w:type="dxa"/>
            <w:tcBorders>
              <w:left w:val="nil"/>
            </w:tcBorders>
            <w:shd w:val="clear" w:color="auto" w:fill="auto"/>
            <w:noWrap/>
            <w:vAlign w:val="center"/>
            <w:hideMark/>
          </w:tcPr>
          <w:p w:rsidR="0072205C" w:rsidRPr="00301516" w:rsidRDefault="0072205C" w:rsidP="002D72FB">
            <w:pPr>
              <w:ind w:left="0" w:firstLine="0"/>
              <w:jc w:val="right"/>
              <w:rPr>
                <w:rFonts w:eastAsia="Times New Roman" w:cs="Times New Roman"/>
                <w:b/>
                <w:bCs/>
                <w:color w:val="000000"/>
                <w:sz w:val="22"/>
              </w:rPr>
            </w:pPr>
            <w:r w:rsidRPr="00301516">
              <w:rPr>
                <w:rFonts w:eastAsia="Times New Roman" w:cs="Times New Roman"/>
                <w:b/>
                <w:bCs/>
                <w:color w:val="000000"/>
                <w:sz w:val="22"/>
              </w:rPr>
              <w:t>Conservative Governments</w:t>
            </w:r>
          </w:p>
        </w:tc>
        <w:tc>
          <w:tcPr>
            <w:tcW w:w="3240" w:type="dxa"/>
            <w:shd w:val="clear" w:color="auto" w:fill="auto"/>
            <w:noWrap/>
            <w:vAlign w:val="center"/>
            <w:hideMark/>
          </w:tcPr>
          <w:p w:rsidR="0072205C" w:rsidRPr="00301516" w:rsidRDefault="0072205C" w:rsidP="002D72FB">
            <w:pPr>
              <w:ind w:left="0" w:firstLine="0"/>
              <w:jc w:val="right"/>
              <w:rPr>
                <w:rFonts w:eastAsia="Times New Roman" w:cs="Times New Roman"/>
                <w:sz w:val="22"/>
              </w:rPr>
            </w:pPr>
            <w:r w:rsidRPr="00301516">
              <w:rPr>
                <w:rFonts w:eastAsia="Times New Roman" w:cs="Times New Roman"/>
                <w:sz w:val="22"/>
              </w:rPr>
              <w:t>2,839 (68.44%)</w:t>
            </w:r>
          </w:p>
        </w:tc>
        <w:tc>
          <w:tcPr>
            <w:tcW w:w="2160" w:type="dxa"/>
            <w:tcBorders>
              <w:right w:val="nil"/>
            </w:tcBorders>
            <w:shd w:val="clear" w:color="auto" w:fill="auto"/>
            <w:noWrap/>
            <w:vAlign w:val="center"/>
            <w:hideMark/>
          </w:tcPr>
          <w:p w:rsidR="0072205C" w:rsidRPr="00301516" w:rsidRDefault="0072205C" w:rsidP="002D72FB">
            <w:pPr>
              <w:ind w:left="0" w:firstLine="0"/>
              <w:jc w:val="center"/>
              <w:rPr>
                <w:rFonts w:eastAsia="Times New Roman" w:cs="Times New Roman"/>
                <w:sz w:val="22"/>
              </w:rPr>
            </w:pPr>
            <w:r w:rsidRPr="00301516">
              <w:rPr>
                <w:rFonts w:eastAsia="Times New Roman" w:cs="Times New Roman"/>
                <w:sz w:val="22"/>
              </w:rPr>
              <w:t>157 (39.55%)</w:t>
            </w:r>
          </w:p>
        </w:tc>
      </w:tr>
      <w:tr w:rsidR="0072205C" w:rsidRPr="00301516" w:rsidTr="002D72FB">
        <w:trPr>
          <w:trHeight w:val="432"/>
        </w:trPr>
        <w:tc>
          <w:tcPr>
            <w:tcW w:w="3795" w:type="dxa"/>
            <w:tcBorders>
              <w:left w:val="nil"/>
            </w:tcBorders>
            <w:shd w:val="clear" w:color="auto" w:fill="auto"/>
            <w:noWrap/>
            <w:vAlign w:val="center"/>
            <w:hideMark/>
          </w:tcPr>
          <w:p w:rsidR="0072205C" w:rsidRPr="00301516" w:rsidRDefault="0072205C" w:rsidP="002D72FB">
            <w:pPr>
              <w:ind w:left="0" w:firstLine="0"/>
              <w:jc w:val="right"/>
              <w:rPr>
                <w:rFonts w:eastAsia="Times New Roman" w:cs="Times New Roman"/>
                <w:b/>
                <w:bCs/>
                <w:color w:val="000000"/>
                <w:sz w:val="22"/>
              </w:rPr>
            </w:pPr>
            <w:r w:rsidRPr="00301516">
              <w:rPr>
                <w:rFonts w:eastAsia="Times New Roman" w:cs="Times New Roman"/>
                <w:b/>
                <w:bCs/>
                <w:color w:val="000000"/>
                <w:sz w:val="22"/>
              </w:rPr>
              <w:t>Unspecifiable Governments</w:t>
            </w:r>
          </w:p>
        </w:tc>
        <w:tc>
          <w:tcPr>
            <w:tcW w:w="3240" w:type="dxa"/>
            <w:shd w:val="clear" w:color="auto" w:fill="auto"/>
            <w:noWrap/>
            <w:vAlign w:val="center"/>
            <w:hideMark/>
          </w:tcPr>
          <w:p w:rsidR="0072205C" w:rsidRPr="00301516" w:rsidRDefault="0072205C" w:rsidP="002D72FB">
            <w:pPr>
              <w:ind w:left="0" w:firstLine="0"/>
              <w:jc w:val="right"/>
              <w:rPr>
                <w:rFonts w:eastAsia="Times New Roman" w:cs="Times New Roman"/>
                <w:sz w:val="22"/>
              </w:rPr>
            </w:pPr>
            <w:r w:rsidRPr="00301516">
              <w:rPr>
                <w:rFonts w:eastAsia="Times New Roman" w:cs="Times New Roman"/>
                <w:sz w:val="22"/>
              </w:rPr>
              <w:t>312 (7.52%)</w:t>
            </w:r>
          </w:p>
        </w:tc>
        <w:tc>
          <w:tcPr>
            <w:tcW w:w="2160" w:type="dxa"/>
            <w:tcBorders>
              <w:right w:val="nil"/>
            </w:tcBorders>
            <w:shd w:val="clear" w:color="auto" w:fill="auto"/>
            <w:noWrap/>
            <w:vAlign w:val="center"/>
            <w:hideMark/>
          </w:tcPr>
          <w:p w:rsidR="0072205C" w:rsidRPr="00301516" w:rsidRDefault="0072205C" w:rsidP="002D72FB">
            <w:pPr>
              <w:ind w:left="0" w:firstLine="0"/>
              <w:jc w:val="center"/>
              <w:rPr>
                <w:rFonts w:eastAsia="Times New Roman" w:cs="Times New Roman"/>
                <w:sz w:val="22"/>
              </w:rPr>
            </w:pPr>
            <w:r w:rsidRPr="00301516">
              <w:rPr>
                <w:rFonts w:eastAsia="Times New Roman" w:cs="Times New Roman"/>
                <w:sz w:val="22"/>
              </w:rPr>
              <w:t>25 (6.30%)</w:t>
            </w:r>
          </w:p>
        </w:tc>
      </w:tr>
      <w:tr w:rsidR="0072205C" w:rsidRPr="00301516" w:rsidTr="002D72FB">
        <w:trPr>
          <w:trHeight w:val="432"/>
        </w:trPr>
        <w:tc>
          <w:tcPr>
            <w:tcW w:w="3795" w:type="dxa"/>
            <w:tcBorders>
              <w:left w:val="nil"/>
            </w:tcBorders>
            <w:shd w:val="clear" w:color="auto" w:fill="auto"/>
            <w:noWrap/>
            <w:vAlign w:val="center"/>
            <w:hideMark/>
          </w:tcPr>
          <w:p w:rsidR="0072205C" w:rsidRPr="00301516" w:rsidRDefault="0072205C" w:rsidP="002D72FB">
            <w:pPr>
              <w:ind w:left="0" w:firstLine="0"/>
              <w:rPr>
                <w:rFonts w:eastAsia="Times New Roman" w:cs="Times New Roman"/>
                <w:b/>
                <w:bCs/>
                <w:color w:val="000000"/>
                <w:sz w:val="22"/>
              </w:rPr>
            </w:pPr>
            <w:r w:rsidRPr="00301516">
              <w:rPr>
                <w:rFonts w:eastAsia="Times New Roman" w:cs="Times New Roman"/>
                <w:b/>
                <w:bCs/>
                <w:color w:val="000000"/>
                <w:sz w:val="22"/>
              </w:rPr>
              <w:t>Individuals</w:t>
            </w:r>
          </w:p>
        </w:tc>
        <w:tc>
          <w:tcPr>
            <w:tcW w:w="3240" w:type="dxa"/>
            <w:shd w:val="clear" w:color="auto" w:fill="auto"/>
            <w:noWrap/>
            <w:vAlign w:val="center"/>
            <w:hideMark/>
          </w:tcPr>
          <w:p w:rsidR="0072205C" w:rsidRPr="00301516" w:rsidRDefault="0072205C" w:rsidP="002D72FB">
            <w:pPr>
              <w:ind w:left="0" w:firstLine="0"/>
              <w:rPr>
                <w:rFonts w:eastAsia="Times New Roman" w:cs="Times New Roman"/>
                <w:sz w:val="22"/>
              </w:rPr>
            </w:pPr>
            <w:r w:rsidRPr="00301516">
              <w:rPr>
                <w:rFonts w:eastAsia="Times New Roman" w:cs="Times New Roman"/>
                <w:sz w:val="22"/>
              </w:rPr>
              <w:t>11,578 (47.30% )</w:t>
            </w:r>
          </w:p>
        </w:tc>
        <w:tc>
          <w:tcPr>
            <w:tcW w:w="2160" w:type="dxa"/>
            <w:tcBorders>
              <w:right w:val="nil"/>
            </w:tcBorders>
            <w:shd w:val="clear" w:color="auto" w:fill="auto"/>
            <w:noWrap/>
            <w:vAlign w:val="center"/>
            <w:hideMark/>
          </w:tcPr>
          <w:p w:rsidR="0072205C" w:rsidRPr="00301516" w:rsidRDefault="0072205C" w:rsidP="002D72FB">
            <w:pPr>
              <w:ind w:left="0" w:firstLine="0"/>
              <w:jc w:val="center"/>
              <w:rPr>
                <w:rFonts w:eastAsia="Times New Roman" w:cs="Times New Roman"/>
                <w:sz w:val="22"/>
              </w:rPr>
            </w:pPr>
            <w:r w:rsidRPr="00301516">
              <w:rPr>
                <w:rFonts w:eastAsia="Times New Roman" w:cs="Times New Roman"/>
                <w:sz w:val="22"/>
              </w:rPr>
              <w:t>227 (57.18%)</w:t>
            </w:r>
          </w:p>
        </w:tc>
      </w:tr>
      <w:tr w:rsidR="0072205C" w:rsidRPr="00301516" w:rsidTr="002D72FB">
        <w:trPr>
          <w:trHeight w:val="432"/>
        </w:trPr>
        <w:tc>
          <w:tcPr>
            <w:tcW w:w="3795" w:type="dxa"/>
            <w:tcBorders>
              <w:left w:val="nil"/>
            </w:tcBorders>
            <w:shd w:val="clear" w:color="auto" w:fill="auto"/>
            <w:noWrap/>
            <w:vAlign w:val="center"/>
            <w:hideMark/>
          </w:tcPr>
          <w:p w:rsidR="0072205C" w:rsidRPr="00301516" w:rsidRDefault="0072205C" w:rsidP="002D72FB">
            <w:pPr>
              <w:ind w:left="0" w:firstLine="0"/>
              <w:jc w:val="right"/>
              <w:rPr>
                <w:rFonts w:eastAsia="Times New Roman" w:cs="Times New Roman"/>
                <w:b/>
                <w:bCs/>
                <w:color w:val="000000"/>
                <w:sz w:val="22"/>
              </w:rPr>
            </w:pPr>
            <w:r w:rsidRPr="00301516">
              <w:rPr>
                <w:rFonts w:eastAsia="Times New Roman" w:cs="Times New Roman"/>
                <w:b/>
                <w:bCs/>
                <w:color w:val="000000"/>
                <w:sz w:val="22"/>
              </w:rPr>
              <w:t>Liberal Individuals</w:t>
            </w:r>
          </w:p>
        </w:tc>
        <w:tc>
          <w:tcPr>
            <w:tcW w:w="3240" w:type="dxa"/>
            <w:shd w:val="clear" w:color="auto" w:fill="auto"/>
            <w:noWrap/>
            <w:vAlign w:val="center"/>
            <w:hideMark/>
          </w:tcPr>
          <w:p w:rsidR="0072205C" w:rsidRPr="00301516" w:rsidRDefault="0072205C" w:rsidP="002D72FB">
            <w:pPr>
              <w:ind w:left="0" w:firstLine="0"/>
              <w:jc w:val="right"/>
              <w:rPr>
                <w:rFonts w:eastAsia="Times New Roman" w:cs="Times New Roman"/>
                <w:sz w:val="22"/>
              </w:rPr>
            </w:pPr>
            <w:r w:rsidRPr="00301516">
              <w:rPr>
                <w:rFonts w:eastAsia="Times New Roman" w:cs="Times New Roman"/>
                <w:sz w:val="22"/>
              </w:rPr>
              <w:t>6,682 (57.73%)</w:t>
            </w:r>
          </w:p>
        </w:tc>
        <w:tc>
          <w:tcPr>
            <w:tcW w:w="2160" w:type="dxa"/>
            <w:tcBorders>
              <w:right w:val="nil"/>
            </w:tcBorders>
            <w:shd w:val="clear" w:color="auto" w:fill="auto"/>
            <w:noWrap/>
            <w:vAlign w:val="center"/>
            <w:hideMark/>
          </w:tcPr>
          <w:p w:rsidR="0072205C" w:rsidRPr="00301516" w:rsidRDefault="0072205C" w:rsidP="002D72FB">
            <w:pPr>
              <w:ind w:left="0" w:firstLine="0"/>
              <w:jc w:val="center"/>
              <w:rPr>
                <w:rFonts w:eastAsia="Times New Roman" w:cs="Times New Roman"/>
                <w:sz w:val="22"/>
              </w:rPr>
            </w:pPr>
            <w:r w:rsidRPr="00301516">
              <w:rPr>
                <w:rFonts w:eastAsia="Times New Roman" w:cs="Times New Roman"/>
                <w:sz w:val="22"/>
              </w:rPr>
              <w:t>161 (40.55%)</w:t>
            </w:r>
          </w:p>
        </w:tc>
      </w:tr>
      <w:tr w:rsidR="0072205C" w:rsidRPr="00301516" w:rsidTr="002D72FB">
        <w:trPr>
          <w:trHeight w:val="432"/>
        </w:trPr>
        <w:tc>
          <w:tcPr>
            <w:tcW w:w="3795" w:type="dxa"/>
            <w:tcBorders>
              <w:left w:val="nil"/>
            </w:tcBorders>
            <w:shd w:val="clear" w:color="auto" w:fill="auto"/>
            <w:noWrap/>
            <w:vAlign w:val="center"/>
            <w:hideMark/>
          </w:tcPr>
          <w:p w:rsidR="0072205C" w:rsidRPr="00301516" w:rsidRDefault="0072205C" w:rsidP="002D72FB">
            <w:pPr>
              <w:ind w:left="0" w:firstLine="0"/>
              <w:jc w:val="right"/>
              <w:rPr>
                <w:rFonts w:eastAsia="Times New Roman" w:cs="Times New Roman"/>
                <w:b/>
                <w:bCs/>
                <w:color w:val="000000"/>
                <w:sz w:val="22"/>
              </w:rPr>
            </w:pPr>
            <w:r w:rsidRPr="00301516">
              <w:rPr>
                <w:rFonts w:eastAsia="Times New Roman" w:cs="Times New Roman"/>
                <w:b/>
                <w:bCs/>
                <w:color w:val="000000"/>
                <w:sz w:val="22"/>
              </w:rPr>
              <w:t>Conservative Individuals</w:t>
            </w:r>
          </w:p>
        </w:tc>
        <w:tc>
          <w:tcPr>
            <w:tcW w:w="3240" w:type="dxa"/>
            <w:shd w:val="clear" w:color="auto" w:fill="auto"/>
            <w:noWrap/>
            <w:vAlign w:val="center"/>
            <w:hideMark/>
          </w:tcPr>
          <w:p w:rsidR="0072205C" w:rsidRPr="00301516" w:rsidRDefault="0072205C" w:rsidP="002D72FB">
            <w:pPr>
              <w:ind w:left="0" w:firstLine="0"/>
              <w:jc w:val="right"/>
              <w:rPr>
                <w:rFonts w:eastAsia="Times New Roman" w:cs="Times New Roman"/>
                <w:sz w:val="22"/>
              </w:rPr>
            </w:pPr>
            <w:r w:rsidRPr="00301516">
              <w:rPr>
                <w:rFonts w:eastAsia="Times New Roman" w:cs="Times New Roman"/>
                <w:sz w:val="22"/>
              </w:rPr>
              <w:t>4,459 (38.51%)</w:t>
            </w:r>
          </w:p>
        </w:tc>
        <w:tc>
          <w:tcPr>
            <w:tcW w:w="2160" w:type="dxa"/>
            <w:tcBorders>
              <w:right w:val="nil"/>
            </w:tcBorders>
            <w:shd w:val="clear" w:color="auto" w:fill="auto"/>
            <w:noWrap/>
            <w:vAlign w:val="center"/>
            <w:hideMark/>
          </w:tcPr>
          <w:p w:rsidR="0072205C" w:rsidRPr="00301516" w:rsidRDefault="0072205C" w:rsidP="002D72FB">
            <w:pPr>
              <w:ind w:left="0" w:firstLine="0"/>
              <w:jc w:val="center"/>
              <w:rPr>
                <w:rFonts w:eastAsia="Times New Roman" w:cs="Times New Roman"/>
                <w:sz w:val="22"/>
              </w:rPr>
            </w:pPr>
            <w:r w:rsidRPr="00301516">
              <w:rPr>
                <w:rFonts w:eastAsia="Times New Roman" w:cs="Times New Roman"/>
                <w:sz w:val="22"/>
              </w:rPr>
              <w:t>106 (26.70%)</w:t>
            </w:r>
          </w:p>
        </w:tc>
      </w:tr>
      <w:tr w:rsidR="0072205C" w:rsidRPr="00301516" w:rsidTr="002D72FB">
        <w:trPr>
          <w:trHeight w:val="432"/>
        </w:trPr>
        <w:tc>
          <w:tcPr>
            <w:tcW w:w="3795" w:type="dxa"/>
            <w:tcBorders>
              <w:left w:val="nil"/>
            </w:tcBorders>
            <w:shd w:val="clear" w:color="auto" w:fill="auto"/>
            <w:noWrap/>
            <w:vAlign w:val="center"/>
            <w:hideMark/>
          </w:tcPr>
          <w:p w:rsidR="0072205C" w:rsidRPr="00301516" w:rsidRDefault="0072205C" w:rsidP="002D72FB">
            <w:pPr>
              <w:ind w:left="0" w:firstLine="0"/>
              <w:jc w:val="right"/>
              <w:rPr>
                <w:rFonts w:eastAsia="Times New Roman" w:cs="Times New Roman"/>
                <w:b/>
                <w:bCs/>
                <w:color w:val="000000"/>
                <w:sz w:val="22"/>
              </w:rPr>
            </w:pPr>
            <w:r w:rsidRPr="00301516">
              <w:rPr>
                <w:rFonts w:eastAsia="Times New Roman" w:cs="Times New Roman"/>
                <w:b/>
                <w:bCs/>
                <w:color w:val="000000"/>
                <w:sz w:val="22"/>
              </w:rPr>
              <w:t>Unspecifiable Individuals</w:t>
            </w:r>
          </w:p>
        </w:tc>
        <w:tc>
          <w:tcPr>
            <w:tcW w:w="3240" w:type="dxa"/>
            <w:shd w:val="clear" w:color="auto" w:fill="auto"/>
            <w:noWrap/>
            <w:vAlign w:val="center"/>
            <w:hideMark/>
          </w:tcPr>
          <w:p w:rsidR="0072205C" w:rsidRPr="00301516" w:rsidRDefault="0072205C" w:rsidP="002D72FB">
            <w:pPr>
              <w:ind w:left="0" w:firstLine="0"/>
              <w:jc w:val="right"/>
              <w:rPr>
                <w:rFonts w:eastAsia="Times New Roman" w:cs="Times New Roman"/>
                <w:sz w:val="22"/>
              </w:rPr>
            </w:pPr>
            <w:r w:rsidRPr="00301516">
              <w:rPr>
                <w:rFonts w:eastAsia="Times New Roman" w:cs="Times New Roman"/>
                <w:sz w:val="22"/>
              </w:rPr>
              <w:t>437 (1.79%)</w:t>
            </w:r>
          </w:p>
        </w:tc>
        <w:tc>
          <w:tcPr>
            <w:tcW w:w="2160" w:type="dxa"/>
            <w:tcBorders>
              <w:right w:val="nil"/>
            </w:tcBorders>
            <w:shd w:val="clear" w:color="auto" w:fill="auto"/>
            <w:noWrap/>
            <w:vAlign w:val="center"/>
            <w:hideMark/>
          </w:tcPr>
          <w:p w:rsidR="0072205C" w:rsidRPr="00301516" w:rsidRDefault="0072205C" w:rsidP="002D72FB">
            <w:pPr>
              <w:ind w:left="0" w:firstLine="0"/>
              <w:jc w:val="center"/>
              <w:rPr>
                <w:rFonts w:eastAsia="Times New Roman" w:cs="Times New Roman"/>
                <w:sz w:val="22"/>
              </w:rPr>
            </w:pPr>
            <w:r w:rsidRPr="00301516">
              <w:rPr>
                <w:rFonts w:eastAsia="Times New Roman" w:cs="Times New Roman"/>
                <w:sz w:val="22"/>
              </w:rPr>
              <w:t>29 (7.30%)</w:t>
            </w:r>
          </w:p>
        </w:tc>
      </w:tr>
      <w:tr w:rsidR="0072205C" w:rsidRPr="00301516" w:rsidTr="002D72FB">
        <w:trPr>
          <w:trHeight w:val="432"/>
        </w:trPr>
        <w:tc>
          <w:tcPr>
            <w:tcW w:w="3795" w:type="dxa"/>
            <w:tcBorders>
              <w:left w:val="nil"/>
              <w:bottom w:val="single" w:sz="18" w:space="0" w:color="auto"/>
            </w:tcBorders>
            <w:shd w:val="clear" w:color="auto" w:fill="auto"/>
            <w:noWrap/>
            <w:vAlign w:val="center"/>
            <w:hideMark/>
          </w:tcPr>
          <w:p w:rsidR="0072205C" w:rsidRPr="00301516" w:rsidRDefault="0072205C" w:rsidP="002D72FB">
            <w:pPr>
              <w:ind w:left="0" w:firstLine="0"/>
              <w:rPr>
                <w:rFonts w:eastAsia="Times New Roman" w:cs="Times New Roman"/>
                <w:b/>
                <w:bCs/>
                <w:color w:val="000000"/>
                <w:sz w:val="22"/>
              </w:rPr>
            </w:pPr>
            <w:r w:rsidRPr="00301516">
              <w:rPr>
                <w:rFonts w:eastAsia="Times New Roman" w:cs="Times New Roman"/>
                <w:b/>
                <w:bCs/>
                <w:color w:val="000000"/>
                <w:sz w:val="22"/>
              </w:rPr>
              <w:t>Totals</w:t>
            </w:r>
          </w:p>
        </w:tc>
        <w:tc>
          <w:tcPr>
            <w:tcW w:w="3240" w:type="dxa"/>
            <w:tcBorders>
              <w:bottom w:val="single" w:sz="18" w:space="0" w:color="auto"/>
            </w:tcBorders>
            <w:shd w:val="clear" w:color="auto" w:fill="auto"/>
            <w:noWrap/>
            <w:vAlign w:val="center"/>
            <w:hideMark/>
          </w:tcPr>
          <w:p w:rsidR="0072205C" w:rsidRPr="00301516" w:rsidRDefault="0072205C" w:rsidP="002D72FB">
            <w:pPr>
              <w:ind w:left="0" w:firstLine="0"/>
              <w:rPr>
                <w:rFonts w:eastAsia="Times New Roman" w:cs="Times New Roman"/>
                <w:sz w:val="22"/>
              </w:rPr>
            </w:pPr>
            <w:r w:rsidRPr="00301516">
              <w:rPr>
                <w:rFonts w:eastAsia="Times New Roman" w:cs="Times New Roman"/>
                <w:sz w:val="22"/>
              </w:rPr>
              <w:t>24,476 (100%)</w:t>
            </w:r>
          </w:p>
        </w:tc>
        <w:tc>
          <w:tcPr>
            <w:tcW w:w="2160" w:type="dxa"/>
            <w:tcBorders>
              <w:bottom w:val="single" w:sz="18" w:space="0" w:color="auto"/>
              <w:right w:val="nil"/>
            </w:tcBorders>
            <w:shd w:val="clear" w:color="auto" w:fill="auto"/>
            <w:noWrap/>
            <w:vAlign w:val="center"/>
            <w:hideMark/>
          </w:tcPr>
          <w:p w:rsidR="0072205C" w:rsidRPr="00301516" w:rsidRDefault="0072205C" w:rsidP="002D72FB">
            <w:pPr>
              <w:ind w:left="0" w:firstLine="0"/>
              <w:jc w:val="center"/>
              <w:rPr>
                <w:rFonts w:eastAsia="Times New Roman" w:cs="Times New Roman"/>
                <w:sz w:val="22"/>
              </w:rPr>
            </w:pPr>
            <w:r w:rsidRPr="00301516">
              <w:rPr>
                <w:rFonts w:eastAsia="Times New Roman" w:cs="Times New Roman"/>
                <w:sz w:val="22"/>
              </w:rPr>
              <w:t>383 (96.47%)</w:t>
            </w:r>
          </w:p>
        </w:tc>
      </w:tr>
    </w:tbl>
    <w:p w:rsidR="0072205C" w:rsidRDefault="0072205C" w:rsidP="0072205C">
      <w:pPr>
        <w:ind w:left="0" w:firstLine="0"/>
        <w:rPr>
          <w:szCs w:val="24"/>
        </w:rPr>
      </w:pPr>
      <w:r>
        <w:rPr>
          <w:b/>
          <w:szCs w:val="24"/>
        </w:rPr>
        <w:t xml:space="preserve">* </w:t>
      </w:r>
      <w:r w:rsidRPr="009E718A">
        <w:rPr>
          <w:szCs w:val="24"/>
        </w:rPr>
        <w:t>Numbers</w:t>
      </w:r>
      <w:r>
        <w:rPr>
          <w:szCs w:val="24"/>
        </w:rPr>
        <w:t xml:space="preserve"> in parentheses in the “Number of Amici” column reflect percentage of total amici each category or subcategory represents.</w:t>
      </w:r>
    </w:p>
    <w:p w:rsidR="0072205C" w:rsidRDefault="0072205C" w:rsidP="0072205C">
      <w:pPr>
        <w:ind w:left="0" w:firstLine="0"/>
        <w:rPr>
          <w:szCs w:val="24"/>
        </w:rPr>
      </w:pPr>
      <w:r>
        <w:rPr>
          <w:szCs w:val="24"/>
        </w:rPr>
        <w:t>**Numbers in parentheses in the “Number of Cases” column reflect percentage of total cases in which each category or subcategory participated.</w:t>
      </w:r>
    </w:p>
    <w:p w:rsidR="0072205C" w:rsidRDefault="0072205C" w:rsidP="0072205C">
      <w:pPr>
        <w:spacing w:line="480" w:lineRule="auto"/>
        <w:ind w:left="0" w:firstLine="0"/>
        <w:rPr>
          <w:szCs w:val="24"/>
        </w:rPr>
      </w:pPr>
    </w:p>
    <w:p w:rsidR="00D70B2D" w:rsidRDefault="006C428C" w:rsidP="00520B48">
      <w:pPr>
        <w:spacing w:line="480" w:lineRule="auto"/>
        <w:ind w:left="0" w:firstLine="720"/>
        <w:rPr>
          <w:rFonts w:eastAsia="Times New Roman" w:cs="Times New Roman"/>
          <w:szCs w:val="24"/>
        </w:rPr>
      </w:pPr>
      <w:r>
        <w:rPr>
          <w:szCs w:val="24"/>
        </w:rPr>
        <w:t xml:space="preserve">Looking once again at Column 2 of Table 4.5, one can see the percentages of each amicus category that are liberal, conservative, or unspecifiable in terms of the ideological positions advanced by the amici.  </w:t>
      </w:r>
      <w:r w:rsidR="007C7BD8">
        <w:rPr>
          <w:szCs w:val="24"/>
        </w:rPr>
        <w:t xml:space="preserve">A total of </w:t>
      </w:r>
      <w:r>
        <w:rPr>
          <w:szCs w:val="24"/>
        </w:rPr>
        <w:t>4,582 interest group amici (</w:t>
      </w:r>
      <w:r w:rsidR="00D70B2D">
        <w:rPr>
          <w:szCs w:val="24"/>
        </w:rPr>
        <w:t>52.37 percent</w:t>
      </w:r>
      <w:r>
        <w:rPr>
          <w:szCs w:val="24"/>
        </w:rPr>
        <w:t>) advocated a liberal position, compared to</w:t>
      </w:r>
      <w:r w:rsidRPr="00D70B2D">
        <w:rPr>
          <w:szCs w:val="24"/>
        </w:rPr>
        <w:t xml:space="preserve"> </w:t>
      </w:r>
      <w:r w:rsidRPr="00D70B2D">
        <w:rPr>
          <w:rFonts w:eastAsia="Times New Roman" w:cs="Times New Roman"/>
          <w:szCs w:val="24"/>
        </w:rPr>
        <w:t>3,545</w:t>
      </w:r>
      <w:r w:rsidR="00D70B2D">
        <w:rPr>
          <w:rFonts w:eastAsia="Times New Roman" w:cs="Times New Roman"/>
          <w:szCs w:val="24"/>
        </w:rPr>
        <w:t xml:space="preserve"> interest group amici (40.51 percent</w:t>
      </w:r>
      <w:r w:rsidRPr="00D70B2D">
        <w:rPr>
          <w:rFonts w:eastAsia="Times New Roman" w:cs="Times New Roman"/>
          <w:szCs w:val="24"/>
        </w:rPr>
        <w:t>)</w:t>
      </w:r>
      <w:r w:rsidR="00D70B2D">
        <w:rPr>
          <w:rFonts w:eastAsia="Times New Roman" w:cs="Times New Roman"/>
          <w:szCs w:val="24"/>
        </w:rPr>
        <w:t>, who advocated a conservative position.  The ratio of liberal interest group amici to co</w:t>
      </w:r>
      <w:r w:rsidR="009666CB">
        <w:rPr>
          <w:rFonts w:eastAsia="Times New Roman" w:cs="Times New Roman"/>
          <w:szCs w:val="24"/>
        </w:rPr>
        <w:t xml:space="preserve">nservative ones is 1.29 to 1.  </w:t>
      </w:r>
      <w:r w:rsidR="00D70B2D">
        <w:rPr>
          <w:rFonts w:eastAsia="Times New Roman" w:cs="Times New Roman"/>
          <w:szCs w:val="24"/>
        </w:rPr>
        <w:t xml:space="preserve">Liberal amici individuals also possess an advantage over their conservative counterparts. </w:t>
      </w:r>
      <w:r w:rsidR="00D70B2D">
        <w:rPr>
          <w:szCs w:val="24"/>
        </w:rPr>
        <w:t xml:space="preserve">6,682 </w:t>
      </w:r>
      <w:r w:rsidR="00D70B2D">
        <w:rPr>
          <w:szCs w:val="24"/>
        </w:rPr>
        <w:lastRenderedPageBreak/>
        <w:t>individual amici (57.73 percent) advocated a liberal position, compared to</w:t>
      </w:r>
      <w:r w:rsidR="00D70B2D" w:rsidRPr="00D70B2D">
        <w:rPr>
          <w:szCs w:val="24"/>
        </w:rPr>
        <w:t xml:space="preserve"> </w:t>
      </w:r>
      <w:r w:rsidR="009666CB">
        <w:rPr>
          <w:rFonts w:eastAsia="Times New Roman" w:cs="Times New Roman"/>
          <w:szCs w:val="24"/>
        </w:rPr>
        <w:t>4,459</w:t>
      </w:r>
      <w:r w:rsidR="00D70B2D">
        <w:rPr>
          <w:rFonts w:eastAsia="Times New Roman" w:cs="Times New Roman"/>
          <w:szCs w:val="24"/>
        </w:rPr>
        <w:t xml:space="preserve"> </w:t>
      </w:r>
      <w:r w:rsidR="009666CB">
        <w:rPr>
          <w:rFonts w:eastAsia="Times New Roman" w:cs="Times New Roman"/>
          <w:szCs w:val="24"/>
        </w:rPr>
        <w:t xml:space="preserve">individual </w:t>
      </w:r>
      <w:r w:rsidR="00D70B2D">
        <w:rPr>
          <w:rFonts w:eastAsia="Times New Roman" w:cs="Times New Roman"/>
          <w:szCs w:val="24"/>
        </w:rPr>
        <w:t>amici</w:t>
      </w:r>
      <w:r w:rsidR="009666CB">
        <w:rPr>
          <w:rFonts w:eastAsia="Times New Roman" w:cs="Times New Roman"/>
          <w:szCs w:val="24"/>
        </w:rPr>
        <w:t xml:space="preserve"> (38.51 percent</w:t>
      </w:r>
      <w:r w:rsidR="00D70B2D" w:rsidRPr="00D70B2D">
        <w:rPr>
          <w:rFonts w:eastAsia="Times New Roman" w:cs="Times New Roman"/>
          <w:szCs w:val="24"/>
        </w:rPr>
        <w:t>)</w:t>
      </w:r>
      <w:r w:rsidR="00D70B2D">
        <w:rPr>
          <w:rFonts w:eastAsia="Times New Roman" w:cs="Times New Roman"/>
          <w:szCs w:val="24"/>
        </w:rPr>
        <w:t>, who advocated a conservative position.  The ratio of liberal interest group am</w:t>
      </w:r>
      <w:r w:rsidR="009666CB">
        <w:rPr>
          <w:rFonts w:eastAsia="Times New Roman" w:cs="Times New Roman"/>
          <w:szCs w:val="24"/>
        </w:rPr>
        <w:t>ici to conservative ones is 1.50</w:t>
      </w:r>
      <w:r w:rsidR="00D70B2D">
        <w:rPr>
          <w:rFonts w:eastAsia="Times New Roman" w:cs="Times New Roman"/>
          <w:szCs w:val="24"/>
        </w:rPr>
        <w:t xml:space="preserve"> to 1.   </w:t>
      </w:r>
      <w:r w:rsidR="009666CB">
        <w:rPr>
          <w:rFonts w:eastAsia="Times New Roman" w:cs="Times New Roman"/>
          <w:szCs w:val="24"/>
        </w:rPr>
        <w:t xml:space="preserve">These numbers indicated that liberal interest groups and liberal individuals more often participate as amici at the Roberts Court than do conservative ones.  </w:t>
      </w:r>
      <w:r w:rsidR="00D70B2D">
        <w:rPr>
          <w:rFonts w:eastAsia="Times New Roman" w:cs="Times New Roman"/>
          <w:szCs w:val="24"/>
        </w:rPr>
        <w:t xml:space="preserve">  </w:t>
      </w:r>
    </w:p>
    <w:p w:rsidR="00520B48" w:rsidRDefault="00D70B2D" w:rsidP="00520B48">
      <w:pPr>
        <w:spacing w:line="480" w:lineRule="auto"/>
        <w:ind w:left="0" w:firstLine="720"/>
        <w:rPr>
          <w:rFonts w:eastAsia="Times New Roman" w:cs="Times New Roman"/>
          <w:szCs w:val="24"/>
        </w:rPr>
      </w:pPr>
      <w:r>
        <w:rPr>
          <w:rFonts w:eastAsia="Times New Roman" w:cs="Times New Roman"/>
          <w:szCs w:val="24"/>
        </w:rPr>
        <w:t xml:space="preserve">However, governmental amici participation tells a different story.  </w:t>
      </w:r>
      <w:proofErr w:type="gramStart"/>
      <w:r>
        <w:rPr>
          <w:rFonts w:eastAsia="Times New Roman" w:cs="Times New Roman"/>
          <w:szCs w:val="24"/>
        </w:rPr>
        <w:t xml:space="preserve">Conservative governmental amici account for </w:t>
      </w:r>
      <w:r w:rsidR="005607AC">
        <w:rPr>
          <w:rFonts w:eastAsia="Times New Roman" w:cs="Times New Roman"/>
          <w:szCs w:val="24"/>
        </w:rPr>
        <w:t xml:space="preserve">over 68 </w:t>
      </w:r>
      <w:r>
        <w:rPr>
          <w:rFonts w:eastAsia="Times New Roman" w:cs="Times New Roman"/>
          <w:szCs w:val="24"/>
        </w:rPr>
        <w:t>percent of gove</w:t>
      </w:r>
      <w:r w:rsidR="005607AC">
        <w:rPr>
          <w:rFonts w:eastAsia="Times New Roman" w:cs="Times New Roman"/>
          <w:szCs w:val="24"/>
        </w:rPr>
        <w:t>rnmental amici, while only 24</w:t>
      </w:r>
      <w:r>
        <w:rPr>
          <w:rFonts w:eastAsia="Times New Roman" w:cs="Times New Roman"/>
          <w:szCs w:val="24"/>
        </w:rPr>
        <w:t xml:space="preserve"> percent of governments advocate a liberal position.</w:t>
      </w:r>
      <w:proofErr w:type="gramEnd"/>
      <w:r>
        <w:rPr>
          <w:rFonts w:eastAsia="Times New Roman" w:cs="Times New Roman"/>
          <w:szCs w:val="24"/>
        </w:rPr>
        <w:t xml:space="preserve">  The ratio of conservative governmental amici to liberal ones is 2.85 to 1.  Obviously, government amici are much more likely to advance a conservative position than a liberal one.  This finding can be explained, in part, by the fact that the SCDB typically characterizes a pro-government decision as a conservative outcome.</w:t>
      </w:r>
    </w:p>
    <w:p w:rsidR="00E956E9" w:rsidRDefault="00E956E9" w:rsidP="00520B48">
      <w:pPr>
        <w:spacing w:line="480" w:lineRule="auto"/>
        <w:ind w:left="0" w:firstLine="720"/>
        <w:rPr>
          <w:rFonts w:eastAsia="Times New Roman" w:cs="Times New Roman"/>
          <w:szCs w:val="24"/>
        </w:rPr>
      </w:pPr>
      <w:r>
        <w:rPr>
          <w:rFonts w:eastAsia="Times New Roman" w:cs="Times New Roman"/>
          <w:szCs w:val="24"/>
        </w:rPr>
        <w:t>Colu</w:t>
      </w:r>
      <w:r w:rsidR="00F56A55">
        <w:rPr>
          <w:rFonts w:eastAsia="Times New Roman" w:cs="Times New Roman"/>
          <w:szCs w:val="24"/>
        </w:rPr>
        <w:t>mn 3</w:t>
      </w:r>
      <w:r>
        <w:rPr>
          <w:rFonts w:eastAsia="Times New Roman" w:cs="Times New Roman"/>
          <w:szCs w:val="24"/>
        </w:rPr>
        <w:t xml:space="preserve"> of Table 4.5 indicates the number of cases in which at least one member of the amicus category appeared on an amicus brief.</w:t>
      </w:r>
      <w:r w:rsidR="00660FC6">
        <w:rPr>
          <w:rFonts w:eastAsia="Times New Roman" w:cs="Times New Roman"/>
          <w:szCs w:val="24"/>
        </w:rPr>
        <w:t xml:space="preserve">  This information shows </w:t>
      </w:r>
      <w:r>
        <w:rPr>
          <w:rFonts w:eastAsia="Times New Roman" w:cs="Times New Roman"/>
          <w:szCs w:val="24"/>
        </w:rPr>
        <w:t>how often each amicus category (or subcategory) participates in cases before the Roberts Court.</w:t>
      </w:r>
      <w:r w:rsidR="00660FC6">
        <w:rPr>
          <w:rFonts w:eastAsia="Times New Roman" w:cs="Times New Roman"/>
          <w:szCs w:val="24"/>
        </w:rPr>
        <w:t xml:space="preserve">  Take note that the numbers in parentheses do not total 100 percent because different types of amici often appear in th</w:t>
      </w:r>
      <w:r w:rsidR="00F56A55">
        <w:rPr>
          <w:rFonts w:eastAsia="Times New Roman" w:cs="Times New Roman"/>
          <w:szCs w:val="24"/>
        </w:rPr>
        <w:t>e same case.  Examining Column 3</w:t>
      </w:r>
      <w:r w:rsidR="00660FC6">
        <w:rPr>
          <w:rFonts w:eastAsia="Times New Roman" w:cs="Times New Roman"/>
          <w:szCs w:val="24"/>
        </w:rPr>
        <w:t>, one observes that interest groups participate in a higher percentage of cases (93 percent) than either individuals (57 percent) or governments (63 percent).  Therefore, while individual amici appear more often in total numbers at the Roberts Court than the other amici categories, they appear in the fewest cases.  This finding</w:t>
      </w:r>
      <w:r w:rsidR="00C645ED">
        <w:rPr>
          <w:rFonts w:eastAsia="Times New Roman" w:cs="Times New Roman"/>
          <w:szCs w:val="24"/>
        </w:rPr>
        <w:t xml:space="preserve"> indicates that individual amici concentrate their participation in fewer cases than governments or interest groups, and that they are more likely to collaborate together on amicus briefs than governments or interest groups.  In fact, in those 227 cases in which at least one individual amici appears, an average of 51 individuals appear per case.  By comparison, in the 370 cases in which at least one </w:t>
      </w:r>
      <w:r w:rsidR="00C645ED">
        <w:rPr>
          <w:rFonts w:eastAsia="Times New Roman" w:cs="Times New Roman"/>
          <w:szCs w:val="24"/>
        </w:rPr>
        <w:lastRenderedPageBreak/>
        <w:t xml:space="preserve">interest group appears, an average of 23.65 interest groups appear per case.  And, in the 251 cases in which at least one government amici participates, an average of 16.53 governments participate per case.  </w:t>
      </w:r>
    </w:p>
    <w:p w:rsidR="009A6C5F" w:rsidRDefault="009A6C5F" w:rsidP="00520B48">
      <w:pPr>
        <w:spacing w:line="480" w:lineRule="auto"/>
        <w:ind w:left="0" w:firstLine="720"/>
        <w:rPr>
          <w:rFonts w:eastAsia="Times New Roman" w:cs="Times New Roman"/>
          <w:szCs w:val="24"/>
        </w:rPr>
      </w:pPr>
      <w:r>
        <w:rPr>
          <w:rFonts w:eastAsia="Times New Roman" w:cs="Times New Roman"/>
          <w:szCs w:val="24"/>
        </w:rPr>
        <w:t>Looking at the participation of the amicus subcategories i</w:t>
      </w:r>
      <w:r w:rsidR="00F56A55">
        <w:rPr>
          <w:rFonts w:eastAsia="Times New Roman" w:cs="Times New Roman"/>
          <w:szCs w:val="24"/>
        </w:rPr>
        <w:t>n cases as reflected in Column 3</w:t>
      </w:r>
      <w:r>
        <w:rPr>
          <w:rFonts w:eastAsia="Times New Roman" w:cs="Times New Roman"/>
          <w:szCs w:val="24"/>
        </w:rPr>
        <w:t xml:space="preserve"> of Table 4.5, one finds that liberal interest groups participate in a higher percentage of cases as amici (80.35 percent) than do conservative interest groups (64.74 percent).  But one also finds that, in the cases in which they participate, both liberal and conservative interest groups average about 14 amici per case.</w:t>
      </w:r>
      <w:r w:rsidR="001F010B">
        <w:rPr>
          <w:rFonts w:eastAsia="Times New Roman" w:cs="Times New Roman"/>
          <w:szCs w:val="24"/>
        </w:rPr>
        <w:t xml:space="preserve">   These findings simply provide further confirmation that liberal interest groups are more frequent participants at the Roberts Court than conservative groups.  </w:t>
      </w:r>
      <w:r w:rsidR="00E91F9D">
        <w:rPr>
          <w:rFonts w:eastAsia="Times New Roman" w:cs="Times New Roman"/>
          <w:szCs w:val="24"/>
        </w:rPr>
        <w:t xml:space="preserve">On the other hand, for </w:t>
      </w:r>
      <w:r w:rsidR="001F010B">
        <w:rPr>
          <w:rFonts w:eastAsia="Times New Roman" w:cs="Times New Roman"/>
          <w:szCs w:val="24"/>
        </w:rPr>
        <w:t>government amici, those that advocate a conservative position appear in a higher percentage of cases (39.6 percent) than do those that advance a liberal position (21.2 percent).   In the cases in which they participate, liberal government amici average almost 12 amici per case.  In contrast, in cases in which at least on</w:t>
      </w:r>
      <w:r w:rsidR="00E91F9D">
        <w:rPr>
          <w:rFonts w:eastAsia="Times New Roman" w:cs="Times New Roman"/>
          <w:szCs w:val="24"/>
        </w:rPr>
        <w:t>e</w:t>
      </w:r>
      <w:r w:rsidR="001F010B">
        <w:rPr>
          <w:rFonts w:eastAsia="Times New Roman" w:cs="Times New Roman"/>
          <w:szCs w:val="24"/>
        </w:rPr>
        <w:t xml:space="preserve"> conservative government amici particip</w:t>
      </w:r>
      <w:r w:rsidR="00E91F9D">
        <w:rPr>
          <w:rFonts w:eastAsia="Times New Roman" w:cs="Times New Roman"/>
          <w:szCs w:val="24"/>
        </w:rPr>
        <w:t>ates, an average of just over 18</w:t>
      </w:r>
      <w:r w:rsidR="001F010B">
        <w:rPr>
          <w:rFonts w:eastAsia="Times New Roman" w:cs="Times New Roman"/>
          <w:szCs w:val="24"/>
        </w:rPr>
        <w:t xml:space="preserve"> conservative government amici appear. </w:t>
      </w:r>
      <w:r w:rsidR="00B761F2">
        <w:rPr>
          <w:rFonts w:eastAsia="Times New Roman" w:cs="Times New Roman"/>
          <w:szCs w:val="24"/>
        </w:rPr>
        <w:t xml:space="preserve"> Lastly, liberal individual amici appear in a higher percentage of cases (40.6 percent) than do conservative individual amici (26.7 percent).  However, both liberal and conservative individual amici average about the same amount of participants per case</w:t>
      </w:r>
      <w:r w:rsidR="00E91F9D">
        <w:rPr>
          <w:rFonts w:eastAsia="Times New Roman" w:cs="Times New Roman"/>
          <w:szCs w:val="24"/>
        </w:rPr>
        <w:t xml:space="preserve"> (42) in which they appear</w:t>
      </w:r>
      <w:r w:rsidR="00B761F2">
        <w:rPr>
          <w:rFonts w:eastAsia="Times New Roman" w:cs="Times New Roman"/>
          <w:szCs w:val="24"/>
        </w:rPr>
        <w:t xml:space="preserve">.   In short, these findings demonstrate that liberal interest group amici and liberal individual amici have an advantage over their ideological counterparts at the Roberts Court, but that conservative government amici have the advantage over liberal ones. </w:t>
      </w:r>
    </w:p>
    <w:p w:rsidR="00BA4819" w:rsidRDefault="00BF4A67" w:rsidP="00BA4819">
      <w:pPr>
        <w:spacing w:line="480" w:lineRule="auto"/>
        <w:ind w:left="0" w:firstLine="720"/>
        <w:rPr>
          <w:szCs w:val="24"/>
        </w:rPr>
      </w:pPr>
      <w:r>
        <w:rPr>
          <w:szCs w:val="24"/>
        </w:rPr>
        <w:t>Table 4.6 provides a more in-depth</w:t>
      </w:r>
      <w:r w:rsidR="00257BC8">
        <w:rPr>
          <w:szCs w:val="24"/>
        </w:rPr>
        <w:t xml:space="preserve"> examination</w:t>
      </w:r>
      <w:r>
        <w:rPr>
          <w:szCs w:val="24"/>
        </w:rPr>
        <w:t xml:space="preserve"> of amicus curiae participation by governments at the Roberts Court.</w:t>
      </w:r>
      <w:r w:rsidR="005607AC">
        <w:rPr>
          <w:szCs w:val="24"/>
        </w:rPr>
        <w:t xml:space="preserve">  Column 2 reports the number and percentage of total amici that each government amici category and subcategory represents.  As is plain, state governments </w:t>
      </w:r>
    </w:p>
    <w:p w:rsidR="00BA4819" w:rsidRPr="003326D6" w:rsidRDefault="00BA4819" w:rsidP="00BA4819">
      <w:pPr>
        <w:spacing w:line="480" w:lineRule="auto"/>
        <w:ind w:left="0" w:firstLine="0"/>
        <w:rPr>
          <w:b/>
          <w:szCs w:val="24"/>
        </w:rPr>
      </w:pPr>
      <w:proofErr w:type="gramStart"/>
      <w:r>
        <w:rPr>
          <w:b/>
          <w:szCs w:val="24"/>
        </w:rPr>
        <w:lastRenderedPageBreak/>
        <w:t>Table 4.6</w:t>
      </w:r>
      <w:r w:rsidRPr="00D65124">
        <w:rPr>
          <w:b/>
          <w:szCs w:val="24"/>
        </w:rPr>
        <w:t>.</w:t>
      </w:r>
      <w:proofErr w:type="gramEnd"/>
      <w:r w:rsidRPr="00D65124">
        <w:rPr>
          <w:b/>
          <w:szCs w:val="24"/>
        </w:rPr>
        <w:t xml:space="preserve">  </w:t>
      </w:r>
      <w:r>
        <w:rPr>
          <w:b/>
          <w:szCs w:val="24"/>
        </w:rPr>
        <w:t>Amicus Curiae Participation by Governments, 2007-2011 Terms</w:t>
      </w:r>
    </w:p>
    <w:tbl>
      <w:tblPr>
        <w:tblW w:w="0" w:type="auto"/>
        <w:tblInd w:w="93" w:type="dxa"/>
        <w:tblLayout w:type="fixed"/>
        <w:tblLook w:val="04A0" w:firstRow="1" w:lastRow="0" w:firstColumn="1" w:lastColumn="0" w:noHBand="0" w:noVBand="1"/>
      </w:tblPr>
      <w:tblGrid>
        <w:gridCol w:w="4065"/>
        <w:gridCol w:w="2520"/>
        <w:gridCol w:w="1980"/>
      </w:tblGrid>
      <w:tr w:rsidR="00BA4819" w:rsidRPr="00A10863" w:rsidTr="002D72FB">
        <w:trPr>
          <w:trHeight w:val="432"/>
        </w:trPr>
        <w:tc>
          <w:tcPr>
            <w:tcW w:w="4065" w:type="dxa"/>
            <w:tcBorders>
              <w:top w:val="single" w:sz="18" w:space="0" w:color="auto"/>
              <w:left w:val="nil"/>
              <w:bottom w:val="single" w:sz="18" w:space="0" w:color="auto"/>
              <w:right w:val="nil"/>
            </w:tcBorders>
            <w:shd w:val="clear" w:color="auto" w:fill="auto"/>
            <w:noWrap/>
            <w:vAlign w:val="bottom"/>
            <w:hideMark/>
          </w:tcPr>
          <w:p w:rsidR="00BA4819" w:rsidRPr="00A10863" w:rsidRDefault="00BA4819" w:rsidP="002D72FB">
            <w:pPr>
              <w:ind w:left="0" w:firstLine="0"/>
              <w:rPr>
                <w:rFonts w:eastAsia="Times New Roman" w:cs="Times New Roman"/>
                <w:b/>
                <w:bCs/>
                <w:color w:val="000000"/>
                <w:sz w:val="22"/>
              </w:rPr>
            </w:pPr>
          </w:p>
        </w:tc>
        <w:tc>
          <w:tcPr>
            <w:tcW w:w="2520" w:type="dxa"/>
            <w:tcBorders>
              <w:top w:val="single" w:sz="18" w:space="0" w:color="auto"/>
              <w:left w:val="nil"/>
              <w:bottom w:val="single" w:sz="18" w:space="0" w:color="auto"/>
              <w:right w:val="nil"/>
            </w:tcBorders>
            <w:shd w:val="clear" w:color="auto" w:fill="auto"/>
            <w:noWrap/>
            <w:vAlign w:val="bottom"/>
            <w:hideMark/>
          </w:tcPr>
          <w:p w:rsidR="00BA4819" w:rsidRPr="0025798B" w:rsidRDefault="00BA4819" w:rsidP="002D72FB">
            <w:pPr>
              <w:ind w:left="0" w:firstLine="0"/>
              <w:rPr>
                <w:rFonts w:eastAsia="Times New Roman" w:cs="Times New Roman"/>
                <w:bCs/>
                <w:color w:val="000000"/>
                <w:sz w:val="22"/>
              </w:rPr>
            </w:pPr>
            <w:r w:rsidRPr="0025798B">
              <w:rPr>
                <w:rFonts w:eastAsia="Times New Roman" w:cs="Times New Roman"/>
                <w:bCs/>
                <w:color w:val="000000"/>
                <w:sz w:val="22"/>
              </w:rPr>
              <w:t xml:space="preserve">Number of Amici </w:t>
            </w:r>
          </w:p>
        </w:tc>
        <w:tc>
          <w:tcPr>
            <w:tcW w:w="1980" w:type="dxa"/>
            <w:tcBorders>
              <w:top w:val="single" w:sz="18" w:space="0" w:color="auto"/>
              <w:left w:val="nil"/>
              <w:bottom w:val="single" w:sz="18" w:space="0" w:color="auto"/>
              <w:right w:val="nil"/>
            </w:tcBorders>
            <w:shd w:val="clear" w:color="auto" w:fill="auto"/>
            <w:noWrap/>
            <w:vAlign w:val="bottom"/>
            <w:hideMark/>
          </w:tcPr>
          <w:p w:rsidR="00BA4819" w:rsidRPr="0025798B" w:rsidRDefault="00BA4819" w:rsidP="002D72FB">
            <w:pPr>
              <w:ind w:left="0" w:firstLine="0"/>
              <w:rPr>
                <w:rFonts w:eastAsia="Times New Roman" w:cs="Times New Roman"/>
                <w:bCs/>
                <w:color w:val="000000"/>
                <w:sz w:val="22"/>
              </w:rPr>
            </w:pPr>
            <w:r w:rsidRPr="0025798B">
              <w:rPr>
                <w:rFonts w:eastAsia="Times New Roman" w:cs="Times New Roman"/>
                <w:bCs/>
                <w:color w:val="000000"/>
                <w:sz w:val="22"/>
              </w:rPr>
              <w:t>Number of Cases</w:t>
            </w:r>
          </w:p>
        </w:tc>
      </w:tr>
      <w:tr w:rsidR="00BA4819" w:rsidRPr="00A10863" w:rsidTr="002D72FB">
        <w:trPr>
          <w:trHeight w:val="432"/>
        </w:trPr>
        <w:tc>
          <w:tcPr>
            <w:tcW w:w="4065" w:type="dxa"/>
            <w:tcBorders>
              <w:top w:val="single" w:sz="18" w:space="0" w:color="auto"/>
              <w:left w:val="nil"/>
              <w:bottom w:val="nil"/>
              <w:right w:val="nil"/>
            </w:tcBorders>
            <w:shd w:val="clear" w:color="auto" w:fill="auto"/>
            <w:noWrap/>
            <w:vAlign w:val="center"/>
            <w:hideMark/>
          </w:tcPr>
          <w:p w:rsidR="00BA4819" w:rsidRPr="00A10863" w:rsidRDefault="00BA4819" w:rsidP="002D72FB">
            <w:pPr>
              <w:ind w:left="0" w:firstLine="0"/>
              <w:rPr>
                <w:rFonts w:eastAsia="Times New Roman" w:cs="Times New Roman"/>
                <w:b/>
                <w:bCs/>
                <w:color w:val="000000"/>
                <w:sz w:val="22"/>
              </w:rPr>
            </w:pPr>
            <w:r w:rsidRPr="00A10863">
              <w:rPr>
                <w:rFonts w:eastAsia="Times New Roman" w:cs="Times New Roman"/>
                <w:b/>
                <w:bCs/>
                <w:color w:val="000000"/>
                <w:sz w:val="22"/>
              </w:rPr>
              <w:t>Solicitor General</w:t>
            </w:r>
          </w:p>
        </w:tc>
        <w:tc>
          <w:tcPr>
            <w:tcW w:w="2520" w:type="dxa"/>
            <w:tcBorders>
              <w:top w:val="single" w:sz="18" w:space="0" w:color="auto"/>
              <w:left w:val="nil"/>
              <w:bottom w:val="nil"/>
              <w:right w:val="nil"/>
            </w:tcBorders>
            <w:shd w:val="clear" w:color="auto" w:fill="auto"/>
            <w:noWrap/>
            <w:vAlign w:val="center"/>
            <w:hideMark/>
          </w:tcPr>
          <w:p w:rsidR="00BA4819" w:rsidRPr="00A10863" w:rsidRDefault="00BA4819" w:rsidP="002D72FB">
            <w:pPr>
              <w:ind w:left="0" w:firstLine="0"/>
              <w:rPr>
                <w:rFonts w:eastAsia="Times New Roman" w:cs="Times New Roman"/>
                <w:sz w:val="22"/>
              </w:rPr>
            </w:pPr>
            <w:r w:rsidRPr="00A10863">
              <w:rPr>
                <w:rFonts w:eastAsia="Times New Roman" w:cs="Times New Roman"/>
                <w:sz w:val="22"/>
              </w:rPr>
              <w:t>163 (3.93%)</w:t>
            </w:r>
          </w:p>
        </w:tc>
        <w:tc>
          <w:tcPr>
            <w:tcW w:w="1980" w:type="dxa"/>
            <w:tcBorders>
              <w:top w:val="single" w:sz="18" w:space="0" w:color="auto"/>
              <w:left w:val="nil"/>
              <w:bottom w:val="nil"/>
              <w:right w:val="nil"/>
            </w:tcBorders>
            <w:shd w:val="clear" w:color="auto" w:fill="auto"/>
            <w:noWrap/>
            <w:vAlign w:val="center"/>
            <w:hideMark/>
          </w:tcPr>
          <w:p w:rsidR="00BA4819" w:rsidRPr="00A10863" w:rsidRDefault="00BA4819" w:rsidP="002D72FB">
            <w:pPr>
              <w:ind w:left="0" w:firstLine="0"/>
              <w:jc w:val="center"/>
              <w:rPr>
                <w:rFonts w:eastAsia="Times New Roman" w:cs="Times New Roman"/>
                <w:sz w:val="22"/>
              </w:rPr>
            </w:pPr>
            <w:r>
              <w:rPr>
                <w:rFonts w:eastAsia="Times New Roman" w:cs="Times New Roman"/>
                <w:sz w:val="22"/>
              </w:rPr>
              <w:t>163 (41.06</w:t>
            </w:r>
            <w:r w:rsidRPr="00A10863">
              <w:rPr>
                <w:rFonts w:eastAsia="Times New Roman" w:cs="Times New Roman"/>
                <w:sz w:val="22"/>
              </w:rPr>
              <w:t>%)</w:t>
            </w:r>
          </w:p>
        </w:tc>
      </w:tr>
      <w:tr w:rsidR="00BA4819" w:rsidRPr="00A10863" w:rsidTr="002D72FB">
        <w:trPr>
          <w:trHeight w:val="432"/>
        </w:trPr>
        <w:tc>
          <w:tcPr>
            <w:tcW w:w="4065"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b/>
                <w:bCs/>
                <w:color w:val="000000"/>
                <w:sz w:val="22"/>
              </w:rPr>
            </w:pPr>
            <w:r w:rsidRPr="00A10863">
              <w:rPr>
                <w:rFonts w:eastAsia="Times New Roman" w:cs="Times New Roman"/>
                <w:b/>
                <w:bCs/>
                <w:color w:val="000000"/>
                <w:sz w:val="22"/>
              </w:rPr>
              <w:t>Liberal Solicitor General</w:t>
            </w:r>
          </w:p>
        </w:tc>
        <w:tc>
          <w:tcPr>
            <w:tcW w:w="2520"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sz w:val="22"/>
              </w:rPr>
            </w:pPr>
            <w:r w:rsidRPr="00A10863">
              <w:rPr>
                <w:rFonts w:eastAsia="Times New Roman" w:cs="Times New Roman"/>
                <w:sz w:val="22"/>
              </w:rPr>
              <w:t>69 (42.33%)</w:t>
            </w:r>
          </w:p>
        </w:tc>
        <w:tc>
          <w:tcPr>
            <w:tcW w:w="1980" w:type="dxa"/>
            <w:tcBorders>
              <w:top w:val="nil"/>
              <w:left w:val="nil"/>
              <w:bottom w:val="nil"/>
              <w:right w:val="nil"/>
            </w:tcBorders>
            <w:shd w:val="clear" w:color="auto" w:fill="auto"/>
            <w:noWrap/>
            <w:vAlign w:val="center"/>
            <w:hideMark/>
          </w:tcPr>
          <w:p w:rsidR="00BA4819" w:rsidRPr="00A10863" w:rsidRDefault="00BA4819" w:rsidP="002D72FB">
            <w:pPr>
              <w:ind w:left="0" w:firstLine="0"/>
              <w:jc w:val="center"/>
              <w:rPr>
                <w:rFonts w:eastAsia="Times New Roman" w:cs="Times New Roman"/>
                <w:sz w:val="22"/>
              </w:rPr>
            </w:pPr>
            <w:r w:rsidRPr="00A10863">
              <w:rPr>
                <w:rFonts w:eastAsia="Times New Roman" w:cs="Times New Roman"/>
                <w:sz w:val="22"/>
              </w:rPr>
              <w:t>69 (17.38%)</w:t>
            </w:r>
          </w:p>
        </w:tc>
      </w:tr>
      <w:tr w:rsidR="00BA4819" w:rsidRPr="00A10863" w:rsidTr="002D72FB">
        <w:trPr>
          <w:trHeight w:val="432"/>
        </w:trPr>
        <w:tc>
          <w:tcPr>
            <w:tcW w:w="4065"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b/>
                <w:bCs/>
                <w:color w:val="000000"/>
                <w:sz w:val="22"/>
              </w:rPr>
            </w:pPr>
            <w:r w:rsidRPr="00A10863">
              <w:rPr>
                <w:rFonts w:eastAsia="Times New Roman" w:cs="Times New Roman"/>
                <w:b/>
                <w:bCs/>
                <w:color w:val="000000"/>
                <w:sz w:val="22"/>
              </w:rPr>
              <w:t>Conservative Solicitor General</w:t>
            </w:r>
          </w:p>
        </w:tc>
        <w:tc>
          <w:tcPr>
            <w:tcW w:w="2520"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sz w:val="22"/>
              </w:rPr>
            </w:pPr>
            <w:r w:rsidRPr="00A10863">
              <w:rPr>
                <w:rFonts w:eastAsia="Times New Roman" w:cs="Times New Roman"/>
                <w:sz w:val="22"/>
              </w:rPr>
              <w:t>77 (47.24%)</w:t>
            </w:r>
          </w:p>
        </w:tc>
        <w:tc>
          <w:tcPr>
            <w:tcW w:w="1980" w:type="dxa"/>
            <w:tcBorders>
              <w:top w:val="nil"/>
              <w:left w:val="nil"/>
              <w:bottom w:val="nil"/>
              <w:right w:val="nil"/>
            </w:tcBorders>
            <w:shd w:val="clear" w:color="auto" w:fill="auto"/>
            <w:noWrap/>
            <w:vAlign w:val="center"/>
            <w:hideMark/>
          </w:tcPr>
          <w:p w:rsidR="00BA4819" w:rsidRPr="00A10863" w:rsidRDefault="00BA4819" w:rsidP="002D72FB">
            <w:pPr>
              <w:ind w:left="0" w:firstLine="0"/>
              <w:jc w:val="center"/>
              <w:rPr>
                <w:rFonts w:eastAsia="Times New Roman" w:cs="Times New Roman"/>
                <w:sz w:val="22"/>
              </w:rPr>
            </w:pPr>
            <w:r w:rsidRPr="00A10863">
              <w:rPr>
                <w:rFonts w:eastAsia="Times New Roman" w:cs="Times New Roman"/>
                <w:sz w:val="22"/>
              </w:rPr>
              <w:t>77 (19.40%)</w:t>
            </w:r>
          </w:p>
        </w:tc>
      </w:tr>
      <w:tr w:rsidR="00BA4819" w:rsidRPr="00A10863" w:rsidTr="002D72FB">
        <w:trPr>
          <w:trHeight w:val="432"/>
        </w:trPr>
        <w:tc>
          <w:tcPr>
            <w:tcW w:w="4065"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b/>
                <w:bCs/>
                <w:color w:val="000000"/>
                <w:sz w:val="22"/>
              </w:rPr>
            </w:pPr>
            <w:r w:rsidRPr="00A10863">
              <w:rPr>
                <w:rFonts w:eastAsia="Times New Roman" w:cs="Times New Roman"/>
                <w:b/>
                <w:bCs/>
                <w:color w:val="000000"/>
                <w:sz w:val="22"/>
              </w:rPr>
              <w:t>Unspecifiable Solicitor General</w:t>
            </w:r>
          </w:p>
        </w:tc>
        <w:tc>
          <w:tcPr>
            <w:tcW w:w="2520"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sz w:val="22"/>
              </w:rPr>
            </w:pPr>
            <w:r w:rsidRPr="00A10863">
              <w:rPr>
                <w:rFonts w:eastAsia="Times New Roman" w:cs="Times New Roman"/>
                <w:sz w:val="22"/>
              </w:rPr>
              <w:t>17 (10.43%)</w:t>
            </w:r>
          </w:p>
        </w:tc>
        <w:tc>
          <w:tcPr>
            <w:tcW w:w="1980" w:type="dxa"/>
            <w:tcBorders>
              <w:top w:val="nil"/>
              <w:left w:val="nil"/>
              <w:bottom w:val="nil"/>
              <w:right w:val="nil"/>
            </w:tcBorders>
            <w:shd w:val="clear" w:color="auto" w:fill="auto"/>
            <w:noWrap/>
            <w:vAlign w:val="center"/>
            <w:hideMark/>
          </w:tcPr>
          <w:p w:rsidR="00BA4819" w:rsidRPr="00A10863" w:rsidRDefault="00BA4819" w:rsidP="002D72FB">
            <w:pPr>
              <w:ind w:left="0" w:firstLine="0"/>
              <w:jc w:val="center"/>
              <w:rPr>
                <w:rFonts w:eastAsia="Times New Roman" w:cs="Times New Roman"/>
                <w:sz w:val="22"/>
              </w:rPr>
            </w:pPr>
            <w:r w:rsidRPr="00A10863">
              <w:rPr>
                <w:rFonts w:eastAsia="Times New Roman" w:cs="Times New Roman"/>
                <w:sz w:val="22"/>
              </w:rPr>
              <w:t>17 (4.28%)</w:t>
            </w:r>
          </w:p>
        </w:tc>
      </w:tr>
      <w:tr w:rsidR="00BA4819" w:rsidRPr="00A10863" w:rsidTr="002D72FB">
        <w:trPr>
          <w:trHeight w:val="432"/>
        </w:trPr>
        <w:tc>
          <w:tcPr>
            <w:tcW w:w="4065" w:type="dxa"/>
            <w:tcBorders>
              <w:top w:val="nil"/>
              <w:left w:val="nil"/>
              <w:bottom w:val="nil"/>
              <w:right w:val="nil"/>
            </w:tcBorders>
            <w:shd w:val="clear" w:color="auto" w:fill="auto"/>
            <w:noWrap/>
            <w:vAlign w:val="center"/>
            <w:hideMark/>
          </w:tcPr>
          <w:p w:rsidR="00BA4819" w:rsidRPr="00A10863" w:rsidRDefault="00BA4819" w:rsidP="002D72FB">
            <w:pPr>
              <w:ind w:left="0" w:firstLine="0"/>
              <w:rPr>
                <w:rFonts w:eastAsia="Times New Roman" w:cs="Times New Roman"/>
                <w:b/>
                <w:bCs/>
                <w:color w:val="000000"/>
                <w:sz w:val="22"/>
              </w:rPr>
            </w:pPr>
            <w:r w:rsidRPr="00A10863">
              <w:rPr>
                <w:rFonts w:eastAsia="Times New Roman" w:cs="Times New Roman"/>
                <w:b/>
                <w:bCs/>
                <w:color w:val="000000"/>
                <w:sz w:val="22"/>
              </w:rPr>
              <w:t>State Governments</w:t>
            </w:r>
          </w:p>
        </w:tc>
        <w:tc>
          <w:tcPr>
            <w:tcW w:w="2520" w:type="dxa"/>
            <w:tcBorders>
              <w:top w:val="nil"/>
              <w:left w:val="nil"/>
              <w:bottom w:val="nil"/>
              <w:right w:val="nil"/>
            </w:tcBorders>
            <w:shd w:val="clear" w:color="auto" w:fill="auto"/>
            <w:noWrap/>
            <w:vAlign w:val="center"/>
            <w:hideMark/>
          </w:tcPr>
          <w:p w:rsidR="00BA4819" w:rsidRPr="00A10863" w:rsidRDefault="00BA4819" w:rsidP="002D72FB">
            <w:pPr>
              <w:ind w:left="0" w:firstLine="0"/>
              <w:rPr>
                <w:rFonts w:eastAsia="Times New Roman" w:cs="Times New Roman"/>
                <w:sz w:val="22"/>
              </w:rPr>
            </w:pPr>
            <w:r w:rsidRPr="00A10863">
              <w:rPr>
                <w:rFonts w:eastAsia="Times New Roman" w:cs="Times New Roman"/>
                <w:sz w:val="22"/>
              </w:rPr>
              <w:t>3,746 (90.31%)</w:t>
            </w:r>
          </w:p>
        </w:tc>
        <w:tc>
          <w:tcPr>
            <w:tcW w:w="1980" w:type="dxa"/>
            <w:tcBorders>
              <w:top w:val="nil"/>
              <w:left w:val="nil"/>
              <w:bottom w:val="nil"/>
              <w:right w:val="nil"/>
            </w:tcBorders>
            <w:shd w:val="clear" w:color="auto" w:fill="auto"/>
            <w:noWrap/>
            <w:vAlign w:val="center"/>
            <w:hideMark/>
          </w:tcPr>
          <w:p w:rsidR="00BA4819" w:rsidRPr="00A10863" w:rsidRDefault="00BA4819" w:rsidP="002D72FB">
            <w:pPr>
              <w:ind w:left="0" w:firstLine="0"/>
              <w:jc w:val="center"/>
              <w:rPr>
                <w:rFonts w:eastAsia="Times New Roman" w:cs="Times New Roman"/>
                <w:sz w:val="22"/>
              </w:rPr>
            </w:pPr>
            <w:r w:rsidRPr="00A10863">
              <w:rPr>
                <w:rFonts w:eastAsia="Times New Roman" w:cs="Times New Roman"/>
                <w:sz w:val="22"/>
              </w:rPr>
              <w:t>176 (44.33%)</w:t>
            </w:r>
          </w:p>
        </w:tc>
      </w:tr>
      <w:tr w:rsidR="00BA4819" w:rsidRPr="00A10863" w:rsidTr="002D72FB">
        <w:trPr>
          <w:trHeight w:val="432"/>
        </w:trPr>
        <w:tc>
          <w:tcPr>
            <w:tcW w:w="4065"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b/>
                <w:bCs/>
                <w:color w:val="000000"/>
                <w:sz w:val="22"/>
              </w:rPr>
            </w:pPr>
            <w:r w:rsidRPr="00A10863">
              <w:rPr>
                <w:rFonts w:eastAsia="Times New Roman" w:cs="Times New Roman"/>
                <w:b/>
                <w:bCs/>
                <w:color w:val="000000"/>
                <w:sz w:val="22"/>
              </w:rPr>
              <w:t>Liberal State Governments</w:t>
            </w:r>
          </w:p>
        </w:tc>
        <w:tc>
          <w:tcPr>
            <w:tcW w:w="2520"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sz w:val="22"/>
              </w:rPr>
            </w:pPr>
            <w:r w:rsidRPr="00A10863">
              <w:rPr>
                <w:rFonts w:eastAsia="Times New Roman" w:cs="Times New Roman"/>
                <w:sz w:val="22"/>
              </w:rPr>
              <w:t>798 (21.30%)</w:t>
            </w:r>
          </w:p>
        </w:tc>
        <w:tc>
          <w:tcPr>
            <w:tcW w:w="1980" w:type="dxa"/>
            <w:tcBorders>
              <w:top w:val="nil"/>
              <w:left w:val="nil"/>
              <w:bottom w:val="nil"/>
              <w:right w:val="nil"/>
            </w:tcBorders>
            <w:shd w:val="clear" w:color="auto" w:fill="auto"/>
            <w:noWrap/>
            <w:vAlign w:val="center"/>
            <w:hideMark/>
          </w:tcPr>
          <w:p w:rsidR="00BA4819" w:rsidRPr="00A10863" w:rsidRDefault="00BA4819" w:rsidP="002D72FB">
            <w:pPr>
              <w:ind w:left="0" w:firstLine="0"/>
              <w:jc w:val="center"/>
              <w:rPr>
                <w:rFonts w:eastAsia="Times New Roman" w:cs="Times New Roman"/>
                <w:sz w:val="22"/>
              </w:rPr>
            </w:pPr>
            <w:r w:rsidRPr="00A10863">
              <w:rPr>
                <w:rFonts w:eastAsia="Times New Roman" w:cs="Times New Roman"/>
                <w:sz w:val="22"/>
              </w:rPr>
              <w:t>56 (14.11%)</w:t>
            </w:r>
          </w:p>
        </w:tc>
      </w:tr>
      <w:tr w:rsidR="00BA4819" w:rsidRPr="00A10863" w:rsidTr="002D72FB">
        <w:trPr>
          <w:trHeight w:val="432"/>
        </w:trPr>
        <w:tc>
          <w:tcPr>
            <w:tcW w:w="4065"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b/>
                <w:bCs/>
                <w:color w:val="000000"/>
                <w:sz w:val="22"/>
              </w:rPr>
            </w:pPr>
            <w:r w:rsidRPr="00A10863">
              <w:rPr>
                <w:rFonts w:eastAsia="Times New Roman" w:cs="Times New Roman"/>
                <w:b/>
                <w:bCs/>
                <w:color w:val="000000"/>
                <w:sz w:val="22"/>
              </w:rPr>
              <w:t>Conservative State Governments</w:t>
            </w:r>
          </w:p>
        </w:tc>
        <w:tc>
          <w:tcPr>
            <w:tcW w:w="2520"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sz w:val="22"/>
              </w:rPr>
            </w:pPr>
            <w:r w:rsidRPr="00A10863">
              <w:rPr>
                <w:rFonts w:eastAsia="Times New Roman" w:cs="Times New Roman"/>
                <w:sz w:val="22"/>
              </w:rPr>
              <w:t>2,707 (72.26%)</w:t>
            </w:r>
          </w:p>
        </w:tc>
        <w:tc>
          <w:tcPr>
            <w:tcW w:w="1980" w:type="dxa"/>
            <w:tcBorders>
              <w:top w:val="nil"/>
              <w:left w:val="nil"/>
              <w:bottom w:val="nil"/>
              <w:right w:val="nil"/>
            </w:tcBorders>
            <w:shd w:val="clear" w:color="auto" w:fill="auto"/>
            <w:noWrap/>
            <w:vAlign w:val="center"/>
            <w:hideMark/>
          </w:tcPr>
          <w:p w:rsidR="00BA4819" w:rsidRPr="00A10863" w:rsidRDefault="00BA4819" w:rsidP="002D72FB">
            <w:pPr>
              <w:ind w:left="0" w:firstLine="0"/>
              <w:jc w:val="center"/>
              <w:rPr>
                <w:rFonts w:eastAsia="Times New Roman" w:cs="Times New Roman"/>
                <w:sz w:val="22"/>
              </w:rPr>
            </w:pPr>
            <w:r w:rsidRPr="00A10863">
              <w:rPr>
                <w:rFonts w:eastAsia="Times New Roman" w:cs="Times New Roman"/>
                <w:sz w:val="22"/>
              </w:rPr>
              <w:t>120 (30.23%)</w:t>
            </w:r>
          </w:p>
        </w:tc>
      </w:tr>
      <w:tr w:rsidR="00BA4819" w:rsidRPr="00A10863" w:rsidTr="002D72FB">
        <w:trPr>
          <w:trHeight w:val="432"/>
        </w:trPr>
        <w:tc>
          <w:tcPr>
            <w:tcW w:w="4065"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b/>
                <w:bCs/>
                <w:color w:val="000000"/>
                <w:sz w:val="22"/>
              </w:rPr>
            </w:pPr>
            <w:r w:rsidRPr="00A10863">
              <w:rPr>
                <w:rFonts w:eastAsia="Times New Roman" w:cs="Times New Roman"/>
                <w:b/>
                <w:bCs/>
                <w:color w:val="000000"/>
                <w:sz w:val="22"/>
              </w:rPr>
              <w:t>Unspecifiable State Governments</w:t>
            </w:r>
          </w:p>
        </w:tc>
        <w:tc>
          <w:tcPr>
            <w:tcW w:w="2520"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sz w:val="22"/>
              </w:rPr>
            </w:pPr>
            <w:r w:rsidRPr="00A10863">
              <w:rPr>
                <w:rFonts w:eastAsia="Times New Roman" w:cs="Times New Roman"/>
                <w:sz w:val="22"/>
              </w:rPr>
              <w:t>241 (6.43%)</w:t>
            </w:r>
          </w:p>
        </w:tc>
        <w:tc>
          <w:tcPr>
            <w:tcW w:w="1980" w:type="dxa"/>
            <w:tcBorders>
              <w:top w:val="nil"/>
              <w:left w:val="nil"/>
              <w:bottom w:val="nil"/>
              <w:right w:val="nil"/>
            </w:tcBorders>
            <w:shd w:val="clear" w:color="auto" w:fill="auto"/>
            <w:noWrap/>
            <w:vAlign w:val="center"/>
            <w:hideMark/>
          </w:tcPr>
          <w:p w:rsidR="00BA4819" w:rsidRPr="00A10863" w:rsidRDefault="00BA4819" w:rsidP="002D72FB">
            <w:pPr>
              <w:ind w:left="0" w:firstLine="0"/>
              <w:jc w:val="center"/>
              <w:rPr>
                <w:rFonts w:eastAsia="Times New Roman" w:cs="Times New Roman"/>
                <w:sz w:val="22"/>
              </w:rPr>
            </w:pPr>
            <w:r w:rsidRPr="00A10863">
              <w:rPr>
                <w:rFonts w:eastAsia="Times New Roman" w:cs="Times New Roman"/>
                <w:sz w:val="22"/>
              </w:rPr>
              <w:t>14 (3.53%)</w:t>
            </w:r>
          </w:p>
        </w:tc>
      </w:tr>
      <w:tr w:rsidR="00BA4819" w:rsidRPr="00A10863" w:rsidTr="002D72FB">
        <w:trPr>
          <w:trHeight w:val="432"/>
        </w:trPr>
        <w:tc>
          <w:tcPr>
            <w:tcW w:w="4065" w:type="dxa"/>
            <w:tcBorders>
              <w:top w:val="nil"/>
              <w:left w:val="nil"/>
              <w:bottom w:val="nil"/>
              <w:right w:val="nil"/>
            </w:tcBorders>
            <w:shd w:val="clear" w:color="auto" w:fill="auto"/>
            <w:noWrap/>
            <w:vAlign w:val="center"/>
            <w:hideMark/>
          </w:tcPr>
          <w:p w:rsidR="00BA4819" w:rsidRPr="00A10863" w:rsidRDefault="00BA4819" w:rsidP="002D72FB">
            <w:pPr>
              <w:ind w:left="0" w:firstLine="0"/>
              <w:rPr>
                <w:rFonts w:eastAsia="Times New Roman" w:cs="Times New Roman"/>
                <w:b/>
                <w:bCs/>
                <w:color w:val="000000"/>
                <w:sz w:val="22"/>
              </w:rPr>
            </w:pPr>
            <w:r w:rsidRPr="00A10863">
              <w:rPr>
                <w:rFonts w:eastAsia="Times New Roman" w:cs="Times New Roman"/>
                <w:b/>
                <w:bCs/>
                <w:color w:val="000000"/>
                <w:sz w:val="22"/>
              </w:rPr>
              <w:t>Local Governments</w:t>
            </w:r>
          </w:p>
        </w:tc>
        <w:tc>
          <w:tcPr>
            <w:tcW w:w="2520" w:type="dxa"/>
            <w:tcBorders>
              <w:top w:val="nil"/>
              <w:left w:val="nil"/>
              <w:bottom w:val="nil"/>
              <w:right w:val="nil"/>
            </w:tcBorders>
            <w:shd w:val="clear" w:color="auto" w:fill="auto"/>
            <w:noWrap/>
            <w:vAlign w:val="center"/>
            <w:hideMark/>
          </w:tcPr>
          <w:p w:rsidR="00BA4819" w:rsidRPr="00A10863" w:rsidRDefault="00BA4819" w:rsidP="002D72FB">
            <w:pPr>
              <w:ind w:left="0" w:firstLine="0"/>
              <w:rPr>
                <w:rFonts w:eastAsia="Times New Roman" w:cs="Times New Roman"/>
                <w:sz w:val="22"/>
              </w:rPr>
            </w:pPr>
            <w:r w:rsidRPr="00A10863">
              <w:rPr>
                <w:rFonts w:eastAsia="Times New Roman" w:cs="Times New Roman"/>
                <w:sz w:val="22"/>
              </w:rPr>
              <w:t>202 (4.87%)</w:t>
            </w:r>
          </w:p>
        </w:tc>
        <w:tc>
          <w:tcPr>
            <w:tcW w:w="1980" w:type="dxa"/>
            <w:tcBorders>
              <w:top w:val="nil"/>
              <w:left w:val="nil"/>
              <w:bottom w:val="nil"/>
              <w:right w:val="nil"/>
            </w:tcBorders>
            <w:shd w:val="clear" w:color="auto" w:fill="auto"/>
            <w:noWrap/>
            <w:vAlign w:val="center"/>
            <w:hideMark/>
          </w:tcPr>
          <w:p w:rsidR="00BA4819" w:rsidRPr="00A10863" w:rsidRDefault="00BA4819" w:rsidP="002D72FB">
            <w:pPr>
              <w:ind w:left="0" w:firstLine="0"/>
              <w:jc w:val="center"/>
              <w:rPr>
                <w:rFonts w:eastAsia="Times New Roman" w:cs="Times New Roman"/>
                <w:sz w:val="22"/>
              </w:rPr>
            </w:pPr>
            <w:r w:rsidRPr="00A10863">
              <w:rPr>
                <w:rFonts w:eastAsia="Times New Roman" w:cs="Times New Roman"/>
                <w:sz w:val="22"/>
              </w:rPr>
              <w:t>39 (9.82%)</w:t>
            </w:r>
          </w:p>
        </w:tc>
      </w:tr>
      <w:tr w:rsidR="00BA4819" w:rsidRPr="00A10863" w:rsidTr="002D72FB">
        <w:trPr>
          <w:trHeight w:val="432"/>
        </w:trPr>
        <w:tc>
          <w:tcPr>
            <w:tcW w:w="4065"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b/>
                <w:bCs/>
                <w:color w:val="000000"/>
                <w:sz w:val="22"/>
              </w:rPr>
            </w:pPr>
            <w:r w:rsidRPr="00A10863">
              <w:rPr>
                <w:rFonts w:eastAsia="Times New Roman" w:cs="Times New Roman"/>
                <w:b/>
                <w:bCs/>
                <w:color w:val="000000"/>
                <w:sz w:val="22"/>
              </w:rPr>
              <w:t>Liberal Local Governments</w:t>
            </w:r>
          </w:p>
        </w:tc>
        <w:tc>
          <w:tcPr>
            <w:tcW w:w="2520"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sz w:val="22"/>
              </w:rPr>
            </w:pPr>
            <w:r w:rsidRPr="00A10863">
              <w:rPr>
                <w:rFonts w:eastAsia="Times New Roman" w:cs="Times New Roman"/>
                <w:sz w:val="22"/>
              </w:rPr>
              <w:t>142 (70.30%)</w:t>
            </w:r>
          </w:p>
        </w:tc>
        <w:tc>
          <w:tcPr>
            <w:tcW w:w="1980" w:type="dxa"/>
            <w:tcBorders>
              <w:top w:val="nil"/>
              <w:left w:val="nil"/>
              <w:bottom w:val="nil"/>
              <w:right w:val="nil"/>
            </w:tcBorders>
            <w:shd w:val="clear" w:color="auto" w:fill="auto"/>
            <w:noWrap/>
            <w:vAlign w:val="center"/>
            <w:hideMark/>
          </w:tcPr>
          <w:p w:rsidR="00BA4819" w:rsidRPr="00A10863" w:rsidRDefault="00BA4819" w:rsidP="002D72FB">
            <w:pPr>
              <w:ind w:left="0" w:firstLine="0"/>
              <w:jc w:val="center"/>
              <w:rPr>
                <w:rFonts w:eastAsia="Times New Roman" w:cs="Times New Roman"/>
                <w:sz w:val="22"/>
              </w:rPr>
            </w:pPr>
            <w:r w:rsidRPr="00A10863">
              <w:rPr>
                <w:rFonts w:eastAsia="Times New Roman" w:cs="Times New Roman"/>
                <w:sz w:val="22"/>
              </w:rPr>
              <w:t>19 (4.79%)</w:t>
            </w:r>
          </w:p>
        </w:tc>
      </w:tr>
      <w:tr w:rsidR="00BA4819" w:rsidRPr="00A10863" w:rsidTr="002D72FB">
        <w:trPr>
          <w:trHeight w:val="432"/>
        </w:trPr>
        <w:tc>
          <w:tcPr>
            <w:tcW w:w="4065"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b/>
                <w:bCs/>
                <w:color w:val="000000"/>
                <w:sz w:val="22"/>
              </w:rPr>
            </w:pPr>
            <w:r w:rsidRPr="00A10863">
              <w:rPr>
                <w:rFonts w:eastAsia="Times New Roman" w:cs="Times New Roman"/>
                <w:b/>
                <w:bCs/>
                <w:color w:val="000000"/>
                <w:sz w:val="22"/>
              </w:rPr>
              <w:t>Conservative Local Governments</w:t>
            </w:r>
          </w:p>
        </w:tc>
        <w:tc>
          <w:tcPr>
            <w:tcW w:w="2520"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sz w:val="22"/>
              </w:rPr>
            </w:pPr>
            <w:r w:rsidRPr="00A10863">
              <w:rPr>
                <w:rFonts w:eastAsia="Times New Roman" w:cs="Times New Roman"/>
                <w:sz w:val="22"/>
              </w:rPr>
              <w:t>51 (25.25%)</w:t>
            </w:r>
          </w:p>
        </w:tc>
        <w:tc>
          <w:tcPr>
            <w:tcW w:w="1980" w:type="dxa"/>
            <w:tcBorders>
              <w:top w:val="nil"/>
              <w:left w:val="nil"/>
              <w:bottom w:val="nil"/>
              <w:right w:val="nil"/>
            </w:tcBorders>
            <w:shd w:val="clear" w:color="auto" w:fill="auto"/>
            <w:noWrap/>
            <w:vAlign w:val="center"/>
            <w:hideMark/>
          </w:tcPr>
          <w:p w:rsidR="00BA4819" w:rsidRPr="00A10863" w:rsidRDefault="00BA4819" w:rsidP="002D72FB">
            <w:pPr>
              <w:ind w:left="0" w:firstLine="0"/>
              <w:jc w:val="center"/>
              <w:rPr>
                <w:rFonts w:eastAsia="Times New Roman" w:cs="Times New Roman"/>
                <w:sz w:val="22"/>
              </w:rPr>
            </w:pPr>
            <w:r w:rsidRPr="00A10863">
              <w:rPr>
                <w:rFonts w:eastAsia="Times New Roman" w:cs="Times New Roman"/>
                <w:sz w:val="22"/>
              </w:rPr>
              <w:t>19 (4.79%)</w:t>
            </w:r>
          </w:p>
        </w:tc>
      </w:tr>
      <w:tr w:rsidR="00BA4819" w:rsidRPr="00A10863" w:rsidTr="002D72FB">
        <w:trPr>
          <w:trHeight w:val="432"/>
        </w:trPr>
        <w:tc>
          <w:tcPr>
            <w:tcW w:w="4065"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b/>
                <w:bCs/>
                <w:color w:val="000000"/>
                <w:sz w:val="22"/>
              </w:rPr>
            </w:pPr>
            <w:r w:rsidRPr="00A10863">
              <w:rPr>
                <w:rFonts w:eastAsia="Times New Roman" w:cs="Times New Roman"/>
                <w:b/>
                <w:bCs/>
                <w:color w:val="000000"/>
                <w:sz w:val="22"/>
              </w:rPr>
              <w:t>Unspecifiable Local Governments</w:t>
            </w:r>
          </w:p>
        </w:tc>
        <w:tc>
          <w:tcPr>
            <w:tcW w:w="2520"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sz w:val="22"/>
              </w:rPr>
            </w:pPr>
            <w:r w:rsidRPr="00A10863">
              <w:rPr>
                <w:rFonts w:eastAsia="Times New Roman" w:cs="Times New Roman"/>
                <w:sz w:val="22"/>
              </w:rPr>
              <w:t>9 (4.46%)</w:t>
            </w:r>
          </w:p>
        </w:tc>
        <w:tc>
          <w:tcPr>
            <w:tcW w:w="1980" w:type="dxa"/>
            <w:tcBorders>
              <w:top w:val="nil"/>
              <w:left w:val="nil"/>
              <w:bottom w:val="nil"/>
              <w:right w:val="nil"/>
            </w:tcBorders>
            <w:shd w:val="clear" w:color="auto" w:fill="auto"/>
            <w:noWrap/>
            <w:vAlign w:val="center"/>
            <w:hideMark/>
          </w:tcPr>
          <w:p w:rsidR="00BA4819" w:rsidRPr="00A10863" w:rsidRDefault="00BA4819" w:rsidP="002D72FB">
            <w:pPr>
              <w:ind w:left="0" w:firstLine="0"/>
              <w:jc w:val="center"/>
              <w:rPr>
                <w:rFonts w:eastAsia="Times New Roman" w:cs="Times New Roman"/>
                <w:sz w:val="22"/>
              </w:rPr>
            </w:pPr>
            <w:r w:rsidRPr="00A10863">
              <w:rPr>
                <w:rFonts w:eastAsia="Times New Roman" w:cs="Times New Roman"/>
                <w:sz w:val="22"/>
              </w:rPr>
              <w:t>1 (0.25%)</w:t>
            </w:r>
          </w:p>
        </w:tc>
      </w:tr>
      <w:tr w:rsidR="00BA4819" w:rsidRPr="00A10863" w:rsidTr="002D72FB">
        <w:trPr>
          <w:trHeight w:val="432"/>
        </w:trPr>
        <w:tc>
          <w:tcPr>
            <w:tcW w:w="4065" w:type="dxa"/>
            <w:tcBorders>
              <w:top w:val="nil"/>
              <w:left w:val="nil"/>
              <w:bottom w:val="nil"/>
              <w:right w:val="nil"/>
            </w:tcBorders>
            <w:shd w:val="clear" w:color="auto" w:fill="auto"/>
            <w:noWrap/>
            <w:vAlign w:val="center"/>
            <w:hideMark/>
          </w:tcPr>
          <w:p w:rsidR="00BA4819" w:rsidRPr="00A10863" w:rsidRDefault="00BA4819" w:rsidP="002D72FB">
            <w:pPr>
              <w:ind w:left="0" w:firstLine="0"/>
              <w:rPr>
                <w:rFonts w:eastAsia="Times New Roman" w:cs="Times New Roman"/>
                <w:b/>
                <w:bCs/>
                <w:color w:val="000000"/>
                <w:sz w:val="22"/>
              </w:rPr>
            </w:pPr>
            <w:r w:rsidRPr="00A10863">
              <w:rPr>
                <w:rFonts w:eastAsia="Times New Roman" w:cs="Times New Roman"/>
                <w:b/>
                <w:bCs/>
                <w:color w:val="000000"/>
                <w:sz w:val="22"/>
              </w:rPr>
              <w:t>Foreign Governments</w:t>
            </w:r>
          </w:p>
        </w:tc>
        <w:tc>
          <w:tcPr>
            <w:tcW w:w="2520" w:type="dxa"/>
            <w:tcBorders>
              <w:top w:val="nil"/>
              <w:left w:val="nil"/>
              <w:bottom w:val="nil"/>
              <w:right w:val="nil"/>
            </w:tcBorders>
            <w:shd w:val="clear" w:color="auto" w:fill="auto"/>
            <w:noWrap/>
            <w:vAlign w:val="center"/>
            <w:hideMark/>
          </w:tcPr>
          <w:p w:rsidR="00BA4819" w:rsidRPr="00A10863" w:rsidRDefault="00BA4819" w:rsidP="002D72FB">
            <w:pPr>
              <w:ind w:left="0" w:firstLine="0"/>
              <w:rPr>
                <w:rFonts w:eastAsia="Times New Roman" w:cs="Times New Roman"/>
                <w:sz w:val="22"/>
              </w:rPr>
            </w:pPr>
            <w:r w:rsidRPr="00A10863">
              <w:rPr>
                <w:rFonts w:eastAsia="Times New Roman" w:cs="Times New Roman"/>
                <w:sz w:val="22"/>
              </w:rPr>
              <w:t>38 (0.92%)</w:t>
            </w:r>
          </w:p>
        </w:tc>
        <w:tc>
          <w:tcPr>
            <w:tcW w:w="1980" w:type="dxa"/>
            <w:tcBorders>
              <w:top w:val="nil"/>
              <w:left w:val="nil"/>
              <w:bottom w:val="nil"/>
              <w:right w:val="nil"/>
            </w:tcBorders>
            <w:shd w:val="clear" w:color="auto" w:fill="auto"/>
            <w:noWrap/>
            <w:vAlign w:val="center"/>
            <w:hideMark/>
          </w:tcPr>
          <w:p w:rsidR="00BA4819" w:rsidRPr="00A10863" w:rsidRDefault="00BA4819" w:rsidP="002D72FB">
            <w:pPr>
              <w:ind w:left="0" w:firstLine="0"/>
              <w:jc w:val="center"/>
              <w:rPr>
                <w:rFonts w:eastAsia="Times New Roman" w:cs="Times New Roman"/>
                <w:sz w:val="22"/>
              </w:rPr>
            </w:pPr>
            <w:r w:rsidRPr="00A10863">
              <w:rPr>
                <w:rFonts w:eastAsia="Times New Roman" w:cs="Times New Roman"/>
                <w:sz w:val="22"/>
              </w:rPr>
              <w:t>5 (1.26%)</w:t>
            </w:r>
          </w:p>
        </w:tc>
      </w:tr>
      <w:tr w:rsidR="00BA4819" w:rsidRPr="00A10863" w:rsidTr="002D72FB">
        <w:trPr>
          <w:trHeight w:val="432"/>
        </w:trPr>
        <w:tc>
          <w:tcPr>
            <w:tcW w:w="4065"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b/>
                <w:bCs/>
                <w:color w:val="000000"/>
                <w:sz w:val="22"/>
              </w:rPr>
            </w:pPr>
            <w:r w:rsidRPr="00A10863">
              <w:rPr>
                <w:rFonts w:eastAsia="Times New Roman" w:cs="Times New Roman"/>
                <w:b/>
                <w:bCs/>
                <w:color w:val="000000"/>
                <w:sz w:val="22"/>
              </w:rPr>
              <w:t>Liberal Foreign Governments</w:t>
            </w:r>
          </w:p>
        </w:tc>
        <w:tc>
          <w:tcPr>
            <w:tcW w:w="2520"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sz w:val="22"/>
              </w:rPr>
            </w:pPr>
            <w:r w:rsidRPr="00A10863">
              <w:rPr>
                <w:rFonts w:eastAsia="Times New Roman" w:cs="Times New Roman"/>
                <w:sz w:val="22"/>
              </w:rPr>
              <w:t>34 (89.47%)</w:t>
            </w:r>
          </w:p>
        </w:tc>
        <w:tc>
          <w:tcPr>
            <w:tcW w:w="1980" w:type="dxa"/>
            <w:tcBorders>
              <w:top w:val="nil"/>
              <w:left w:val="nil"/>
              <w:bottom w:val="nil"/>
              <w:right w:val="nil"/>
            </w:tcBorders>
            <w:shd w:val="clear" w:color="auto" w:fill="auto"/>
            <w:noWrap/>
            <w:vAlign w:val="center"/>
            <w:hideMark/>
          </w:tcPr>
          <w:p w:rsidR="00BA4819" w:rsidRPr="00A10863" w:rsidRDefault="00BA4819" w:rsidP="002D72FB">
            <w:pPr>
              <w:ind w:left="0" w:firstLine="0"/>
              <w:jc w:val="center"/>
              <w:rPr>
                <w:rFonts w:eastAsia="Times New Roman" w:cs="Times New Roman"/>
                <w:sz w:val="22"/>
              </w:rPr>
            </w:pPr>
            <w:r w:rsidRPr="00A10863">
              <w:rPr>
                <w:rFonts w:eastAsia="Times New Roman" w:cs="Times New Roman"/>
                <w:sz w:val="22"/>
              </w:rPr>
              <w:t>3 (0.76%)</w:t>
            </w:r>
          </w:p>
        </w:tc>
      </w:tr>
      <w:tr w:rsidR="00BA4819" w:rsidRPr="00A10863" w:rsidTr="002D72FB">
        <w:trPr>
          <w:trHeight w:val="432"/>
        </w:trPr>
        <w:tc>
          <w:tcPr>
            <w:tcW w:w="4065"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b/>
                <w:bCs/>
                <w:color w:val="000000"/>
                <w:sz w:val="22"/>
              </w:rPr>
            </w:pPr>
            <w:r w:rsidRPr="00A10863">
              <w:rPr>
                <w:rFonts w:eastAsia="Times New Roman" w:cs="Times New Roman"/>
                <w:b/>
                <w:bCs/>
                <w:color w:val="000000"/>
                <w:sz w:val="22"/>
              </w:rPr>
              <w:t>Conservative Foreign Governments</w:t>
            </w:r>
          </w:p>
        </w:tc>
        <w:tc>
          <w:tcPr>
            <w:tcW w:w="2520"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sz w:val="22"/>
              </w:rPr>
            </w:pPr>
            <w:r w:rsidRPr="00A10863">
              <w:rPr>
                <w:rFonts w:eastAsia="Times New Roman" w:cs="Times New Roman"/>
                <w:sz w:val="22"/>
              </w:rPr>
              <w:t>4 (10.53%)</w:t>
            </w:r>
          </w:p>
        </w:tc>
        <w:tc>
          <w:tcPr>
            <w:tcW w:w="1980" w:type="dxa"/>
            <w:tcBorders>
              <w:top w:val="nil"/>
              <w:left w:val="nil"/>
              <w:bottom w:val="nil"/>
              <w:right w:val="nil"/>
            </w:tcBorders>
            <w:shd w:val="clear" w:color="auto" w:fill="auto"/>
            <w:noWrap/>
            <w:vAlign w:val="center"/>
            <w:hideMark/>
          </w:tcPr>
          <w:p w:rsidR="00BA4819" w:rsidRPr="00A10863" w:rsidRDefault="00BA4819" w:rsidP="002D72FB">
            <w:pPr>
              <w:ind w:left="0" w:firstLine="0"/>
              <w:jc w:val="center"/>
              <w:rPr>
                <w:rFonts w:eastAsia="Times New Roman" w:cs="Times New Roman"/>
                <w:sz w:val="22"/>
              </w:rPr>
            </w:pPr>
            <w:r w:rsidRPr="00A10863">
              <w:rPr>
                <w:rFonts w:eastAsia="Times New Roman" w:cs="Times New Roman"/>
                <w:sz w:val="22"/>
              </w:rPr>
              <w:t>2 (0.50%)</w:t>
            </w:r>
          </w:p>
        </w:tc>
      </w:tr>
      <w:tr w:rsidR="00BA4819" w:rsidRPr="00A10863" w:rsidTr="002D72FB">
        <w:trPr>
          <w:trHeight w:val="432"/>
        </w:trPr>
        <w:tc>
          <w:tcPr>
            <w:tcW w:w="4065"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b/>
                <w:bCs/>
                <w:color w:val="000000"/>
                <w:sz w:val="22"/>
              </w:rPr>
            </w:pPr>
            <w:r w:rsidRPr="00A10863">
              <w:rPr>
                <w:rFonts w:eastAsia="Times New Roman" w:cs="Times New Roman"/>
                <w:b/>
                <w:bCs/>
                <w:color w:val="000000"/>
                <w:sz w:val="22"/>
              </w:rPr>
              <w:t>Unspecifiable Foreign Governments</w:t>
            </w:r>
          </w:p>
        </w:tc>
        <w:tc>
          <w:tcPr>
            <w:tcW w:w="2520" w:type="dxa"/>
            <w:tcBorders>
              <w:top w:val="nil"/>
              <w:left w:val="nil"/>
              <w:bottom w:val="nil"/>
              <w:right w:val="nil"/>
            </w:tcBorders>
            <w:shd w:val="clear" w:color="auto" w:fill="auto"/>
            <w:noWrap/>
            <w:vAlign w:val="center"/>
            <w:hideMark/>
          </w:tcPr>
          <w:p w:rsidR="00BA4819" w:rsidRPr="00A10863" w:rsidRDefault="00BA4819" w:rsidP="002D72FB">
            <w:pPr>
              <w:ind w:left="0" w:firstLine="0"/>
              <w:jc w:val="right"/>
              <w:rPr>
                <w:rFonts w:eastAsia="Times New Roman" w:cs="Times New Roman"/>
                <w:sz w:val="22"/>
              </w:rPr>
            </w:pPr>
            <w:r w:rsidRPr="00A10863">
              <w:rPr>
                <w:rFonts w:eastAsia="Times New Roman" w:cs="Times New Roman"/>
                <w:sz w:val="22"/>
              </w:rPr>
              <w:t>0 (0%)</w:t>
            </w:r>
          </w:p>
        </w:tc>
        <w:tc>
          <w:tcPr>
            <w:tcW w:w="1980" w:type="dxa"/>
            <w:tcBorders>
              <w:top w:val="nil"/>
              <w:left w:val="nil"/>
              <w:bottom w:val="nil"/>
              <w:right w:val="nil"/>
            </w:tcBorders>
            <w:shd w:val="clear" w:color="auto" w:fill="auto"/>
            <w:noWrap/>
            <w:vAlign w:val="center"/>
            <w:hideMark/>
          </w:tcPr>
          <w:p w:rsidR="00BA4819" w:rsidRPr="00A10863" w:rsidRDefault="00BA4819" w:rsidP="002D72FB">
            <w:pPr>
              <w:ind w:left="0" w:firstLine="0"/>
              <w:jc w:val="center"/>
              <w:rPr>
                <w:rFonts w:eastAsia="Times New Roman" w:cs="Times New Roman"/>
                <w:sz w:val="22"/>
              </w:rPr>
            </w:pPr>
            <w:r w:rsidRPr="00A10863">
              <w:rPr>
                <w:rFonts w:eastAsia="Times New Roman" w:cs="Times New Roman"/>
                <w:sz w:val="22"/>
              </w:rPr>
              <w:t>0 (0%)</w:t>
            </w:r>
          </w:p>
        </w:tc>
      </w:tr>
      <w:tr w:rsidR="00BA4819" w:rsidRPr="00A10863" w:rsidTr="002D72FB">
        <w:trPr>
          <w:trHeight w:val="432"/>
        </w:trPr>
        <w:tc>
          <w:tcPr>
            <w:tcW w:w="4065" w:type="dxa"/>
            <w:tcBorders>
              <w:top w:val="nil"/>
              <w:left w:val="nil"/>
              <w:bottom w:val="single" w:sz="18" w:space="0" w:color="auto"/>
              <w:right w:val="nil"/>
            </w:tcBorders>
            <w:shd w:val="clear" w:color="auto" w:fill="auto"/>
            <w:noWrap/>
            <w:vAlign w:val="center"/>
            <w:hideMark/>
          </w:tcPr>
          <w:p w:rsidR="00BA4819" w:rsidRPr="00A10863" w:rsidRDefault="00BA4819" w:rsidP="002D72FB">
            <w:pPr>
              <w:ind w:left="0" w:firstLine="0"/>
              <w:rPr>
                <w:rFonts w:eastAsia="Times New Roman" w:cs="Times New Roman"/>
                <w:b/>
                <w:bCs/>
                <w:color w:val="000000"/>
                <w:sz w:val="22"/>
              </w:rPr>
            </w:pPr>
            <w:r w:rsidRPr="00A10863">
              <w:rPr>
                <w:rFonts w:eastAsia="Times New Roman" w:cs="Times New Roman"/>
                <w:b/>
                <w:bCs/>
                <w:color w:val="000000"/>
                <w:sz w:val="22"/>
              </w:rPr>
              <w:t>Totals</w:t>
            </w:r>
          </w:p>
        </w:tc>
        <w:tc>
          <w:tcPr>
            <w:tcW w:w="2520" w:type="dxa"/>
            <w:tcBorders>
              <w:top w:val="nil"/>
              <w:left w:val="nil"/>
              <w:bottom w:val="single" w:sz="18" w:space="0" w:color="auto"/>
              <w:right w:val="nil"/>
            </w:tcBorders>
            <w:shd w:val="clear" w:color="auto" w:fill="auto"/>
            <w:noWrap/>
            <w:vAlign w:val="center"/>
            <w:hideMark/>
          </w:tcPr>
          <w:p w:rsidR="00BA4819" w:rsidRPr="00A10863" w:rsidRDefault="00BA4819" w:rsidP="002D72FB">
            <w:pPr>
              <w:ind w:left="0" w:firstLine="0"/>
              <w:rPr>
                <w:rFonts w:eastAsia="Times New Roman" w:cs="Times New Roman"/>
                <w:sz w:val="22"/>
              </w:rPr>
            </w:pPr>
            <w:r w:rsidRPr="00A10863">
              <w:rPr>
                <w:rFonts w:eastAsia="Times New Roman" w:cs="Times New Roman"/>
                <w:sz w:val="22"/>
              </w:rPr>
              <w:t>4,148 (100%)</w:t>
            </w:r>
          </w:p>
        </w:tc>
        <w:tc>
          <w:tcPr>
            <w:tcW w:w="1980" w:type="dxa"/>
            <w:tcBorders>
              <w:top w:val="nil"/>
              <w:left w:val="nil"/>
              <w:bottom w:val="single" w:sz="18" w:space="0" w:color="auto"/>
              <w:right w:val="nil"/>
            </w:tcBorders>
            <w:shd w:val="clear" w:color="auto" w:fill="auto"/>
            <w:noWrap/>
            <w:vAlign w:val="center"/>
            <w:hideMark/>
          </w:tcPr>
          <w:p w:rsidR="00BA4819" w:rsidRPr="00A10863" w:rsidRDefault="00BA4819" w:rsidP="002D72FB">
            <w:pPr>
              <w:ind w:left="0" w:firstLine="0"/>
              <w:jc w:val="center"/>
              <w:rPr>
                <w:rFonts w:eastAsia="Times New Roman" w:cs="Times New Roman"/>
                <w:sz w:val="22"/>
              </w:rPr>
            </w:pPr>
            <w:r w:rsidRPr="00A10863">
              <w:rPr>
                <w:rFonts w:eastAsia="Times New Roman" w:cs="Times New Roman"/>
                <w:sz w:val="22"/>
              </w:rPr>
              <w:t>251 (63.22%)</w:t>
            </w:r>
          </w:p>
        </w:tc>
      </w:tr>
    </w:tbl>
    <w:p w:rsidR="00BA4819" w:rsidRDefault="00BA4819" w:rsidP="00BA4819">
      <w:pPr>
        <w:ind w:left="0" w:firstLine="0"/>
        <w:rPr>
          <w:szCs w:val="24"/>
        </w:rPr>
      </w:pPr>
      <w:r>
        <w:rPr>
          <w:b/>
          <w:szCs w:val="24"/>
        </w:rPr>
        <w:t xml:space="preserve">* </w:t>
      </w:r>
      <w:r w:rsidRPr="009E718A">
        <w:rPr>
          <w:szCs w:val="24"/>
        </w:rPr>
        <w:t>Numbers</w:t>
      </w:r>
      <w:r>
        <w:rPr>
          <w:szCs w:val="24"/>
        </w:rPr>
        <w:t xml:space="preserve"> in parentheses in the “Number of Amici” column reflect percentage of total amici each category or subcategory represents.</w:t>
      </w:r>
    </w:p>
    <w:p w:rsidR="00BA4819" w:rsidRPr="00D658FC" w:rsidRDefault="00BA4819" w:rsidP="00BA4819">
      <w:pPr>
        <w:ind w:left="0" w:firstLine="0"/>
        <w:rPr>
          <w:szCs w:val="24"/>
        </w:rPr>
      </w:pPr>
      <w:r>
        <w:rPr>
          <w:szCs w:val="24"/>
        </w:rPr>
        <w:t>**Numbers in parentheses in the “Number of Cases” column reflect percentage of total cases in which each category or subcategory participated.</w:t>
      </w:r>
    </w:p>
    <w:p w:rsidR="00BA4819" w:rsidRDefault="00BA4819" w:rsidP="00BA4819">
      <w:pPr>
        <w:spacing w:line="480" w:lineRule="auto"/>
        <w:ind w:left="0" w:firstLine="0"/>
        <w:rPr>
          <w:szCs w:val="24"/>
        </w:rPr>
      </w:pPr>
    </w:p>
    <w:p w:rsidR="005607AC" w:rsidRDefault="005607AC" w:rsidP="00BA4819">
      <w:pPr>
        <w:spacing w:line="480" w:lineRule="auto"/>
        <w:ind w:left="0" w:firstLine="0"/>
        <w:rPr>
          <w:szCs w:val="24"/>
        </w:rPr>
      </w:pPr>
      <w:r>
        <w:rPr>
          <w:szCs w:val="24"/>
        </w:rPr>
        <w:t xml:space="preserve">are the most frequent government amici </w:t>
      </w:r>
      <w:r w:rsidR="00075902">
        <w:rPr>
          <w:szCs w:val="24"/>
        </w:rPr>
        <w:t>(3,746</w:t>
      </w:r>
      <w:r w:rsidR="00CF4DB2">
        <w:rPr>
          <w:szCs w:val="24"/>
        </w:rPr>
        <w:t xml:space="preserve"> times</w:t>
      </w:r>
      <w:r w:rsidR="00075902">
        <w:rPr>
          <w:szCs w:val="24"/>
        </w:rPr>
        <w:t xml:space="preserve">) </w:t>
      </w:r>
      <w:r w:rsidR="00B267D7">
        <w:rPr>
          <w:szCs w:val="24"/>
        </w:rPr>
        <w:t xml:space="preserve">at the Roberts Court </w:t>
      </w:r>
      <w:r>
        <w:rPr>
          <w:szCs w:val="24"/>
        </w:rPr>
        <w:t>by a wide margin, constituting over 90 p</w:t>
      </w:r>
      <w:r w:rsidR="00B267D7">
        <w:rPr>
          <w:szCs w:val="24"/>
        </w:rPr>
        <w:t>ercent of all government amici, followed by local governments (</w:t>
      </w:r>
      <w:r w:rsidR="00075902">
        <w:rPr>
          <w:szCs w:val="24"/>
        </w:rPr>
        <w:t>202</w:t>
      </w:r>
      <w:r w:rsidR="00CF4DB2">
        <w:rPr>
          <w:szCs w:val="24"/>
        </w:rPr>
        <w:t xml:space="preserve"> times</w:t>
      </w:r>
      <w:r w:rsidR="00075902">
        <w:rPr>
          <w:szCs w:val="24"/>
        </w:rPr>
        <w:t xml:space="preserve"> – </w:t>
      </w:r>
      <w:r w:rsidR="00B267D7">
        <w:rPr>
          <w:szCs w:val="24"/>
        </w:rPr>
        <w:t>almost 5 percent), the Solicitor General (SG) (</w:t>
      </w:r>
      <w:r w:rsidR="00075902">
        <w:rPr>
          <w:szCs w:val="24"/>
        </w:rPr>
        <w:t>163</w:t>
      </w:r>
      <w:r w:rsidR="00CF4DB2">
        <w:rPr>
          <w:szCs w:val="24"/>
        </w:rPr>
        <w:t xml:space="preserve"> times</w:t>
      </w:r>
      <w:r w:rsidR="00075902">
        <w:rPr>
          <w:szCs w:val="24"/>
        </w:rPr>
        <w:t xml:space="preserve"> – </w:t>
      </w:r>
      <w:r w:rsidR="00B267D7">
        <w:rPr>
          <w:szCs w:val="24"/>
        </w:rPr>
        <w:t>almost 4 percent), and foreign governments (</w:t>
      </w:r>
      <w:r w:rsidR="00075902">
        <w:rPr>
          <w:szCs w:val="24"/>
        </w:rPr>
        <w:t>38</w:t>
      </w:r>
      <w:r w:rsidR="00CF4DB2">
        <w:rPr>
          <w:szCs w:val="24"/>
        </w:rPr>
        <w:t xml:space="preserve"> times</w:t>
      </w:r>
      <w:r w:rsidR="00075902">
        <w:rPr>
          <w:szCs w:val="24"/>
        </w:rPr>
        <w:t xml:space="preserve"> – </w:t>
      </w:r>
      <w:r w:rsidR="00B267D7">
        <w:rPr>
          <w:szCs w:val="24"/>
        </w:rPr>
        <w:t xml:space="preserve">almost 1 percent).  </w:t>
      </w:r>
    </w:p>
    <w:p w:rsidR="005E715C" w:rsidRPr="005E715C" w:rsidRDefault="005607AC" w:rsidP="005E715C">
      <w:pPr>
        <w:spacing w:line="480" w:lineRule="auto"/>
        <w:ind w:left="0" w:firstLine="720"/>
        <w:rPr>
          <w:rFonts w:cs="Times New Roman"/>
          <w:szCs w:val="24"/>
        </w:rPr>
      </w:pPr>
      <w:r>
        <w:rPr>
          <w:szCs w:val="24"/>
        </w:rPr>
        <w:lastRenderedPageBreak/>
        <w:t>Looking onc</w:t>
      </w:r>
      <w:r w:rsidR="00B267D7">
        <w:rPr>
          <w:szCs w:val="24"/>
        </w:rPr>
        <w:t>e again at Column 2 of Table 4.6</w:t>
      </w:r>
      <w:r>
        <w:rPr>
          <w:szCs w:val="24"/>
        </w:rPr>
        <w:t xml:space="preserve">, one can see the percentages of each </w:t>
      </w:r>
      <w:r w:rsidR="00CF4DB2">
        <w:rPr>
          <w:szCs w:val="24"/>
        </w:rPr>
        <w:t xml:space="preserve">government </w:t>
      </w:r>
      <w:r>
        <w:rPr>
          <w:szCs w:val="24"/>
        </w:rPr>
        <w:t xml:space="preserve">amicus category that are liberal, conservative, or unspecifiable.  </w:t>
      </w:r>
      <w:r w:rsidR="007C7BD8">
        <w:rPr>
          <w:szCs w:val="24"/>
        </w:rPr>
        <w:t>In all, 798 state government</w:t>
      </w:r>
      <w:r w:rsidR="00CF4DB2">
        <w:rPr>
          <w:szCs w:val="24"/>
        </w:rPr>
        <w:t xml:space="preserve"> amici </w:t>
      </w:r>
      <w:r>
        <w:rPr>
          <w:szCs w:val="24"/>
        </w:rPr>
        <w:t>(</w:t>
      </w:r>
      <w:r w:rsidR="00CF4DB2">
        <w:rPr>
          <w:szCs w:val="24"/>
        </w:rPr>
        <w:t>21.3</w:t>
      </w:r>
      <w:r>
        <w:rPr>
          <w:szCs w:val="24"/>
        </w:rPr>
        <w:t xml:space="preserve"> percent) advocated a liberal position, compared to</w:t>
      </w:r>
      <w:r w:rsidRPr="00D70B2D">
        <w:rPr>
          <w:szCs w:val="24"/>
        </w:rPr>
        <w:t xml:space="preserve"> </w:t>
      </w:r>
      <w:r w:rsidR="00CF4DB2">
        <w:rPr>
          <w:szCs w:val="24"/>
        </w:rPr>
        <w:t xml:space="preserve">2,707 state government </w:t>
      </w:r>
      <w:r w:rsidR="00CF4DB2">
        <w:rPr>
          <w:rFonts w:eastAsia="Times New Roman" w:cs="Times New Roman"/>
          <w:szCs w:val="24"/>
        </w:rPr>
        <w:t>amici (72.26 perc</w:t>
      </w:r>
      <w:r>
        <w:rPr>
          <w:rFonts w:eastAsia="Times New Roman" w:cs="Times New Roman"/>
          <w:szCs w:val="24"/>
        </w:rPr>
        <w:t>ent</w:t>
      </w:r>
      <w:r w:rsidRPr="00D70B2D">
        <w:rPr>
          <w:rFonts w:eastAsia="Times New Roman" w:cs="Times New Roman"/>
          <w:szCs w:val="24"/>
        </w:rPr>
        <w:t>)</w:t>
      </w:r>
      <w:r w:rsidR="007C7BD8">
        <w:rPr>
          <w:rFonts w:eastAsia="Times New Roman" w:cs="Times New Roman"/>
          <w:szCs w:val="24"/>
        </w:rPr>
        <w:t>, which</w:t>
      </w:r>
      <w:r>
        <w:rPr>
          <w:rFonts w:eastAsia="Times New Roman" w:cs="Times New Roman"/>
          <w:szCs w:val="24"/>
        </w:rPr>
        <w:t xml:space="preserve"> advocated a conservative</w:t>
      </w:r>
      <w:r w:rsidR="00CF4DB2">
        <w:rPr>
          <w:rFonts w:eastAsia="Times New Roman" w:cs="Times New Roman"/>
          <w:szCs w:val="24"/>
        </w:rPr>
        <w:t xml:space="preserve"> position.  The ratio of conservative state government amici to liberal ones is 3.39</w:t>
      </w:r>
      <w:r>
        <w:rPr>
          <w:rFonts w:eastAsia="Times New Roman" w:cs="Times New Roman"/>
          <w:szCs w:val="24"/>
        </w:rPr>
        <w:t xml:space="preserve"> to 1.  </w:t>
      </w:r>
      <w:r w:rsidR="00CF4DB2">
        <w:rPr>
          <w:rFonts w:eastAsia="Times New Roman" w:cs="Times New Roman"/>
          <w:szCs w:val="24"/>
        </w:rPr>
        <w:t xml:space="preserve"> Conservative state government amici clearly predominate over liberal state government amici.   However, the reverse is true when it comes to local governments.  Liberal local government a</w:t>
      </w:r>
      <w:r>
        <w:rPr>
          <w:rFonts w:eastAsia="Times New Roman" w:cs="Times New Roman"/>
          <w:szCs w:val="24"/>
        </w:rPr>
        <w:t xml:space="preserve">mici </w:t>
      </w:r>
      <w:r w:rsidR="00F56A55">
        <w:rPr>
          <w:rFonts w:eastAsia="Times New Roman" w:cs="Times New Roman"/>
          <w:szCs w:val="24"/>
        </w:rPr>
        <w:t>possess a</w:t>
      </w:r>
      <w:r w:rsidR="00CF4DB2">
        <w:rPr>
          <w:rFonts w:eastAsia="Times New Roman" w:cs="Times New Roman"/>
          <w:szCs w:val="24"/>
        </w:rPr>
        <w:t xml:space="preserve"> sizeable</w:t>
      </w:r>
      <w:r>
        <w:rPr>
          <w:rFonts w:eastAsia="Times New Roman" w:cs="Times New Roman"/>
          <w:szCs w:val="24"/>
        </w:rPr>
        <w:t xml:space="preserve"> advantage over their conservative counterparts. </w:t>
      </w:r>
      <w:r w:rsidR="007C7BD8">
        <w:rPr>
          <w:rFonts w:eastAsia="Times New Roman" w:cs="Times New Roman"/>
          <w:szCs w:val="24"/>
        </w:rPr>
        <w:t xml:space="preserve"> A total of </w:t>
      </w:r>
      <w:r w:rsidR="00CF4DB2">
        <w:rPr>
          <w:szCs w:val="24"/>
        </w:rPr>
        <w:t>142 liberal government amici (70.3</w:t>
      </w:r>
      <w:r>
        <w:rPr>
          <w:szCs w:val="24"/>
        </w:rPr>
        <w:t xml:space="preserve"> percent) advocated a liberal position, compared to</w:t>
      </w:r>
      <w:r w:rsidRPr="00D70B2D">
        <w:rPr>
          <w:szCs w:val="24"/>
        </w:rPr>
        <w:t xml:space="preserve"> </w:t>
      </w:r>
      <w:r w:rsidR="00CF4DB2">
        <w:rPr>
          <w:rFonts w:eastAsia="Times New Roman" w:cs="Times New Roman"/>
          <w:szCs w:val="24"/>
        </w:rPr>
        <w:t>51</w:t>
      </w:r>
      <w:r>
        <w:rPr>
          <w:rFonts w:eastAsia="Times New Roman" w:cs="Times New Roman"/>
          <w:szCs w:val="24"/>
        </w:rPr>
        <w:t xml:space="preserve"> </w:t>
      </w:r>
      <w:r w:rsidR="00CF4DB2">
        <w:rPr>
          <w:rFonts w:eastAsia="Times New Roman" w:cs="Times New Roman"/>
          <w:szCs w:val="24"/>
        </w:rPr>
        <w:t>local government</w:t>
      </w:r>
      <w:r>
        <w:rPr>
          <w:rFonts w:eastAsia="Times New Roman" w:cs="Times New Roman"/>
          <w:szCs w:val="24"/>
        </w:rPr>
        <w:t xml:space="preserve"> amici</w:t>
      </w:r>
      <w:r w:rsidR="00CF4DB2">
        <w:rPr>
          <w:rFonts w:eastAsia="Times New Roman" w:cs="Times New Roman"/>
          <w:szCs w:val="24"/>
        </w:rPr>
        <w:t xml:space="preserve"> (25.25</w:t>
      </w:r>
      <w:r>
        <w:rPr>
          <w:rFonts w:eastAsia="Times New Roman" w:cs="Times New Roman"/>
          <w:szCs w:val="24"/>
        </w:rPr>
        <w:t xml:space="preserve"> percent</w:t>
      </w:r>
      <w:r w:rsidRPr="00D70B2D">
        <w:rPr>
          <w:rFonts w:eastAsia="Times New Roman" w:cs="Times New Roman"/>
          <w:szCs w:val="24"/>
        </w:rPr>
        <w:t>)</w:t>
      </w:r>
      <w:r>
        <w:rPr>
          <w:rFonts w:eastAsia="Times New Roman" w:cs="Times New Roman"/>
          <w:szCs w:val="24"/>
        </w:rPr>
        <w:t xml:space="preserve">, who advocated a conservative position.  The ratio of liberal </w:t>
      </w:r>
      <w:r w:rsidR="00CF4DB2">
        <w:rPr>
          <w:rFonts w:eastAsia="Times New Roman" w:cs="Times New Roman"/>
          <w:szCs w:val="24"/>
        </w:rPr>
        <w:t>local governments to conservative ones is 2.78</w:t>
      </w:r>
      <w:r>
        <w:rPr>
          <w:rFonts w:eastAsia="Times New Roman" w:cs="Times New Roman"/>
          <w:szCs w:val="24"/>
        </w:rPr>
        <w:t xml:space="preserve"> to 1.   </w:t>
      </w:r>
      <w:r w:rsidR="00F56A55">
        <w:rPr>
          <w:rFonts w:eastAsia="Times New Roman" w:cs="Times New Roman"/>
          <w:szCs w:val="24"/>
        </w:rPr>
        <w:t xml:space="preserve">Lastly, </w:t>
      </w:r>
      <w:r w:rsidR="00774291">
        <w:rPr>
          <w:rFonts w:cs="Times New Roman"/>
          <w:szCs w:val="24"/>
        </w:rPr>
        <w:t>in the</w:t>
      </w:r>
      <w:r w:rsidR="00F56A55">
        <w:rPr>
          <w:rFonts w:cs="Times New Roman"/>
          <w:szCs w:val="24"/>
        </w:rPr>
        <w:t xml:space="preserve"> 2007-2011</w:t>
      </w:r>
      <w:r w:rsidR="00774291">
        <w:rPr>
          <w:rFonts w:cs="Times New Roman"/>
          <w:szCs w:val="24"/>
        </w:rPr>
        <w:t xml:space="preserve"> terms</w:t>
      </w:r>
      <w:r w:rsidR="00F56A55">
        <w:rPr>
          <w:rFonts w:cs="Times New Roman"/>
          <w:szCs w:val="24"/>
        </w:rPr>
        <w:t xml:space="preserve">, the SG </w:t>
      </w:r>
      <w:proofErr w:type="gramStart"/>
      <w:r w:rsidR="00F56A55">
        <w:rPr>
          <w:rFonts w:cs="Times New Roman"/>
          <w:szCs w:val="24"/>
        </w:rPr>
        <w:t>participated</w:t>
      </w:r>
      <w:proofErr w:type="gramEnd"/>
      <w:r w:rsidR="00F56A55">
        <w:rPr>
          <w:rFonts w:cs="Times New Roman"/>
          <w:szCs w:val="24"/>
        </w:rPr>
        <w:t xml:space="preserve"> an amicus 163 times: 69 times the SG supported the liberal position (42.33 percent), 77 times the SG supported the conservative position (47.24 percent), and 17 times the SG’s position was ideologically unspecifiable (10.43 percent).  </w:t>
      </w:r>
      <w:r w:rsidR="00612577">
        <w:rPr>
          <w:rFonts w:cs="Times New Roman"/>
          <w:szCs w:val="24"/>
        </w:rPr>
        <w:t xml:space="preserve"> Therefore, the SG was much more ideologically balanced that other government amici, and slightly favored the conservative position.  This finding is interesting, because in at least four of the five terms of the Roberts Court, the SG represented the interests of the Obama Administration, which is viewed as liberal in orientation.  However, the modest conservative slant of the SG’s amicus activity can likely be explained</w:t>
      </w:r>
      <w:r w:rsidR="00D636CF">
        <w:rPr>
          <w:rFonts w:cs="Times New Roman"/>
          <w:szCs w:val="24"/>
        </w:rPr>
        <w:t>, in part,</w:t>
      </w:r>
      <w:r w:rsidR="00612577">
        <w:rPr>
          <w:rFonts w:cs="Times New Roman"/>
          <w:szCs w:val="24"/>
        </w:rPr>
        <w:t xml:space="preserve"> by the nature of the SCDB’s ideological coding, in which </w:t>
      </w:r>
      <w:r w:rsidR="005E715C">
        <w:rPr>
          <w:rFonts w:cs="Times New Roman"/>
          <w:szCs w:val="24"/>
        </w:rPr>
        <w:t>the pro-government position is more often than not deemed the conservative one, particularly in civil rights and liberties, criminal proced</w:t>
      </w:r>
      <w:r w:rsidR="00774291">
        <w:rPr>
          <w:rFonts w:cs="Times New Roman"/>
          <w:szCs w:val="24"/>
        </w:rPr>
        <w:t>ure, and judicial power cases.</w:t>
      </w:r>
      <w:r w:rsidR="00774291">
        <w:rPr>
          <w:rStyle w:val="FootnoteReference"/>
          <w:rFonts w:cs="Times New Roman"/>
          <w:szCs w:val="24"/>
        </w:rPr>
        <w:footnoteReference w:id="78"/>
      </w:r>
    </w:p>
    <w:p w:rsidR="005607AC" w:rsidRPr="00A97706" w:rsidRDefault="005607AC" w:rsidP="005607AC">
      <w:pPr>
        <w:spacing w:line="480" w:lineRule="auto"/>
        <w:ind w:left="0" w:firstLine="720"/>
        <w:rPr>
          <w:rFonts w:eastAsia="Times New Roman" w:cs="Times New Roman"/>
          <w:szCs w:val="24"/>
        </w:rPr>
      </w:pPr>
      <w:r w:rsidRPr="00E029FA">
        <w:rPr>
          <w:rFonts w:eastAsia="Times New Roman" w:cs="Times New Roman"/>
          <w:szCs w:val="24"/>
        </w:rPr>
        <w:lastRenderedPageBreak/>
        <w:t>Colu</w:t>
      </w:r>
      <w:r w:rsidR="00F56A55" w:rsidRPr="00E029FA">
        <w:rPr>
          <w:rFonts w:eastAsia="Times New Roman" w:cs="Times New Roman"/>
          <w:szCs w:val="24"/>
        </w:rPr>
        <w:t>mn 3</w:t>
      </w:r>
      <w:r w:rsidR="00E029FA">
        <w:rPr>
          <w:rFonts w:eastAsia="Times New Roman" w:cs="Times New Roman"/>
          <w:szCs w:val="24"/>
        </w:rPr>
        <w:t xml:space="preserve"> of Table 4.6</w:t>
      </w:r>
      <w:r w:rsidRPr="00E029FA">
        <w:rPr>
          <w:rFonts w:eastAsia="Times New Roman" w:cs="Times New Roman"/>
          <w:szCs w:val="24"/>
        </w:rPr>
        <w:t xml:space="preserve"> indicates the number of cases in which at least one member of the </w:t>
      </w:r>
      <w:r w:rsidR="00E029FA" w:rsidRPr="00E029FA">
        <w:rPr>
          <w:rFonts w:eastAsia="Times New Roman" w:cs="Times New Roman"/>
          <w:szCs w:val="24"/>
        </w:rPr>
        <w:t xml:space="preserve">government amicus category </w:t>
      </w:r>
      <w:r w:rsidRPr="00E029FA">
        <w:rPr>
          <w:rFonts w:eastAsia="Times New Roman" w:cs="Times New Roman"/>
          <w:szCs w:val="24"/>
        </w:rPr>
        <w:t>appeared on an amicus brief.</w:t>
      </w:r>
      <w:r w:rsidRPr="00CF4DB2">
        <w:rPr>
          <w:rFonts w:eastAsia="Times New Roman" w:cs="Times New Roman"/>
          <w:color w:val="FF0000"/>
          <w:szCs w:val="24"/>
        </w:rPr>
        <w:t xml:space="preserve">  </w:t>
      </w:r>
      <w:r w:rsidR="00E029FA">
        <w:rPr>
          <w:rFonts w:eastAsia="Times New Roman" w:cs="Times New Roman"/>
          <w:color w:val="FF0000"/>
          <w:szCs w:val="24"/>
        </w:rPr>
        <w:t xml:space="preserve"> </w:t>
      </w:r>
      <w:r w:rsidR="00E029FA">
        <w:rPr>
          <w:rFonts w:eastAsia="Times New Roman" w:cs="Times New Roman"/>
          <w:szCs w:val="24"/>
        </w:rPr>
        <w:t xml:space="preserve">Once again, </w:t>
      </w:r>
      <w:r w:rsidRPr="00E029FA">
        <w:rPr>
          <w:rFonts w:eastAsia="Times New Roman" w:cs="Times New Roman"/>
          <w:szCs w:val="24"/>
        </w:rPr>
        <w:t xml:space="preserve">note that the numbers in parentheses do not total 100 percent because different types of amici often appear in the same case.  </w:t>
      </w:r>
      <w:r w:rsidR="008E6052" w:rsidRPr="00A97706">
        <w:rPr>
          <w:rFonts w:eastAsia="Times New Roman" w:cs="Times New Roman"/>
          <w:szCs w:val="24"/>
        </w:rPr>
        <w:t>The states</w:t>
      </w:r>
      <w:r w:rsidRPr="00A97706">
        <w:rPr>
          <w:rFonts w:eastAsia="Times New Roman" w:cs="Times New Roman"/>
          <w:szCs w:val="24"/>
        </w:rPr>
        <w:t xml:space="preserve"> participate </w:t>
      </w:r>
      <w:r w:rsidR="008E6052" w:rsidRPr="00A97706">
        <w:rPr>
          <w:rFonts w:eastAsia="Times New Roman" w:cs="Times New Roman"/>
          <w:szCs w:val="24"/>
        </w:rPr>
        <w:t>in the highest percentage of cases (44.33</w:t>
      </w:r>
      <w:r w:rsidRPr="00A97706">
        <w:rPr>
          <w:rFonts w:eastAsia="Times New Roman" w:cs="Times New Roman"/>
          <w:szCs w:val="24"/>
        </w:rPr>
        <w:t xml:space="preserve"> percent) </w:t>
      </w:r>
      <w:r w:rsidR="008E6052" w:rsidRPr="00A97706">
        <w:rPr>
          <w:rFonts w:eastAsia="Times New Roman" w:cs="Times New Roman"/>
          <w:szCs w:val="24"/>
        </w:rPr>
        <w:t xml:space="preserve">of any government amicus category, appearing in a total of 176 cases.   The SG closely follows, appearing in </w:t>
      </w:r>
      <w:r w:rsidR="00A97706" w:rsidRPr="00A97706">
        <w:rPr>
          <w:rFonts w:eastAsia="Times New Roman" w:cs="Times New Roman"/>
          <w:szCs w:val="24"/>
        </w:rPr>
        <w:t>j</w:t>
      </w:r>
      <w:r w:rsidR="00A97706">
        <w:rPr>
          <w:rFonts w:eastAsia="Times New Roman" w:cs="Times New Roman"/>
          <w:szCs w:val="24"/>
        </w:rPr>
        <w:t xml:space="preserve">ust over 41 percent of cases.  Local governments only appear in approximately 10 percent of cases as amici, while foreign government amici only appear in just over 1 percent of cases. </w:t>
      </w:r>
      <w:r w:rsidR="00C95FA5">
        <w:rPr>
          <w:rFonts w:eastAsia="Times New Roman" w:cs="Times New Roman"/>
          <w:szCs w:val="24"/>
        </w:rPr>
        <w:t>Even though the states and the SG appear in a similar percentage of cases, t</w:t>
      </w:r>
      <w:r w:rsidR="00C95FA5" w:rsidRPr="00A97706">
        <w:rPr>
          <w:rFonts w:eastAsia="Times New Roman" w:cs="Times New Roman"/>
          <w:szCs w:val="24"/>
        </w:rPr>
        <w:t>he S</w:t>
      </w:r>
      <w:r w:rsidR="00C95FA5">
        <w:rPr>
          <w:rFonts w:eastAsia="Times New Roman" w:cs="Times New Roman"/>
          <w:szCs w:val="24"/>
        </w:rPr>
        <w:t>G</w:t>
      </w:r>
      <w:r w:rsidR="00C95FA5" w:rsidRPr="00A97706">
        <w:rPr>
          <w:rFonts w:eastAsia="Times New Roman" w:cs="Times New Roman"/>
          <w:szCs w:val="24"/>
        </w:rPr>
        <w:t xml:space="preserve"> rarely collaborates with other amici on brief</w:t>
      </w:r>
      <w:r w:rsidR="00C95FA5">
        <w:rPr>
          <w:rFonts w:eastAsia="Times New Roman" w:cs="Times New Roman"/>
          <w:szCs w:val="24"/>
        </w:rPr>
        <w:t>s, while states (and to a lesser extent local governments) frequently do.   This is understandable, as the SG does not have the need to collaborate with others, given its resource advantages and inherent prestige.  Further, w</w:t>
      </w:r>
      <w:r w:rsidRPr="00A97706">
        <w:rPr>
          <w:rFonts w:eastAsia="Times New Roman" w:cs="Times New Roman"/>
          <w:szCs w:val="24"/>
        </w:rPr>
        <w:t xml:space="preserve">hile </w:t>
      </w:r>
      <w:r w:rsidR="00C95FA5">
        <w:rPr>
          <w:rFonts w:eastAsia="Times New Roman" w:cs="Times New Roman"/>
          <w:szCs w:val="24"/>
        </w:rPr>
        <w:t xml:space="preserve">local government amici </w:t>
      </w:r>
      <w:r w:rsidRPr="00A97706">
        <w:rPr>
          <w:rFonts w:eastAsia="Times New Roman" w:cs="Times New Roman"/>
          <w:szCs w:val="24"/>
        </w:rPr>
        <w:t xml:space="preserve">appear more often in total numbers at the Roberts Court than the </w:t>
      </w:r>
      <w:r w:rsidR="00C95FA5">
        <w:rPr>
          <w:rFonts w:eastAsia="Times New Roman" w:cs="Times New Roman"/>
          <w:szCs w:val="24"/>
        </w:rPr>
        <w:t>SG</w:t>
      </w:r>
      <w:r w:rsidRPr="00A97706">
        <w:rPr>
          <w:rFonts w:eastAsia="Times New Roman" w:cs="Times New Roman"/>
          <w:szCs w:val="24"/>
        </w:rPr>
        <w:t>,</w:t>
      </w:r>
      <w:r w:rsidR="00C95FA5">
        <w:rPr>
          <w:rFonts w:eastAsia="Times New Roman" w:cs="Times New Roman"/>
          <w:szCs w:val="24"/>
        </w:rPr>
        <w:t xml:space="preserve"> they appear in far fewer cases</w:t>
      </w:r>
      <w:r w:rsidRPr="00A97706">
        <w:rPr>
          <w:rFonts w:eastAsia="Times New Roman" w:cs="Times New Roman"/>
          <w:szCs w:val="24"/>
        </w:rPr>
        <w:t>.  This f</w:t>
      </w:r>
      <w:r w:rsidR="00C95FA5">
        <w:rPr>
          <w:rFonts w:eastAsia="Times New Roman" w:cs="Times New Roman"/>
          <w:szCs w:val="24"/>
        </w:rPr>
        <w:t>inding indicates that local government</w:t>
      </w:r>
      <w:r w:rsidRPr="00A97706">
        <w:rPr>
          <w:rFonts w:eastAsia="Times New Roman" w:cs="Times New Roman"/>
          <w:szCs w:val="24"/>
        </w:rPr>
        <w:t xml:space="preserve"> amici concentrate their participation in fewer cases than</w:t>
      </w:r>
      <w:r w:rsidR="00C95FA5">
        <w:rPr>
          <w:rFonts w:eastAsia="Times New Roman" w:cs="Times New Roman"/>
          <w:szCs w:val="24"/>
        </w:rPr>
        <w:t xml:space="preserve"> the SG</w:t>
      </w:r>
      <w:r w:rsidRPr="00A97706">
        <w:rPr>
          <w:rFonts w:eastAsia="Times New Roman" w:cs="Times New Roman"/>
          <w:szCs w:val="24"/>
        </w:rPr>
        <w:t xml:space="preserve">, and are more likely to collaborate together.  </w:t>
      </w:r>
      <w:r w:rsidR="00C95FA5">
        <w:rPr>
          <w:rFonts w:eastAsia="Times New Roman" w:cs="Times New Roman"/>
          <w:szCs w:val="24"/>
        </w:rPr>
        <w:t>In those 176 cases in which at least one state</w:t>
      </w:r>
      <w:r w:rsidRPr="00A97706">
        <w:rPr>
          <w:rFonts w:eastAsia="Times New Roman" w:cs="Times New Roman"/>
          <w:szCs w:val="24"/>
        </w:rPr>
        <w:t xml:space="preserve"> amici appears, an aver</w:t>
      </w:r>
      <w:r w:rsidR="00C95FA5">
        <w:rPr>
          <w:rFonts w:eastAsia="Times New Roman" w:cs="Times New Roman"/>
          <w:szCs w:val="24"/>
        </w:rPr>
        <w:t>age of 21.28 states</w:t>
      </w:r>
      <w:r w:rsidRPr="00A97706">
        <w:rPr>
          <w:rFonts w:eastAsia="Times New Roman" w:cs="Times New Roman"/>
          <w:szCs w:val="24"/>
        </w:rPr>
        <w:t xml:space="preserve"> appear per </w:t>
      </w:r>
      <w:r w:rsidR="00C95FA5">
        <w:rPr>
          <w:rFonts w:eastAsia="Times New Roman" w:cs="Times New Roman"/>
          <w:szCs w:val="24"/>
        </w:rPr>
        <w:t>case.  By comparison, in the 39</w:t>
      </w:r>
      <w:r w:rsidRPr="00A97706">
        <w:rPr>
          <w:rFonts w:eastAsia="Times New Roman" w:cs="Times New Roman"/>
          <w:szCs w:val="24"/>
        </w:rPr>
        <w:t xml:space="preserve"> cases in which at least one </w:t>
      </w:r>
      <w:r w:rsidR="00C95FA5">
        <w:rPr>
          <w:rFonts w:eastAsia="Times New Roman" w:cs="Times New Roman"/>
          <w:szCs w:val="24"/>
        </w:rPr>
        <w:t xml:space="preserve">local government appears, </w:t>
      </w:r>
      <w:proofErr w:type="gramStart"/>
      <w:r w:rsidR="00C95FA5">
        <w:rPr>
          <w:rFonts w:eastAsia="Times New Roman" w:cs="Times New Roman"/>
          <w:szCs w:val="24"/>
        </w:rPr>
        <w:t>an average of 5.17</w:t>
      </w:r>
      <w:r w:rsidRPr="00A97706">
        <w:rPr>
          <w:rFonts w:eastAsia="Times New Roman" w:cs="Times New Roman"/>
          <w:szCs w:val="24"/>
        </w:rPr>
        <w:t xml:space="preserve"> </w:t>
      </w:r>
      <w:r w:rsidR="00C95FA5">
        <w:rPr>
          <w:rFonts w:eastAsia="Times New Roman" w:cs="Times New Roman"/>
          <w:szCs w:val="24"/>
        </w:rPr>
        <w:t xml:space="preserve">local governments </w:t>
      </w:r>
      <w:r w:rsidRPr="00A97706">
        <w:rPr>
          <w:rFonts w:eastAsia="Times New Roman" w:cs="Times New Roman"/>
          <w:szCs w:val="24"/>
        </w:rPr>
        <w:t>appear</w:t>
      </w:r>
      <w:proofErr w:type="gramEnd"/>
      <w:r w:rsidRPr="00A97706">
        <w:rPr>
          <w:rFonts w:eastAsia="Times New Roman" w:cs="Times New Roman"/>
          <w:szCs w:val="24"/>
        </w:rPr>
        <w:t xml:space="preserve"> per case.  </w:t>
      </w:r>
    </w:p>
    <w:p w:rsidR="00BF292B" w:rsidRDefault="005607AC" w:rsidP="005607AC">
      <w:pPr>
        <w:spacing w:line="480" w:lineRule="auto"/>
        <w:ind w:left="0" w:firstLine="720"/>
        <w:rPr>
          <w:rFonts w:eastAsia="Times New Roman" w:cs="Times New Roman"/>
          <w:szCs w:val="24"/>
        </w:rPr>
      </w:pPr>
      <w:r w:rsidRPr="00A97706">
        <w:rPr>
          <w:rFonts w:eastAsia="Times New Roman" w:cs="Times New Roman"/>
          <w:szCs w:val="24"/>
        </w:rPr>
        <w:t xml:space="preserve">Looking at the participation of the </w:t>
      </w:r>
      <w:r w:rsidR="00C95FA5">
        <w:rPr>
          <w:rFonts w:eastAsia="Times New Roman" w:cs="Times New Roman"/>
          <w:szCs w:val="24"/>
        </w:rPr>
        <w:t xml:space="preserve">government </w:t>
      </w:r>
      <w:r w:rsidRPr="00A97706">
        <w:rPr>
          <w:rFonts w:eastAsia="Times New Roman" w:cs="Times New Roman"/>
          <w:szCs w:val="24"/>
        </w:rPr>
        <w:t>amicus subcategories i</w:t>
      </w:r>
      <w:r w:rsidR="00C95FA5">
        <w:rPr>
          <w:rFonts w:eastAsia="Times New Roman" w:cs="Times New Roman"/>
          <w:szCs w:val="24"/>
        </w:rPr>
        <w:t>n cases as reflected in Column 3 of Table 4.6</w:t>
      </w:r>
      <w:r w:rsidRPr="00A97706">
        <w:rPr>
          <w:rFonts w:eastAsia="Times New Roman" w:cs="Times New Roman"/>
          <w:szCs w:val="24"/>
        </w:rPr>
        <w:t xml:space="preserve">, one finds that </w:t>
      </w:r>
      <w:r w:rsidR="008E684C">
        <w:rPr>
          <w:rFonts w:eastAsia="Times New Roman" w:cs="Times New Roman"/>
          <w:szCs w:val="24"/>
        </w:rPr>
        <w:t xml:space="preserve">the SG </w:t>
      </w:r>
      <w:r w:rsidRPr="00A97706">
        <w:rPr>
          <w:rFonts w:eastAsia="Times New Roman" w:cs="Times New Roman"/>
          <w:szCs w:val="24"/>
        </w:rPr>
        <w:t>participate</w:t>
      </w:r>
      <w:r w:rsidR="007C7BD8">
        <w:rPr>
          <w:rFonts w:eastAsia="Times New Roman" w:cs="Times New Roman"/>
          <w:szCs w:val="24"/>
        </w:rPr>
        <w:t>s</w:t>
      </w:r>
      <w:r w:rsidRPr="00A97706">
        <w:rPr>
          <w:rFonts w:eastAsia="Times New Roman" w:cs="Times New Roman"/>
          <w:szCs w:val="24"/>
        </w:rPr>
        <w:t xml:space="preserve"> in a higher percentage of cases as </w:t>
      </w:r>
      <w:r w:rsidR="008E684C">
        <w:rPr>
          <w:rFonts w:eastAsia="Times New Roman" w:cs="Times New Roman"/>
          <w:szCs w:val="24"/>
        </w:rPr>
        <w:t>a conservative amicus than as a liberal amicus, but the difference is only about two percent</w:t>
      </w:r>
      <w:r w:rsidRPr="00A97706">
        <w:rPr>
          <w:rFonts w:eastAsia="Times New Roman" w:cs="Times New Roman"/>
          <w:szCs w:val="24"/>
        </w:rPr>
        <w:t xml:space="preserve">.  </w:t>
      </w:r>
      <w:r w:rsidR="008E684C">
        <w:rPr>
          <w:rFonts w:eastAsia="Times New Roman" w:cs="Times New Roman"/>
          <w:szCs w:val="24"/>
        </w:rPr>
        <w:t xml:space="preserve">Conservative state government amici participate in a higher percentage of cases (30.23 percent) </w:t>
      </w:r>
      <w:r w:rsidRPr="00A97706">
        <w:rPr>
          <w:rFonts w:eastAsia="Times New Roman" w:cs="Times New Roman"/>
          <w:szCs w:val="24"/>
        </w:rPr>
        <w:t xml:space="preserve">than </w:t>
      </w:r>
      <w:r w:rsidR="008E684C">
        <w:rPr>
          <w:rFonts w:eastAsia="Times New Roman" w:cs="Times New Roman"/>
          <w:szCs w:val="24"/>
        </w:rPr>
        <w:t>liberal ones (14.11</w:t>
      </w:r>
      <w:r w:rsidRPr="00A97706">
        <w:rPr>
          <w:rFonts w:eastAsia="Times New Roman" w:cs="Times New Roman"/>
          <w:szCs w:val="24"/>
        </w:rPr>
        <w:t xml:space="preserve"> percent).   In the cases in which they participate, liberal go</w:t>
      </w:r>
      <w:r w:rsidR="008E684C">
        <w:rPr>
          <w:rFonts w:eastAsia="Times New Roman" w:cs="Times New Roman"/>
          <w:szCs w:val="24"/>
        </w:rPr>
        <w:t>vernment amici average over 14</w:t>
      </w:r>
      <w:r w:rsidRPr="00A97706">
        <w:rPr>
          <w:rFonts w:eastAsia="Times New Roman" w:cs="Times New Roman"/>
          <w:szCs w:val="24"/>
        </w:rPr>
        <w:t xml:space="preserve"> amici per case.  In contrast, in cases in which conservati</w:t>
      </w:r>
      <w:r w:rsidR="008E684C">
        <w:rPr>
          <w:rFonts w:eastAsia="Times New Roman" w:cs="Times New Roman"/>
          <w:szCs w:val="24"/>
        </w:rPr>
        <w:t xml:space="preserve">ve government </w:t>
      </w:r>
      <w:r w:rsidR="008E684C">
        <w:rPr>
          <w:rFonts w:eastAsia="Times New Roman" w:cs="Times New Roman"/>
          <w:szCs w:val="24"/>
        </w:rPr>
        <w:lastRenderedPageBreak/>
        <w:t xml:space="preserve">amici participate, they average 22.6 amici per case.  Interestingly, liberal local government amici appear in the same percentage of cases (4.79 percent) as do conservative local government amici, even though liberal local government amici significantly outnumber their conservative counterparts (142 to 51).  </w:t>
      </w:r>
      <w:r w:rsidR="00BF292B">
        <w:rPr>
          <w:rFonts w:eastAsia="Times New Roman" w:cs="Times New Roman"/>
          <w:szCs w:val="24"/>
        </w:rPr>
        <w:t xml:space="preserve"> In the cases in which they participate, liberal local governments average 7.47 amici per case, while conservative local governments only average 2.68 amici per case.   Finally, foreign government amici appeared in only five cases in the 2007-2011 terms.</w:t>
      </w:r>
      <w:r w:rsidR="00402F73">
        <w:rPr>
          <w:rStyle w:val="FootnoteReference"/>
          <w:rFonts w:eastAsia="Times New Roman" w:cs="Times New Roman"/>
          <w:szCs w:val="24"/>
        </w:rPr>
        <w:footnoteReference w:id="79"/>
      </w:r>
      <w:r w:rsidR="00BF292B">
        <w:rPr>
          <w:rFonts w:eastAsia="Times New Roman" w:cs="Times New Roman"/>
          <w:szCs w:val="24"/>
        </w:rPr>
        <w:t xml:space="preserve"> Liberal foreign governments appeared in three cases, and conservative foreign government amici in two cases.   However, in the three cases in which they participated, liberal foreign governments averaged over 11 amici per case, while conservative foreign governments averaged only two amici per case. </w:t>
      </w:r>
    </w:p>
    <w:p w:rsidR="005607AC" w:rsidRDefault="00BD7C58" w:rsidP="005607AC">
      <w:pPr>
        <w:spacing w:line="480" w:lineRule="auto"/>
        <w:ind w:left="0" w:firstLine="720"/>
        <w:rPr>
          <w:rFonts w:eastAsia="Times New Roman" w:cs="Times New Roman"/>
          <w:szCs w:val="24"/>
        </w:rPr>
      </w:pPr>
      <w:r>
        <w:rPr>
          <w:rFonts w:eastAsia="Times New Roman" w:cs="Times New Roman"/>
          <w:szCs w:val="24"/>
        </w:rPr>
        <w:t>In brief</w:t>
      </w:r>
      <w:r w:rsidR="005607AC" w:rsidRPr="00A97706">
        <w:rPr>
          <w:rFonts w:eastAsia="Times New Roman" w:cs="Times New Roman"/>
          <w:szCs w:val="24"/>
        </w:rPr>
        <w:t xml:space="preserve">, these findings demonstrate that </w:t>
      </w:r>
      <w:r>
        <w:rPr>
          <w:rFonts w:eastAsia="Times New Roman" w:cs="Times New Roman"/>
          <w:szCs w:val="24"/>
        </w:rPr>
        <w:t xml:space="preserve">conservative government amici are more prevalent than liberal government amici because of the predominance of conservative state amici at the Roberts Court.  Local government and foreign government amici exhibit a liberal bent, while the SG is relatively ideologically balanced.   </w:t>
      </w:r>
    </w:p>
    <w:p w:rsidR="00717635" w:rsidRDefault="009263CE" w:rsidP="00717635">
      <w:pPr>
        <w:spacing w:line="480" w:lineRule="auto"/>
        <w:ind w:left="0" w:firstLine="720"/>
        <w:rPr>
          <w:rFonts w:cs="Times New Roman"/>
          <w:szCs w:val="24"/>
        </w:rPr>
      </w:pPr>
      <w:r>
        <w:rPr>
          <w:rFonts w:eastAsia="Times New Roman" w:cs="Times New Roman"/>
          <w:szCs w:val="24"/>
        </w:rPr>
        <w:t xml:space="preserve">It is worth noting here </w:t>
      </w:r>
      <w:r>
        <w:rPr>
          <w:rFonts w:cs="Times New Roman"/>
          <w:szCs w:val="24"/>
        </w:rPr>
        <w:t xml:space="preserve">that the SG often participates in a case before the USSC not as an amicus, but as a party representing the interests of the federal government.  In fact, the SG was a party in 124 cases </w:t>
      </w:r>
      <w:proofErr w:type="gramStart"/>
      <w:r>
        <w:rPr>
          <w:rFonts w:cs="Times New Roman"/>
          <w:szCs w:val="24"/>
        </w:rPr>
        <w:t>between 2007-2011</w:t>
      </w:r>
      <w:proofErr w:type="gramEnd"/>
      <w:r>
        <w:rPr>
          <w:rFonts w:cs="Times New Roman"/>
          <w:szCs w:val="24"/>
        </w:rPr>
        <w:t xml:space="preserve">. The SG was a liberal party in 23 cases (18.5 percent); a conservative party in 98 cases (79.03 percent); and an unspecifiable party in 3 cases (2.42 percent).  Collins (2008, 105) reports that during the 1946-2001 terms of the USSC, the SG served as a party in more than 41 percent of all cases argued before the USSC.  This compares to 31 percent of cases in which the SG appeared as a party during the 2007-2011 terms of the </w:t>
      </w:r>
      <w:r>
        <w:rPr>
          <w:rFonts w:cs="Times New Roman"/>
          <w:szCs w:val="24"/>
        </w:rPr>
        <w:lastRenderedPageBreak/>
        <w:t>USSC.   Therefore, when the SG is a party, the SG is much more likely to advocate a conservative position (almost 80 percent of the time) than when the SG is an amicus (abou</w:t>
      </w:r>
      <w:r w:rsidR="000B02C5">
        <w:rPr>
          <w:rFonts w:cs="Times New Roman"/>
          <w:szCs w:val="24"/>
        </w:rPr>
        <w:t xml:space="preserve">t 47 percent of the time) at the Roberts Court.  Regardless, in either capacity, the SG is more likely to assume a conservative stance, which is notable, as the </w:t>
      </w:r>
      <w:r>
        <w:rPr>
          <w:rFonts w:cs="Times New Roman"/>
          <w:szCs w:val="24"/>
        </w:rPr>
        <w:t>SG has predominantly represented the interests of the</w:t>
      </w:r>
      <w:r w:rsidR="000B02C5">
        <w:rPr>
          <w:rFonts w:cs="Times New Roman"/>
          <w:szCs w:val="24"/>
        </w:rPr>
        <w:t xml:space="preserve"> liberal</w:t>
      </w:r>
      <w:r>
        <w:rPr>
          <w:rFonts w:cs="Times New Roman"/>
          <w:szCs w:val="24"/>
        </w:rPr>
        <w:t xml:space="preserve"> Obama </w:t>
      </w:r>
      <w:r w:rsidR="007C7BD8">
        <w:rPr>
          <w:rFonts w:cs="Times New Roman"/>
          <w:szCs w:val="24"/>
        </w:rPr>
        <w:t xml:space="preserve">administration </w:t>
      </w:r>
      <w:r w:rsidR="000B02C5">
        <w:rPr>
          <w:rFonts w:cs="Times New Roman"/>
          <w:szCs w:val="24"/>
        </w:rPr>
        <w:t>during the 2007-2011 terms of the Roberts Court.</w:t>
      </w:r>
    </w:p>
    <w:p w:rsidR="00F122E7" w:rsidRPr="00717635" w:rsidRDefault="00F122E7" w:rsidP="00717635">
      <w:pPr>
        <w:spacing w:line="480" w:lineRule="auto"/>
        <w:ind w:left="0" w:firstLine="720"/>
        <w:rPr>
          <w:rFonts w:cs="Times New Roman"/>
          <w:szCs w:val="24"/>
        </w:rPr>
      </w:pPr>
    </w:p>
    <w:p w:rsidR="00D658FC" w:rsidRPr="0056631B" w:rsidRDefault="00D658FC" w:rsidP="00D658FC">
      <w:pPr>
        <w:pStyle w:val="ListParagraph"/>
        <w:numPr>
          <w:ilvl w:val="0"/>
          <w:numId w:val="32"/>
        </w:numPr>
        <w:autoSpaceDE w:val="0"/>
        <w:autoSpaceDN w:val="0"/>
        <w:adjustRightInd w:val="0"/>
        <w:spacing w:line="480" w:lineRule="auto"/>
        <w:rPr>
          <w:b/>
          <w:szCs w:val="24"/>
        </w:rPr>
      </w:pPr>
      <w:r w:rsidRPr="0056631B">
        <w:rPr>
          <w:b/>
          <w:szCs w:val="24"/>
        </w:rPr>
        <w:t>Frequency of Participation and Winning Percentage</w:t>
      </w:r>
      <w:r w:rsidR="0056631B">
        <w:rPr>
          <w:b/>
          <w:szCs w:val="24"/>
        </w:rPr>
        <w:t xml:space="preserve"> of </w:t>
      </w:r>
      <w:r w:rsidRPr="0056631B">
        <w:rPr>
          <w:b/>
          <w:szCs w:val="24"/>
        </w:rPr>
        <w:t>Prestigious Amici</w:t>
      </w:r>
    </w:p>
    <w:p w:rsidR="00BA4819" w:rsidRDefault="00D658FC" w:rsidP="009C0CF0">
      <w:pPr>
        <w:tabs>
          <w:tab w:val="left" w:pos="720"/>
        </w:tabs>
        <w:spacing w:line="480" w:lineRule="auto"/>
        <w:ind w:left="0" w:firstLine="0"/>
        <w:rPr>
          <w:rFonts w:cs="Times New Roman"/>
        </w:rPr>
      </w:pPr>
      <w:r>
        <w:rPr>
          <w:rFonts w:cs="Times New Roman"/>
          <w:szCs w:val="24"/>
        </w:rPr>
        <w:tab/>
      </w:r>
      <w:r w:rsidR="00E01C10">
        <w:rPr>
          <w:rFonts w:cs="Times New Roman"/>
          <w:szCs w:val="24"/>
        </w:rPr>
        <w:t xml:space="preserve">Table 4.7 ranks the most frequent amicus participants on the Roberts Court of the ten prestigious interest groups that I chose to track for purposes of this study. </w:t>
      </w:r>
      <w:r w:rsidR="00E01C10">
        <w:rPr>
          <w:rFonts w:cs="Times New Roman"/>
        </w:rPr>
        <w:t xml:space="preserve"> As stated in Chapter3, these ten interest groups are representative of the most prestigious, experienced, and prominent amici, based upon the literature.   Table 4.7 ranks these ten groups based upon their total amicus participation during the 2007-2011 terms of the Roberts Court.   In addition, this table provides information on the number of conservative, liberal, and unspecifiable amicus briefs that each group submitted.   The NACDL is the most active amicus participant at the Roberts Court, submitting 100</w:t>
      </w:r>
      <w:r w:rsidR="00904A17">
        <w:rPr>
          <w:rFonts w:cs="Times New Roman"/>
        </w:rPr>
        <w:t xml:space="preserve"> total briefs, 90 of which were liberal.  The Chamber of Commerce was the second leading amicus participant, submitting 79 amicus briefs, 61 percent of which were conservative.  The ACLU ranked third, filing 75 amicus briefs, 84 percent of which were liberal.</w:t>
      </w:r>
      <w:r w:rsidR="007A3C23">
        <w:rPr>
          <w:rFonts w:cs="Times New Roman"/>
        </w:rPr>
        <w:t xml:space="preserve">  Rounding out the top five were</w:t>
      </w:r>
      <w:r w:rsidR="0053373F">
        <w:rPr>
          <w:rFonts w:cs="Times New Roman"/>
        </w:rPr>
        <w:t xml:space="preserve"> the AARP, and the Washington Legal Foundation, submitting 60 and 51 briefs, respectively.  </w:t>
      </w:r>
      <w:r w:rsidR="007A3C23">
        <w:rPr>
          <w:rFonts w:cs="Times New Roman"/>
        </w:rPr>
        <w:t xml:space="preserve">In all, </w:t>
      </w:r>
      <w:r w:rsidR="0053373F">
        <w:rPr>
          <w:rFonts w:cs="Times New Roman"/>
        </w:rPr>
        <w:t xml:space="preserve">70 percent of the AARP’s briefs were liberal, while </w:t>
      </w:r>
      <w:r w:rsidR="009C0CF0">
        <w:rPr>
          <w:rFonts w:cs="Times New Roman"/>
        </w:rPr>
        <w:t>70.5 percent of WLF’s briefs were conservative.  Looking at rankings six through ten, 67 percent of the Pacific Legal Foundation’s briefs were conservative; 75 percent of the NAACP’s briefs were liberal; 82 percent of the ABA’s briefs were liberal; 76 percent of the AFL-CIO’s briefs were liberal; and 64 percent of the AMA’s briefs were conservative.</w:t>
      </w:r>
    </w:p>
    <w:p w:rsidR="00BA4819" w:rsidRDefault="00BA4819" w:rsidP="00BA4819">
      <w:pPr>
        <w:tabs>
          <w:tab w:val="left" w:pos="1365"/>
        </w:tabs>
        <w:spacing w:line="480" w:lineRule="auto"/>
        <w:ind w:left="0" w:firstLine="0"/>
        <w:rPr>
          <w:rFonts w:cs="Times New Roman"/>
          <w:b/>
          <w:szCs w:val="24"/>
        </w:rPr>
      </w:pPr>
      <w:proofErr w:type="gramStart"/>
      <w:r>
        <w:rPr>
          <w:rFonts w:cs="Times New Roman"/>
          <w:b/>
          <w:szCs w:val="24"/>
        </w:rPr>
        <w:lastRenderedPageBreak/>
        <w:t>Table 4.7</w:t>
      </w:r>
      <w:r w:rsidRPr="004F50FC">
        <w:rPr>
          <w:rFonts w:cs="Times New Roman"/>
          <w:b/>
          <w:szCs w:val="24"/>
        </w:rPr>
        <w:t>.</w:t>
      </w:r>
      <w:proofErr w:type="gramEnd"/>
      <w:r w:rsidRPr="004F50FC">
        <w:rPr>
          <w:rFonts w:cs="Times New Roman"/>
          <w:b/>
          <w:szCs w:val="24"/>
        </w:rPr>
        <w:t xml:space="preserve">  Most Frequent </w:t>
      </w:r>
      <w:r>
        <w:rPr>
          <w:rFonts w:cs="Times New Roman"/>
          <w:b/>
          <w:szCs w:val="24"/>
        </w:rPr>
        <w:t xml:space="preserve">Tracked </w:t>
      </w:r>
      <w:r w:rsidRPr="004F50FC">
        <w:rPr>
          <w:rFonts w:cs="Times New Roman"/>
          <w:b/>
          <w:szCs w:val="24"/>
        </w:rPr>
        <w:t>Amicus</w:t>
      </w:r>
      <w:r>
        <w:rPr>
          <w:rFonts w:cs="Times New Roman"/>
          <w:b/>
          <w:szCs w:val="24"/>
        </w:rPr>
        <w:t xml:space="preserve"> Interest Groups, 2007-2011 Terms</w:t>
      </w:r>
    </w:p>
    <w:tbl>
      <w:tblPr>
        <w:tblW w:w="0" w:type="auto"/>
        <w:tblInd w:w="93" w:type="dxa"/>
        <w:tblBorders>
          <w:top w:val="single" w:sz="18" w:space="0" w:color="auto"/>
          <w:bottom w:val="single" w:sz="18" w:space="0" w:color="auto"/>
        </w:tblBorders>
        <w:tblLayout w:type="fixed"/>
        <w:tblLook w:val="04A0" w:firstRow="1" w:lastRow="0" w:firstColumn="1" w:lastColumn="0" w:noHBand="0" w:noVBand="1"/>
      </w:tblPr>
      <w:tblGrid>
        <w:gridCol w:w="645"/>
        <w:gridCol w:w="90"/>
        <w:gridCol w:w="3353"/>
        <w:gridCol w:w="1183"/>
        <w:gridCol w:w="1553"/>
        <w:gridCol w:w="1596"/>
        <w:gridCol w:w="1063"/>
      </w:tblGrid>
      <w:tr w:rsidR="00BA4819" w:rsidRPr="001650A6" w:rsidTr="002D72FB">
        <w:trPr>
          <w:trHeight w:val="576"/>
        </w:trPr>
        <w:tc>
          <w:tcPr>
            <w:tcW w:w="735" w:type="dxa"/>
            <w:gridSpan w:val="2"/>
            <w:tcBorders>
              <w:top w:val="single" w:sz="18" w:space="0" w:color="auto"/>
              <w:bottom w:val="single" w:sz="18" w:space="0" w:color="auto"/>
            </w:tcBorders>
            <w:vAlign w:val="center"/>
          </w:tcPr>
          <w:p w:rsidR="00BA4819" w:rsidRPr="001650A6" w:rsidRDefault="00BA4819" w:rsidP="002D72FB">
            <w:pPr>
              <w:ind w:left="0" w:firstLine="0"/>
              <w:rPr>
                <w:rFonts w:eastAsia="Times New Roman" w:cs="Times New Roman"/>
                <w:bCs/>
                <w:color w:val="000000"/>
                <w:sz w:val="22"/>
              </w:rPr>
            </w:pPr>
            <w:r>
              <w:rPr>
                <w:rFonts w:eastAsia="Times New Roman" w:cs="Times New Roman"/>
                <w:bCs/>
                <w:color w:val="000000"/>
                <w:sz w:val="22"/>
              </w:rPr>
              <w:t>Rank</w:t>
            </w:r>
          </w:p>
        </w:tc>
        <w:tc>
          <w:tcPr>
            <w:tcW w:w="3353" w:type="dxa"/>
            <w:tcBorders>
              <w:top w:val="single" w:sz="18" w:space="0" w:color="auto"/>
              <w:bottom w:val="single" w:sz="18" w:space="0" w:color="auto"/>
            </w:tcBorders>
            <w:shd w:val="clear" w:color="auto" w:fill="auto"/>
            <w:noWrap/>
            <w:vAlign w:val="center"/>
            <w:hideMark/>
          </w:tcPr>
          <w:p w:rsidR="00BA4819" w:rsidRPr="001650A6" w:rsidRDefault="00BA4819" w:rsidP="002D72FB">
            <w:pPr>
              <w:ind w:left="0" w:firstLine="0"/>
              <w:rPr>
                <w:rFonts w:eastAsia="Times New Roman" w:cs="Times New Roman"/>
                <w:bCs/>
                <w:color w:val="000000"/>
                <w:sz w:val="22"/>
              </w:rPr>
            </w:pPr>
            <w:r w:rsidRPr="001650A6">
              <w:rPr>
                <w:rFonts w:eastAsia="Times New Roman" w:cs="Times New Roman"/>
                <w:bCs/>
                <w:color w:val="000000"/>
                <w:sz w:val="22"/>
              </w:rPr>
              <w:t>Amicus Name</w:t>
            </w:r>
          </w:p>
        </w:tc>
        <w:tc>
          <w:tcPr>
            <w:tcW w:w="1183" w:type="dxa"/>
            <w:tcBorders>
              <w:top w:val="single" w:sz="18" w:space="0" w:color="auto"/>
              <w:bottom w:val="single" w:sz="18" w:space="0" w:color="auto"/>
            </w:tcBorders>
            <w:shd w:val="clear" w:color="auto" w:fill="auto"/>
            <w:noWrap/>
            <w:vAlign w:val="center"/>
            <w:hideMark/>
          </w:tcPr>
          <w:p w:rsidR="00BA4819" w:rsidRPr="001650A6" w:rsidRDefault="00BA4819" w:rsidP="002D72FB">
            <w:pPr>
              <w:ind w:left="0" w:firstLine="0"/>
              <w:jc w:val="center"/>
              <w:rPr>
                <w:rFonts w:eastAsia="Times New Roman" w:cs="Times New Roman"/>
                <w:bCs/>
                <w:color w:val="000000"/>
                <w:sz w:val="22"/>
              </w:rPr>
            </w:pPr>
            <w:r w:rsidRPr="001650A6">
              <w:rPr>
                <w:rFonts w:eastAsia="Times New Roman" w:cs="Times New Roman"/>
                <w:bCs/>
                <w:color w:val="000000"/>
                <w:sz w:val="22"/>
              </w:rPr>
              <w:t>Liberal Amicus</w:t>
            </w:r>
          </w:p>
        </w:tc>
        <w:tc>
          <w:tcPr>
            <w:tcW w:w="1553" w:type="dxa"/>
            <w:tcBorders>
              <w:top w:val="single" w:sz="18" w:space="0" w:color="auto"/>
              <w:bottom w:val="single" w:sz="18" w:space="0" w:color="auto"/>
            </w:tcBorders>
            <w:shd w:val="clear" w:color="auto" w:fill="auto"/>
            <w:noWrap/>
            <w:vAlign w:val="center"/>
            <w:hideMark/>
          </w:tcPr>
          <w:p w:rsidR="00BA4819" w:rsidRPr="001650A6" w:rsidRDefault="00BA4819" w:rsidP="002D72FB">
            <w:pPr>
              <w:ind w:left="0" w:firstLine="0"/>
              <w:jc w:val="center"/>
              <w:rPr>
                <w:rFonts w:eastAsia="Times New Roman" w:cs="Times New Roman"/>
                <w:bCs/>
                <w:color w:val="000000"/>
                <w:sz w:val="22"/>
              </w:rPr>
            </w:pPr>
            <w:r w:rsidRPr="001650A6">
              <w:rPr>
                <w:rFonts w:eastAsia="Times New Roman" w:cs="Times New Roman"/>
                <w:bCs/>
                <w:color w:val="000000"/>
                <w:sz w:val="22"/>
              </w:rPr>
              <w:t>Conservative Amicus</w:t>
            </w:r>
          </w:p>
        </w:tc>
        <w:tc>
          <w:tcPr>
            <w:tcW w:w="1596" w:type="dxa"/>
            <w:tcBorders>
              <w:top w:val="single" w:sz="18" w:space="0" w:color="auto"/>
              <w:bottom w:val="single" w:sz="18" w:space="0" w:color="auto"/>
            </w:tcBorders>
            <w:shd w:val="clear" w:color="auto" w:fill="auto"/>
            <w:noWrap/>
            <w:vAlign w:val="center"/>
            <w:hideMark/>
          </w:tcPr>
          <w:p w:rsidR="00BA4819" w:rsidRPr="001650A6" w:rsidRDefault="00BA4819" w:rsidP="002D72FB">
            <w:pPr>
              <w:ind w:left="0" w:firstLine="0"/>
              <w:jc w:val="center"/>
              <w:rPr>
                <w:rFonts w:eastAsia="Times New Roman" w:cs="Times New Roman"/>
                <w:bCs/>
                <w:color w:val="000000"/>
                <w:sz w:val="22"/>
              </w:rPr>
            </w:pPr>
            <w:r w:rsidRPr="001650A6">
              <w:rPr>
                <w:rFonts w:eastAsia="Times New Roman" w:cs="Times New Roman"/>
                <w:bCs/>
                <w:color w:val="000000"/>
                <w:sz w:val="22"/>
              </w:rPr>
              <w:t>Unspecifiable Amicus</w:t>
            </w:r>
          </w:p>
        </w:tc>
        <w:tc>
          <w:tcPr>
            <w:tcW w:w="1063" w:type="dxa"/>
            <w:tcBorders>
              <w:top w:val="single" w:sz="18" w:space="0" w:color="auto"/>
              <w:bottom w:val="single" w:sz="18" w:space="0" w:color="auto"/>
            </w:tcBorders>
            <w:shd w:val="clear" w:color="auto" w:fill="auto"/>
            <w:noWrap/>
            <w:vAlign w:val="center"/>
            <w:hideMark/>
          </w:tcPr>
          <w:p w:rsidR="00BA4819" w:rsidRPr="001650A6" w:rsidRDefault="00BA4819" w:rsidP="002D72FB">
            <w:pPr>
              <w:ind w:left="0" w:firstLine="0"/>
              <w:jc w:val="center"/>
              <w:rPr>
                <w:rFonts w:eastAsia="Times New Roman" w:cs="Times New Roman"/>
                <w:bCs/>
                <w:color w:val="000000"/>
                <w:sz w:val="22"/>
              </w:rPr>
            </w:pPr>
            <w:r w:rsidRPr="001650A6">
              <w:rPr>
                <w:rFonts w:eastAsia="Times New Roman" w:cs="Times New Roman"/>
                <w:bCs/>
                <w:color w:val="000000"/>
                <w:sz w:val="22"/>
              </w:rPr>
              <w:t>Total</w:t>
            </w:r>
            <w:r>
              <w:rPr>
                <w:rFonts w:eastAsia="Times New Roman" w:cs="Times New Roman"/>
                <w:bCs/>
                <w:color w:val="000000"/>
                <w:sz w:val="22"/>
              </w:rPr>
              <w:t xml:space="preserve"> Amicus</w:t>
            </w:r>
          </w:p>
        </w:tc>
      </w:tr>
      <w:tr w:rsidR="00BA4819" w:rsidRPr="001650A6" w:rsidTr="002D72FB">
        <w:trPr>
          <w:trHeight w:val="720"/>
        </w:trPr>
        <w:tc>
          <w:tcPr>
            <w:tcW w:w="645" w:type="dxa"/>
            <w:tcBorders>
              <w:top w:val="single" w:sz="18" w:space="0" w:color="auto"/>
            </w:tcBorders>
            <w:vAlign w:val="center"/>
          </w:tcPr>
          <w:p w:rsidR="00BA4819" w:rsidRPr="001650A6" w:rsidRDefault="00BA4819" w:rsidP="002D72FB">
            <w:pPr>
              <w:ind w:left="0" w:firstLine="0"/>
              <w:rPr>
                <w:rFonts w:eastAsia="Times New Roman" w:cs="Times New Roman"/>
                <w:color w:val="000000"/>
                <w:sz w:val="22"/>
              </w:rPr>
            </w:pPr>
            <w:r w:rsidRPr="001650A6">
              <w:rPr>
                <w:rFonts w:eastAsia="Times New Roman" w:cs="Times New Roman"/>
                <w:color w:val="000000"/>
                <w:sz w:val="22"/>
              </w:rPr>
              <w:t>1</w:t>
            </w:r>
          </w:p>
        </w:tc>
        <w:tc>
          <w:tcPr>
            <w:tcW w:w="3443" w:type="dxa"/>
            <w:gridSpan w:val="2"/>
            <w:tcBorders>
              <w:top w:val="single" w:sz="18" w:space="0" w:color="auto"/>
            </w:tcBorders>
            <w:shd w:val="clear" w:color="auto" w:fill="auto"/>
            <w:noWrap/>
            <w:vAlign w:val="center"/>
            <w:hideMark/>
          </w:tcPr>
          <w:p w:rsidR="00BA4819" w:rsidRPr="001650A6" w:rsidRDefault="00BA4819" w:rsidP="002D72FB">
            <w:pPr>
              <w:ind w:left="0" w:firstLine="0"/>
              <w:rPr>
                <w:rFonts w:eastAsia="Times New Roman" w:cs="Times New Roman"/>
                <w:b/>
                <w:color w:val="000000"/>
                <w:sz w:val="22"/>
              </w:rPr>
            </w:pPr>
            <w:r w:rsidRPr="001650A6">
              <w:rPr>
                <w:rFonts w:eastAsia="Times New Roman" w:cs="Times New Roman"/>
                <w:b/>
                <w:color w:val="000000"/>
                <w:sz w:val="22"/>
              </w:rPr>
              <w:t>National Association of Criminal Defense Lawyers</w:t>
            </w:r>
          </w:p>
        </w:tc>
        <w:tc>
          <w:tcPr>
            <w:tcW w:w="1183" w:type="dxa"/>
            <w:tcBorders>
              <w:top w:val="single" w:sz="18" w:space="0" w:color="auto"/>
            </w:tcBorders>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90</w:t>
            </w:r>
          </w:p>
        </w:tc>
        <w:tc>
          <w:tcPr>
            <w:tcW w:w="1553" w:type="dxa"/>
            <w:tcBorders>
              <w:top w:val="single" w:sz="18" w:space="0" w:color="auto"/>
            </w:tcBorders>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5</w:t>
            </w:r>
          </w:p>
        </w:tc>
        <w:tc>
          <w:tcPr>
            <w:tcW w:w="1596" w:type="dxa"/>
            <w:tcBorders>
              <w:top w:val="single" w:sz="18" w:space="0" w:color="auto"/>
            </w:tcBorders>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5</w:t>
            </w:r>
          </w:p>
        </w:tc>
        <w:tc>
          <w:tcPr>
            <w:tcW w:w="1063" w:type="dxa"/>
            <w:tcBorders>
              <w:top w:val="single" w:sz="18" w:space="0" w:color="auto"/>
            </w:tcBorders>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100</w:t>
            </w:r>
          </w:p>
        </w:tc>
      </w:tr>
      <w:tr w:rsidR="00BA4819" w:rsidRPr="001650A6" w:rsidTr="002D72FB">
        <w:trPr>
          <w:trHeight w:val="720"/>
        </w:trPr>
        <w:tc>
          <w:tcPr>
            <w:tcW w:w="645" w:type="dxa"/>
            <w:vAlign w:val="center"/>
          </w:tcPr>
          <w:p w:rsidR="00BA4819" w:rsidRPr="001650A6" w:rsidRDefault="00BA4819" w:rsidP="002D72FB">
            <w:pPr>
              <w:ind w:left="0" w:firstLine="0"/>
              <w:rPr>
                <w:rFonts w:eastAsia="Times New Roman" w:cs="Times New Roman"/>
                <w:color w:val="000000"/>
                <w:sz w:val="22"/>
              </w:rPr>
            </w:pPr>
            <w:r w:rsidRPr="001650A6">
              <w:rPr>
                <w:rFonts w:eastAsia="Times New Roman" w:cs="Times New Roman"/>
                <w:color w:val="000000"/>
                <w:sz w:val="22"/>
              </w:rPr>
              <w:t>2</w:t>
            </w:r>
          </w:p>
        </w:tc>
        <w:tc>
          <w:tcPr>
            <w:tcW w:w="3443" w:type="dxa"/>
            <w:gridSpan w:val="2"/>
            <w:shd w:val="clear" w:color="auto" w:fill="auto"/>
            <w:noWrap/>
            <w:vAlign w:val="center"/>
            <w:hideMark/>
          </w:tcPr>
          <w:p w:rsidR="00BA4819" w:rsidRPr="001650A6" w:rsidRDefault="00BA4819" w:rsidP="002D72FB">
            <w:pPr>
              <w:ind w:left="0" w:firstLine="0"/>
              <w:rPr>
                <w:rFonts w:eastAsia="Times New Roman" w:cs="Times New Roman"/>
                <w:b/>
                <w:color w:val="000000"/>
                <w:sz w:val="22"/>
              </w:rPr>
            </w:pPr>
            <w:r w:rsidRPr="001650A6">
              <w:rPr>
                <w:rFonts w:eastAsia="Times New Roman" w:cs="Times New Roman"/>
                <w:b/>
                <w:color w:val="000000"/>
                <w:sz w:val="22"/>
              </w:rPr>
              <w:t>Chamber of Commerce</w:t>
            </w:r>
          </w:p>
        </w:tc>
        <w:tc>
          <w:tcPr>
            <w:tcW w:w="118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24</w:t>
            </w:r>
          </w:p>
        </w:tc>
        <w:tc>
          <w:tcPr>
            <w:tcW w:w="155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48</w:t>
            </w:r>
          </w:p>
        </w:tc>
        <w:tc>
          <w:tcPr>
            <w:tcW w:w="1596"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7</w:t>
            </w:r>
          </w:p>
        </w:tc>
        <w:tc>
          <w:tcPr>
            <w:tcW w:w="106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79</w:t>
            </w:r>
          </w:p>
        </w:tc>
      </w:tr>
      <w:tr w:rsidR="00BA4819" w:rsidRPr="001650A6" w:rsidTr="002D72FB">
        <w:trPr>
          <w:trHeight w:val="720"/>
        </w:trPr>
        <w:tc>
          <w:tcPr>
            <w:tcW w:w="645" w:type="dxa"/>
            <w:vAlign w:val="center"/>
          </w:tcPr>
          <w:p w:rsidR="00BA4819" w:rsidRPr="001650A6" w:rsidRDefault="00BA4819" w:rsidP="002D72FB">
            <w:pPr>
              <w:ind w:left="0" w:firstLine="0"/>
              <w:rPr>
                <w:rFonts w:eastAsia="Times New Roman" w:cs="Times New Roman"/>
                <w:color w:val="000000"/>
                <w:sz w:val="22"/>
              </w:rPr>
            </w:pPr>
            <w:r w:rsidRPr="001650A6">
              <w:rPr>
                <w:rFonts w:eastAsia="Times New Roman" w:cs="Times New Roman"/>
                <w:color w:val="000000"/>
                <w:sz w:val="22"/>
              </w:rPr>
              <w:t>3</w:t>
            </w:r>
          </w:p>
        </w:tc>
        <w:tc>
          <w:tcPr>
            <w:tcW w:w="3443" w:type="dxa"/>
            <w:gridSpan w:val="2"/>
            <w:shd w:val="clear" w:color="auto" w:fill="auto"/>
            <w:noWrap/>
            <w:vAlign w:val="center"/>
            <w:hideMark/>
          </w:tcPr>
          <w:p w:rsidR="00BA4819" w:rsidRPr="001650A6" w:rsidRDefault="00BA4819" w:rsidP="002D72FB">
            <w:pPr>
              <w:ind w:left="0" w:firstLine="0"/>
              <w:rPr>
                <w:rFonts w:eastAsia="Times New Roman" w:cs="Times New Roman"/>
                <w:b/>
                <w:color w:val="000000"/>
                <w:sz w:val="22"/>
              </w:rPr>
            </w:pPr>
            <w:r w:rsidRPr="001650A6">
              <w:rPr>
                <w:rFonts w:eastAsia="Times New Roman" w:cs="Times New Roman"/>
                <w:b/>
                <w:color w:val="000000"/>
                <w:sz w:val="22"/>
              </w:rPr>
              <w:t>American Civil Liberties Union</w:t>
            </w:r>
          </w:p>
        </w:tc>
        <w:tc>
          <w:tcPr>
            <w:tcW w:w="118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63</w:t>
            </w:r>
          </w:p>
        </w:tc>
        <w:tc>
          <w:tcPr>
            <w:tcW w:w="155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8</w:t>
            </w:r>
          </w:p>
        </w:tc>
        <w:tc>
          <w:tcPr>
            <w:tcW w:w="1596"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4</w:t>
            </w:r>
          </w:p>
        </w:tc>
        <w:tc>
          <w:tcPr>
            <w:tcW w:w="106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75</w:t>
            </w:r>
          </w:p>
        </w:tc>
      </w:tr>
      <w:tr w:rsidR="00BA4819" w:rsidRPr="001650A6" w:rsidTr="002D72FB">
        <w:trPr>
          <w:trHeight w:val="720"/>
        </w:trPr>
        <w:tc>
          <w:tcPr>
            <w:tcW w:w="645" w:type="dxa"/>
            <w:vAlign w:val="center"/>
          </w:tcPr>
          <w:p w:rsidR="00BA4819" w:rsidRPr="001650A6" w:rsidRDefault="00BA4819" w:rsidP="002D72FB">
            <w:pPr>
              <w:ind w:left="0" w:firstLine="0"/>
              <w:rPr>
                <w:rFonts w:eastAsia="Times New Roman" w:cs="Times New Roman"/>
                <w:color w:val="000000"/>
                <w:sz w:val="22"/>
              </w:rPr>
            </w:pPr>
            <w:r w:rsidRPr="001650A6">
              <w:rPr>
                <w:rFonts w:eastAsia="Times New Roman" w:cs="Times New Roman"/>
                <w:color w:val="000000"/>
                <w:sz w:val="22"/>
              </w:rPr>
              <w:t>4</w:t>
            </w:r>
          </w:p>
        </w:tc>
        <w:tc>
          <w:tcPr>
            <w:tcW w:w="3443" w:type="dxa"/>
            <w:gridSpan w:val="2"/>
            <w:shd w:val="clear" w:color="auto" w:fill="auto"/>
            <w:noWrap/>
            <w:vAlign w:val="center"/>
            <w:hideMark/>
          </w:tcPr>
          <w:p w:rsidR="00BA4819" w:rsidRPr="001650A6" w:rsidRDefault="00BA4819" w:rsidP="002D72FB">
            <w:pPr>
              <w:ind w:left="0" w:firstLine="0"/>
              <w:rPr>
                <w:rFonts w:eastAsia="Times New Roman" w:cs="Times New Roman"/>
                <w:b/>
                <w:color w:val="000000"/>
                <w:sz w:val="22"/>
              </w:rPr>
            </w:pPr>
            <w:r w:rsidRPr="001650A6">
              <w:rPr>
                <w:rFonts w:eastAsia="Times New Roman" w:cs="Times New Roman"/>
                <w:b/>
                <w:color w:val="000000"/>
                <w:sz w:val="22"/>
              </w:rPr>
              <w:t>American Association of Retired Persons</w:t>
            </w:r>
          </w:p>
        </w:tc>
        <w:tc>
          <w:tcPr>
            <w:tcW w:w="118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42</w:t>
            </w:r>
          </w:p>
        </w:tc>
        <w:tc>
          <w:tcPr>
            <w:tcW w:w="155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9</w:t>
            </w:r>
          </w:p>
        </w:tc>
        <w:tc>
          <w:tcPr>
            <w:tcW w:w="1596"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9</w:t>
            </w:r>
          </w:p>
        </w:tc>
        <w:tc>
          <w:tcPr>
            <w:tcW w:w="106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60</w:t>
            </w:r>
          </w:p>
        </w:tc>
      </w:tr>
      <w:tr w:rsidR="00BA4819" w:rsidRPr="001650A6" w:rsidTr="002D72FB">
        <w:trPr>
          <w:trHeight w:val="720"/>
        </w:trPr>
        <w:tc>
          <w:tcPr>
            <w:tcW w:w="645" w:type="dxa"/>
            <w:vAlign w:val="center"/>
          </w:tcPr>
          <w:p w:rsidR="00BA4819" w:rsidRPr="001650A6" w:rsidRDefault="00BA4819" w:rsidP="002D72FB">
            <w:pPr>
              <w:ind w:left="0" w:firstLine="0"/>
              <w:rPr>
                <w:rFonts w:eastAsia="Times New Roman" w:cs="Times New Roman"/>
                <w:color w:val="000000"/>
                <w:sz w:val="22"/>
              </w:rPr>
            </w:pPr>
            <w:r w:rsidRPr="001650A6">
              <w:rPr>
                <w:rFonts w:eastAsia="Times New Roman" w:cs="Times New Roman"/>
                <w:color w:val="000000"/>
                <w:sz w:val="22"/>
              </w:rPr>
              <w:t>5</w:t>
            </w:r>
          </w:p>
        </w:tc>
        <w:tc>
          <w:tcPr>
            <w:tcW w:w="3443" w:type="dxa"/>
            <w:gridSpan w:val="2"/>
            <w:shd w:val="clear" w:color="auto" w:fill="auto"/>
            <w:noWrap/>
            <w:vAlign w:val="center"/>
            <w:hideMark/>
          </w:tcPr>
          <w:p w:rsidR="00BA4819" w:rsidRPr="001650A6" w:rsidRDefault="00BA4819" w:rsidP="002D72FB">
            <w:pPr>
              <w:ind w:left="0" w:firstLine="0"/>
              <w:rPr>
                <w:rFonts w:eastAsia="Times New Roman" w:cs="Times New Roman"/>
                <w:b/>
                <w:color w:val="000000"/>
                <w:sz w:val="22"/>
              </w:rPr>
            </w:pPr>
            <w:r w:rsidRPr="001650A6">
              <w:rPr>
                <w:rFonts w:eastAsia="Times New Roman" w:cs="Times New Roman"/>
                <w:b/>
                <w:color w:val="000000"/>
                <w:sz w:val="22"/>
              </w:rPr>
              <w:t>Washington Legal Foundation</w:t>
            </w:r>
          </w:p>
        </w:tc>
        <w:tc>
          <w:tcPr>
            <w:tcW w:w="118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13</w:t>
            </w:r>
          </w:p>
        </w:tc>
        <w:tc>
          <w:tcPr>
            <w:tcW w:w="155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36</w:t>
            </w:r>
          </w:p>
        </w:tc>
        <w:tc>
          <w:tcPr>
            <w:tcW w:w="1596"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2</w:t>
            </w:r>
          </w:p>
        </w:tc>
        <w:tc>
          <w:tcPr>
            <w:tcW w:w="106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51</w:t>
            </w:r>
          </w:p>
        </w:tc>
      </w:tr>
      <w:tr w:rsidR="00BA4819" w:rsidRPr="001650A6" w:rsidTr="002D72FB">
        <w:trPr>
          <w:trHeight w:val="720"/>
        </w:trPr>
        <w:tc>
          <w:tcPr>
            <w:tcW w:w="645" w:type="dxa"/>
            <w:vAlign w:val="center"/>
          </w:tcPr>
          <w:p w:rsidR="00BA4819" w:rsidRPr="001650A6" w:rsidRDefault="00BA4819" w:rsidP="002D72FB">
            <w:pPr>
              <w:ind w:left="0" w:firstLine="0"/>
              <w:rPr>
                <w:rFonts w:eastAsia="Times New Roman" w:cs="Times New Roman"/>
                <w:color w:val="000000"/>
                <w:sz w:val="22"/>
              </w:rPr>
            </w:pPr>
            <w:r w:rsidRPr="001650A6">
              <w:rPr>
                <w:rFonts w:eastAsia="Times New Roman" w:cs="Times New Roman"/>
                <w:color w:val="000000"/>
                <w:sz w:val="22"/>
              </w:rPr>
              <w:t>6</w:t>
            </w:r>
          </w:p>
        </w:tc>
        <w:tc>
          <w:tcPr>
            <w:tcW w:w="3443" w:type="dxa"/>
            <w:gridSpan w:val="2"/>
            <w:shd w:val="clear" w:color="auto" w:fill="auto"/>
            <w:noWrap/>
            <w:vAlign w:val="center"/>
            <w:hideMark/>
          </w:tcPr>
          <w:p w:rsidR="00BA4819" w:rsidRPr="001650A6" w:rsidRDefault="00BA4819" w:rsidP="002D72FB">
            <w:pPr>
              <w:ind w:left="0" w:firstLine="0"/>
              <w:rPr>
                <w:rFonts w:eastAsia="Times New Roman" w:cs="Times New Roman"/>
                <w:b/>
                <w:color w:val="000000"/>
                <w:sz w:val="22"/>
              </w:rPr>
            </w:pPr>
            <w:r w:rsidRPr="001650A6">
              <w:rPr>
                <w:rFonts w:eastAsia="Times New Roman" w:cs="Times New Roman"/>
                <w:b/>
                <w:color w:val="000000"/>
                <w:sz w:val="22"/>
              </w:rPr>
              <w:t>Pacific Legal Foundation</w:t>
            </w:r>
          </w:p>
        </w:tc>
        <w:tc>
          <w:tcPr>
            <w:tcW w:w="118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8</w:t>
            </w:r>
          </w:p>
        </w:tc>
        <w:tc>
          <w:tcPr>
            <w:tcW w:w="155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29</w:t>
            </w:r>
          </w:p>
        </w:tc>
        <w:tc>
          <w:tcPr>
            <w:tcW w:w="1596"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6</w:t>
            </w:r>
          </w:p>
        </w:tc>
        <w:tc>
          <w:tcPr>
            <w:tcW w:w="106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43</w:t>
            </w:r>
          </w:p>
        </w:tc>
      </w:tr>
      <w:tr w:rsidR="00BA4819" w:rsidRPr="001650A6" w:rsidTr="002D72FB">
        <w:trPr>
          <w:trHeight w:val="720"/>
        </w:trPr>
        <w:tc>
          <w:tcPr>
            <w:tcW w:w="645" w:type="dxa"/>
            <w:vAlign w:val="center"/>
          </w:tcPr>
          <w:p w:rsidR="00BA4819" w:rsidRPr="001650A6" w:rsidRDefault="00BA4819" w:rsidP="002D72FB">
            <w:pPr>
              <w:ind w:left="0" w:firstLine="0"/>
              <w:rPr>
                <w:rFonts w:eastAsia="Times New Roman" w:cs="Times New Roman"/>
                <w:color w:val="000000"/>
                <w:sz w:val="22"/>
              </w:rPr>
            </w:pPr>
            <w:r w:rsidRPr="001650A6">
              <w:rPr>
                <w:rFonts w:eastAsia="Times New Roman" w:cs="Times New Roman"/>
                <w:color w:val="000000"/>
                <w:sz w:val="22"/>
              </w:rPr>
              <w:t>7</w:t>
            </w:r>
          </w:p>
        </w:tc>
        <w:tc>
          <w:tcPr>
            <w:tcW w:w="3443" w:type="dxa"/>
            <w:gridSpan w:val="2"/>
            <w:shd w:val="clear" w:color="auto" w:fill="auto"/>
            <w:noWrap/>
            <w:vAlign w:val="center"/>
            <w:hideMark/>
          </w:tcPr>
          <w:p w:rsidR="00BA4819" w:rsidRPr="001650A6" w:rsidRDefault="00BA4819" w:rsidP="002D72FB">
            <w:pPr>
              <w:ind w:left="0" w:firstLine="0"/>
              <w:rPr>
                <w:rFonts w:eastAsia="Times New Roman" w:cs="Times New Roman"/>
                <w:b/>
                <w:color w:val="000000"/>
                <w:sz w:val="22"/>
              </w:rPr>
            </w:pPr>
            <w:r w:rsidRPr="001650A6">
              <w:rPr>
                <w:rFonts w:eastAsia="Times New Roman" w:cs="Times New Roman"/>
                <w:b/>
                <w:color w:val="000000"/>
                <w:sz w:val="22"/>
              </w:rPr>
              <w:t>NAACP / NAACP Legal Defense Fund</w:t>
            </w:r>
          </w:p>
        </w:tc>
        <w:tc>
          <w:tcPr>
            <w:tcW w:w="118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30</w:t>
            </w:r>
          </w:p>
        </w:tc>
        <w:tc>
          <w:tcPr>
            <w:tcW w:w="155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4</w:t>
            </w:r>
          </w:p>
        </w:tc>
        <w:tc>
          <w:tcPr>
            <w:tcW w:w="1596"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6</w:t>
            </w:r>
          </w:p>
        </w:tc>
        <w:tc>
          <w:tcPr>
            <w:tcW w:w="106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40</w:t>
            </w:r>
          </w:p>
        </w:tc>
      </w:tr>
      <w:tr w:rsidR="00BA4819" w:rsidRPr="001650A6" w:rsidTr="002D72FB">
        <w:trPr>
          <w:trHeight w:val="720"/>
        </w:trPr>
        <w:tc>
          <w:tcPr>
            <w:tcW w:w="645" w:type="dxa"/>
            <w:vAlign w:val="center"/>
          </w:tcPr>
          <w:p w:rsidR="00BA4819" w:rsidRPr="001650A6" w:rsidRDefault="00BA4819" w:rsidP="002D72FB">
            <w:pPr>
              <w:ind w:left="0" w:firstLine="0"/>
              <w:rPr>
                <w:rFonts w:eastAsia="Times New Roman" w:cs="Times New Roman"/>
                <w:color w:val="000000"/>
                <w:sz w:val="22"/>
              </w:rPr>
            </w:pPr>
            <w:r w:rsidRPr="001650A6">
              <w:rPr>
                <w:rFonts w:eastAsia="Times New Roman" w:cs="Times New Roman"/>
                <w:color w:val="000000"/>
                <w:sz w:val="22"/>
              </w:rPr>
              <w:t>8</w:t>
            </w:r>
          </w:p>
        </w:tc>
        <w:tc>
          <w:tcPr>
            <w:tcW w:w="3443" w:type="dxa"/>
            <w:gridSpan w:val="2"/>
            <w:shd w:val="clear" w:color="auto" w:fill="auto"/>
            <w:noWrap/>
            <w:vAlign w:val="center"/>
            <w:hideMark/>
          </w:tcPr>
          <w:p w:rsidR="00BA4819" w:rsidRPr="001650A6" w:rsidRDefault="00BA4819" w:rsidP="002D72FB">
            <w:pPr>
              <w:ind w:left="0" w:firstLine="0"/>
              <w:rPr>
                <w:rFonts w:eastAsia="Times New Roman" w:cs="Times New Roman"/>
                <w:b/>
                <w:color w:val="000000"/>
                <w:sz w:val="22"/>
              </w:rPr>
            </w:pPr>
            <w:r w:rsidRPr="001650A6">
              <w:rPr>
                <w:rFonts w:eastAsia="Times New Roman" w:cs="Times New Roman"/>
                <w:b/>
                <w:color w:val="000000"/>
                <w:sz w:val="22"/>
              </w:rPr>
              <w:t>American Bar Association</w:t>
            </w:r>
          </w:p>
        </w:tc>
        <w:tc>
          <w:tcPr>
            <w:tcW w:w="118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28</w:t>
            </w:r>
          </w:p>
        </w:tc>
        <w:tc>
          <w:tcPr>
            <w:tcW w:w="155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3</w:t>
            </w:r>
          </w:p>
        </w:tc>
        <w:tc>
          <w:tcPr>
            <w:tcW w:w="1596"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3</w:t>
            </w:r>
          </w:p>
        </w:tc>
        <w:tc>
          <w:tcPr>
            <w:tcW w:w="106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34</w:t>
            </w:r>
          </w:p>
        </w:tc>
      </w:tr>
      <w:tr w:rsidR="00BA4819" w:rsidRPr="001650A6" w:rsidTr="002D72FB">
        <w:trPr>
          <w:trHeight w:val="720"/>
        </w:trPr>
        <w:tc>
          <w:tcPr>
            <w:tcW w:w="645" w:type="dxa"/>
            <w:vAlign w:val="center"/>
          </w:tcPr>
          <w:p w:rsidR="00BA4819" w:rsidRPr="001650A6" w:rsidRDefault="00BA4819" w:rsidP="002D72FB">
            <w:pPr>
              <w:ind w:left="0" w:firstLine="0"/>
              <w:rPr>
                <w:rFonts w:eastAsia="Times New Roman" w:cs="Times New Roman"/>
                <w:color w:val="000000"/>
                <w:sz w:val="22"/>
              </w:rPr>
            </w:pPr>
            <w:r w:rsidRPr="001650A6">
              <w:rPr>
                <w:rFonts w:eastAsia="Times New Roman" w:cs="Times New Roman"/>
                <w:color w:val="000000"/>
                <w:sz w:val="22"/>
              </w:rPr>
              <w:t>9</w:t>
            </w:r>
          </w:p>
        </w:tc>
        <w:tc>
          <w:tcPr>
            <w:tcW w:w="3443" w:type="dxa"/>
            <w:gridSpan w:val="2"/>
            <w:shd w:val="clear" w:color="auto" w:fill="auto"/>
            <w:noWrap/>
            <w:vAlign w:val="center"/>
            <w:hideMark/>
          </w:tcPr>
          <w:p w:rsidR="00BA4819" w:rsidRPr="001650A6" w:rsidRDefault="00BA4819" w:rsidP="002D72FB">
            <w:pPr>
              <w:ind w:left="0" w:firstLine="0"/>
              <w:rPr>
                <w:rFonts w:eastAsia="Times New Roman" w:cs="Times New Roman"/>
                <w:b/>
                <w:color w:val="000000"/>
                <w:sz w:val="22"/>
              </w:rPr>
            </w:pPr>
            <w:r w:rsidRPr="001650A6">
              <w:rPr>
                <w:rFonts w:eastAsia="Times New Roman" w:cs="Times New Roman"/>
                <w:b/>
                <w:color w:val="000000"/>
                <w:sz w:val="22"/>
              </w:rPr>
              <w:t>AFL-CIO</w:t>
            </w:r>
          </w:p>
        </w:tc>
        <w:tc>
          <w:tcPr>
            <w:tcW w:w="118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13</w:t>
            </w:r>
          </w:p>
        </w:tc>
        <w:tc>
          <w:tcPr>
            <w:tcW w:w="155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4</w:t>
            </w:r>
          </w:p>
        </w:tc>
        <w:tc>
          <w:tcPr>
            <w:tcW w:w="1596"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Pr>
                <w:rFonts w:eastAsia="Times New Roman" w:cs="Times New Roman"/>
                <w:color w:val="000000"/>
                <w:sz w:val="22"/>
              </w:rPr>
              <w:t>0</w:t>
            </w:r>
          </w:p>
        </w:tc>
        <w:tc>
          <w:tcPr>
            <w:tcW w:w="106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17</w:t>
            </w:r>
          </w:p>
        </w:tc>
      </w:tr>
      <w:tr w:rsidR="00BA4819" w:rsidRPr="001650A6" w:rsidTr="002D72FB">
        <w:trPr>
          <w:trHeight w:val="720"/>
        </w:trPr>
        <w:tc>
          <w:tcPr>
            <w:tcW w:w="645" w:type="dxa"/>
            <w:vAlign w:val="center"/>
          </w:tcPr>
          <w:p w:rsidR="00BA4819" w:rsidRPr="001650A6" w:rsidRDefault="00BA4819" w:rsidP="002D72FB">
            <w:pPr>
              <w:ind w:left="0" w:firstLine="0"/>
              <w:rPr>
                <w:rFonts w:eastAsia="Times New Roman" w:cs="Times New Roman"/>
                <w:color w:val="000000"/>
                <w:sz w:val="22"/>
              </w:rPr>
            </w:pPr>
            <w:r w:rsidRPr="001650A6">
              <w:rPr>
                <w:rFonts w:eastAsia="Times New Roman" w:cs="Times New Roman"/>
                <w:color w:val="000000"/>
                <w:sz w:val="22"/>
              </w:rPr>
              <w:t>10</w:t>
            </w:r>
          </w:p>
        </w:tc>
        <w:tc>
          <w:tcPr>
            <w:tcW w:w="3443" w:type="dxa"/>
            <w:gridSpan w:val="2"/>
            <w:shd w:val="clear" w:color="auto" w:fill="auto"/>
            <w:noWrap/>
            <w:vAlign w:val="center"/>
            <w:hideMark/>
          </w:tcPr>
          <w:p w:rsidR="00BA4819" w:rsidRPr="001650A6" w:rsidRDefault="00BA4819" w:rsidP="002D72FB">
            <w:pPr>
              <w:ind w:left="0" w:firstLine="0"/>
              <w:rPr>
                <w:rFonts w:eastAsia="Times New Roman" w:cs="Times New Roman"/>
                <w:b/>
                <w:color w:val="000000"/>
                <w:sz w:val="22"/>
              </w:rPr>
            </w:pPr>
            <w:r w:rsidRPr="001650A6">
              <w:rPr>
                <w:rFonts w:eastAsia="Times New Roman" w:cs="Times New Roman"/>
                <w:b/>
                <w:color w:val="000000"/>
                <w:sz w:val="22"/>
              </w:rPr>
              <w:t>American Medical Association</w:t>
            </w:r>
          </w:p>
        </w:tc>
        <w:tc>
          <w:tcPr>
            <w:tcW w:w="118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2</w:t>
            </w:r>
          </w:p>
        </w:tc>
        <w:tc>
          <w:tcPr>
            <w:tcW w:w="155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9</w:t>
            </w:r>
          </w:p>
        </w:tc>
        <w:tc>
          <w:tcPr>
            <w:tcW w:w="1596"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3</w:t>
            </w:r>
          </w:p>
        </w:tc>
        <w:tc>
          <w:tcPr>
            <w:tcW w:w="1063" w:type="dxa"/>
            <w:shd w:val="clear" w:color="auto" w:fill="auto"/>
            <w:noWrap/>
            <w:vAlign w:val="center"/>
            <w:hideMark/>
          </w:tcPr>
          <w:p w:rsidR="00BA4819" w:rsidRPr="001650A6" w:rsidRDefault="00BA4819" w:rsidP="002D72FB">
            <w:pPr>
              <w:ind w:left="0" w:firstLine="0"/>
              <w:jc w:val="center"/>
              <w:rPr>
                <w:rFonts w:eastAsia="Times New Roman" w:cs="Times New Roman"/>
                <w:color w:val="000000"/>
                <w:sz w:val="22"/>
              </w:rPr>
            </w:pPr>
            <w:r w:rsidRPr="001650A6">
              <w:rPr>
                <w:rFonts w:eastAsia="Times New Roman" w:cs="Times New Roman"/>
                <w:color w:val="000000"/>
                <w:sz w:val="22"/>
              </w:rPr>
              <w:t>14</w:t>
            </w:r>
          </w:p>
        </w:tc>
      </w:tr>
    </w:tbl>
    <w:p w:rsidR="00BA4819" w:rsidRDefault="00BA4819" w:rsidP="00BA4819">
      <w:pPr>
        <w:tabs>
          <w:tab w:val="left" w:pos="1365"/>
        </w:tabs>
        <w:spacing w:line="480" w:lineRule="auto"/>
        <w:ind w:left="0" w:firstLine="0"/>
        <w:rPr>
          <w:rFonts w:cs="Times New Roman"/>
          <w:b/>
          <w:szCs w:val="24"/>
        </w:rPr>
      </w:pPr>
    </w:p>
    <w:p w:rsidR="00BA4819" w:rsidRDefault="009C0CF0" w:rsidP="009C0CF0">
      <w:pPr>
        <w:tabs>
          <w:tab w:val="left" w:pos="720"/>
        </w:tabs>
        <w:spacing w:line="480" w:lineRule="auto"/>
        <w:ind w:left="0" w:firstLine="0"/>
        <w:rPr>
          <w:rFonts w:cs="Times New Roman"/>
        </w:rPr>
      </w:pPr>
      <w:r>
        <w:rPr>
          <w:rFonts w:cs="Times New Roman"/>
        </w:rPr>
        <w:tab/>
      </w:r>
    </w:p>
    <w:p w:rsidR="006533DC" w:rsidRDefault="00BA4819" w:rsidP="009C0CF0">
      <w:pPr>
        <w:tabs>
          <w:tab w:val="left" w:pos="720"/>
        </w:tabs>
        <w:spacing w:line="480" w:lineRule="auto"/>
        <w:ind w:left="0" w:firstLine="0"/>
      </w:pPr>
      <w:r>
        <w:rPr>
          <w:rFonts w:cs="Times New Roman"/>
        </w:rPr>
        <w:tab/>
      </w:r>
      <w:r w:rsidR="009C0CF0">
        <w:rPr>
          <w:rFonts w:cs="Times New Roman"/>
        </w:rPr>
        <w:t xml:space="preserve">Comparing Table 4.7 to the Table 1.1, which lists the top 15 amicus participants between 1976-2006, as compiled by </w:t>
      </w:r>
      <w:proofErr w:type="spellStart"/>
      <w:r w:rsidR="009C0CF0">
        <w:t>Dunworth</w:t>
      </w:r>
      <w:proofErr w:type="spellEnd"/>
      <w:r w:rsidR="009C0CF0">
        <w:t xml:space="preserve">, </w:t>
      </w:r>
      <w:proofErr w:type="spellStart"/>
      <w:r w:rsidR="009C0CF0">
        <w:t>Fischman</w:t>
      </w:r>
      <w:proofErr w:type="spellEnd"/>
      <w:r w:rsidR="009C0CF0">
        <w:t xml:space="preserve">, </w:t>
      </w:r>
      <w:r w:rsidR="000D6839">
        <w:t>and</w:t>
      </w:r>
      <w:r w:rsidR="009C0CF0">
        <w:t xml:space="preserve"> Ho (2009)</w:t>
      </w:r>
      <w:r w:rsidR="006533DC">
        <w:t xml:space="preserve">, one sees many similarities. The ACLU and the NACDL were ranked first and second, respectively in Table 1.1   WLF was ranked seventh; the Chamber of Commerce ninth; ALF-CIO eleventh; NAACP thirteenth; and the PLF fifteenth.   So there is continuity in terms of prestigious amicus participation at the Burger, Rehnquist, and Roberts Courts.  </w:t>
      </w:r>
    </w:p>
    <w:p w:rsidR="00BA4819" w:rsidRPr="00BA4819" w:rsidRDefault="006533DC" w:rsidP="00BA4819">
      <w:pPr>
        <w:tabs>
          <w:tab w:val="left" w:pos="720"/>
        </w:tabs>
        <w:spacing w:line="480" w:lineRule="auto"/>
        <w:ind w:left="0" w:firstLine="0"/>
        <w:rPr>
          <w:rFonts w:cs="Times New Roman"/>
        </w:rPr>
      </w:pPr>
      <w:r>
        <w:lastRenderedPageBreak/>
        <w:tab/>
        <w:t xml:space="preserve">A few other observations regarding these tables are in order.  First, the AARP and Chamber of Commerce have become even more active amicus participants than in prior years.  Second, the conservative leaning interest groups – </w:t>
      </w:r>
      <w:proofErr w:type="spellStart"/>
      <w:r>
        <w:t>CofC</w:t>
      </w:r>
      <w:proofErr w:type="spellEnd"/>
      <w:r>
        <w:t>, WLF, and PLF – do seem to have increased their amicus participation at the Roberts Court compared to past Courts,</w:t>
      </w:r>
      <w:r w:rsidR="0033497F">
        <w:t xml:space="preserve"> accounting f</w:t>
      </w:r>
      <w:r w:rsidR="007A3C23">
        <w:t>or three of the top five groups.  B</w:t>
      </w:r>
      <w:r>
        <w:t xml:space="preserve">ut this phenomenon holds true for most interest groups across the ideological spectrum. </w:t>
      </w:r>
      <w:r w:rsidR="0033497F">
        <w:t>And t</w:t>
      </w:r>
      <w:r>
        <w:t>hird, the NACDL’s prominent role can be</w:t>
      </w:r>
      <w:r w:rsidR="007A3C23">
        <w:t xml:space="preserve"> explained by the fact that the group</w:t>
      </w:r>
      <w:r>
        <w:t xml:space="preserve"> rarely mis</w:t>
      </w:r>
      <w:r w:rsidR="007A3C23">
        <w:t>se</w:t>
      </w:r>
      <w:r>
        <w:t>s an opportunity to represent a criminal defendant or prisoner when criminal procedure cases co</w:t>
      </w:r>
      <w:r w:rsidR="007A3C23">
        <w:t>me before the USSC, and</w:t>
      </w:r>
      <w:r>
        <w:t xml:space="preserve"> many times</w:t>
      </w:r>
      <w:r w:rsidR="007A3C23">
        <w:t xml:space="preserve"> it is</w:t>
      </w:r>
      <w:r>
        <w:t xml:space="preserve"> the only amicus to advance the interests of these parties.</w:t>
      </w:r>
    </w:p>
    <w:p w:rsidR="00960E7F" w:rsidRPr="00D658FC" w:rsidRDefault="0033497F" w:rsidP="00D658FC">
      <w:pPr>
        <w:tabs>
          <w:tab w:val="left" w:pos="720"/>
        </w:tabs>
        <w:spacing w:line="480" w:lineRule="auto"/>
        <w:ind w:left="0" w:firstLine="0"/>
        <w:rPr>
          <w:rFonts w:cs="Times New Roman"/>
          <w:szCs w:val="24"/>
        </w:rPr>
      </w:pPr>
      <w:r>
        <w:rPr>
          <w:rFonts w:cs="Times New Roman"/>
          <w:b/>
          <w:szCs w:val="24"/>
        </w:rPr>
        <w:tab/>
      </w:r>
      <w:r>
        <w:rPr>
          <w:rFonts w:cs="Times New Roman"/>
          <w:szCs w:val="24"/>
        </w:rPr>
        <w:t xml:space="preserve">Table 4.8 simply ranks the same ten tracked interest groups by the number of conservative amicus briefs filed.  As is plain, the </w:t>
      </w:r>
      <w:proofErr w:type="spellStart"/>
      <w:r>
        <w:rPr>
          <w:rFonts w:cs="Times New Roman"/>
          <w:szCs w:val="24"/>
        </w:rPr>
        <w:t>CofC</w:t>
      </w:r>
      <w:proofErr w:type="spellEnd"/>
      <w:r>
        <w:rPr>
          <w:rFonts w:cs="Times New Roman"/>
          <w:szCs w:val="24"/>
        </w:rPr>
        <w:t>, WLF, and PLF are the predominant conservative interest group amici at the Roberts Court.   Likewise, Table 4.9 ranks the groups by the number of liberal amicus briefs filed.   The NACDL, ACLU, AARP, NAACP, and ABA are the most prominent and frequent liberal amici groups.</w:t>
      </w:r>
      <w:r w:rsidR="001B7393">
        <w:rPr>
          <w:rFonts w:cs="Times New Roman"/>
          <w:szCs w:val="24"/>
        </w:rPr>
        <w:t xml:space="preserve">  Altogether, these ten groups filed a total of 313 liberal amicus briefs, 155 conservative amicus briefs, and 45 unspecifiable amicus briefs.  Thus, the ten prestigious interest groups that I chose to track c</w:t>
      </w:r>
      <w:r w:rsidR="00985B3B">
        <w:rPr>
          <w:rFonts w:cs="Times New Roman"/>
          <w:szCs w:val="24"/>
        </w:rPr>
        <w:t>learly had a</w:t>
      </w:r>
      <w:r w:rsidR="001B7393">
        <w:rPr>
          <w:rFonts w:cs="Times New Roman"/>
          <w:szCs w:val="24"/>
        </w:rPr>
        <w:t xml:space="preserve"> liberal slant, with liberal briefs outnumber</w:t>
      </w:r>
      <w:r w:rsidR="007A3C23">
        <w:rPr>
          <w:rFonts w:cs="Times New Roman"/>
          <w:szCs w:val="24"/>
        </w:rPr>
        <w:t>ing</w:t>
      </w:r>
      <w:r w:rsidR="001B7393">
        <w:rPr>
          <w:rFonts w:cs="Times New Roman"/>
          <w:szCs w:val="24"/>
        </w:rPr>
        <w:t xml:space="preserve"> conservative briefs by an over 2 to 1 margin.</w:t>
      </w:r>
      <w:r w:rsidR="00985B3B">
        <w:rPr>
          <w:rStyle w:val="FootnoteReference"/>
          <w:rFonts w:cs="Times New Roman"/>
          <w:szCs w:val="24"/>
        </w:rPr>
        <w:footnoteReference w:id="80"/>
      </w:r>
      <w:r w:rsidR="001B7393">
        <w:rPr>
          <w:rFonts w:cs="Times New Roman"/>
          <w:szCs w:val="24"/>
        </w:rPr>
        <w:t xml:space="preserve">  </w:t>
      </w:r>
    </w:p>
    <w:p w:rsidR="00D658FC" w:rsidRDefault="00D658FC" w:rsidP="004F50FC">
      <w:pPr>
        <w:tabs>
          <w:tab w:val="left" w:pos="1365"/>
        </w:tabs>
        <w:spacing w:line="480" w:lineRule="auto"/>
        <w:ind w:left="0" w:firstLine="0"/>
        <w:rPr>
          <w:rFonts w:cs="Times New Roman"/>
          <w:b/>
          <w:szCs w:val="24"/>
        </w:rPr>
      </w:pPr>
    </w:p>
    <w:p w:rsidR="00BA4819" w:rsidRDefault="00BA4819" w:rsidP="004F50FC">
      <w:pPr>
        <w:tabs>
          <w:tab w:val="left" w:pos="1365"/>
        </w:tabs>
        <w:spacing w:line="480" w:lineRule="auto"/>
        <w:ind w:left="0" w:firstLine="0"/>
        <w:rPr>
          <w:rFonts w:cs="Times New Roman"/>
          <w:b/>
          <w:szCs w:val="24"/>
        </w:rPr>
      </w:pPr>
    </w:p>
    <w:p w:rsidR="004F50FC" w:rsidRDefault="00960E7F" w:rsidP="004F50FC">
      <w:pPr>
        <w:tabs>
          <w:tab w:val="left" w:pos="1365"/>
        </w:tabs>
        <w:spacing w:line="480" w:lineRule="auto"/>
        <w:ind w:left="0" w:firstLine="0"/>
        <w:rPr>
          <w:rFonts w:cs="Times New Roman"/>
          <w:b/>
          <w:szCs w:val="24"/>
        </w:rPr>
      </w:pPr>
      <w:proofErr w:type="gramStart"/>
      <w:r>
        <w:rPr>
          <w:rFonts w:cs="Times New Roman"/>
          <w:b/>
          <w:szCs w:val="24"/>
        </w:rPr>
        <w:lastRenderedPageBreak/>
        <w:t>Table 4.8</w:t>
      </w:r>
      <w:r w:rsidR="004F50FC">
        <w:rPr>
          <w:rFonts w:cs="Times New Roman"/>
          <w:b/>
          <w:szCs w:val="24"/>
        </w:rPr>
        <w:t>.</w:t>
      </w:r>
      <w:proofErr w:type="gramEnd"/>
      <w:r w:rsidR="004F50FC">
        <w:rPr>
          <w:rFonts w:cs="Times New Roman"/>
          <w:b/>
          <w:szCs w:val="24"/>
        </w:rPr>
        <w:t xml:space="preserve">  Most Frequent </w:t>
      </w:r>
      <w:r w:rsidR="00D04205">
        <w:rPr>
          <w:rFonts w:cs="Times New Roman"/>
          <w:b/>
          <w:szCs w:val="24"/>
        </w:rPr>
        <w:t xml:space="preserve">Tracked </w:t>
      </w:r>
      <w:r w:rsidR="004F50FC">
        <w:rPr>
          <w:rFonts w:cs="Times New Roman"/>
          <w:b/>
          <w:szCs w:val="24"/>
        </w:rPr>
        <w:t>Conservative Ami</w:t>
      </w:r>
      <w:r w:rsidR="00ED0DB6">
        <w:rPr>
          <w:rFonts w:cs="Times New Roman"/>
          <w:b/>
          <w:szCs w:val="24"/>
        </w:rPr>
        <w:t>cus Interest Groups</w:t>
      </w:r>
      <w:r w:rsidR="004F50FC">
        <w:rPr>
          <w:rFonts w:cs="Times New Roman"/>
          <w:b/>
          <w:szCs w:val="24"/>
        </w:rPr>
        <w:t>, 2007-2011 Terms</w:t>
      </w:r>
    </w:p>
    <w:tbl>
      <w:tblPr>
        <w:tblW w:w="0" w:type="auto"/>
        <w:tblInd w:w="93" w:type="dxa"/>
        <w:tblBorders>
          <w:top w:val="single" w:sz="18" w:space="0" w:color="auto"/>
          <w:bottom w:val="single" w:sz="18" w:space="0" w:color="auto"/>
        </w:tblBorders>
        <w:tblLook w:val="04A0" w:firstRow="1" w:lastRow="0" w:firstColumn="1" w:lastColumn="0" w:noHBand="0" w:noVBand="1"/>
      </w:tblPr>
      <w:tblGrid>
        <w:gridCol w:w="681"/>
        <w:gridCol w:w="4952"/>
        <w:gridCol w:w="2117"/>
      </w:tblGrid>
      <w:tr w:rsidR="001650A6" w:rsidRPr="001650A6" w:rsidTr="00BA4819">
        <w:trPr>
          <w:trHeight w:val="432"/>
        </w:trPr>
        <w:tc>
          <w:tcPr>
            <w:tcW w:w="0" w:type="auto"/>
            <w:tcBorders>
              <w:top w:val="single" w:sz="18" w:space="0" w:color="auto"/>
              <w:bottom w:val="single" w:sz="18" w:space="0" w:color="auto"/>
            </w:tcBorders>
            <w:vAlign w:val="center"/>
          </w:tcPr>
          <w:p w:rsidR="001650A6" w:rsidRPr="001650A6" w:rsidRDefault="001650A6" w:rsidP="001650A6">
            <w:pPr>
              <w:ind w:left="0" w:firstLine="0"/>
              <w:rPr>
                <w:rFonts w:eastAsia="Times New Roman" w:cs="Times New Roman"/>
                <w:color w:val="000000"/>
                <w:sz w:val="22"/>
              </w:rPr>
            </w:pPr>
            <w:r>
              <w:rPr>
                <w:rFonts w:eastAsia="Times New Roman" w:cs="Times New Roman"/>
                <w:color w:val="000000"/>
                <w:sz w:val="22"/>
              </w:rPr>
              <w:t>Rank</w:t>
            </w:r>
          </w:p>
        </w:tc>
        <w:tc>
          <w:tcPr>
            <w:tcW w:w="0" w:type="auto"/>
            <w:tcBorders>
              <w:top w:val="single" w:sz="18" w:space="0" w:color="auto"/>
              <w:bottom w:val="single" w:sz="18" w:space="0" w:color="auto"/>
            </w:tcBorders>
            <w:shd w:val="clear" w:color="auto" w:fill="auto"/>
            <w:noWrap/>
            <w:vAlign w:val="center"/>
            <w:hideMark/>
          </w:tcPr>
          <w:p w:rsidR="001650A6" w:rsidRPr="001650A6" w:rsidRDefault="001650A6" w:rsidP="001650A6">
            <w:pPr>
              <w:ind w:left="0" w:firstLine="0"/>
              <w:rPr>
                <w:rFonts w:eastAsia="Times New Roman" w:cs="Times New Roman"/>
                <w:color w:val="000000"/>
                <w:sz w:val="22"/>
              </w:rPr>
            </w:pPr>
            <w:r w:rsidRPr="001650A6">
              <w:rPr>
                <w:rFonts w:eastAsia="Times New Roman" w:cs="Times New Roman"/>
                <w:color w:val="000000"/>
                <w:sz w:val="22"/>
              </w:rPr>
              <w:t>Amicus Name</w:t>
            </w:r>
          </w:p>
        </w:tc>
        <w:tc>
          <w:tcPr>
            <w:tcW w:w="0" w:type="auto"/>
            <w:tcBorders>
              <w:top w:val="single" w:sz="18" w:space="0" w:color="auto"/>
              <w:bottom w:val="single" w:sz="18" w:space="0" w:color="auto"/>
            </w:tcBorders>
            <w:shd w:val="clear" w:color="auto" w:fill="auto"/>
            <w:noWrap/>
            <w:vAlign w:val="center"/>
            <w:hideMark/>
          </w:tcPr>
          <w:p w:rsidR="001650A6" w:rsidRPr="001650A6" w:rsidRDefault="001650A6" w:rsidP="001650A6">
            <w:pPr>
              <w:ind w:left="0" w:firstLine="0"/>
              <w:jc w:val="center"/>
              <w:rPr>
                <w:rFonts w:eastAsia="Times New Roman" w:cs="Times New Roman"/>
                <w:color w:val="000000"/>
                <w:sz w:val="22"/>
              </w:rPr>
            </w:pPr>
            <w:r w:rsidRPr="001650A6">
              <w:rPr>
                <w:rFonts w:eastAsia="Times New Roman" w:cs="Times New Roman"/>
                <w:color w:val="000000"/>
                <w:sz w:val="22"/>
              </w:rPr>
              <w:t>Conservative Amicus</w:t>
            </w:r>
          </w:p>
        </w:tc>
      </w:tr>
      <w:tr w:rsidR="001650A6" w:rsidRPr="001650A6" w:rsidTr="00BA4819">
        <w:trPr>
          <w:trHeight w:val="432"/>
        </w:trPr>
        <w:tc>
          <w:tcPr>
            <w:tcW w:w="0" w:type="auto"/>
            <w:tcBorders>
              <w:top w:val="single" w:sz="18" w:space="0" w:color="auto"/>
            </w:tcBorders>
            <w:vAlign w:val="center"/>
          </w:tcPr>
          <w:p w:rsidR="001650A6" w:rsidRPr="001650A6" w:rsidRDefault="001650A6" w:rsidP="001650A6">
            <w:pPr>
              <w:ind w:left="0" w:firstLine="0"/>
              <w:rPr>
                <w:rFonts w:eastAsia="Times New Roman" w:cs="Times New Roman"/>
                <w:bCs/>
                <w:color w:val="000000"/>
                <w:sz w:val="22"/>
              </w:rPr>
            </w:pPr>
            <w:r w:rsidRPr="001650A6">
              <w:rPr>
                <w:rFonts w:eastAsia="Times New Roman" w:cs="Times New Roman"/>
                <w:bCs/>
                <w:color w:val="000000"/>
                <w:sz w:val="22"/>
              </w:rPr>
              <w:t>1</w:t>
            </w:r>
          </w:p>
        </w:tc>
        <w:tc>
          <w:tcPr>
            <w:tcW w:w="0" w:type="auto"/>
            <w:tcBorders>
              <w:top w:val="single" w:sz="18" w:space="0" w:color="auto"/>
            </w:tcBorders>
            <w:shd w:val="clear" w:color="auto" w:fill="auto"/>
            <w:noWrap/>
            <w:vAlign w:val="center"/>
            <w:hideMark/>
          </w:tcPr>
          <w:p w:rsidR="001650A6" w:rsidRPr="001650A6" w:rsidRDefault="001650A6" w:rsidP="001650A6">
            <w:pPr>
              <w:ind w:left="0" w:firstLine="0"/>
              <w:rPr>
                <w:rFonts w:eastAsia="Times New Roman" w:cs="Times New Roman"/>
                <w:b/>
                <w:bCs/>
                <w:color w:val="000000"/>
                <w:sz w:val="22"/>
              </w:rPr>
            </w:pPr>
            <w:r w:rsidRPr="001650A6">
              <w:rPr>
                <w:rFonts w:eastAsia="Times New Roman" w:cs="Times New Roman"/>
                <w:b/>
                <w:bCs/>
                <w:color w:val="000000"/>
                <w:sz w:val="22"/>
              </w:rPr>
              <w:t>Chamber of Commerce</w:t>
            </w:r>
          </w:p>
        </w:tc>
        <w:tc>
          <w:tcPr>
            <w:tcW w:w="0" w:type="auto"/>
            <w:tcBorders>
              <w:top w:val="single" w:sz="18" w:space="0" w:color="auto"/>
            </w:tcBorders>
            <w:shd w:val="clear" w:color="auto" w:fill="auto"/>
            <w:noWrap/>
            <w:vAlign w:val="center"/>
            <w:hideMark/>
          </w:tcPr>
          <w:p w:rsidR="001650A6" w:rsidRPr="001650A6" w:rsidRDefault="001650A6" w:rsidP="001650A6">
            <w:pPr>
              <w:ind w:left="0" w:firstLine="0"/>
              <w:jc w:val="center"/>
              <w:rPr>
                <w:rFonts w:eastAsia="Times New Roman" w:cs="Times New Roman"/>
                <w:color w:val="000000"/>
                <w:sz w:val="22"/>
              </w:rPr>
            </w:pPr>
            <w:r w:rsidRPr="001650A6">
              <w:rPr>
                <w:rFonts w:eastAsia="Times New Roman" w:cs="Times New Roman"/>
                <w:color w:val="000000"/>
                <w:sz w:val="22"/>
              </w:rPr>
              <w:t>48</w:t>
            </w:r>
          </w:p>
        </w:tc>
      </w:tr>
      <w:tr w:rsidR="001650A6" w:rsidRPr="001650A6" w:rsidTr="00BA4819">
        <w:trPr>
          <w:trHeight w:val="432"/>
        </w:trPr>
        <w:tc>
          <w:tcPr>
            <w:tcW w:w="0" w:type="auto"/>
            <w:vAlign w:val="center"/>
          </w:tcPr>
          <w:p w:rsidR="001650A6" w:rsidRPr="001650A6" w:rsidRDefault="001650A6" w:rsidP="001650A6">
            <w:pPr>
              <w:ind w:left="0" w:firstLine="0"/>
              <w:rPr>
                <w:rFonts w:eastAsia="Times New Roman" w:cs="Times New Roman"/>
                <w:bCs/>
                <w:color w:val="000000"/>
                <w:sz w:val="22"/>
              </w:rPr>
            </w:pPr>
            <w:r w:rsidRPr="001650A6">
              <w:rPr>
                <w:rFonts w:eastAsia="Times New Roman" w:cs="Times New Roman"/>
                <w:bCs/>
                <w:color w:val="000000"/>
                <w:sz w:val="22"/>
              </w:rPr>
              <w:t>2</w:t>
            </w:r>
          </w:p>
        </w:tc>
        <w:tc>
          <w:tcPr>
            <w:tcW w:w="0" w:type="auto"/>
            <w:shd w:val="clear" w:color="auto" w:fill="auto"/>
            <w:noWrap/>
            <w:vAlign w:val="center"/>
            <w:hideMark/>
          </w:tcPr>
          <w:p w:rsidR="001650A6" w:rsidRPr="001650A6" w:rsidRDefault="001650A6" w:rsidP="001650A6">
            <w:pPr>
              <w:ind w:left="0" w:firstLine="0"/>
              <w:rPr>
                <w:rFonts w:eastAsia="Times New Roman" w:cs="Times New Roman"/>
                <w:b/>
                <w:bCs/>
                <w:color w:val="000000"/>
                <w:sz w:val="22"/>
              </w:rPr>
            </w:pPr>
            <w:r w:rsidRPr="001650A6">
              <w:rPr>
                <w:rFonts w:eastAsia="Times New Roman" w:cs="Times New Roman"/>
                <w:b/>
                <w:bCs/>
                <w:color w:val="000000"/>
                <w:sz w:val="22"/>
              </w:rPr>
              <w:t>Washington Legal Foundation</w:t>
            </w:r>
          </w:p>
        </w:tc>
        <w:tc>
          <w:tcPr>
            <w:tcW w:w="0" w:type="auto"/>
            <w:shd w:val="clear" w:color="auto" w:fill="auto"/>
            <w:noWrap/>
            <w:vAlign w:val="center"/>
            <w:hideMark/>
          </w:tcPr>
          <w:p w:rsidR="001650A6" w:rsidRPr="001650A6" w:rsidRDefault="001650A6" w:rsidP="001650A6">
            <w:pPr>
              <w:ind w:left="0" w:firstLine="0"/>
              <w:jc w:val="center"/>
              <w:rPr>
                <w:rFonts w:eastAsia="Times New Roman" w:cs="Times New Roman"/>
                <w:color w:val="000000"/>
                <w:sz w:val="22"/>
              </w:rPr>
            </w:pPr>
            <w:r w:rsidRPr="001650A6">
              <w:rPr>
                <w:rFonts w:eastAsia="Times New Roman" w:cs="Times New Roman"/>
                <w:color w:val="000000"/>
                <w:sz w:val="22"/>
              </w:rPr>
              <w:t>36</w:t>
            </w:r>
          </w:p>
        </w:tc>
      </w:tr>
      <w:tr w:rsidR="001650A6" w:rsidRPr="001650A6" w:rsidTr="00BA4819">
        <w:trPr>
          <w:trHeight w:val="432"/>
        </w:trPr>
        <w:tc>
          <w:tcPr>
            <w:tcW w:w="0" w:type="auto"/>
            <w:vAlign w:val="center"/>
          </w:tcPr>
          <w:p w:rsidR="001650A6" w:rsidRPr="001650A6" w:rsidRDefault="001650A6" w:rsidP="001650A6">
            <w:pPr>
              <w:ind w:left="0" w:firstLine="0"/>
              <w:rPr>
                <w:rFonts w:eastAsia="Times New Roman" w:cs="Times New Roman"/>
                <w:bCs/>
                <w:color w:val="000000"/>
                <w:sz w:val="22"/>
              </w:rPr>
            </w:pPr>
            <w:r w:rsidRPr="001650A6">
              <w:rPr>
                <w:rFonts w:eastAsia="Times New Roman" w:cs="Times New Roman"/>
                <w:bCs/>
                <w:color w:val="000000"/>
                <w:sz w:val="22"/>
              </w:rPr>
              <w:t>3</w:t>
            </w:r>
          </w:p>
        </w:tc>
        <w:tc>
          <w:tcPr>
            <w:tcW w:w="0" w:type="auto"/>
            <w:shd w:val="clear" w:color="auto" w:fill="auto"/>
            <w:noWrap/>
            <w:vAlign w:val="center"/>
            <w:hideMark/>
          </w:tcPr>
          <w:p w:rsidR="001650A6" w:rsidRPr="001650A6" w:rsidRDefault="001650A6" w:rsidP="001650A6">
            <w:pPr>
              <w:ind w:left="0" w:firstLine="0"/>
              <w:rPr>
                <w:rFonts w:eastAsia="Times New Roman" w:cs="Times New Roman"/>
                <w:b/>
                <w:bCs/>
                <w:color w:val="000000"/>
                <w:sz w:val="22"/>
              </w:rPr>
            </w:pPr>
            <w:r w:rsidRPr="001650A6">
              <w:rPr>
                <w:rFonts w:eastAsia="Times New Roman" w:cs="Times New Roman"/>
                <w:b/>
                <w:bCs/>
                <w:color w:val="000000"/>
                <w:sz w:val="22"/>
              </w:rPr>
              <w:t>Pacific Legal Foundation</w:t>
            </w:r>
          </w:p>
        </w:tc>
        <w:tc>
          <w:tcPr>
            <w:tcW w:w="0" w:type="auto"/>
            <w:shd w:val="clear" w:color="auto" w:fill="auto"/>
            <w:noWrap/>
            <w:vAlign w:val="center"/>
            <w:hideMark/>
          </w:tcPr>
          <w:p w:rsidR="001650A6" w:rsidRPr="001650A6" w:rsidRDefault="001650A6" w:rsidP="001650A6">
            <w:pPr>
              <w:ind w:left="0" w:firstLine="0"/>
              <w:jc w:val="center"/>
              <w:rPr>
                <w:rFonts w:eastAsia="Times New Roman" w:cs="Times New Roman"/>
                <w:color w:val="000000"/>
                <w:sz w:val="22"/>
              </w:rPr>
            </w:pPr>
            <w:r w:rsidRPr="001650A6">
              <w:rPr>
                <w:rFonts w:eastAsia="Times New Roman" w:cs="Times New Roman"/>
                <w:color w:val="000000"/>
                <w:sz w:val="22"/>
              </w:rPr>
              <w:t>29</w:t>
            </w:r>
          </w:p>
        </w:tc>
      </w:tr>
      <w:tr w:rsidR="001650A6" w:rsidRPr="001650A6" w:rsidTr="00BA4819">
        <w:trPr>
          <w:trHeight w:val="432"/>
        </w:trPr>
        <w:tc>
          <w:tcPr>
            <w:tcW w:w="0" w:type="auto"/>
            <w:vAlign w:val="center"/>
          </w:tcPr>
          <w:p w:rsidR="001650A6" w:rsidRPr="001650A6" w:rsidRDefault="001650A6" w:rsidP="001650A6">
            <w:pPr>
              <w:ind w:left="0" w:firstLine="0"/>
              <w:rPr>
                <w:rFonts w:eastAsia="Times New Roman" w:cs="Times New Roman"/>
                <w:bCs/>
                <w:color w:val="000000"/>
                <w:sz w:val="22"/>
              </w:rPr>
            </w:pPr>
            <w:r w:rsidRPr="001650A6">
              <w:rPr>
                <w:rFonts w:eastAsia="Times New Roman" w:cs="Times New Roman"/>
                <w:bCs/>
                <w:color w:val="000000"/>
                <w:sz w:val="22"/>
              </w:rPr>
              <w:t>4</w:t>
            </w:r>
          </w:p>
        </w:tc>
        <w:tc>
          <w:tcPr>
            <w:tcW w:w="0" w:type="auto"/>
            <w:shd w:val="clear" w:color="auto" w:fill="auto"/>
            <w:noWrap/>
            <w:vAlign w:val="center"/>
            <w:hideMark/>
          </w:tcPr>
          <w:p w:rsidR="001650A6" w:rsidRPr="001650A6" w:rsidRDefault="001650A6" w:rsidP="001650A6">
            <w:pPr>
              <w:ind w:left="0" w:firstLine="0"/>
              <w:rPr>
                <w:rFonts w:eastAsia="Times New Roman" w:cs="Times New Roman"/>
                <w:b/>
                <w:bCs/>
                <w:color w:val="000000"/>
                <w:sz w:val="22"/>
              </w:rPr>
            </w:pPr>
            <w:r w:rsidRPr="001650A6">
              <w:rPr>
                <w:rFonts w:eastAsia="Times New Roman" w:cs="Times New Roman"/>
                <w:b/>
                <w:bCs/>
                <w:color w:val="000000"/>
                <w:sz w:val="22"/>
              </w:rPr>
              <w:t>American Association of Retired Persons</w:t>
            </w:r>
          </w:p>
        </w:tc>
        <w:tc>
          <w:tcPr>
            <w:tcW w:w="0" w:type="auto"/>
            <w:shd w:val="clear" w:color="auto" w:fill="auto"/>
            <w:noWrap/>
            <w:vAlign w:val="center"/>
            <w:hideMark/>
          </w:tcPr>
          <w:p w:rsidR="001650A6" w:rsidRPr="001650A6" w:rsidRDefault="001650A6" w:rsidP="001650A6">
            <w:pPr>
              <w:ind w:left="0" w:firstLine="0"/>
              <w:jc w:val="center"/>
              <w:rPr>
                <w:rFonts w:eastAsia="Times New Roman" w:cs="Times New Roman"/>
                <w:color w:val="000000"/>
                <w:sz w:val="22"/>
              </w:rPr>
            </w:pPr>
            <w:r w:rsidRPr="001650A6">
              <w:rPr>
                <w:rFonts w:eastAsia="Times New Roman" w:cs="Times New Roman"/>
                <w:color w:val="000000"/>
                <w:sz w:val="22"/>
              </w:rPr>
              <w:t>9</w:t>
            </w:r>
          </w:p>
        </w:tc>
      </w:tr>
      <w:tr w:rsidR="001650A6" w:rsidRPr="001650A6" w:rsidTr="00BA4819">
        <w:trPr>
          <w:trHeight w:val="432"/>
        </w:trPr>
        <w:tc>
          <w:tcPr>
            <w:tcW w:w="0" w:type="auto"/>
            <w:vAlign w:val="center"/>
          </w:tcPr>
          <w:p w:rsidR="001650A6" w:rsidRPr="001650A6" w:rsidRDefault="001650A6" w:rsidP="001650A6">
            <w:pPr>
              <w:ind w:left="0" w:firstLine="0"/>
              <w:rPr>
                <w:rFonts w:eastAsia="Times New Roman" w:cs="Times New Roman"/>
                <w:bCs/>
                <w:color w:val="000000"/>
                <w:sz w:val="22"/>
              </w:rPr>
            </w:pPr>
            <w:r w:rsidRPr="001650A6">
              <w:rPr>
                <w:rFonts w:eastAsia="Times New Roman" w:cs="Times New Roman"/>
                <w:bCs/>
                <w:color w:val="000000"/>
                <w:sz w:val="22"/>
              </w:rPr>
              <w:t>5</w:t>
            </w:r>
          </w:p>
        </w:tc>
        <w:tc>
          <w:tcPr>
            <w:tcW w:w="0" w:type="auto"/>
            <w:shd w:val="clear" w:color="auto" w:fill="auto"/>
            <w:noWrap/>
            <w:vAlign w:val="center"/>
            <w:hideMark/>
          </w:tcPr>
          <w:p w:rsidR="001650A6" w:rsidRPr="001650A6" w:rsidRDefault="001650A6" w:rsidP="001650A6">
            <w:pPr>
              <w:ind w:left="0" w:firstLine="0"/>
              <w:rPr>
                <w:rFonts w:eastAsia="Times New Roman" w:cs="Times New Roman"/>
                <w:b/>
                <w:bCs/>
                <w:color w:val="000000"/>
                <w:sz w:val="22"/>
              </w:rPr>
            </w:pPr>
            <w:r w:rsidRPr="001650A6">
              <w:rPr>
                <w:rFonts w:eastAsia="Times New Roman" w:cs="Times New Roman"/>
                <w:b/>
                <w:bCs/>
                <w:color w:val="000000"/>
                <w:sz w:val="22"/>
              </w:rPr>
              <w:t>American Medical Association</w:t>
            </w:r>
          </w:p>
        </w:tc>
        <w:tc>
          <w:tcPr>
            <w:tcW w:w="0" w:type="auto"/>
            <w:shd w:val="clear" w:color="auto" w:fill="auto"/>
            <w:noWrap/>
            <w:vAlign w:val="center"/>
            <w:hideMark/>
          </w:tcPr>
          <w:p w:rsidR="001650A6" w:rsidRPr="001650A6" w:rsidRDefault="001650A6" w:rsidP="001650A6">
            <w:pPr>
              <w:ind w:left="0" w:firstLine="0"/>
              <w:jc w:val="center"/>
              <w:rPr>
                <w:rFonts w:eastAsia="Times New Roman" w:cs="Times New Roman"/>
                <w:color w:val="000000"/>
                <w:sz w:val="22"/>
              </w:rPr>
            </w:pPr>
            <w:r w:rsidRPr="001650A6">
              <w:rPr>
                <w:rFonts w:eastAsia="Times New Roman" w:cs="Times New Roman"/>
                <w:color w:val="000000"/>
                <w:sz w:val="22"/>
              </w:rPr>
              <w:t>9</w:t>
            </w:r>
          </w:p>
        </w:tc>
      </w:tr>
      <w:tr w:rsidR="001650A6" w:rsidRPr="001650A6" w:rsidTr="00BA4819">
        <w:trPr>
          <w:trHeight w:val="432"/>
        </w:trPr>
        <w:tc>
          <w:tcPr>
            <w:tcW w:w="0" w:type="auto"/>
            <w:vAlign w:val="center"/>
          </w:tcPr>
          <w:p w:rsidR="001650A6" w:rsidRPr="001650A6" w:rsidRDefault="001650A6" w:rsidP="001650A6">
            <w:pPr>
              <w:ind w:left="0" w:firstLine="0"/>
              <w:rPr>
                <w:rFonts w:eastAsia="Times New Roman" w:cs="Times New Roman"/>
                <w:bCs/>
                <w:color w:val="000000"/>
                <w:sz w:val="22"/>
              </w:rPr>
            </w:pPr>
            <w:r w:rsidRPr="001650A6">
              <w:rPr>
                <w:rFonts w:eastAsia="Times New Roman" w:cs="Times New Roman"/>
                <w:bCs/>
                <w:color w:val="000000"/>
                <w:sz w:val="22"/>
              </w:rPr>
              <w:t>6</w:t>
            </w:r>
          </w:p>
        </w:tc>
        <w:tc>
          <w:tcPr>
            <w:tcW w:w="0" w:type="auto"/>
            <w:shd w:val="clear" w:color="auto" w:fill="auto"/>
            <w:noWrap/>
            <w:vAlign w:val="center"/>
            <w:hideMark/>
          </w:tcPr>
          <w:p w:rsidR="001650A6" w:rsidRPr="001650A6" w:rsidRDefault="001650A6" w:rsidP="001650A6">
            <w:pPr>
              <w:ind w:left="0" w:firstLine="0"/>
              <w:rPr>
                <w:rFonts w:eastAsia="Times New Roman" w:cs="Times New Roman"/>
                <w:b/>
                <w:bCs/>
                <w:color w:val="000000"/>
                <w:sz w:val="22"/>
              </w:rPr>
            </w:pPr>
            <w:r w:rsidRPr="001650A6">
              <w:rPr>
                <w:rFonts w:eastAsia="Times New Roman" w:cs="Times New Roman"/>
                <w:b/>
                <w:bCs/>
                <w:color w:val="000000"/>
                <w:sz w:val="22"/>
              </w:rPr>
              <w:t>American Civil Liberties Union</w:t>
            </w:r>
          </w:p>
        </w:tc>
        <w:tc>
          <w:tcPr>
            <w:tcW w:w="0" w:type="auto"/>
            <w:shd w:val="clear" w:color="auto" w:fill="auto"/>
            <w:noWrap/>
            <w:vAlign w:val="center"/>
            <w:hideMark/>
          </w:tcPr>
          <w:p w:rsidR="001650A6" w:rsidRPr="001650A6" w:rsidRDefault="001650A6" w:rsidP="001650A6">
            <w:pPr>
              <w:ind w:left="0" w:firstLine="0"/>
              <w:jc w:val="center"/>
              <w:rPr>
                <w:rFonts w:eastAsia="Times New Roman" w:cs="Times New Roman"/>
                <w:color w:val="000000"/>
                <w:sz w:val="22"/>
              </w:rPr>
            </w:pPr>
            <w:r w:rsidRPr="001650A6">
              <w:rPr>
                <w:rFonts w:eastAsia="Times New Roman" w:cs="Times New Roman"/>
                <w:color w:val="000000"/>
                <w:sz w:val="22"/>
              </w:rPr>
              <w:t>8</w:t>
            </w:r>
          </w:p>
        </w:tc>
      </w:tr>
      <w:tr w:rsidR="001650A6" w:rsidRPr="001650A6" w:rsidTr="00BA4819">
        <w:trPr>
          <w:trHeight w:val="432"/>
        </w:trPr>
        <w:tc>
          <w:tcPr>
            <w:tcW w:w="0" w:type="auto"/>
            <w:vAlign w:val="center"/>
          </w:tcPr>
          <w:p w:rsidR="001650A6" w:rsidRPr="001650A6" w:rsidRDefault="001650A6" w:rsidP="001650A6">
            <w:pPr>
              <w:ind w:left="0" w:firstLine="0"/>
              <w:rPr>
                <w:rFonts w:eastAsia="Times New Roman" w:cs="Times New Roman"/>
                <w:bCs/>
                <w:color w:val="000000"/>
                <w:sz w:val="22"/>
              </w:rPr>
            </w:pPr>
            <w:r w:rsidRPr="001650A6">
              <w:rPr>
                <w:rFonts w:eastAsia="Times New Roman" w:cs="Times New Roman"/>
                <w:bCs/>
                <w:color w:val="000000"/>
                <w:sz w:val="22"/>
              </w:rPr>
              <w:t>7</w:t>
            </w:r>
          </w:p>
        </w:tc>
        <w:tc>
          <w:tcPr>
            <w:tcW w:w="0" w:type="auto"/>
            <w:shd w:val="clear" w:color="auto" w:fill="auto"/>
            <w:noWrap/>
            <w:vAlign w:val="center"/>
            <w:hideMark/>
          </w:tcPr>
          <w:p w:rsidR="001650A6" w:rsidRPr="001650A6" w:rsidRDefault="001650A6" w:rsidP="001650A6">
            <w:pPr>
              <w:ind w:left="0" w:firstLine="0"/>
              <w:rPr>
                <w:rFonts w:eastAsia="Times New Roman" w:cs="Times New Roman"/>
                <w:b/>
                <w:bCs/>
                <w:color w:val="000000"/>
                <w:sz w:val="22"/>
              </w:rPr>
            </w:pPr>
            <w:r w:rsidRPr="001650A6">
              <w:rPr>
                <w:rFonts w:eastAsia="Times New Roman" w:cs="Times New Roman"/>
                <w:b/>
                <w:bCs/>
                <w:color w:val="000000"/>
                <w:sz w:val="22"/>
              </w:rPr>
              <w:t>National Association of Criminal Defense Lawyers</w:t>
            </w:r>
          </w:p>
        </w:tc>
        <w:tc>
          <w:tcPr>
            <w:tcW w:w="0" w:type="auto"/>
            <w:shd w:val="clear" w:color="auto" w:fill="auto"/>
            <w:noWrap/>
            <w:vAlign w:val="center"/>
            <w:hideMark/>
          </w:tcPr>
          <w:p w:rsidR="001650A6" w:rsidRPr="001650A6" w:rsidRDefault="001650A6" w:rsidP="001650A6">
            <w:pPr>
              <w:ind w:left="0" w:firstLine="0"/>
              <w:jc w:val="center"/>
              <w:rPr>
                <w:rFonts w:eastAsia="Times New Roman" w:cs="Times New Roman"/>
                <w:color w:val="000000"/>
                <w:sz w:val="22"/>
              </w:rPr>
            </w:pPr>
            <w:r w:rsidRPr="001650A6">
              <w:rPr>
                <w:rFonts w:eastAsia="Times New Roman" w:cs="Times New Roman"/>
                <w:color w:val="000000"/>
                <w:sz w:val="22"/>
              </w:rPr>
              <w:t>5</w:t>
            </w:r>
          </w:p>
        </w:tc>
      </w:tr>
      <w:tr w:rsidR="001650A6" w:rsidRPr="001650A6" w:rsidTr="00BA4819">
        <w:trPr>
          <w:trHeight w:val="432"/>
        </w:trPr>
        <w:tc>
          <w:tcPr>
            <w:tcW w:w="0" w:type="auto"/>
            <w:vAlign w:val="center"/>
          </w:tcPr>
          <w:p w:rsidR="001650A6" w:rsidRPr="001650A6" w:rsidRDefault="001650A6" w:rsidP="001650A6">
            <w:pPr>
              <w:ind w:left="0" w:firstLine="0"/>
              <w:rPr>
                <w:rFonts w:eastAsia="Times New Roman" w:cs="Times New Roman"/>
                <w:bCs/>
                <w:color w:val="000000"/>
                <w:sz w:val="22"/>
              </w:rPr>
            </w:pPr>
            <w:r w:rsidRPr="001650A6">
              <w:rPr>
                <w:rFonts w:eastAsia="Times New Roman" w:cs="Times New Roman"/>
                <w:bCs/>
                <w:color w:val="000000"/>
                <w:sz w:val="22"/>
              </w:rPr>
              <w:t>8</w:t>
            </w:r>
          </w:p>
        </w:tc>
        <w:tc>
          <w:tcPr>
            <w:tcW w:w="0" w:type="auto"/>
            <w:shd w:val="clear" w:color="auto" w:fill="auto"/>
            <w:noWrap/>
            <w:vAlign w:val="center"/>
            <w:hideMark/>
          </w:tcPr>
          <w:p w:rsidR="001650A6" w:rsidRPr="001650A6" w:rsidRDefault="001650A6" w:rsidP="001650A6">
            <w:pPr>
              <w:ind w:left="0" w:firstLine="0"/>
              <w:rPr>
                <w:rFonts w:eastAsia="Times New Roman" w:cs="Times New Roman"/>
                <w:b/>
                <w:bCs/>
                <w:color w:val="000000"/>
                <w:sz w:val="22"/>
              </w:rPr>
            </w:pPr>
            <w:r w:rsidRPr="001650A6">
              <w:rPr>
                <w:rFonts w:eastAsia="Times New Roman" w:cs="Times New Roman"/>
                <w:b/>
                <w:bCs/>
                <w:color w:val="000000"/>
                <w:sz w:val="22"/>
              </w:rPr>
              <w:t>NAACP / NAACP Legal Defense Fund</w:t>
            </w:r>
          </w:p>
        </w:tc>
        <w:tc>
          <w:tcPr>
            <w:tcW w:w="0" w:type="auto"/>
            <w:shd w:val="clear" w:color="auto" w:fill="auto"/>
            <w:noWrap/>
            <w:vAlign w:val="center"/>
            <w:hideMark/>
          </w:tcPr>
          <w:p w:rsidR="001650A6" w:rsidRPr="001650A6" w:rsidRDefault="001650A6" w:rsidP="001650A6">
            <w:pPr>
              <w:ind w:left="0" w:firstLine="0"/>
              <w:jc w:val="center"/>
              <w:rPr>
                <w:rFonts w:eastAsia="Times New Roman" w:cs="Times New Roman"/>
                <w:color w:val="000000"/>
                <w:sz w:val="22"/>
              </w:rPr>
            </w:pPr>
            <w:r w:rsidRPr="001650A6">
              <w:rPr>
                <w:rFonts w:eastAsia="Times New Roman" w:cs="Times New Roman"/>
                <w:color w:val="000000"/>
                <w:sz w:val="22"/>
              </w:rPr>
              <w:t>4</w:t>
            </w:r>
          </w:p>
        </w:tc>
      </w:tr>
      <w:tr w:rsidR="001650A6" w:rsidRPr="001650A6" w:rsidTr="00BA4819">
        <w:trPr>
          <w:trHeight w:val="432"/>
        </w:trPr>
        <w:tc>
          <w:tcPr>
            <w:tcW w:w="0" w:type="auto"/>
            <w:vAlign w:val="center"/>
          </w:tcPr>
          <w:p w:rsidR="001650A6" w:rsidRPr="001650A6" w:rsidRDefault="001650A6" w:rsidP="001650A6">
            <w:pPr>
              <w:ind w:left="0" w:firstLine="0"/>
              <w:rPr>
                <w:rFonts w:eastAsia="Times New Roman" w:cs="Times New Roman"/>
                <w:bCs/>
                <w:color w:val="000000"/>
                <w:sz w:val="22"/>
              </w:rPr>
            </w:pPr>
            <w:r w:rsidRPr="001650A6">
              <w:rPr>
                <w:rFonts w:eastAsia="Times New Roman" w:cs="Times New Roman"/>
                <w:bCs/>
                <w:color w:val="000000"/>
                <w:sz w:val="22"/>
              </w:rPr>
              <w:t>9</w:t>
            </w:r>
          </w:p>
        </w:tc>
        <w:tc>
          <w:tcPr>
            <w:tcW w:w="0" w:type="auto"/>
            <w:shd w:val="clear" w:color="auto" w:fill="auto"/>
            <w:noWrap/>
            <w:vAlign w:val="center"/>
            <w:hideMark/>
          </w:tcPr>
          <w:p w:rsidR="001650A6" w:rsidRPr="001650A6" w:rsidRDefault="001650A6" w:rsidP="001650A6">
            <w:pPr>
              <w:ind w:left="0" w:firstLine="0"/>
              <w:rPr>
                <w:rFonts w:eastAsia="Times New Roman" w:cs="Times New Roman"/>
                <w:b/>
                <w:bCs/>
                <w:color w:val="000000"/>
                <w:sz w:val="22"/>
              </w:rPr>
            </w:pPr>
            <w:r w:rsidRPr="001650A6">
              <w:rPr>
                <w:rFonts w:eastAsia="Times New Roman" w:cs="Times New Roman"/>
                <w:b/>
                <w:bCs/>
                <w:color w:val="000000"/>
                <w:sz w:val="22"/>
              </w:rPr>
              <w:t>AFL-CIO</w:t>
            </w:r>
          </w:p>
        </w:tc>
        <w:tc>
          <w:tcPr>
            <w:tcW w:w="0" w:type="auto"/>
            <w:shd w:val="clear" w:color="auto" w:fill="auto"/>
            <w:noWrap/>
            <w:vAlign w:val="center"/>
            <w:hideMark/>
          </w:tcPr>
          <w:p w:rsidR="001650A6" w:rsidRPr="001650A6" w:rsidRDefault="001650A6" w:rsidP="001650A6">
            <w:pPr>
              <w:ind w:left="0" w:firstLine="0"/>
              <w:jc w:val="center"/>
              <w:rPr>
                <w:rFonts w:eastAsia="Times New Roman" w:cs="Times New Roman"/>
                <w:color w:val="000000"/>
                <w:sz w:val="22"/>
              </w:rPr>
            </w:pPr>
            <w:r w:rsidRPr="001650A6">
              <w:rPr>
                <w:rFonts w:eastAsia="Times New Roman" w:cs="Times New Roman"/>
                <w:color w:val="000000"/>
                <w:sz w:val="22"/>
              </w:rPr>
              <w:t>4</w:t>
            </w:r>
          </w:p>
        </w:tc>
      </w:tr>
      <w:tr w:rsidR="001650A6" w:rsidRPr="001650A6" w:rsidTr="00BA4819">
        <w:trPr>
          <w:trHeight w:val="432"/>
        </w:trPr>
        <w:tc>
          <w:tcPr>
            <w:tcW w:w="0" w:type="auto"/>
            <w:vAlign w:val="center"/>
          </w:tcPr>
          <w:p w:rsidR="001650A6" w:rsidRPr="001650A6" w:rsidRDefault="001650A6" w:rsidP="001650A6">
            <w:pPr>
              <w:ind w:left="0" w:firstLine="0"/>
              <w:rPr>
                <w:rFonts w:eastAsia="Times New Roman" w:cs="Times New Roman"/>
                <w:bCs/>
                <w:color w:val="000000"/>
                <w:sz w:val="22"/>
              </w:rPr>
            </w:pPr>
            <w:r w:rsidRPr="001650A6">
              <w:rPr>
                <w:rFonts w:eastAsia="Times New Roman" w:cs="Times New Roman"/>
                <w:bCs/>
                <w:color w:val="000000"/>
                <w:sz w:val="22"/>
              </w:rPr>
              <w:t>10</w:t>
            </w:r>
          </w:p>
        </w:tc>
        <w:tc>
          <w:tcPr>
            <w:tcW w:w="0" w:type="auto"/>
            <w:shd w:val="clear" w:color="auto" w:fill="auto"/>
            <w:noWrap/>
            <w:vAlign w:val="center"/>
            <w:hideMark/>
          </w:tcPr>
          <w:p w:rsidR="001650A6" w:rsidRPr="001650A6" w:rsidRDefault="001650A6" w:rsidP="001650A6">
            <w:pPr>
              <w:ind w:left="0" w:firstLine="0"/>
              <w:rPr>
                <w:rFonts w:eastAsia="Times New Roman" w:cs="Times New Roman"/>
                <w:b/>
                <w:bCs/>
                <w:color w:val="000000"/>
                <w:sz w:val="22"/>
              </w:rPr>
            </w:pPr>
            <w:r w:rsidRPr="001650A6">
              <w:rPr>
                <w:rFonts w:eastAsia="Times New Roman" w:cs="Times New Roman"/>
                <w:b/>
                <w:bCs/>
                <w:color w:val="000000"/>
                <w:sz w:val="22"/>
              </w:rPr>
              <w:t>American Bar Association</w:t>
            </w:r>
          </w:p>
        </w:tc>
        <w:tc>
          <w:tcPr>
            <w:tcW w:w="0" w:type="auto"/>
            <w:shd w:val="clear" w:color="auto" w:fill="auto"/>
            <w:noWrap/>
            <w:vAlign w:val="center"/>
            <w:hideMark/>
          </w:tcPr>
          <w:p w:rsidR="001650A6" w:rsidRPr="001650A6" w:rsidRDefault="001650A6" w:rsidP="001650A6">
            <w:pPr>
              <w:ind w:left="0" w:firstLine="0"/>
              <w:jc w:val="center"/>
              <w:rPr>
                <w:rFonts w:eastAsia="Times New Roman" w:cs="Times New Roman"/>
                <w:color w:val="000000"/>
                <w:sz w:val="22"/>
              </w:rPr>
            </w:pPr>
            <w:r w:rsidRPr="001650A6">
              <w:rPr>
                <w:rFonts w:eastAsia="Times New Roman" w:cs="Times New Roman"/>
                <w:color w:val="000000"/>
                <w:sz w:val="22"/>
              </w:rPr>
              <w:t>3</w:t>
            </w:r>
          </w:p>
        </w:tc>
      </w:tr>
    </w:tbl>
    <w:p w:rsidR="00BA4819" w:rsidRDefault="00BA4819" w:rsidP="004F50FC">
      <w:pPr>
        <w:tabs>
          <w:tab w:val="left" w:pos="1365"/>
        </w:tabs>
        <w:spacing w:line="480" w:lineRule="auto"/>
        <w:ind w:left="0" w:firstLine="0"/>
        <w:rPr>
          <w:rFonts w:cs="Times New Roman"/>
          <w:b/>
          <w:szCs w:val="24"/>
        </w:rPr>
      </w:pPr>
    </w:p>
    <w:p w:rsidR="00BA4819" w:rsidRDefault="00BA4819" w:rsidP="004F50FC">
      <w:pPr>
        <w:tabs>
          <w:tab w:val="left" w:pos="1365"/>
        </w:tabs>
        <w:spacing w:line="480" w:lineRule="auto"/>
        <w:ind w:left="0" w:firstLine="0"/>
        <w:rPr>
          <w:rFonts w:cs="Times New Roman"/>
          <w:b/>
          <w:szCs w:val="24"/>
        </w:rPr>
      </w:pPr>
    </w:p>
    <w:p w:rsidR="004F50FC" w:rsidRDefault="00960E7F" w:rsidP="004F50FC">
      <w:pPr>
        <w:tabs>
          <w:tab w:val="left" w:pos="1365"/>
        </w:tabs>
        <w:spacing w:line="480" w:lineRule="auto"/>
        <w:ind w:left="0" w:firstLine="0"/>
        <w:rPr>
          <w:rFonts w:cs="Times New Roman"/>
          <w:b/>
          <w:szCs w:val="24"/>
        </w:rPr>
      </w:pPr>
      <w:proofErr w:type="gramStart"/>
      <w:r>
        <w:rPr>
          <w:rFonts w:cs="Times New Roman"/>
          <w:b/>
          <w:szCs w:val="24"/>
        </w:rPr>
        <w:t>Table 4.9</w:t>
      </w:r>
      <w:r w:rsidR="004F50FC">
        <w:rPr>
          <w:rFonts w:cs="Times New Roman"/>
          <w:b/>
          <w:szCs w:val="24"/>
        </w:rPr>
        <w:t>.</w:t>
      </w:r>
      <w:proofErr w:type="gramEnd"/>
      <w:r w:rsidR="004F50FC">
        <w:rPr>
          <w:rFonts w:cs="Times New Roman"/>
          <w:b/>
          <w:szCs w:val="24"/>
        </w:rPr>
        <w:t xml:space="preserve">  Most Freq</w:t>
      </w:r>
      <w:r w:rsidR="00ED0DB6">
        <w:rPr>
          <w:rFonts w:cs="Times New Roman"/>
          <w:b/>
          <w:szCs w:val="24"/>
        </w:rPr>
        <w:t xml:space="preserve">uent </w:t>
      </w:r>
      <w:r w:rsidR="00D04205">
        <w:rPr>
          <w:rFonts w:cs="Times New Roman"/>
          <w:b/>
          <w:szCs w:val="24"/>
        </w:rPr>
        <w:t xml:space="preserve">Tracked </w:t>
      </w:r>
      <w:r w:rsidR="00ED0DB6">
        <w:rPr>
          <w:rFonts w:cs="Times New Roman"/>
          <w:b/>
          <w:szCs w:val="24"/>
        </w:rPr>
        <w:t>Liberal Amicus Interest Groups</w:t>
      </w:r>
      <w:r w:rsidR="004F50FC">
        <w:rPr>
          <w:rFonts w:cs="Times New Roman"/>
          <w:b/>
          <w:szCs w:val="24"/>
        </w:rPr>
        <w:t xml:space="preserve">, </w:t>
      </w:r>
      <w:r w:rsidR="00BA4819">
        <w:rPr>
          <w:rFonts w:cs="Times New Roman"/>
          <w:b/>
          <w:szCs w:val="24"/>
        </w:rPr>
        <w:t>2007-2011 Terms</w:t>
      </w:r>
    </w:p>
    <w:tbl>
      <w:tblPr>
        <w:tblW w:w="0" w:type="auto"/>
        <w:tblInd w:w="93" w:type="dxa"/>
        <w:tblBorders>
          <w:top w:val="single" w:sz="18" w:space="0" w:color="auto"/>
          <w:bottom w:val="single" w:sz="18" w:space="0" w:color="auto"/>
        </w:tblBorders>
        <w:tblLook w:val="04A0" w:firstRow="1" w:lastRow="0" w:firstColumn="1" w:lastColumn="0" w:noHBand="0" w:noVBand="1"/>
      </w:tblPr>
      <w:tblGrid>
        <w:gridCol w:w="681"/>
        <w:gridCol w:w="4952"/>
        <w:gridCol w:w="1591"/>
      </w:tblGrid>
      <w:tr w:rsidR="0025798B" w:rsidRPr="0025798B" w:rsidTr="00BA4819">
        <w:trPr>
          <w:trHeight w:val="432"/>
        </w:trPr>
        <w:tc>
          <w:tcPr>
            <w:tcW w:w="0" w:type="auto"/>
            <w:tcBorders>
              <w:top w:val="single" w:sz="18" w:space="0" w:color="auto"/>
              <w:bottom w:val="single" w:sz="18" w:space="0" w:color="auto"/>
            </w:tcBorders>
            <w:vAlign w:val="center"/>
          </w:tcPr>
          <w:p w:rsidR="0025798B" w:rsidRPr="0025798B" w:rsidRDefault="0025798B" w:rsidP="0025798B">
            <w:pPr>
              <w:ind w:left="0" w:firstLine="0"/>
              <w:rPr>
                <w:rFonts w:eastAsia="Times New Roman" w:cs="Times New Roman"/>
                <w:color w:val="000000"/>
                <w:sz w:val="22"/>
              </w:rPr>
            </w:pPr>
            <w:r>
              <w:rPr>
                <w:rFonts w:eastAsia="Times New Roman" w:cs="Times New Roman"/>
                <w:color w:val="000000"/>
                <w:sz w:val="22"/>
              </w:rPr>
              <w:t>Rank</w:t>
            </w:r>
          </w:p>
        </w:tc>
        <w:tc>
          <w:tcPr>
            <w:tcW w:w="0" w:type="auto"/>
            <w:tcBorders>
              <w:top w:val="single" w:sz="18" w:space="0" w:color="auto"/>
              <w:bottom w:val="single" w:sz="18" w:space="0" w:color="auto"/>
            </w:tcBorders>
            <w:shd w:val="clear" w:color="auto" w:fill="auto"/>
            <w:noWrap/>
            <w:vAlign w:val="center"/>
            <w:hideMark/>
          </w:tcPr>
          <w:p w:rsidR="0025798B" w:rsidRPr="0025798B" w:rsidRDefault="0025798B" w:rsidP="0025798B">
            <w:pPr>
              <w:ind w:left="0" w:firstLine="0"/>
              <w:rPr>
                <w:rFonts w:eastAsia="Times New Roman" w:cs="Times New Roman"/>
                <w:color w:val="000000"/>
                <w:sz w:val="22"/>
              </w:rPr>
            </w:pPr>
            <w:r w:rsidRPr="0025798B">
              <w:rPr>
                <w:rFonts w:eastAsia="Times New Roman" w:cs="Times New Roman"/>
                <w:color w:val="000000"/>
                <w:sz w:val="22"/>
              </w:rPr>
              <w:t>Amicus Name</w:t>
            </w:r>
          </w:p>
        </w:tc>
        <w:tc>
          <w:tcPr>
            <w:tcW w:w="0" w:type="auto"/>
            <w:tcBorders>
              <w:top w:val="single" w:sz="18" w:space="0" w:color="auto"/>
              <w:bottom w:val="single" w:sz="18" w:space="0" w:color="auto"/>
            </w:tcBorders>
            <w:shd w:val="clear" w:color="auto" w:fill="auto"/>
            <w:noWrap/>
            <w:vAlign w:val="center"/>
            <w:hideMark/>
          </w:tcPr>
          <w:p w:rsidR="0025798B" w:rsidRPr="0025798B" w:rsidRDefault="0025798B" w:rsidP="0025798B">
            <w:pPr>
              <w:ind w:left="0" w:firstLine="0"/>
              <w:jc w:val="center"/>
              <w:rPr>
                <w:rFonts w:eastAsia="Times New Roman" w:cs="Times New Roman"/>
                <w:color w:val="000000"/>
                <w:sz w:val="22"/>
              </w:rPr>
            </w:pPr>
            <w:r w:rsidRPr="0025798B">
              <w:rPr>
                <w:rFonts w:eastAsia="Times New Roman" w:cs="Times New Roman"/>
                <w:color w:val="000000"/>
                <w:sz w:val="22"/>
              </w:rPr>
              <w:t>Liberal Amicus</w:t>
            </w:r>
          </w:p>
        </w:tc>
      </w:tr>
      <w:tr w:rsidR="0025798B" w:rsidRPr="0025798B" w:rsidTr="00BA4819">
        <w:trPr>
          <w:trHeight w:val="432"/>
        </w:trPr>
        <w:tc>
          <w:tcPr>
            <w:tcW w:w="0" w:type="auto"/>
            <w:tcBorders>
              <w:top w:val="single" w:sz="18" w:space="0" w:color="auto"/>
            </w:tcBorders>
            <w:vAlign w:val="center"/>
          </w:tcPr>
          <w:p w:rsidR="0025798B" w:rsidRPr="0025798B" w:rsidRDefault="0025798B" w:rsidP="0025798B">
            <w:pPr>
              <w:ind w:left="0" w:firstLine="0"/>
              <w:rPr>
                <w:rFonts w:eastAsia="Times New Roman" w:cs="Times New Roman"/>
                <w:bCs/>
                <w:color w:val="000000"/>
                <w:sz w:val="22"/>
              </w:rPr>
            </w:pPr>
            <w:r w:rsidRPr="0025798B">
              <w:rPr>
                <w:rFonts w:eastAsia="Times New Roman" w:cs="Times New Roman"/>
                <w:bCs/>
                <w:color w:val="000000"/>
                <w:sz w:val="22"/>
              </w:rPr>
              <w:t>1</w:t>
            </w:r>
          </w:p>
        </w:tc>
        <w:tc>
          <w:tcPr>
            <w:tcW w:w="0" w:type="auto"/>
            <w:tcBorders>
              <w:top w:val="single" w:sz="18" w:space="0" w:color="auto"/>
            </w:tcBorders>
            <w:shd w:val="clear" w:color="auto" w:fill="auto"/>
            <w:noWrap/>
            <w:vAlign w:val="center"/>
            <w:hideMark/>
          </w:tcPr>
          <w:p w:rsidR="0025798B" w:rsidRPr="0025798B" w:rsidRDefault="0025798B" w:rsidP="0025798B">
            <w:pPr>
              <w:ind w:left="0" w:firstLine="0"/>
              <w:rPr>
                <w:rFonts w:eastAsia="Times New Roman" w:cs="Times New Roman"/>
                <w:b/>
                <w:bCs/>
                <w:color w:val="000000"/>
                <w:sz w:val="22"/>
              </w:rPr>
            </w:pPr>
            <w:r w:rsidRPr="0025798B">
              <w:rPr>
                <w:rFonts w:eastAsia="Times New Roman" w:cs="Times New Roman"/>
                <w:b/>
                <w:bCs/>
                <w:color w:val="000000"/>
                <w:sz w:val="22"/>
              </w:rPr>
              <w:t>National Association of Criminal Defense Lawyers</w:t>
            </w:r>
          </w:p>
        </w:tc>
        <w:tc>
          <w:tcPr>
            <w:tcW w:w="0" w:type="auto"/>
            <w:tcBorders>
              <w:top w:val="single" w:sz="18" w:space="0" w:color="auto"/>
            </w:tcBorders>
            <w:shd w:val="clear" w:color="auto" w:fill="auto"/>
            <w:noWrap/>
            <w:vAlign w:val="center"/>
            <w:hideMark/>
          </w:tcPr>
          <w:p w:rsidR="0025798B" w:rsidRPr="0025798B" w:rsidRDefault="0025798B" w:rsidP="0025798B">
            <w:pPr>
              <w:ind w:left="0" w:firstLine="0"/>
              <w:jc w:val="center"/>
              <w:rPr>
                <w:rFonts w:eastAsia="Times New Roman" w:cs="Times New Roman"/>
                <w:color w:val="000000"/>
                <w:sz w:val="22"/>
              </w:rPr>
            </w:pPr>
            <w:r w:rsidRPr="0025798B">
              <w:rPr>
                <w:rFonts w:eastAsia="Times New Roman" w:cs="Times New Roman"/>
                <w:color w:val="000000"/>
                <w:sz w:val="22"/>
              </w:rPr>
              <w:t>90</w:t>
            </w:r>
          </w:p>
        </w:tc>
      </w:tr>
      <w:tr w:rsidR="0025798B" w:rsidRPr="0025798B" w:rsidTr="00BA4819">
        <w:trPr>
          <w:trHeight w:val="432"/>
        </w:trPr>
        <w:tc>
          <w:tcPr>
            <w:tcW w:w="0" w:type="auto"/>
            <w:vAlign w:val="center"/>
          </w:tcPr>
          <w:p w:rsidR="0025798B" w:rsidRPr="0025798B" w:rsidRDefault="0025798B" w:rsidP="0025798B">
            <w:pPr>
              <w:ind w:left="0" w:firstLine="0"/>
              <w:rPr>
                <w:rFonts w:eastAsia="Times New Roman" w:cs="Times New Roman"/>
                <w:bCs/>
                <w:color w:val="000000"/>
                <w:sz w:val="22"/>
              </w:rPr>
            </w:pPr>
            <w:r w:rsidRPr="0025798B">
              <w:rPr>
                <w:rFonts w:eastAsia="Times New Roman" w:cs="Times New Roman"/>
                <w:bCs/>
                <w:color w:val="000000"/>
                <w:sz w:val="22"/>
              </w:rPr>
              <w:t>2</w:t>
            </w:r>
          </w:p>
        </w:tc>
        <w:tc>
          <w:tcPr>
            <w:tcW w:w="0" w:type="auto"/>
            <w:shd w:val="clear" w:color="auto" w:fill="auto"/>
            <w:noWrap/>
            <w:vAlign w:val="center"/>
            <w:hideMark/>
          </w:tcPr>
          <w:p w:rsidR="0025798B" w:rsidRPr="0025798B" w:rsidRDefault="0025798B" w:rsidP="0025798B">
            <w:pPr>
              <w:ind w:left="0" w:firstLine="0"/>
              <w:rPr>
                <w:rFonts w:eastAsia="Times New Roman" w:cs="Times New Roman"/>
                <w:b/>
                <w:bCs/>
                <w:color w:val="000000"/>
                <w:sz w:val="22"/>
              </w:rPr>
            </w:pPr>
            <w:r w:rsidRPr="0025798B">
              <w:rPr>
                <w:rFonts w:eastAsia="Times New Roman" w:cs="Times New Roman"/>
                <w:b/>
                <w:bCs/>
                <w:color w:val="000000"/>
                <w:sz w:val="22"/>
              </w:rPr>
              <w:t>American Civil Liberties Union</w:t>
            </w:r>
          </w:p>
        </w:tc>
        <w:tc>
          <w:tcPr>
            <w:tcW w:w="0" w:type="auto"/>
            <w:shd w:val="clear" w:color="auto" w:fill="auto"/>
            <w:noWrap/>
            <w:vAlign w:val="center"/>
            <w:hideMark/>
          </w:tcPr>
          <w:p w:rsidR="0025798B" w:rsidRPr="0025798B" w:rsidRDefault="0025798B" w:rsidP="0025798B">
            <w:pPr>
              <w:ind w:left="0" w:firstLine="0"/>
              <w:jc w:val="center"/>
              <w:rPr>
                <w:rFonts w:eastAsia="Times New Roman" w:cs="Times New Roman"/>
                <w:color w:val="000000"/>
                <w:sz w:val="22"/>
              </w:rPr>
            </w:pPr>
            <w:r w:rsidRPr="0025798B">
              <w:rPr>
                <w:rFonts w:eastAsia="Times New Roman" w:cs="Times New Roman"/>
                <w:color w:val="000000"/>
                <w:sz w:val="22"/>
              </w:rPr>
              <w:t>63</w:t>
            </w:r>
          </w:p>
        </w:tc>
      </w:tr>
      <w:tr w:rsidR="0025798B" w:rsidRPr="0025798B" w:rsidTr="00BA4819">
        <w:trPr>
          <w:trHeight w:val="432"/>
        </w:trPr>
        <w:tc>
          <w:tcPr>
            <w:tcW w:w="0" w:type="auto"/>
            <w:vAlign w:val="center"/>
          </w:tcPr>
          <w:p w:rsidR="0025798B" w:rsidRPr="0025798B" w:rsidRDefault="0025798B" w:rsidP="0025798B">
            <w:pPr>
              <w:ind w:left="0" w:firstLine="0"/>
              <w:rPr>
                <w:rFonts w:eastAsia="Times New Roman" w:cs="Times New Roman"/>
                <w:bCs/>
                <w:color w:val="000000"/>
                <w:sz w:val="22"/>
              </w:rPr>
            </w:pPr>
            <w:r w:rsidRPr="0025798B">
              <w:rPr>
                <w:rFonts w:eastAsia="Times New Roman" w:cs="Times New Roman"/>
                <w:bCs/>
                <w:color w:val="000000"/>
                <w:sz w:val="22"/>
              </w:rPr>
              <w:t>3</w:t>
            </w:r>
          </w:p>
        </w:tc>
        <w:tc>
          <w:tcPr>
            <w:tcW w:w="0" w:type="auto"/>
            <w:shd w:val="clear" w:color="auto" w:fill="auto"/>
            <w:noWrap/>
            <w:vAlign w:val="center"/>
            <w:hideMark/>
          </w:tcPr>
          <w:p w:rsidR="0025798B" w:rsidRPr="0025798B" w:rsidRDefault="0025798B" w:rsidP="0025798B">
            <w:pPr>
              <w:ind w:left="0" w:firstLine="0"/>
              <w:rPr>
                <w:rFonts w:eastAsia="Times New Roman" w:cs="Times New Roman"/>
                <w:b/>
                <w:bCs/>
                <w:color w:val="000000"/>
                <w:sz w:val="22"/>
              </w:rPr>
            </w:pPr>
            <w:r w:rsidRPr="0025798B">
              <w:rPr>
                <w:rFonts w:eastAsia="Times New Roman" w:cs="Times New Roman"/>
                <w:b/>
                <w:bCs/>
                <w:color w:val="000000"/>
                <w:sz w:val="22"/>
              </w:rPr>
              <w:t>American Association of Retired Persons</w:t>
            </w:r>
          </w:p>
        </w:tc>
        <w:tc>
          <w:tcPr>
            <w:tcW w:w="0" w:type="auto"/>
            <w:shd w:val="clear" w:color="auto" w:fill="auto"/>
            <w:noWrap/>
            <w:vAlign w:val="center"/>
            <w:hideMark/>
          </w:tcPr>
          <w:p w:rsidR="0025798B" w:rsidRPr="0025798B" w:rsidRDefault="0025798B" w:rsidP="0025798B">
            <w:pPr>
              <w:ind w:left="0" w:firstLine="0"/>
              <w:jc w:val="center"/>
              <w:rPr>
                <w:rFonts w:eastAsia="Times New Roman" w:cs="Times New Roman"/>
                <w:color w:val="000000"/>
                <w:sz w:val="22"/>
              </w:rPr>
            </w:pPr>
            <w:r w:rsidRPr="0025798B">
              <w:rPr>
                <w:rFonts w:eastAsia="Times New Roman" w:cs="Times New Roman"/>
                <w:color w:val="000000"/>
                <w:sz w:val="22"/>
              </w:rPr>
              <w:t>42</w:t>
            </w:r>
          </w:p>
        </w:tc>
      </w:tr>
      <w:tr w:rsidR="0025798B" w:rsidRPr="0025798B" w:rsidTr="00BA4819">
        <w:trPr>
          <w:trHeight w:val="432"/>
        </w:trPr>
        <w:tc>
          <w:tcPr>
            <w:tcW w:w="0" w:type="auto"/>
            <w:vAlign w:val="center"/>
          </w:tcPr>
          <w:p w:rsidR="0025798B" w:rsidRPr="0025798B" w:rsidRDefault="0025798B" w:rsidP="0025798B">
            <w:pPr>
              <w:ind w:left="0" w:firstLine="0"/>
              <w:rPr>
                <w:rFonts w:eastAsia="Times New Roman" w:cs="Times New Roman"/>
                <w:bCs/>
                <w:color w:val="000000"/>
                <w:sz w:val="22"/>
              </w:rPr>
            </w:pPr>
            <w:r w:rsidRPr="0025798B">
              <w:rPr>
                <w:rFonts w:eastAsia="Times New Roman" w:cs="Times New Roman"/>
                <w:bCs/>
                <w:color w:val="000000"/>
                <w:sz w:val="22"/>
              </w:rPr>
              <w:t>4</w:t>
            </w:r>
          </w:p>
        </w:tc>
        <w:tc>
          <w:tcPr>
            <w:tcW w:w="0" w:type="auto"/>
            <w:shd w:val="clear" w:color="auto" w:fill="auto"/>
            <w:noWrap/>
            <w:vAlign w:val="center"/>
            <w:hideMark/>
          </w:tcPr>
          <w:p w:rsidR="0025798B" w:rsidRPr="0025798B" w:rsidRDefault="0025798B" w:rsidP="0025798B">
            <w:pPr>
              <w:ind w:left="0" w:firstLine="0"/>
              <w:rPr>
                <w:rFonts w:eastAsia="Times New Roman" w:cs="Times New Roman"/>
                <w:b/>
                <w:bCs/>
                <w:color w:val="000000"/>
                <w:sz w:val="22"/>
              </w:rPr>
            </w:pPr>
            <w:r w:rsidRPr="0025798B">
              <w:rPr>
                <w:rFonts w:eastAsia="Times New Roman" w:cs="Times New Roman"/>
                <w:b/>
                <w:bCs/>
                <w:color w:val="000000"/>
                <w:sz w:val="22"/>
              </w:rPr>
              <w:t>NAACP / NAACP Legal Defense Fund</w:t>
            </w:r>
          </w:p>
        </w:tc>
        <w:tc>
          <w:tcPr>
            <w:tcW w:w="0" w:type="auto"/>
            <w:shd w:val="clear" w:color="auto" w:fill="auto"/>
            <w:noWrap/>
            <w:vAlign w:val="center"/>
            <w:hideMark/>
          </w:tcPr>
          <w:p w:rsidR="0025798B" w:rsidRPr="0025798B" w:rsidRDefault="0025798B" w:rsidP="0025798B">
            <w:pPr>
              <w:ind w:left="0" w:firstLine="0"/>
              <w:jc w:val="center"/>
              <w:rPr>
                <w:rFonts w:eastAsia="Times New Roman" w:cs="Times New Roman"/>
                <w:color w:val="000000"/>
                <w:sz w:val="22"/>
              </w:rPr>
            </w:pPr>
            <w:r w:rsidRPr="0025798B">
              <w:rPr>
                <w:rFonts w:eastAsia="Times New Roman" w:cs="Times New Roman"/>
                <w:color w:val="000000"/>
                <w:sz w:val="22"/>
              </w:rPr>
              <w:t>30</w:t>
            </w:r>
          </w:p>
        </w:tc>
      </w:tr>
      <w:tr w:rsidR="0025798B" w:rsidRPr="0025798B" w:rsidTr="00BA4819">
        <w:trPr>
          <w:trHeight w:val="432"/>
        </w:trPr>
        <w:tc>
          <w:tcPr>
            <w:tcW w:w="0" w:type="auto"/>
            <w:vAlign w:val="center"/>
          </w:tcPr>
          <w:p w:rsidR="0025798B" w:rsidRPr="0025798B" w:rsidRDefault="0025798B" w:rsidP="0025798B">
            <w:pPr>
              <w:ind w:left="0" w:firstLine="0"/>
              <w:rPr>
                <w:rFonts w:eastAsia="Times New Roman" w:cs="Times New Roman"/>
                <w:bCs/>
                <w:color w:val="000000"/>
                <w:sz w:val="22"/>
              </w:rPr>
            </w:pPr>
            <w:r w:rsidRPr="0025798B">
              <w:rPr>
                <w:rFonts w:eastAsia="Times New Roman" w:cs="Times New Roman"/>
                <w:bCs/>
                <w:color w:val="000000"/>
                <w:sz w:val="22"/>
              </w:rPr>
              <w:t>5</w:t>
            </w:r>
          </w:p>
        </w:tc>
        <w:tc>
          <w:tcPr>
            <w:tcW w:w="0" w:type="auto"/>
            <w:shd w:val="clear" w:color="auto" w:fill="auto"/>
            <w:noWrap/>
            <w:vAlign w:val="center"/>
            <w:hideMark/>
          </w:tcPr>
          <w:p w:rsidR="0025798B" w:rsidRPr="0025798B" w:rsidRDefault="0025798B" w:rsidP="0025798B">
            <w:pPr>
              <w:ind w:left="0" w:firstLine="0"/>
              <w:rPr>
                <w:rFonts w:eastAsia="Times New Roman" w:cs="Times New Roman"/>
                <w:b/>
                <w:bCs/>
                <w:color w:val="000000"/>
                <w:sz w:val="22"/>
              </w:rPr>
            </w:pPr>
            <w:r w:rsidRPr="0025798B">
              <w:rPr>
                <w:rFonts w:eastAsia="Times New Roman" w:cs="Times New Roman"/>
                <w:b/>
                <w:bCs/>
                <w:color w:val="000000"/>
                <w:sz w:val="22"/>
              </w:rPr>
              <w:t>American Bar Association</w:t>
            </w:r>
          </w:p>
        </w:tc>
        <w:tc>
          <w:tcPr>
            <w:tcW w:w="0" w:type="auto"/>
            <w:shd w:val="clear" w:color="auto" w:fill="auto"/>
            <w:noWrap/>
            <w:vAlign w:val="center"/>
            <w:hideMark/>
          </w:tcPr>
          <w:p w:rsidR="0025798B" w:rsidRPr="0025798B" w:rsidRDefault="0025798B" w:rsidP="0025798B">
            <w:pPr>
              <w:ind w:left="0" w:firstLine="0"/>
              <w:jc w:val="center"/>
              <w:rPr>
                <w:rFonts w:eastAsia="Times New Roman" w:cs="Times New Roman"/>
                <w:color w:val="000000"/>
                <w:sz w:val="22"/>
              </w:rPr>
            </w:pPr>
            <w:r w:rsidRPr="0025798B">
              <w:rPr>
                <w:rFonts w:eastAsia="Times New Roman" w:cs="Times New Roman"/>
                <w:color w:val="000000"/>
                <w:sz w:val="22"/>
              </w:rPr>
              <w:t>28</w:t>
            </w:r>
          </w:p>
        </w:tc>
      </w:tr>
      <w:tr w:rsidR="0025798B" w:rsidRPr="0025798B" w:rsidTr="00BA4819">
        <w:trPr>
          <w:trHeight w:val="432"/>
        </w:trPr>
        <w:tc>
          <w:tcPr>
            <w:tcW w:w="0" w:type="auto"/>
            <w:vAlign w:val="center"/>
          </w:tcPr>
          <w:p w:rsidR="0025798B" w:rsidRPr="0025798B" w:rsidRDefault="0025798B" w:rsidP="0025798B">
            <w:pPr>
              <w:ind w:left="0" w:firstLine="0"/>
              <w:rPr>
                <w:rFonts w:eastAsia="Times New Roman" w:cs="Times New Roman"/>
                <w:bCs/>
                <w:color w:val="000000"/>
                <w:sz w:val="22"/>
              </w:rPr>
            </w:pPr>
            <w:r w:rsidRPr="0025798B">
              <w:rPr>
                <w:rFonts w:eastAsia="Times New Roman" w:cs="Times New Roman"/>
                <w:bCs/>
                <w:color w:val="000000"/>
                <w:sz w:val="22"/>
              </w:rPr>
              <w:t>6</w:t>
            </w:r>
          </w:p>
        </w:tc>
        <w:tc>
          <w:tcPr>
            <w:tcW w:w="0" w:type="auto"/>
            <w:shd w:val="clear" w:color="auto" w:fill="auto"/>
            <w:noWrap/>
            <w:vAlign w:val="center"/>
            <w:hideMark/>
          </w:tcPr>
          <w:p w:rsidR="0025798B" w:rsidRPr="0025798B" w:rsidRDefault="0025798B" w:rsidP="0025798B">
            <w:pPr>
              <w:ind w:left="0" w:firstLine="0"/>
              <w:rPr>
                <w:rFonts w:eastAsia="Times New Roman" w:cs="Times New Roman"/>
                <w:b/>
                <w:bCs/>
                <w:color w:val="000000"/>
                <w:sz w:val="22"/>
              </w:rPr>
            </w:pPr>
            <w:r w:rsidRPr="0025798B">
              <w:rPr>
                <w:rFonts w:eastAsia="Times New Roman" w:cs="Times New Roman"/>
                <w:b/>
                <w:bCs/>
                <w:color w:val="000000"/>
                <w:sz w:val="22"/>
              </w:rPr>
              <w:t>Chamber of Commerce</w:t>
            </w:r>
          </w:p>
        </w:tc>
        <w:tc>
          <w:tcPr>
            <w:tcW w:w="0" w:type="auto"/>
            <w:shd w:val="clear" w:color="auto" w:fill="auto"/>
            <w:noWrap/>
            <w:vAlign w:val="center"/>
            <w:hideMark/>
          </w:tcPr>
          <w:p w:rsidR="0025798B" w:rsidRPr="0025798B" w:rsidRDefault="0025798B" w:rsidP="0025798B">
            <w:pPr>
              <w:ind w:left="0" w:firstLine="0"/>
              <w:jc w:val="center"/>
              <w:rPr>
                <w:rFonts w:eastAsia="Times New Roman" w:cs="Times New Roman"/>
                <w:color w:val="000000"/>
                <w:sz w:val="22"/>
              </w:rPr>
            </w:pPr>
            <w:r w:rsidRPr="0025798B">
              <w:rPr>
                <w:rFonts w:eastAsia="Times New Roman" w:cs="Times New Roman"/>
                <w:color w:val="000000"/>
                <w:sz w:val="22"/>
              </w:rPr>
              <w:t>24</w:t>
            </w:r>
          </w:p>
        </w:tc>
      </w:tr>
      <w:tr w:rsidR="0025798B" w:rsidRPr="0025798B" w:rsidTr="00BA4819">
        <w:trPr>
          <w:trHeight w:val="432"/>
        </w:trPr>
        <w:tc>
          <w:tcPr>
            <w:tcW w:w="0" w:type="auto"/>
            <w:vAlign w:val="center"/>
          </w:tcPr>
          <w:p w:rsidR="0025798B" w:rsidRPr="0025798B" w:rsidRDefault="0025798B" w:rsidP="0025798B">
            <w:pPr>
              <w:ind w:left="0" w:firstLine="0"/>
              <w:rPr>
                <w:rFonts w:eastAsia="Times New Roman" w:cs="Times New Roman"/>
                <w:bCs/>
                <w:color w:val="000000"/>
                <w:sz w:val="22"/>
              </w:rPr>
            </w:pPr>
            <w:r w:rsidRPr="0025798B">
              <w:rPr>
                <w:rFonts w:eastAsia="Times New Roman" w:cs="Times New Roman"/>
                <w:bCs/>
                <w:color w:val="000000"/>
                <w:sz w:val="22"/>
              </w:rPr>
              <w:t>7</w:t>
            </w:r>
          </w:p>
        </w:tc>
        <w:tc>
          <w:tcPr>
            <w:tcW w:w="0" w:type="auto"/>
            <w:shd w:val="clear" w:color="auto" w:fill="auto"/>
            <w:noWrap/>
            <w:vAlign w:val="center"/>
            <w:hideMark/>
          </w:tcPr>
          <w:p w:rsidR="0025798B" w:rsidRPr="0025798B" w:rsidRDefault="0025798B" w:rsidP="0025798B">
            <w:pPr>
              <w:ind w:left="0" w:firstLine="0"/>
              <w:rPr>
                <w:rFonts w:eastAsia="Times New Roman" w:cs="Times New Roman"/>
                <w:b/>
                <w:bCs/>
                <w:color w:val="000000"/>
                <w:sz w:val="22"/>
              </w:rPr>
            </w:pPr>
            <w:r w:rsidRPr="0025798B">
              <w:rPr>
                <w:rFonts w:eastAsia="Times New Roman" w:cs="Times New Roman"/>
                <w:b/>
                <w:bCs/>
                <w:color w:val="000000"/>
                <w:sz w:val="22"/>
              </w:rPr>
              <w:t>Washington Legal Foundation</w:t>
            </w:r>
          </w:p>
        </w:tc>
        <w:tc>
          <w:tcPr>
            <w:tcW w:w="0" w:type="auto"/>
            <w:shd w:val="clear" w:color="auto" w:fill="auto"/>
            <w:noWrap/>
            <w:vAlign w:val="center"/>
            <w:hideMark/>
          </w:tcPr>
          <w:p w:rsidR="0025798B" w:rsidRPr="0025798B" w:rsidRDefault="0025798B" w:rsidP="0025798B">
            <w:pPr>
              <w:ind w:left="0" w:firstLine="0"/>
              <w:jc w:val="center"/>
              <w:rPr>
                <w:rFonts w:eastAsia="Times New Roman" w:cs="Times New Roman"/>
                <w:color w:val="000000"/>
                <w:sz w:val="22"/>
              </w:rPr>
            </w:pPr>
            <w:r w:rsidRPr="0025798B">
              <w:rPr>
                <w:rFonts w:eastAsia="Times New Roman" w:cs="Times New Roman"/>
                <w:color w:val="000000"/>
                <w:sz w:val="22"/>
              </w:rPr>
              <w:t>13</w:t>
            </w:r>
          </w:p>
        </w:tc>
      </w:tr>
      <w:tr w:rsidR="0025798B" w:rsidRPr="0025798B" w:rsidTr="00BA4819">
        <w:trPr>
          <w:trHeight w:val="432"/>
        </w:trPr>
        <w:tc>
          <w:tcPr>
            <w:tcW w:w="0" w:type="auto"/>
            <w:vAlign w:val="center"/>
          </w:tcPr>
          <w:p w:rsidR="0025798B" w:rsidRPr="0025798B" w:rsidRDefault="0025798B" w:rsidP="0025798B">
            <w:pPr>
              <w:ind w:left="0" w:firstLine="0"/>
              <w:rPr>
                <w:rFonts w:eastAsia="Times New Roman" w:cs="Times New Roman"/>
                <w:bCs/>
                <w:color w:val="000000"/>
                <w:sz w:val="22"/>
              </w:rPr>
            </w:pPr>
            <w:r w:rsidRPr="0025798B">
              <w:rPr>
                <w:rFonts w:eastAsia="Times New Roman" w:cs="Times New Roman"/>
                <w:bCs/>
                <w:color w:val="000000"/>
                <w:sz w:val="22"/>
              </w:rPr>
              <w:t>8</w:t>
            </w:r>
          </w:p>
        </w:tc>
        <w:tc>
          <w:tcPr>
            <w:tcW w:w="0" w:type="auto"/>
            <w:shd w:val="clear" w:color="auto" w:fill="auto"/>
            <w:noWrap/>
            <w:vAlign w:val="center"/>
            <w:hideMark/>
          </w:tcPr>
          <w:p w:rsidR="0025798B" w:rsidRPr="0025798B" w:rsidRDefault="0025798B" w:rsidP="0025798B">
            <w:pPr>
              <w:ind w:left="0" w:firstLine="0"/>
              <w:rPr>
                <w:rFonts w:eastAsia="Times New Roman" w:cs="Times New Roman"/>
                <w:b/>
                <w:bCs/>
                <w:color w:val="000000"/>
                <w:sz w:val="22"/>
              </w:rPr>
            </w:pPr>
            <w:r w:rsidRPr="0025798B">
              <w:rPr>
                <w:rFonts w:eastAsia="Times New Roman" w:cs="Times New Roman"/>
                <w:b/>
                <w:bCs/>
                <w:color w:val="000000"/>
                <w:sz w:val="22"/>
              </w:rPr>
              <w:t>AFL-CIO</w:t>
            </w:r>
          </w:p>
        </w:tc>
        <w:tc>
          <w:tcPr>
            <w:tcW w:w="0" w:type="auto"/>
            <w:shd w:val="clear" w:color="auto" w:fill="auto"/>
            <w:noWrap/>
            <w:vAlign w:val="center"/>
            <w:hideMark/>
          </w:tcPr>
          <w:p w:rsidR="0025798B" w:rsidRPr="0025798B" w:rsidRDefault="0025798B" w:rsidP="0025798B">
            <w:pPr>
              <w:ind w:left="0" w:firstLine="0"/>
              <w:jc w:val="center"/>
              <w:rPr>
                <w:rFonts w:eastAsia="Times New Roman" w:cs="Times New Roman"/>
                <w:color w:val="000000"/>
                <w:sz w:val="22"/>
              </w:rPr>
            </w:pPr>
            <w:r w:rsidRPr="0025798B">
              <w:rPr>
                <w:rFonts w:eastAsia="Times New Roman" w:cs="Times New Roman"/>
                <w:color w:val="000000"/>
                <w:sz w:val="22"/>
              </w:rPr>
              <w:t>13</w:t>
            </w:r>
          </w:p>
        </w:tc>
      </w:tr>
      <w:tr w:rsidR="0025798B" w:rsidRPr="0025798B" w:rsidTr="00BA4819">
        <w:trPr>
          <w:trHeight w:val="432"/>
        </w:trPr>
        <w:tc>
          <w:tcPr>
            <w:tcW w:w="0" w:type="auto"/>
            <w:vAlign w:val="center"/>
          </w:tcPr>
          <w:p w:rsidR="0025798B" w:rsidRPr="0025798B" w:rsidRDefault="0025798B" w:rsidP="0025798B">
            <w:pPr>
              <w:ind w:left="0" w:firstLine="0"/>
              <w:rPr>
                <w:rFonts w:eastAsia="Times New Roman" w:cs="Times New Roman"/>
                <w:bCs/>
                <w:color w:val="000000"/>
                <w:sz w:val="22"/>
              </w:rPr>
            </w:pPr>
            <w:r w:rsidRPr="0025798B">
              <w:rPr>
                <w:rFonts w:eastAsia="Times New Roman" w:cs="Times New Roman"/>
                <w:bCs/>
                <w:color w:val="000000"/>
                <w:sz w:val="22"/>
              </w:rPr>
              <w:t>9</w:t>
            </w:r>
          </w:p>
        </w:tc>
        <w:tc>
          <w:tcPr>
            <w:tcW w:w="0" w:type="auto"/>
            <w:shd w:val="clear" w:color="auto" w:fill="auto"/>
            <w:noWrap/>
            <w:vAlign w:val="center"/>
            <w:hideMark/>
          </w:tcPr>
          <w:p w:rsidR="0025798B" w:rsidRPr="0025798B" w:rsidRDefault="0025798B" w:rsidP="0025798B">
            <w:pPr>
              <w:ind w:left="0" w:firstLine="0"/>
              <w:rPr>
                <w:rFonts w:eastAsia="Times New Roman" w:cs="Times New Roman"/>
                <w:b/>
                <w:bCs/>
                <w:color w:val="000000"/>
                <w:sz w:val="22"/>
              </w:rPr>
            </w:pPr>
            <w:r w:rsidRPr="0025798B">
              <w:rPr>
                <w:rFonts w:eastAsia="Times New Roman" w:cs="Times New Roman"/>
                <w:b/>
                <w:bCs/>
                <w:color w:val="000000"/>
                <w:sz w:val="22"/>
              </w:rPr>
              <w:t>Pacific Legal Foundation</w:t>
            </w:r>
          </w:p>
        </w:tc>
        <w:tc>
          <w:tcPr>
            <w:tcW w:w="0" w:type="auto"/>
            <w:shd w:val="clear" w:color="auto" w:fill="auto"/>
            <w:noWrap/>
            <w:vAlign w:val="center"/>
            <w:hideMark/>
          </w:tcPr>
          <w:p w:rsidR="0025798B" w:rsidRPr="0025798B" w:rsidRDefault="0025798B" w:rsidP="0025798B">
            <w:pPr>
              <w:ind w:left="0" w:firstLine="0"/>
              <w:jc w:val="center"/>
              <w:rPr>
                <w:rFonts w:eastAsia="Times New Roman" w:cs="Times New Roman"/>
                <w:color w:val="000000"/>
                <w:sz w:val="22"/>
              </w:rPr>
            </w:pPr>
            <w:r w:rsidRPr="0025798B">
              <w:rPr>
                <w:rFonts w:eastAsia="Times New Roman" w:cs="Times New Roman"/>
                <w:color w:val="000000"/>
                <w:sz w:val="22"/>
              </w:rPr>
              <w:t>8</w:t>
            </w:r>
          </w:p>
        </w:tc>
      </w:tr>
      <w:tr w:rsidR="0025798B" w:rsidRPr="0025798B" w:rsidTr="00BA4819">
        <w:trPr>
          <w:trHeight w:val="432"/>
        </w:trPr>
        <w:tc>
          <w:tcPr>
            <w:tcW w:w="0" w:type="auto"/>
            <w:vAlign w:val="center"/>
          </w:tcPr>
          <w:p w:rsidR="0025798B" w:rsidRPr="0025798B" w:rsidRDefault="0025798B" w:rsidP="0025798B">
            <w:pPr>
              <w:ind w:left="0" w:firstLine="0"/>
              <w:rPr>
                <w:rFonts w:eastAsia="Times New Roman" w:cs="Times New Roman"/>
                <w:bCs/>
                <w:color w:val="000000"/>
                <w:sz w:val="22"/>
              </w:rPr>
            </w:pPr>
            <w:r w:rsidRPr="0025798B">
              <w:rPr>
                <w:rFonts w:eastAsia="Times New Roman" w:cs="Times New Roman"/>
                <w:bCs/>
                <w:color w:val="000000"/>
                <w:sz w:val="22"/>
              </w:rPr>
              <w:t>10</w:t>
            </w:r>
          </w:p>
        </w:tc>
        <w:tc>
          <w:tcPr>
            <w:tcW w:w="0" w:type="auto"/>
            <w:shd w:val="clear" w:color="auto" w:fill="auto"/>
            <w:noWrap/>
            <w:vAlign w:val="center"/>
            <w:hideMark/>
          </w:tcPr>
          <w:p w:rsidR="0025798B" w:rsidRPr="0025798B" w:rsidRDefault="0025798B" w:rsidP="0025798B">
            <w:pPr>
              <w:ind w:left="0" w:firstLine="0"/>
              <w:rPr>
                <w:rFonts w:eastAsia="Times New Roman" w:cs="Times New Roman"/>
                <w:b/>
                <w:bCs/>
                <w:color w:val="000000"/>
                <w:sz w:val="22"/>
              </w:rPr>
            </w:pPr>
            <w:r w:rsidRPr="0025798B">
              <w:rPr>
                <w:rFonts w:eastAsia="Times New Roman" w:cs="Times New Roman"/>
                <w:b/>
                <w:bCs/>
                <w:color w:val="000000"/>
                <w:sz w:val="22"/>
              </w:rPr>
              <w:t>American Medical Association</w:t>
            </w:r>
          </w:p>
        </w:tc>
        <w:tc>
          <w:tcPr>
            <w:tcW w:w="0" w:type="auto"/>
            <w:shd w:val="clear" w:color="auto" w:fill="auto"/>
            <w:noWrap/>
            <w:vAlign w:val="center"/>
            <w:hideMark/>
          </w:tcPr>
          <w:p w:rsidR="0025798B" w:rsidRPr="0025798B" w:rsidRDefault="0025798B" w:rsidP="0025798B">
            <w:pPr>
              <w:ind w:left="0" w:firstLine="0"/>
              <w:jc w:val="center"/>
              <w:rPr>
                <w:rFonts w:eastAsia="Times New Roman" w:cs="Times New Roman"/>
                <w:color w:val="000000"/>
                <w:sz w:val="22"/>
              </w:rPr>
            </w:pPr>
            <w:r w:rsidRPr="0025798B">
              <w:rPr>
                <w:rFonts w:eastAsia="Times New Roman" w:cs="Times New Roman"/>
                <w:color w:val="000000"/>
                <w:sz w:val="22"/>
              </w:rPr>
              <w:t>2</w:t>
            </w:r>
          </w:p>
        </w:tc>
      </w:tr>
    </w:tbl>
    <w:p w:rsidR="00E65346" w:rsidRDefault="00E65346" w:rsidP="004F50FC">
      <w:pPr>
        <w:tabs>
          <w:tab w:val="left" w:pos="1365"/>
        </w:tabs>
        <w:spacing w:line="480" w:lineRule="auto"/>
        <w:ind w:left="0" w:firstLine="0"/>
        <w:rPr>
          <w:rFonts w:cs="Times New Roman"/>
          <w:b/>
          <w:szCs w:val="24"/>
        </w:rPr>
      </w:pPr>
    </w:p>
    <w:p w:rsidR="004F50FC" w:rsidRDefault="00960E7F" w:rsidP="004F50FC">
      <w:pPr>
        <w:tabs>
          <w:tab w:val="left" w:pos="1365"/>
        </w:tabs>
        <w:spacing w:line="480" w:lineRule="auto"/>
        <w:ind w:left="0" w:firstLine="0"/>
        <w:rPr>
          <w:rFonts w:cs="Times New Roman"/>
          <w:b/>
          <w:szCs w:val="24"/>
        </w:rPr>
      </w:pPr>
      <w:proofErr w:type="gramStart"/>
      <w:r>
        <w:rPr>
          <w:rFonts w:cs="Times New Roman"/>
          <w:b/>
          <w:szCs w:val="24"/>
        </w:rPr>
        <w:lastRenderedPageBreak/>
        <w:t>Table 4.10</w:t>
      </w:r>
      <w:r w:rsidR="006527A5">
        <w:rPr>
          <w:rFonts w:cs="Times New Roman"/>
          <w:b/>
          <w:szCs w:val="24"/>
        </w:rPr>
        <w:t>.</w:t>
      </w:r>
      <w:proofErr w:type="gramEnd"/>
      <w:r w:rsidR="006527A5">
        <w:rPr>
          <w:rFonts w:cs="Times New Roman"/>
          <w:b/>
          <w:szCs w:val="24"/>
        </w:rPr>
        <w:t xml:space="preserve">  </w:t>
      </w:r>
      <w:r w:rsidR="004F50FC">
        <w:rPr>
          <w:rFonts w:cs="Times New Roman"/>
          <w:b/>
          <w:szCs w:val="24"/>
        </w:rPr>
        <w:t xml:space="preserve">Winning Percentage </w:t>
      </w:r>
      <w:r w:rsidR="006527A5">
        <w:rPr>
          <w:rFonts w:cs="Times New Roman"/>
          <w:b/>
          <w:szCs w:val="24"/>
        </w:rPr>
        <w:t>of</w:t>
      </w:r>
      <w:r w:rsidR="004F50FC">
        <w:rPr>
          <w:rFonts w:cs="Times New Roman"/>
          <w:b/>
          <w:szCs w:val="24"/>
        </w:rPr>
        <w:t xml:space="preserve"> </w:t>
      </w:r>
      <w:r w:rsidR="006527A5">
        <w:rPr>
          <w:rFonts w:cs="Times New Roman"/>
          <w:b/>
          <w:szCs w:val="24"/>
        </w:rPr>
        <w:t xml:space="preserve">Tracked </w:t>
      </w:r>
      <w:r w:rsidR="004F50FC">
        <w:rPr>
          <w:rFonts w:cs="Times New Roman"/>
          <w:b/>
          <w:szCs w:val="24"/>
        </w:rPr>
        <w:t>Prest</w:t>
      </w:r>
      <w:r w:rsidR="00BA4819">
        <w:rPr>
          <w:rFonts w:cs="Times New Roman"/>
          <w:b/>
          <w:szCs w:val="24"/>
        </w:rPr>
        <w:t>igious Amici, 2007-2011 Terms</w:t>
      </w:r>
    </w:p>
    <w:tbl>
      <w:tblPr>
        <w:tblW w:w="0" w:type="auto"/>
        <w:tblInd w:w="93" w:type="dxa"/>
        <w:tblBorders>
          <w:top w:val="single" w:sz="18" w:space="0" w:color="auto"/>
          <w:bottom w:val="single" w:sz="18" w:space="0" w:color="auto"/>
        </w:tblBorders>
        <w:tblLayout w:type="fixed"/>
        <w:tblLook w:val="04A0" w:firstRow="1" w:lastRow="0" w:firstColumn="1" w:lastColumn="0" w:noHBand="0" w:noVBand="1"/>
      </w:tblPr>
      <w:tblGrid>
        <w:gridCol w:w="735"/>
        <w:gridCol w:w="4386"/>
        <w:gridCol w:w="1313"/>
        <w:gridCol w:w="1170"/>
        <w:gridCol w:w="1879"/>
      </w:tblGrid>
      <w:tr w:rsidR="006527A5" w:rsidRPr="00ED0DB6" w:rsidTr="0025798B">
        <w:trPr>
          <w:trHeight w:val="576"/>
        </w:trPr>
        <w:tc>
          <w:tcPr>
            <w:tcW w:w="735" w:type="dxa"/>
            <w:tcBorders>
              <w:top w:val="single" w:sz="18" w:space="0" w:color="auto"/>
              <w:bottom w:val="single" w:sz="18" w:space="0" w:color="auto"/>
            </w:tcBorders>
            <w:vAlign w:val="center"/>
          </w:tcPr>
          <w:p w:rsidR="006527A5" w:rsidRPr="00ED0DB6" w:rsidRDefault="006527A5" w:rsidP="006527A5">
            <w:pPr>
              <w:ind w:left="0" w:firstLine="0"/>
              <w:rPr>
                <w:rFonts w:eastAsia="Times New Roman" w:cs="Times New Roman"/>
                <w:bCs/>
                <w:color w:val="000000"/>
                <w:sz w:val="22"/>
              </w:rPr>
            </w:pPr>
            <w:r>
              <w:rPr>
                <w:rFonts w:eastAsia="Times New Roman" w:cs="Times New Roman"/>
                <w:bCs/>
                <w:color w:val="000000"/>
                <w:sz w:val="22"/>
              </w:rPr>
              <w:t>Rank</w:t>
            </w:r>
          </w:p>
        </w:tc>
        <w:tc>
          <w:tcPr>
            <w:tcW w:w="4386" w:type="dxa"/>
            <w:tcBorders>
              <w:top w:val="single" w:sz="18" w:space="0" w:color="auto"/>
              <w:bottom w:val="single" w:sz="18" w:space="0" w:color="auto"/>
            </w:tcBorders>
            <w:shd w:val="clear" w:color="auto" w:fill="auto"/>
            <w:noWrap/>
            <w:vAlign w:val="center"/>
            <w:hideMark/>
          </w:tcPr>
          <w:p w:rsidR="006527A5" w:rsidRPr="00ED0DB6" w:rsidRDefault="006527A5" w:rsidP="006527A5">
            <w:pPr>
              <w:ind w:left="0" w:firstLine="0"/>
              <w:rPr>
                <w:rFonts w:eastAsia="Times New Roman" w:cs="Times New Roman"/>
                <w:bCs/>
                <w:color w:val="000000"/>
                <w:sz w:val="22"/>
              </w:rPr>
            </w:pPr>
            <w:r w:rsidRPr="00ED0DB6">
              <w:rPr>
                <w:rFonts w:eastAsia="Times New Roman" w:cs="Times New Roman"/>
                <w:bCs/>
                <w:color w:val="000000"/>
                <w:sz w:val="22"/>
              </w:rPr>
              <w:t>Amicus Name</w:t>
            </w:r>
          </w:p>
        </w:tc>
        <w:tc>
          <w:tcPr>
            <w:tcW w:w="1313" w:type="dxa"/>
            <w:tcBorders>
              <w:top w:val="single" w:sz="18" w:space="0" w:color="auto"/>
              <w:bottom w:val="single" w:sz="18" w:space="0" w:color="auto"/>
            </w:tcBorders>
            <w:shd w:val="clear" w:color="auto" w:fill="auto"/>
            <w:noWrap/>
            <w:vAlign w:val="center"/>
            <w:hideMark/>
          </w:tcPr>
          <w:p w:rsidR="006527A5" w:rsidRPr="00ED0DB6" w:rsidRDefault="006527A5" w:rsidP="006527A5">
            <w:pPr>
              <w:ind w:left="0" w:firstLine="0"/>
              <w:jc w:val="center"/>
              <w:rPr>
                <w:rFonts w:eastAsia="Times New Roman" w:cs="Times New Roman"/>
                <w:bCs/>
                <w:color w:val="000000"/>
                <w:sz w:val="22"/>
              </w:rPr>
            </w:pPr>
            <w:r w:rsidRPr="00ED0DB6">
              <w:rPr>
                <w:rFonts w:eastAsia="Times New Roman" w:cs="Times New Roman"/>
                <w:bCs/>
                <w:color w:val="000000"/>
                <w:sz w:val="22"/>
              </w:rPr>
              <w:t>Winning Side</w:t>
            </w:r>
          </w:p>
        </w:tc>
        <w:tc>
          <w:tcPr>
            <w:tcW w:w="1170" w:type="dxa"/>
            <w:tcBorders>
              <w:top w:val="single" w:sz="18" w:space="0" w:color="auto"/>
              <w:bottom w:val="single" w:sz="18" w:space="0" w:color="auto"/>
            </w:tcBorders>
            <w:shd w:val="clear" w:color="auto" w:fill="auto"/>
            <w:noWrap/>
            <w:vAlign w:val="center"/>
            <w:hideMark/>
          </w:tcPr>
          <w:p w:rsidR="006527A5" w:rsidRPr="00ED0DB6" w:rsidRDefault="006527A5" w:rsidP="006527A5">
            <w:pPr>
              <w:ind w:left="0" w:firstLine="0"/>
              <w:jc w:val="center"/>
              <w:rPr>
                <w:rFonts w:eastAsia="Times New Roman" w:cs="Times New Roman"/>
                <w:bCs/>
                <w:color w:val="000000"/>
                <w:sz w:val="22"/>
              </w:rPr>
            </w:pPr>
            <w:r w:rsidRPr="00ED0DB6">
              <w:rPr>
                <w:rFonts w:eastAsia="Times New Roman" w:cs="Times New Roman"/>
                <w:bCs/>
                <w:color w:val="000000"/>
                <w:sz w:val="22"/>
              </w:rPr>
              <w:t>Losing Side</w:t>
            </w:r>
          </w:p>
        </w:tc>
        <w:tc>
          <w:tcPr>
            <w:tcW w:w="1879" w:type="dxa"/>
            <w:tcBorders>
              <w:top w:val="single" w:sz="18" w:space="0" w:color="auto"/>
              <w:bottom w:val="single" w:sz="18" w:space="0" w:color="auto"/>
            </w:tcBorders>
            <w:shd w:val="clear" w:color="auto" w:fill="auto"/>
            <w:noWrap/>
            <w:vAlign w:val="center"/>
            <w:hideMark/>
          </w:tcPr>
          <w:p w:rsidR="006527A5" w:rsidRPr="00ED0DB6" w:rsidRDefault="006527A5" w:rsidP="006527A5">
            <w:pPr>
              <w:ind w:left="0" w:firstLine="0"/>
              <w:jc w:val="center"/>
              <w:rPr>
                <w:rFonts w:eastAsia="Times New Roman" w:cs="Times New Roman"/>
                <w:bCs/>
                <w:color w:val="000000"/>
                <w:sz w:val="22"/>
              </w:rPr>
            </w:pPr>
            <w:r w:rsidRPr="00ED0DB6">
              <w:rPr>
                <w:rFonts w:eastAsia="Times New Roman" w:cs="Times New Roman"/>
                <w:bCs/>
                <w:color w:val="000000"/>
                <w:sz w:val="22"/>
              </w:rPr>
              <w:t>Winning  Percentage</w:t>
            </w:r>
          </w:p>
        </w:tc>
      </w:tr>
      <w:tr w:rsidR="006527A5" w:rsidRPr="00ED0DB6" w:rsidTr="0025798B">
        <w:trPr>
          <w:trHeight w:val="576"/>
        </w:trPr>
        <w:tc>
          <w:tcPr>
            <w:tcW w:w="735" w:type="dxa"/>
            <w:tcBorders>
              <w:top w:val="single" w:sz="18" w:space="0" w:color="auto"/>
            </w:tcBorders>
            <w:vAlign w:val="center"/>
          </w:tcPr>
          <w:p w:rsidR="006527A5" w:rsidRPr="006527A5" w:rsidRDefault="006527A5" w:rsidP="0025798B">
            <w:pPr>
              <w:ind w:left="0" w:firstLine="0"/>
              <w:rPr>
                <w:rFonts w:eastAsia="Times New Roman" w:cs="Times New Roman"/>
                <w:color w:val="000000"/>
                <w:sz w:val="22"/>
              </w:rPr>
            </w:pPr>
            <w:r w:rsidRPr="006527A5">
              <w:rPr>
                <w:rFonts w:eastAsia="Times New Roman" w:cs="Times New Roman"/>
                <w:color w:val="000000"/>
                <w:sz w:val="22"/>
              </w:rPr>
              <w:t>1</w:t>
            </w:r>
          </w:p>
        </w:tc>
        <w:tc>
          <w:tcPr>
            <w:tcW w:w="4386" w:type="dxa"/>
            <w:tcBorders>
              <w:top w:val="single" w:sz="18" w:space="0" w:color="auto"/>
            </w:tcBorders>
            <w:shd w:val="clear" w:color="auto" w:fill="auto"/>
            <w:noWrap/>
            <w:vAlign w:val="center"/>
            <w:hideMark/>
          </w:tcPr>
          <w:p w:rsidR="006527A5" w:rsidRPr="00ED0DB6" w:rsidRDefault="006527A5" w:rsidP="00ED0DB6">
            <w:pPr>
              <w:ind w:left="0" w:firstLine="0"/>
              <w:rPr>
                <w:rFonts w:eastAsia="Times New Roman" w:cs="Times New Roman"/>
                <w:b/>
                <w:color w:val="000000"/>
                <w:sz w:val="22"/>
              </w:rPr>
            </w:pPr>
            <w:r w:rsidRPr="00ED0DB6">
              <w:rPr>
                <w:rFonts w:eastAsia="Times New Roman" w:cs="Times New Roman"/>
                <w:b/>
                <w:color w:val="000000"/>
                <w:sz w:val="22"/>
              </w:rPr>
              <w:t>Solicitor General</w:t>
            </w:r>
          </w:p>
        </w:tc>
        <w:tc>
          <w:tcPr>
            <w:tcW w:w="1313" w:type="dxa"/>
            <w:tcBorders>
              <w:top w:val="single" w:sz="18" w:space="0" w:color="auto"/>
            </w:tcBorders>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108</w:t>
            </w:r>
          </w:p>
        </w:tc>
        <w:tc>
          <w:tcPr>
            <w:tcW w:w="1170" w:type="dxa"/>
            <w:tcBorders>
              <w:top w:val="single" w:sz="18" w:space="0" w:color="auto"/>
            </w:tcBorders>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42</w:t>
            </w:r>
          </w:p>
        </w:tc>
        <w:tc>
          <w:tcPr>
            <w:tcW w:w="1879" w:type="dxa"/>
            <w:tcBorders>
              <w:top w:val="single" w:sz="18" w:space="0" w:color="auto"/>
            </w:tcBorders>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72.00%</w:t>
            </w:r>
          </w:p>
        </w:tc>
      </w:tr>
      <w:tr w:rsidR="006527A5" w:rsidRPr="00ED0DB6" w:rsidTr="0025798B">
        <w:trPr>
          <w:trHeight w:val="576"/>
        </w:trPr>
        <w:tc>
          <w:tcPr>
            <w:tcW w:w="735" w:type="dxa"/>
            <w:vAlign w:val="center"/>
          </w:tcPr>
          <w:p w:rsidR="006527A5" w:rsidRPr="006527A5" w:rsidRDefault="006527A5" w:rsidP="0025798B">
            <w:pPr>
              <w:ind w:left="0" w:firstLine="0"/>
              <w:rPr>
                <w:rFonts w:eastAsia="Times New Roman" w:cs="Times New Roman"/>
                <w:color w:val="000000"/>
                <w:sz w:val="22"/>
              </w:rPr>
            </w:pPr>
            <w:r w:rsidRPr="006527A5">
              <w:rPr>
                <w:rFonts w:eastAsia="Times New Roman" w:cs="Times New Roman"/>
                <w:color w:val="000000"/>
                <w:sz w:val="22"/>
              </w:rPr>
              <w:t>2</w:t>
            </w:r>
          </w:p>
        </w:tc>
        <w:tc>
          <w:tcPr>
            <w:tcW w:w="4386" w:type="dxa"/>
            <w:shd w:val="clear" w:color="auto" w:fill="auto"/>
            <w:noWrap/>
            <w:vAlign w:val="center"/>
            <w:hideMark/>
          </w:tcPr>
          <w:p w:rsidR="006527A5" w:rsidRPr="00ED0DB6" w:rsidRDefault="006527A5" w:rsidP="00ED0DB6">
            <w:pPr>
              <w:ind w:left="0" w:firstLine="0"/>
              <w:rPr>
                <w:rFonts w:eastAsia="Times New Roman" w:cs="Times New Roman"/>
                <w:b/>
                <w:color w:val="000000"/>
                <w:sz w:val="22"/>
              </w:rPr>
            </w:pPr>
            <w:r w:rsidRPr="00ED0DB6">
              <w:rPr>
                <w:rFonts w:eastAsia="Times New Roman" w:cs="Times New Roman"/>
                <w:b/>
                <w:color w:val="000000"/>
                <w:sz w:val="22"/>
              </w:rPr>
              <w:t>Pacific Legal Foundation</w:t>
            </w:r>
          </w:p>
        </w:tc>
        <w:tc>
          <w:tcPr>
            <w:tcW w:w="1313"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28</w:t>
            </w:r>
          </w:p>
        </w:tc>
        <w:tc>
          <w:tcPr>
            <w:tcW w:w="1170"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11</w:t>
            </w:r>
          </w:p>
        </w:tc>
        <w:tc>
          <w:tcPr>
            <w:tcW w:w="1879"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71.79%</w:t>
            </w:r>
          </w:p>
        </w:tc>
      </w:tr>
      <w:tr w:rsidR="006527A5" w:rsidRPr="00ED0DB6" w:rsidTr="0025798B">
        <w:trPr>
          <w:trHeight w:val="576"/>
        </w:trPr>
        <w:tc>
          <w:tcPr>
            <w:tcW w:w="735" w:type="dxa"/>
            <w:vAlign w:val="center"/>
          </w:tcPr>
          <w:p w:rsidR="006527A5" w:rsidRPr="006527A5" w:rsidRDefault="006527A5" w:rsidP="0025798B">
            <w:pPr>
              <w:ind w:left="0" w:firstLine="0"/>
              <w:rPr>
                <w:rFonts w:eastAsia="Times New Roman" w:cs="Times New Roman"/>
                <w:color w:val="000000"/>
                <w:sz w:val="22"/>
              </w:rPr>
            </w:pPr>
            <w:r w:rsidRPr="006527A5">
              <w:rPr>
                <w:rFonts w:eastAsia="Times New Roman" w:cs="Times New Roman"/>
                <w:color w:val="000000"/>
                <w:sz w:val="22"/>
              </w:rPr>
              <w:t>3</w:t>
            </w:r>
          </w:p>
        </w:tc>
        <w:tc>
          <w:tcPr>
            <w:tcW w:w="4386" w:type="dxa"/>
            <w:shd w:val="clear" w:color="auto" w:fill="auto"/>
            <w:noWrap/>
            <w:vAlign w:val="center"/>
            <w:hideMark/>
          </w:tcPr>
          <w:p w:rsidR="006527A5" w:rsidRPr="00ED0DB6" w:rsidRDefault="006527A5" w:rsidP="00ED0DB6">
            <w:pPr>
              <w:ind w:left="0" w:firstLine="0"/>
              <w:rPr>
                <w:rFonts w:eastAsia="Times New Roman" w:cs="Times New Roman"/>
                <w:b/>
                <w:color w:val="000000"/>
                <w:sz w:val="22"/>
              </w:rPr>
            </w:pPr>
            <w:r w:rsidRPr="00ED0DB6">
              <w:rPr>
                <w:rFonts w:eastAsia="Times New Roman" w:cs="Times New Roman"/>
                <w:b/>
                <w:color w:val="000000"/>
                <w:sz w:val="22"/>
              </w:rPr>
              <w:t>American Bar Association</w:t>
            </w:r>
          </w:p>
        </w:tc>
        <w:tc>
          <w:tcPr>
            <w:tcW w:w="1313"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23</w:t>
            </w:r>
          </w:p>
        </w:tc>
        <w:tc>
          <w:tcPr>
            <w:tcW w:w="1170"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10</w:t>
            </w:r>
          </w:p>
        </w:tc>
        <w:tc>
          <w:tcPr>
            <w:tcW w:w="1879"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69.70%</w:t>
            </w:r>
          </w:p>
        </w:tc>
      </w:tr>
      <w:tr w:rsidR="006527A5" w:rsidRPr="00ED0DB6" w:rsidTr="0025798B">
        <w:trPr>
          <w:trHeight w:val="576"/>
        </w:trPr>
        <w:tc>
          <w:tcPr>
            <w:tcW w:w="735" w:type="dxa"/>
            <w:vAlign w:val="center"/>
          </w:tcPr>
          <w:p w:rsidR="006527A5" w:rsidRPr="006527A5" w:rsidRDefault="006527A5" w:rsidP="0025798B">
            <w:pPr>
              <w:ind w:left="0" w:firstLine="0"/>
              <w:rPr>
                <w:rFonts w:eastAsia="Times New Roman" w:cs="Times New Roman"/>
                <w:color w:val="000000"/>
                <w:sz w:val="22"/>
              </w:rPr>
            </w:pPr>
            <w:r w:rsidRPr="006527A5">
              <w:rPr>
                <w:rFonts w:eastAsia="Times New Roman" w:cs="Times New Roman"/>
                <w:color w:val="000000"/>
                <w:sz w:val="22"/>
              </w:rPr>
              <w:t>4</w:t>
            </w:r>
          </w:p>
        </w:tc>
        <w:tc>
          <w:tcPr>
            <w:tcW w:w="4386" w:type="dxa"/>
            <w:shd w:val="clear" w:color="auto" w:fill="auto"/>
            <w:noWrap/>
            <w:vAlign w:val="center"/>
            <w:hideMark/>
          </w:tcPr>
          <w:p w:rsidR="006527A5" w:rsidRPr="00ED0DB6" w:rsidRDefault="006527A5" w:rsidP="00ED0DB6">
            <w:pPr>
              <w:ind w:left="0" w:firstLine="0"/>
              <w:rPr>
                <w:rFonts w:eastAsia="Times New Roman" w:cs="Times New Roman"/>
                <w:b/>
                <w:color w:val="000000"/>
                <w:sz w:val="22"/>
              </w:rPr>
            </w:pPr>
            <w:r w:rsidRPr="00ED0DB6">
              <w:rPr>
                <w:rFonts w:eastAsia="Times New Roman" w:cs="Times New Roman"/>
                <w:b/>
                <w:color w:val="000000"/>
                <w:sz w:val="22"/>
              </w:rPr>
              <w:t>State Governments</w:t>
            </w:r>
          </w:p>
        </w:tc>
        <w:tc>
          <w:tcPr>
            <w:tcW w:w="1313"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2</w:t>
            </w:r>
            <w:r w:rsidR="002918F4">
              <w:rPr>
                <w:rFonts w:eastAsia="Times New Roman" w:cs="Times New Roman"/>
                <w:color w:val="000000"/>
                <w:sz w:val="22"/>
              </w:rPr>
              <w:t>,</w:t>
            </w:r>
            <w:r w:rsidRPr="00ED0DB6">
              <w:rPr>
                <w:rFonts w:eastAsia="Times New Roman" w:cs="Times New Roman"/>
                <w:color w:val="000000"/>
                <w:sz w:val="22"/>
              </w:rPr>
              <w:t>323</w:t>
            </w:r>
          </w:p>
        </w:tc>
        <w:tc>
          <w:tcPr>
            <w:tcW w:w="1170"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1414</w:t>
            </w:r>
          </w:p>
        </w:tc>
        <w:tc>
          <w:tcPr>
            <w:tcW w:w="1879"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62.16%</w:t>
            </w:r>
          </w:p>
        </w:tc>
      </w:tr>
      <w:tr w:rsidR="006527A5" w:rsidRPr="00ED0DB6" w:rsidTr="0025798B">
        <w:trPr>
          <w:trHeight w:val="576"/>
        </w:trPr>
        <w:tc>
          <w:tcPr>
            <w:tcW w:w="735" w:type="dxa"/>
            <w:vAlign w:val="center"/>
          </w:tcPr>
          <w:p w:rsidR="006527A5" w:rsidRPr="006527A5" w:rsidRDefault="006527A5" w:rsidP="0025798B">
            <w:pPr>
              <w:ind w:left="0" w:firstLine="0"/>
              <w:rPr>
                <w:rFonts w:eastAsia="Times New Roman" w:cs="Times New Roman"/>
                <w:color w:val="000000"/>
                <w:sz w:val="22"/>
              </w:rPr>
            </w:pPr>
            <w:r w:rsidRPr="006527A5">
              <w:rPr>
                <w:rFonts w:eastAsia="Times New Roman" w:cs="Times New Roman"/>
                <w:color w:val="000000"/>
                <w:sz w:val="22"/>
              </w:rPr>
              <w:t>5</w:t>
            </w:r>
          </w:p>
        </w:tc>
        <w:tc>
          <w:tcPr>
            <w:tcW w:w="4386" w:type="dxa"/>
            <w:shd w:val="clear" w:color="auto" w:fill="auto"/>
            <w:noWrap/>
            <w:vAlign w:val="center"/>
            <w:hideMark/>
          </w:tcPr>
          <w:p w:rsidR="006527A5" w:rsidRPr="00ED0DB6" w:rsidRDefault="006527A5" w:rsidP="00ED0DB6">
            <w:pPr>
              <w:ind w:left="0" w:firstLine="0"/>
              <w:rPr>
                <w:rFonts w:eastAsia="Times New Roman" w:cs="Times New Roman"/>
                <w:b/>
                <w:color w:val="000000"/>
                <w:sz w:val="22"/>
              </w:rPr>
            </w:pPr>
            <w:r w:rsidRPr="00ED0DB6">
              <w:rPr>
                <w:rFonts w:eastAsia="Times New Roman" w:cs="Times New Roman"/>
                <w:b/>
                <w:color w:val="000000"/>
                <w:sz w:val="22"/>
              </w:rPr>
              <w:t>Washington Legal Foundation</w:t>
            </w:r>
          </w:p>
        </w:tc>
        <w:tc>
          <w:tcPr>
            <w:tcW w:w="1313"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31</w:t>
            </w:r>
          </w:p>
        </w:tc>
        <w:tc>
          <w:tcPr>
            <w:tcW w:w="1170"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20</w:t>
            </w:r>
          </w:p>
        </w:tc>
        <w:tc>
          <w:tcPr>
            <w:tcW w:w="1879"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60.78%</w:t>
            </w:r>
          </w:p>
        </w:tc>
      </w:tr>
      <w:tr w:rsidR="006527A5" w:rsidRPr="00ED0DB6" w:rsidTr="0025798B">
        <w:trPr>
          <w:trHeight w:val="576"/>
        </w:trPr>
        <w:tc>
          <w:tcPr>
            <w:tcW w:w="735" w:type="dxa"/>
            <w:vAlign w:val="center"/>
          </w:tcPr>
          <w:p w:rsidR="006527A5" w:rsidRPr="006527A5" w:rsidRDefault="006527A5" w:rsidP="0025798B">
            <w:pPr>
              <w:ind w:left="0" w:firstLine="0"/>
              <w:rPr>
                <w:rFonts w:eastAsia="Times New Roman" w:cs="Times New Roman"/>
                <w:color w:val="000000"/>
                <w:sz w:val="22"/>
              </w:rPr>
            </w:pPr>
            <w:r w:rsidRPr="006527A5">
              <w:rPr>
                <w:rFonts w:eastAsia="Times New Roman" w:cs="Times New Roman"/>
                <w:color w:val="000000"/>
                <w:sz w:val="22"/>
              </w:rPr>
              <w:t>6</w:t>
            </w:r>
          </w:p>
        </w:tc>
        <w:tc>
          <w:tcPr>
            <w:tcW w:w="4386" w:type="dxa"/>
            <w:shd w:val="clear" w:color="auto" w:fill="auto"/>
            <w:noWrap/>
            <w:vAlign w:val="center"/>
            <w:hideMark/>
          </w:tcPr>
          <w:p w:rsidR="006527A5" w:rsidRPr="00ED0DB6" w:rsidRDefault="006527A5" w:rsidP="00ED0DB6">
            <w:pPr>
              <w:ind w:left="0" w:firstLine="0"/>
              <w:rPr>
                <w:rFonts w:eastAsia="Times New Roman" w:cs="Times New Roman"/>
                <w:b/>
                <w:color w:val="000000"/>
                <w:sz w:val="22"/>
              </w:rPr>
            </w:pPr>
            <w:r w:rsidRPr="00ED0DB6">
              <w:rPr>
                <w:rFonts w:eastAsia="Times New Roman" w:cs="Times New Roman"/>
                <w:b/>
                <w:color w:val="000000"/>
                <w:sz w:val="22"/>
              </w:rPr>
              <w:t>Chamber of Commerce</w:t>
            </w:r>
          </w:p>
        </w:tc>
        <w:tc>
          <w:tcPr>
            <w:tcW w:w="1313"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45</w:t>
            </w:r>
          </w:p>
        </w:tc>
        <w:tc>
          <w:tcPr>
            <w:tcW w:w="1170"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31</w:t>
            </w:r>
          </w:p>
        </w:tc>
        <w:tc>
          <w:tcPr>
            <w:tcW w:w="1879"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59.21%</w:t>
            </w:r>
          </w:p>
        </w:tc>
      </w:tr>
      <w:tr w:rsidR="006527A5" w:rsidRPr="00ED0DB6" w:rsidTr="0025798B">
        <w:trPr>
          <w:trHeight w:val="576"/>
        </w:trPr>
        <w:tc>
          <w:tcPr>
            <w:tcW w:w="735" w:type="dxa"/>
            <w:vAlign w:val="center"/>
          </w:tcPr>
          <w:p w:rsidR="006527A5" w:rsidRPr="006527A5" w:rsidRDefault="006527A5" w:rsidP="0025798B">
            <w:pPr>
              <w:ind w:left="0" w:firstLine="0"/>
              <w:rPr>
                <w:rFonts w:eastAsia="Times New Roman" w:cs="Times New Roman"/>
                <w:color w:val="000000"/>
                <w:sz w:val="22"/>
              </w:rPr>
            </w:pPr>
            <w:r w:rsidRPr="006527A5">
              <w:rPr>
                <w:rFonts w:eastAsia="Times New Roman" w:cs="Times New Roman"/>
                <w:color w:val="000000"/>
                <w:sz w:val="22"/>
              </w:rPr>
              <w:t>7</w:t>
            </w:r>
          </w:p>
        </w:tc>
        <w:tc>
          <w:tcPr>
            <w:tcW w:w="4386" w:type="dxa"/>
            <w:shd w:val="clear" w:color="auto" w:fill="auto"/>
            <w:noWrap/>
            <w:vAlign w:val="center"/>
            <w:hideMark/>
          </w:tcPr>
          <w:p w:rsidR="006527A5" w:rsidRPr="00ED0DB6" w:rsidRDefault="006527A5" w:rsidP="00ED0DB6">
            <w:pPr>
              <w:ind w:left="0" w:firstLine="0"/>
              <w:rPr>
                <w:rFonts w:eastAsia="Times New Roman" w:cs="Times New Roman"/>
                <w:b/>
                <w:color w:val="000000"/>
                <w:sz w:val="22"/>
              </w:rPr>
            </w:pPr>
            <w:r w:rsidRPr="00ED0DB6">
              <w:rPr>
                <w:rFonts w:eastAsia="Times New Roman" w:cs="Times New Roman"/>
                <w:b/>
                <w:color w:val="000000"/>
                <w:sz w:val="22"/>
              </w:rPr>
              <w:t>Local Governments</w:t>
            </w:r>
          </w:p>
        </w:tc>
        <w:tc>
          <w:tcPr>
            <w:tcW w:w="1313"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97</w:t>
            </w:r>
          </w:p>
        </w:tc>
        <w:tc>
          <w:tcPr>
            <w:tcW w:w="1170"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67</w:t>
            </w:r>
          </w:p>
        </w:tc>
        <w:tc>
          <w:tcPr>
            <w:tcW w:w="1879"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59.15%</w:t>
            </w:r>
          </w:p>
        </w:tc>
      </w:tr>
      <w:tr w:rsidR="006527A5" w:rsidRPr="00ED0DB6" w:rsidTr="0025798B">
        <w:trPr>
          <w:trHeight w:val="576"/>
        </w:trPr>
        <w:tc>
          <w:tcPr>
            <w:tcW w:w="735" w:type="dxa"/>
            <w:vAlign w:val="center"/>
          </w:tcPr>
          <w:p w:rsidR="006527A5" w:rsidRPr="006527A5" w:rsidRDefault="006527A5" w:rsidP="0025798B">
            <w:pPr>
              <w:ind w:left="0" w:firstLine="0"/>
              <w:rPr>
                <w:rFonts w:eastAsia="Times New Roman" w:cs="Times New Roman"/>
                <w:color w:val="000000"/>
                <w:sz w:val="22"/>
              </w:rPr>
            </w:pPr>
            <w:r w:rsidRPr="006527A5">
              <w:rPr>
                <w:rFonts w:eastAsia="Times New Roman" w:cs="Times New Roman"/>
                <w:color w:val="000000"/>
                <w:sz w:val="22"/>
              </w:rPr>
              <w:t>8</w:t>
            </w:r>
          </w:p>
        </w:tc>
        <w:tc>
          <w:tcPr>
            <w:tcW w:w="4386" w:type="dxa"/>
            <w:shd w:val="clear" w:color="auto" w:fill="auto"/>
            <w:noWrap/>
            <w:vAlign w:val="center"/>
            <w:hideMark/>
          </w:tcPr>
          <w:p w:rsidR="006527A5" w:rsidRPr="00ED0DB6" w:rsidRDefault="006527A5" w:rsidP="00ED0DB6">
            <w:pPr>
              <w:ind w:left="0" w:firstLine="0"/>
              <w:rPr>
                <w:rFonts w:eastAsia="Times New Roman" w:cs="Times New Roman"/>
                <w:b/>
                <w:color w:val="000000"/>
                <w:sz w:val="22"/>
              </w:rPr>
            </w:pPr>
            <w:r w:rsidRPr="00ED0DB6">
              <w:rPr>
                <w:rFonts w:eastAsia="Times New Roman" w:cs="Times New Roman"/>
                <w:b/>
                <w:color w:val="000000"/>
                <w:sz w:val="22"/>
              </w:rPr>
              <w:t>Foreign Governments</w:t>
            </w:r>
          </w:p>
        </w:tc>
        <w:tc>
          <w:tcPr>
            <w:tcW w:w="1313"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21</w:t>
            </w:r>
          </w:p>
        </w:tc>
        <w:tc>
          <w:tcPr>
            <w:tcW w:w="1170"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17</w:t>
            </w:r>
          </w:p>
        </w:tc>
        <w:tc>
          <w:tcPr>
            <w:tcW w:w="1879"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55.26%</w:t>
            </w:r>
          </w:p>
        </w:tc>
      </w:tr>
      <w:tr w:rsidR="006527A5" w:rsidRPr="00ED0DB6" w:rsidTr="0025798B">
        <w:trPr>
          <w:trHeight w:val="576"/>
        </w:trPr>
        <w:tc>
          <w:tcPr>
            <w:tcW w:w="735" w:type="dxa"/>
            <w:vAlign w:val="center"/>
          </w:tcPr>
          <w:p w:rsidR="006527A5" w:rsidRPr="006527A5" w:rsidRDefault="006527A5" w:rsidP="0025798B">
            <w:pPr>
              <w:ind w:left="0" w:firstLine="0"/>
              <w:rPr>
                <w:rFonts w:eastAsia="Times New Roman" w:cs="Times New Roman"/>
                <w:color w:val="000000"/>
                <w:sz w:val="22"/>
              </w:rPr>
            </w:pPr>
            <w:r w:rsidRPr="006527A5">
              <w:rPr>
                <w:rFonts w:eastAsia="Times New Roman" w:cs="Times New Roman"/>
                <w:color w:val="000000"/>
                <w:sz w:val="22"/>
              </w:rPr>
              <w:t>9</w:t>
            </w:r>
          </w:p>
        </w:tc>
        <w:tc>
          <w:tcPr>
            <w:tcW w:w="4386" w:type="dxa"/>
            <w:shd w:val="clear" w:color="auto" w:fill="auto"/>
            <w:noWrap/>
            <w:vAlign w:val="center"/>
            <w:hideMark/>
          </w:tcPr>
          <w:p w:rsidR="006527A5" w:rsidRPr="00ED0DB6" w:rsidRDefault="006527A5" w:rsidP="00ED0DB6">
            <w:pPr>
              <w:ind w:left="0" w:firstLine="0"/>
              <w:rPr>
                <w:rFonts w:eastAsia="Times New Roman" w:cs="Times New Roman"/>
                <w:b/>
                <w:color w:val="000000"/>
                <w:sz w:val="22"/>
              </w:rPr>
            </w:pPr>
            <w:r w:rsidRPr="00ED0DB6">
              <w:rPr>
                <w:rFonts w:eastAsia="Times New Roman" w:cs="Times New Roman"/>
                <w:b/>
                <w:color w:val="000000"/>
                <w:sz w:val="22"/>
              </w:rPr>
              <w:t>National Association of Criminal Defense Lawyers</w:t>
            </w:r>
          </w:p>
        </w:tc>
        <w:tc>
          <w:tcPr>
            <w:tcW w:w="1313"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49</w:t>
            </w:r>
          </w:p>
        </w:tc>
        <w:tc>
          <w:tcPr>
            <w:tcW w:w="1170"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49</w:t>
            </w:r>
          </w:p>
        </w:tc>
        <w:tc>
          <w:tcPr>
            <w:tcW w:w="1879" w:type="dxa"/>
            <w:shd w:val="clear" w:color="auto" w:fill="auto"/>
            <w:noWrap/>
            <w:vAlign w:val="center"/>
            <w:hideMark/>
          </w:tcPr>
          <w:p w:rsidR="006527A5" w:rsidRPr="00ED0DB6" w:rsidRDefault="006527A5" w:rsidP="006527A5">
            <w:pPr>
              <w:ind w:left="0" w:firstLine="0"/>
              <w:jc w:val="center"/>
              <w:rPr>
                <w:rFonts w:eastAsia="Times New Roman" w:cs="Times New Roman"/>
                <w:color w:val="000000"/>
                <w:sz w:val="22"/>
              </w:rPr>
            </w:pPr>
            <w:r w:rsidRPr="00ED0DB6">
              <w:rPr>
                <w:rFonts w:eastAsia="Times New Roman" w:cs="Times New Roman"/>
                <w:color w:val="000000"/>
                <w:sz w:val="22"/>
              </w:rPr>
              <w:t>50</w:t>
            </w:r>
            <w:r>
              <w:rPr>
                <w:rFonts w:eastAsia="Times New Roman" w:cs="Times New Roman"/>
                <w:color w:val="000000"/>
                <w:sz w:val="22"/>
              </w:rPr>
              <w:t>.00</w:t>
            </w:r>
            <w:r w:rsidRPr="00ED0DB6">
              <w:rPr>
                <w:rFonts w:eastAsia="Times New Roman" w:cs="Times New Roman"/>
                <w:color w:val="000000"/>
                <w:sz w:val="22"/>
              </w:rPr>
              <w:t>%</w:t>
            </w:r>
          </w:p>
        </w:tc>
      </w:tr>
      <w:tr w:rsidR="006527A5" w:rsidRPr="00ED0DB6" w:rsidTr="0025798B">
        <w:trPr>
          <w:trHeight w:val="576"/>
        </w:trPr>
        <w:tc>
          <w:tcPr>
            <w:tcW w:w="735" w:type="dxa"/>
            <w:vAlign w:val="center"/>
          </w:tcPr>
          <w:p w:rsidR="006527A5" w:rsidRPr="006527A5" w:rsidRDefault="006527A5" w:rsidP="0025798B">
            <w:pPr>
              <w:ind w:left="0" w:firstLine="0"/>
              <w:rPr>
                <w:rFonts w:eastAsia="Times New Roman" w:cs="Times New Roman"/>
                <w:color w:val="000000"/>
                <w:sz w:val="22"/>
              </w:rPr>
            </w:pPr>
            <w:r w:rsidRPr="006527A5">
              <w:rPr>
                <w:rFonts w:eastAsia="Times New Roman" w:cs="Times New Roman"/>
                <w:color w:val="000000"/>
                <w:sz w:val="22"/>
              </w:rPr>
              <w:t>10</w:t>
            </w:r>
          </w:p>
        </w:tc>
        <w:tc>
          <w:tcPr>
            <w:tcW w:w="4386" w:type="dxa"/>
            <w:shd w:val="clear" w:color="auto" w:fill="auto"/>
            <w:noWrap/>
            <w:vAlign w:val="center"/>
            <w:hideMark/>
          </w:tcPr>
          <w:p w:rsidR="006527A5" w:rsidRPr="00ED0DB6" w:rsidRDefault="006527A5" w:rsidP="00ED0DB6">
            <w:pPr>
              <w:ind w:left="0" w:firstLine="0"/>
              <w:rPr>
                <w:rFonts w:eastAsia="Times New Roman" w:cs="Times New Roman"/>
                <w:b/>
                <w:color w:val="000000"/>
                <w:sz w:val="22"/>
              </w:rPr>
            </w:pPr>
            <w:r w:rsidRPr="00ED0DB6">
              <w:rPr>
                <w:rFonts w:eastAsia="Times New Roman" w:cs="Times New Roman"/>
                <w:b/>
                <w:color w:val="000000"/>
                <w:sz w:val="22"/>
              </w:rPr>
              <w:t>American Association of Retired Persons</w:t>
            </w:r>
          </w:p>
        </w:tc>
        <w:tc>
          <w:tcPr>
            <w:tcW w:w="1313"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29</w:t>
            </w:r>
          </w:p>
        </w:tc>
        <w:tc>
          <w:tcPr>
            <w:tcW w:w="1170"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31</w:t>
            </w:r>
          </w:p>
        </w:tc>
        <w:tc>
          <w:tcPr>
            <w:tcW w:w="1879"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48.33%</w:t>
            </w:r>
          </w:p>
        </w:tc>
      </w:tr>
      <w:tr w:rsidR="006527A5" w:rsidRPr="00ED0DB6" w:rsidTr="0025798B">
        <w:trPr>
          <w:trHeight w:val="576"/>
        </w:trPr>
        <w:tc>
          <w:tcPr>
            <w:tcW w:w="735" w:type="dxa"/>
            <w:vAlign w:val="center"/>
          </w:tcPr>
          <w:p w:rsidR="006527A5" w:rsidRPr="006527A5" w:rsidRDefault="006527A5" w:rsidP="0025798B">
            <w:pPr>
              <w:ind w:left="0" w:firstLine="0"/>
              <w:rPr>
                <w:rFonts w:eastAsia="Times New Roman" w:cs="Times New Roman"/>
                <w:color w:val="000000"/>
                <w:sz w:val="22"/>
              </w:rPr>
            </w:pPr>
            <w:r w:rsidRPr="006527A5">
              <w:rPr>
                <w:rFonts w:eastAsia="Times New Roman" w:cs="Times New Roman"/>
                <w:color w:val="000000"/>
                <w:sz w:val="22"/>
              </w:rPr>
              <w:t>11</w:t>
            </w:r>
          </w:p>
        </w:tc>
        <w:tc>
          <w:tcPr>
            <w:tcW w:w="4386" w:type="dxa"/>
            <w:shd w:val="clear" w:color="auto" w:fill="auto"/>
            <w:noWrap/>
            <w:vAlign w:val="center"/>
            <w:hideMark/>
          </w:tcPr>
          <w:p w:rsidR="006527A5" w:rsidRPr="00ED0DB6" w:rsidRDefault="006527A5" w:rsidP="00ED0DB6">
            <w:pPr>
              <w:ind w:left="0" w:firstLine="0"/>
              <w:rPr>
                <w:rFonts w:eastAsia="Times New Roman" w:cs="Times New Roman"/>
                <w:b/>
                <w:color w:val="000000"/>
                <w:sz w:val="22"/>
              </w:rPr>
            </w:pPr>
            <w:r w:rsidRPr="00ED0DB6">
              <w:rPr>
                <w:rFonts w:eastAsia="Times New Roman" w:cs="Times New Roman"/>
                <w:b/>
                <w:color w:val="000000"/>
                <w:sz w:val="22"/>
              </w:rPr>
              <w:t>American Medical Association</w:t>
            </w:r>
          </w:p>
        </w:tc>
        <w:tc>
          <w:tcPr>
            <w:tcW w:w="1313"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5</w:t>
            </w:r>
          </w:p>
        </w:tc>
        <w:tc>
          <w:tcPr>
            <w:tcW w:w="1170"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7</w:t>
            </w:r>
          </w:p>
        </w:tc>
        <w:tc>
          <w:tcPr>
            <w:tcW w:w="1879"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41.67%</w:t>
            </w:r>
          </w:p>
        </w:tc>
      </w:tr>
      <w:tr w:rsidR="006527A5" w:rsidRPr="00ED0DB6" w:rsidTr="0025798B">
        <w:trPr>
          <w:trHeight w:val="576"/>
        </w:trPr>
        <w:tc>
          <w:tcPr>
            <w:tcW w:w="735" w:type="dxa"/>
            <w:vAlign w:val="center"/>
          </w:tcPr>
          <w:p w:rsidR="006527A5" w:rsidRPr="006527A5" w:rsidRDefault="006527A5" w:rsidP="0025798B">
            <w:pPr>
              <w:ind w:left="0" w:firstLine="0"/>
              <w:rPr>
                <w:rFonts w:eastAsia="Times New Roman" w:cs="Times New Roman"/>
                <w:color w:val="000000"/>
                <w:sz w:val="22"/>
              </w:rPr>
            </w:pPr>
            <w:r w:rsidRPr="006527A5">
              <w:rPr>
                <w:rFonts w:eastAsia="Times New Roman" w:cs="Times New Roman"/>
                <w:color w:val="000000"/>
                <w:sz w:val="22"/>
              </w:rPr>
              <w:t>12</w:t>
            </w:r>
          </w:p>
        </w:tc>
        <w:tc>
          <w:tcPr>
            <w:tcW w:w="4386" w:type="dxa"/>
            <w:shd w:val="clear" w:color="auto" w:fill="auto"/>
            <w:noWrap/>
            <w:vAlign w:val="center"/>
            <w:hideMark/>
          </w:tcPr>
          <w:p w:rsidR="006527A5" w:rsidRPr="00ED0DB6" w:rsidRDefault="006527A5" w:rsidP="00ED0DB6">
            <w:pPr>
              <w:ind w:left="0" w:firstLine="0"/>
              <w:rPr>
                <w:rFonts w:eastAsia="Times New Roman" w:cs="Times New Roman"/>
                <w:b/>
                <w:color w:val="000000"/>
                <w:sz w:val="22"/>
              </w:rPr>
            </w:pPr>
            <w:r w:rsidRPr="00ED0DB6">
              <w:rPr>
                <w:rFonts w:eastAsia="Times New Roman" w:cs="Times New Roman"/>
                <w:b/>
                <w:color w:val="000000"/>
                <w:sz w:val="22"/>
              </w:rPr>
              <w:t>AFL-CIO</w:t>
            </w:r>
          </w:p>
        </w:tc>
        <w:tc>
          <w:tcPr>
            <w:tcW w:w="1313"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7</w:t>
            </w:r>
          </w:p>
        </w:tc>
        <w:tc>
          <w:tcPr>
            <w:tcW w:w="1170"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10</w:t>
            </w:r>
          </w:p>
        </w:tc>
        <w:tc>
          <w:tcPr>
            <w:tcW w:w="1879" w:type="dxa"/>
            <w:shd w:val="clear" w:color="auto" w:fill="auto"/>
            <w:noWrap/>
            <w:vAlign w:val="center"/>
            <w:hideMark/>
          </w:tcPr>
          <w:p w:rsidR="006527A5" w:rsidRPr="00ED0DB6" w:rsidRDefault="006527A5" w:rsidP="00ED0DB6">
            <w:pPr>
              <w:ind w:left="0" w:firstLine="0"/>
              <w:jc w:val="center"/>
              <w:rPr>
                <w:rFonts w:eastAsia="Times New Roman" w:cs="Times New Roman"/>
                <w:color w:val="000000"/>
                <w:sz w:val="22"/>
              </w:rPr>
            </w:pPr>
            <w:r w:rsidRPr="00ED0DB6">
              <w:rPr>
                <w:rFonts w:eastAsia="Times New Roman" w:cs="Times New Roman"/>
                <w:color w:val="000000"/>
                <w:sz w:val="22"/>
              </w:rPr>
              <w:t>41.18%</w:t>
            </w:r>
          </w:p>
        </w:tc>
      </w:tr>
      <w:tr w:rsidR="006527A5" w:rsidRPr="00ED0DB6" w:rsidTr="0025798B">
        <w:trPr>
          <w:trHeight w:val="576"/>
        </w:trPr>
        <w:tc>
          <w:tcPr>
            <w:tcW w:w="735" w:type="dxa"/>
            <w:vAlign w:val="center"/>
          </w:tcPr>
          <w:p w:rsidR="006527A5" w:rsidRPr="006527A5" w:rsidRDefault="006527A5" w:rsidP="0025798B">
            <w:pPr>
              <w:ind w:left="0" w:firstLine="0"/>
              <w:rPr>
                <w:rFonts w:eastAsia="Times New Roman" w:cs="Times New Roman"/>
                <w:color w:val="000000"/>
                <w:sz w:val="22"/>
              </w:rPr>
            </w:pPr>
            <w:r w:rsidRPr="006527A5">
              <w:rPr>
                <w:rFonts w:eastAsia="Times New Roman" w:cs="Times New Roman"/>
                <w:color w:val="000000"/>
                <w:sz w:val="22"/>
              </w:rPr>
              <w:t>13</w:t>
            </w:r>
          </w:p>
        </w:tc>
        <w:tc>
          <w:tcPr>
            <w:tcW w:w="4386" w:type="dxa"/>
            <w:shd w:val="clear" w:color="auto" w:fill="auto"/>
            <w:noWrap/>
            <w:vAlign w:val="center"/>
            <w:hideMark/>
          </w:tcPr>
          <w:p w:rsidR="006527A5" w:rsidRPr="00ED0DB6" w:rsidRDefault="006527A5" w:rsidP="00ED0DB6">
            <w:pPr>
              <w:ind w:left="0" w:firstLine="0"/>
              <w:rPr>
                <w:rFonts w:eastAsia="Times New Roman" w:cs="Times New Roman"/>
                <w:b/>
                <w:color w:val="000000"/>
                <w:sz w:val="22"/>
              </w:rPr>
            </w:pPr>
            <w:r w:rsidRPr="00ED0DB6">
              <w:rPr>
                <w:rFonts w:eastAsia="Times New Roman" w:cs="Times New Roman"/>
                <w:b/>
                <w:color w:val="000000"/>
                <w:sz w:val="22"/>
              </w:rPr>
              <w:t>American Civil Liberties Union</w:t>
            </w:r>
          </w:p>
        </w:tc>
        <w:tc>
          <w:tcPr>
            <w:tcW w:w="1313" w:type="dxa"/>
            <w:shd w:val="clear" w:color="auto" w:fill="auto"/>
            <w:noWrap/>
            <w:vAlign w:val="center"/>
            <w:hideMark/>
          </w:tcPr>
          <w:p w:rsidR="006527A5" w:rsidRPr="00ED0DB6" w:rsidRDefault="006527A5" w:rsidP="006527A5">
            <w:pPr>
              <w:ind w:left="0" w:firstLine="0"/>
              <w:jc w:val="center"/>
              <w:rPr>
                <w:rFonts w:eastAsia="Times New Roman" w:cs="Times New Roman"/>
                <w:color w:val="000000"/>
                <w:sz w:val="22"/>
              </w:rPr>
            </w:pPr>
            <w:r w:rsidRPr="00ED0DB6">
              <w:rPr>
                <w:rFonts w:eastAsia="Times New Roman" w:cs="Times New Roman"/>
                <w:color w:val="000000"/>
                <w:sz w:val="22"/>
              </w:rPr>
              <w:t>30</w:t>
            </w:r>
          </w:p>
        </w:tc>
        <w:tc>
          <w:tcPr>
            <w:tcW w:w="1170" w:type="dxa"/>
            <w:shd w:val="clear" w:color="auto" w:fill="auto"/>
            <w:noWrap/>
            <w:vAlign w:val="center"/>
            <w:hideMark/>
          </w:tcPr>
          <w:p w:rsidR="006527A5" w:rsidRPr="00ED0DB6" w:rsidRDefault="006527A5" w:rsidP="006527A5">
            <w:pPr>
              <w:ind w:left="0" w:firstLine="0"/>
              <w:jc w:val="center"/>
              <w:rPr>
                <w:rFonts w:eastAsia="Times New Roman" w:cs="Times New Roman"/>
                <w:color w:val="000000"/>
                <w:sz w:val="22"/>
              </w:rPr>
            </w:pPr>
            <w:r w:rsidRPr="00ED0DB6">
              <w:rPr>
                <w:rFonts w:eastAsia="Times New Roman" w:cs="Times New Roman"/>
                <w:color w:val="000000"/>
                <w:sz w:val="22"/>
              </w:rPr>
              <w:t>43</w:t>
            </w:r>
          </w:p>
        </w:tc>
        <w:tc>
          <w:tcPr>
            <w:tcW w:w="1879" w:type="dxa"/>
            <w:shd w:val="clear" w:color="auto" w:fill="auto"/>
            <w:noWrap/>
            <w:vAlign w:val="center"/>
            <w:hideMark/>
          </w:tcPr>
          <w:p w:rsidR="006527A5" w:rsidRPr="00ED0DB6" w:rsidRDefault="006527A5" w:rsidP="006527A5">
            <w:pPr>
              <w:ind w:left="0" w:firstLine="0"/>
              <w:jc w:val="center"/>
              <w:rPr>
                <w:rFonts w:eastAsia="Times New Roman" w:cs="Times New Roman"/>
                <w:color w:val="000000"/>
                <w:sz w:val="22"/>
              </w:rPr>
            </w:pPr>
            <w:r w:rsidRPr="00ED0DB6">
              <w:rPr>
                <w:rFonts w:eastAsia="Times New Roman" w:cs="Times New Roman"/>
                <w:color w:val="000000"/>
                <w:sz w:val="22"/>
              </w:rPr>
              <w:t>41.10%</w:t>
            </w:r>
          </w:p>
        </w:tc>
      </w:tr>
      <w:tr w:rsidR="006527A5" w:rsidRPr="00ED0DB6" w:rsidTr="0025798B">
        <w:trPr>
          <w:trHeight w:val="576"/>
        </w:trPr>
        <w:tc>
          <w:tcPr>
            <w:tcW w:w="735" w:type="dxa"/>
            <w:vAlign w:val="center"/>
          </w:tcPr>
          <w:p w:rsidR="006527A5" w:rsidRPr="006527A5" w:rsidRDefault="006527A5" w:rsidP="0025798B">
            <w:pPr>
              <w:ind w:left="0" w:firstLine="0"/>
              <w:rPr>
                <w:rFonts w:eastAsia="Times New Roman" w:cs="Times New Roman"/>
                <w:color w:val="000000"/>
                <w:sz w:val="22"/>
              </w:rPr>
            </w:pPr>
            <w:r w:rsidRPr="006527A5">
              <w:rPr>
                <w:rFonts w:eastAsia="Times New Roman" w:cs="Times New Roman"/>
                <w:color w:val="000000"/>
                <w:sz w:val="22"/>
              </w:rPr>
              <w:t>14</w:t>
            </w:r>
          </w:p>
        </w:tc>
        <w:tc>
          <w:tcPr>
            <w:tcW w:w="4386" w:type="dxa"/>
            <w:shd w:val="clear" w:color="auto" w:fill="auto"/>
            <w:noWrap/>
            <w:vAlign w:val="center"/>
            <w:hideMark/>
          </w:tcPr>
          <w:p w:rsidR="006527A5" w:rsidRPr="00ED0DB6" w:rsidRDefault="006527A5" w:rsidP="00ED0DB6">
            <w:pPr>
              <w:ind w:left="0" w:firstLine="0"/>
              <w:rPr>
                <w:rFonts w:eastAsia="Times New Roman" w:cs="Times New Roman"/>
                <w:b/>
                <w:color w:val="000000"/>
                <w:sz w:val="22"/>
              </w:rPr>
            </w:pPr>
            <w:r w:rsidRPr="00ED0DB6">
              <w:rPr>
                <w:rFonts w:eastAsia="Times New Roman" w:cs="Times New Roman"/>
                <w:b/>
                <w:color w:val="000000"/>
                <w:sz w:val="22"/>
              </w:rPr>
              <w:t>NAACP / NAACP Legal Defense Fund</w:t>
            </w:r>
          </w:p>
        </w:tc>
        <w:tc>
          <w:tcPr>
            <w:tcW w:w="1313" w:type="dxa"/>
            <w:shd w:val="clear" w:color="auto" w:fill="auto"/>
            <w:noWrap/>
            <w:vAlign w:val="center"/>
            <w:hideMark/>
          </w:tcPr>
          <w:p w:rsidR="006527A5" w:rsidRPr="00ED0DB6" w:rsidRDefault="006527A5" w:rsidP="006527A5">
            <w:pPr>
              <w:ind w:left="0" w:firstLine="0"/>
              <w:jc w:val="center"/>
              <w:rPr>
                <w:rFonts w:eastAsia="Times New Roman" w:cs="Times New Roman"/>
                <w:color w:val="000000"/>
                <w:sz w:val="22"/>
              </w:rPr>
            </w:pPr>
            <w:r w:rsidRPr="00ED0DB6">
              <w:rPr>
                <w:rFonts w:eastAsia="Times New Roman" w:cs="Times New Roman"/>
                <w:color w:val="000000"/>
                <w:sz w:val="22"/>
              </w:rPr>
              <w:t>13</w:t>
            </w:r>
          </w:p>
        </w:tc>
        <w:tc>
          <w:tcPr>
            <w:tcW w:w="1170" w:type="dxa"/>
            <w:shd w:val="clear" w:color="auto" w:fill="auto"/>
            <w:noWrap/>
            <w:vAlign w:val="center"/>
            <w:hideMark/>
          </w:tcPr>
          <w:p w:rsidR="006527A5" w:rsidRPr="00ED0DB6" w:rsidRDefault="006527A5" w:rsidP="006527A5">
            <w:pPr>
              <w:ind w:left="0" w:firstLine="0"/>
              <w:jc w:val="center"/>
              <w:rPr>
                <w:rFonts w:eastAsia="Times New Roman" w:cs="Times New Roman"/>
                <w:color w:val="000000"/>
                <w:sz w:val="22"/>
              </w:rPr>
            </w:pPr>
            <w:r w:rsidRPr="00ED0DB6">
              <w:rPr>
                <w:rFonts w:eastAsia="Times New Roman" w:cs="Times New Roman"/>
                <w:color w:val="000000"/>
                <w:sz w:val="22"/>
              </w:rPr>
              <w:t>23</w:t>
            </w:r>
          </w:p>
        </w:tc>
        <w:tc>
          <w:tcPr>
            <w:tcW w:w="1879" w:type="dxa"/>
            <w:shd w:val="clear" w:color="auto" w:fill="auto"/>
            <w:noWrap/>
            <w:vAlign w:val="center"/>
            <w:hideMark/>
          </w:tcPr>
          <w:p w:rsidR="006527A5" w:rsidRPr="00ED0DB6" w:rsidRDefault="006527A5" w:rsidP="006527A5">
            <w:pPr>
              <w:ind w:left="0" w:firstLine="0"/>
              <w:jc w:val="center"/>
              <w:rPr>
                <w:rFonts w:eastAsia="Times New Roman" w:cs="Times New Roman"/>
                <w:color w:val="000000"/>
                <w:sz w:val="22"/>
              </w:rPr>
            </w:pPr>
            <w:r w:rsidRPr="00ED0DB6">
              <w:rPr>
                <w:rFonts w:eastAsia="Times New Roman" w:cs="Times New Roman"/>
                <w:color w:val="000000"/>
                <w:sz w:val="22"/>
              </w:rPr>
              <w:t>36.11%</w:t>
            </w:r>
          </w:p>
        </w:tc>
      </w:tr>
    </w:tbl>
    <w:p w:rsidR="00ED0DB6" w:rsidRDefault="00ED0DB6" w:rsidP="004F50FC">
      <w:pPr>
        <w:tabs>
          <w:tab w:val="left" w:pos="1365"/>
        </w:tabs>
        <w:spacing w:line="480" w:lineRule="auto"/>
        <w:ind w:left="0" w:firstLine="0"/>
        <w:rPr>
          <w:rFonts w:cs="Times New Roman"/>
          <w:b/>
          <w:szCs w:val="24"/>
        </w:rPr>
      </w:pPr>
    </w:p>
    <w:p w:rsidR="00BA4819" w:rsidRDefault="00BA4819" w:rsidP="00960E7F">
      <w:pPr>
        <w:spacing w:line="480" w:lineRule="auto"/>
        <w:ind w:left="0" w:firstLine="720"/>
        <w:rPr>
          <w:rFonts w:cs="Times New Roman"/>
          <w:szCs w:val="24"/>
        </w:rPr>
      </w:pPr>
    </w:p>
    <w:p w:rsidR="00985B3B" w:rsidRDefault="00985B3B" w:rsidP="00960E7F">
      <w:pPr>
        <w:spacing w:line="480" w:lineRule="auto"/>
        <w:ind w:left="0" w:firstLine="720"/>
        <w:rPr>
          <w:rFonts w:cs="Times New Roman"/>
          <w:szCs w:val="24"/>
        </w:rPr>
      </w:pPr>
      <w:r>
        <w:rPr>
          <w:rFonts w:cs="Times New Roman"/>
          <w:szCs w:val="24"/>
        </w:rPr>
        <w:t xml:space="preserve">Lastly, Table 4.10 presents the winning percentage of the prestigious amicus interest groups and governments that I tracked for purposes of </w:t>
      </w:r>
      <w:r w:rsidR="00BA4819">
        <w:rPr>
          <w:rFonts w:cs="Times New Roman"/>
          <w:szCs w:val="24"/>
        </w:rPr>
        <w:t>this study.  As discussed in Chapter</w:t>
      </w:r>
      <w:r>
        <w:rPr>
          <w:rFonts w:cs="Times New Roman"/>
          <w:szCs w:val="24"/>
        </w:rPr>
        <w:t xml:space="preserve"> 1, these winning percentages, by themselves, are not proof of amicus influence.  However, these percentages provide </w:t>
      </w:r>
      <w:r w:rsidRPr="00985B3B">
        <w:rPr>
          <w:rFonts w:cs="Times New Roman"/>
          <w:i/>
          <w:szCs w:val="24"/>
        </w:rPr>
        <w:t>prima facie</w:t>
      </w:r>
      <w:r>
        <w:rPr>
          <w:rFonts w:cs="Times New Roman"/>
          <w:szCs w:val="24"/>
        </w:rPr>
        <w:t xml:space="preserve"> evidence and indications of amicus influence.  All things being equal, it is likely that the groups that exhibit the highest winning pe</w:t>
      </w:r>
      <w:r w:rsidR="002918F4">
        <w:rPr>
          <w:rFonts w:cs="Times New Roman"/>
          <w:szCs w:val="24"/>
        </w:rPr>
        <w:t xml:space="preserve">rcentages at the Roberts </w:t>
      </w:r>
      <w:r w:rsidR="002918F4">
        <w:rPr>
          <w:rFonts w:cs="Times New Roman"/>
          <w:szCs w:val="24"/>
        </w:rPr>
        <w:lastRenderedPageBreak/>
        <w:t xml:space="preserve">Court </w:t>
      </w:r>
      <w:r>
        <w:rPr>
          <w:rFonts w:cs="Times New Roman"/>
          <w:szCs w:val="24"/>
        </w:rPr>
        <w:t xml:space="preserve">are likely to be more </w:t>
      </w:r>
      <w:r w:rsidR="002918F4">
        <w:rPr>
          <w:rFonts w:cs="Times New Roman"/>
          <w:szCs w:val="24"/>
        </w:rPr>
        <w:t>influential.  This is particularly true, as the evidence does not support the conclusion that amici are cherry-picking cases in which to file briefs based upon a belief that they are likely to prevail.</w:t>
      </w:r>
    </w:p>
    <w:p w:rsidR="00960E7F" w:rsidRDefault="000E714D" w:rsidP="000E714D">
      <w:pPr>
        <w:spacing w:line="480" w:lineRule="auto"/>
        <w:ind w:left="0" w:firstLine="720"/>
        <w:rPr>
          <w:rFonts w:cs="Times New Roman"/>
          <w:szCs w:val="24"/>
        </w:rPr>
      </w:pPr>
      <w:r>
        <w:rPr>
          <w:rFonts w:cs="Times New Roman"/>
          <w:szCs w:val="24"/>
        </w:rPr>
        <w:t>The SG is clearly the most successful p</w:t>
      </w:r>
      <w:r w:rsidR="007A3C23">
        <w:rPr>
          <w:rFonts w:cs="Times New Roman"/>
          <w:szCs w:val="24"/>
        </w:rPr>
        <w:t>restigious amicus participant</w:t>
      </w:r>
      <w:r>
        <w:rPr>
          <w:rFonts w:cs="Times New Roman"/>
          <w:szCs w:val="24"/>
        </w:rPr>
        <w:t xml:space="preserve"> in terms of winning percentage at the Robert Court </w:t>
      </w:r>
      <w:proofErr w:type="gramStart"/>
      <w:r>
        <w:rPr>
          <w:rFonts w:cs="Times New Roman"/>
          <w:szCs w:val="24"/>
        </w:rPr>
        <w:t>between 2007-2011</w:t>
      </w:r>
      <w:proofErr w:type="gramEnd"/>
      <w:r>
        <w:rPr>
          <w:rFonts w:cs="Times New Roman"/>
          <w:szCs w:val="24"/>
        </w:rPr>
        <w:t xml:space="preserve">.  </w:t>
      </w:r>
      <w:r w:rsidR="00960E7F">
        <w:rPr>
          <w:rFonts w:cs="Times New Roman"/>
          <w:szCs w:val="24"/>
        </w:rPr>
        <w:t xml:space="preserve">The SG supported the </w:t>
      </w:r>
      <w:r w:rsidR="00355B2A">
        <w:rPr>
          <w:rFonts w:cs="Times New Roman"/>
          <w:szCs w:val="24"/>
        </w:rPr>
        <w:t>winning side in 108 cases;</w:t>
      </w:r>
      <w:r w:rsidR="00960E7F">
        <w:rPr>
          <w:rFonts w:cs="Times New Roman"/>
          <w:szCs w:val="24"/>
        </w:rPr>
        <w:t xml:space="preserve"> supported t</w:t>
      </w:r>
      <w:r w:rsidR="00355B2A">
        <w:rPr>
          <w:rFonts w:cs="Times New Roman"/>
          <w:szCs w:val="24"/>
        </w:rPr>
        <w:t>he losing side in 42 cases;</w:t>
      </w:r>
      <w:r w:rsidR="00960E7F">
        <w:rPr>
          <w:rFonts w:cs="Times New Roman"/>
          <w:szCs w:val="24"/>
        </w:rPr>
        <w:t xml:space="preserve"> and either supported neither side or supported an unspecifiable position in 13 cases, for a total winning percentage of 72 percent as an amicus before the Roberts Court. </w:t>
      </w:r>
      <w:r w:rsidR="000B02C5">
        <w:rPr>
          <w:rFonts w:cs="Times New Roman"/>
          <w:szCs w:val="24"/>
        </w:rPr>
        <w:t xml:space="preserve"> This compares to a winning percentage of 85 percent at the Warren Court and 73 percent at the Rehnquist Court (</w:t>
      </w:r>
      <w:proofErr w:type="spellStart"/>
      <w:r w:rsidR="000B02C5">
        <w:rPr>
          <w:rFonts w:cs="Times New Roman"/>
          <w:szCs w:val="24"/>
        </w:rPr>
        <w:t>Deen</w:t>
      </w:r>
      <w:proofErr w:type="spellEnd"/>
      <w:r w:rsidR="000B02C5">
        <w:rPr>
          <w:rFonts w:cs="Times New Roman"/>
          <w:szCs w:val="24"/>
        </w:rPr>
        <w:t xml:space="preserve">, </w:t>
      </w:r>
      <w:proofErr w:type="spellStart"/>
      <w:r w:rsidR="000B02C5">
        <w:rPr>
          <w:rFonts w:cs="Times New Roman"/>
          <w:szCs w:val="24"/>
        </w:rPr>
        <w:t>Ignani</w:t>
      </w:r>
      <w:proofErr w:type="spellEnd"/>
      <w:r w:rsidR="000B02C5">
        <w:rPr>
          <w:rFonts w:cs="Times New Roman"/>
          <w:szCs w:val="24"/>
        </w:rPr>
        <w:t xml:space="preserve">, and </w:t>
      </w:r>
      <w:proofErr w:type="spellStart"/>
      <w:r w:rsidR="000B02C5">
        <w:rPr>
          <w:rFonts w:cs="Times New Roman"/>
          <w:szCs w:val="24"/>
        </w:rPr>
        <w:t>Meernik</w:t>
      </w:r>
      <w:proofErr w:type="spellEnd"/>
      <w:r w:rsidR="000B02C5">
        <w:rPr>
          <w:rFonts w:cs="Times New Roman"/>
          <w:szCs w:val="24"/>
        </w:rPr>
        <w:t xml:space="preserve"> 2003).   This finding reaffirms what prior studies have shown</w:t>
      </w:r>
      <w:r w:rsidR="00397C4E">
        <w:rPr>
          <w:rFonts w:cs="Times New Roman"/>
          <w:szCs w:val="24"/>
        </w:rPr>
        <w:t xml:space="preserve"> –</w:t>
      </w:r>
      <w:r w:rsidR="000B02C5">
        <w:rPr>
          <w:rFonts w:cs="Times New Roman"/>
          <w:szCs w:val="24"/>
        </w:rPr>
        <w:t xml:space="preserve"> the SG is consistently the most influential and effective amicus at the USSC</w:t>
      </w:r>
      <w:r w:rsidR="00397C4E">
        <w:rPr>
          <w:rFonts w:cs="Times New Roman"/>
          <w:szCs w:val="24"/>
        </w:rPr>
        <w:t xml:space="preserve"> – and is consistent with the historic success rate of the SG at the USSC</w:t>
      </w:r>
      <w:r w:rsidR="000B02C5">
        <w:rPr>
          <w:rFonts w:cs="Times New Roman"/>
          <w:szCs w:val="24"/>
        </w:rPr>
        <w:t>.</w:t>
      </w:r>
      <w:r>
        <w:rPr>
          <w:rStyle w:val="FootnoteReference"/>
          <w:rFonts w:cs="Times New Roman"/>
          <w:szCs w:val="24"/>
        </w:rPr>
        <w:footnoteReference w:id="81"/>
      </w:r>
      <w:r w:rsidR="000B02C5">
        <w:rPr>
          <w:rFonts w:cs="Times New Roman"/>
          <w:szCs w:val="24"/>
        </w:rPr>
        <w:t xml:space="preserve">  </w:t>
      </w:r>
      <w:r w:rsidR="00960E7F">
        <w:rPr>
          <w:rFonts w:cs="Times New Roman"/>
          <w:szCs w:val="24"/>
        </w:rPr>
        <w:t xml:space="preserve"> </w:t>
      </w:r>
      <w:r w:rsidR="00397C4E">
        <w:rPr>
          <w:rFonts w:cs="Times New Roman"/>
          <w:szCs w:val="24"/>
        </w:rPr>
        <w:t xml:space="preserve">The SG is not only the “king of the citation frequency hill” (Kearney </w:t>
      </w:r>
      <w:r w:rsidR="000D6839">
        <w:rPr>
          <w:rFonts w:cs="Times New Roman"/>
          <w:szCs w:val="24"/>
        </w:rPr>
        <w:t>and</w:t>
      </w:r>
      <w:r w:rsidR="00463D9C">
        <w:rPr>
          <w:rFonts w:cs="Times New Roman"/>
          <w:szCs w:val="24"/>
        </w:rPr>
        <w:t xml:space="preserve"> Merrill 2000), but also sits</w:t>
      </w:r>
      <w:r w:rsidR="00397C4E">
        <w:rPr>
          <w:rFonts w:cs="Times New Roman"/>
          <w:szCs w:val="24"/>
        </w:rPr>
        <w:t xml:space="preserve"> on the throne as the king of the amici. </w:t>
      </w:r>
    </w:p>
    <w:p w:rsidR="007E26FD" w:rsidRDefault="000B02C5" w:rsidP="0048466B">
      <w:pPr>
        <w:spacing w:line="480" w:lineRule="auto"/>
        <w:ind w:left="0" w:firstLine="720"/>
        <w:rPr>
          <w:rFonts w:cs="Times New Roman"/>
          <w:szCs w:val="24"/>
        </w:rPr>
      </w:pPr>
      <w:r>
        <w:rPr>
          <w:rFonts w:cs="Times New Roman"/>
          <w:szCs w:val="24"/>
        </w:rPr>
        <w:t xml:space="preserve">Of course, the SG’s influence extends beyond its amicus activity.  </w:t>
      </w:r>
      <w:proofErr w:type="gramStart"/>
      <w:r w:rsidR="007E26FD">
        <w:rPr>
          <w:rFonts w:cs="Times New Roman"/>
          <w:szCs w:val="24"/>
        </w:rPr>
        <w:t>Between 1946-2001,</w:t>
      </w:r>
      <w:proofErr w:type="gramEnd"/>
      <w:r w:rsidR="007E26FD">
        <w:rPr>
          <w:rFonts w:cs="Times New Roman"/>
          <w:szCs w:val="24"/>
        </w:rPr>
        <w:t xml:space="preserve"> the SG prevailed 61 percent of the time when appearing as a party</w:t>
      </w:r>
      <w:r>
        <w:rPr>
          <w:rFonts w:cs="Times New Roman"/>
          <w:szCs w:val="24"/>
        </w:rPr>
        <w:t xml:space="preserve"> at the USSC</w:t>
      </w:r>
      <w:r w:rsidR="007E26FD">
        <w:rPr>
          <w:rFonts w:cs="Times New Roman"/>
          <w:szCs w:val="24"/>
        </w:rPr>
        <w:t xml:space="preserve">.   During the 2007-2011 time, by comparison, the SG prevailed 14 out of 23 times as when appearing as a liberal party (60.87 percent of the time); and the SG prevailed 49 out of 98 times when appearing as a conservative party (50.00 percent of the time).  Combined, the SG’s win percentage as a party </w:t>
      </w:r>
      <w:proofErr w:type="gramStart"/>
      <w:r w:rsidR="007E26FD">
        <w:rPr>
          <w:rFonts w:cs="Times New Roman"/>
          <w:szCs w:val="24"/>
        </w:rPr>
        <w:t>between 2007-2011</w:t>
      </w:r>
      <w:proofErr w:type="gramEnd"/>
      <w:r w:rsidR="007E26FD">
        <w:rPr>
          <w:rFonts w:cs="Times New Roman"/>
          <w:szCs w:val="24"/>
        </w:rPr>
        <w:t xml:space="preserve"> is 52.07 percent.  </w:t>
      </w:r>
      <w:r>
        <w:rPr>
          <w:rFonts w:cs="Times New Roman"/>
          <w:szCs w:val="24"/>
        </w:rPr>
        <w:t>Therefore, the SG appears to be more influential as an amicus participant than as a party, both at the Roberts Court, and in past Courts.  Further</w:t>
      </w:r>
      <w:r w:rsidR="007E26FD">
        <w:rPr>
          <w:rFonts w:cs="Times New Roman"/>
          <w:szCs w:val="24"/>
        </w:rPr>
        <w:t>,</w:t>
      </w:r>
      <w:r w:rsidR="009263CE">
        <w:rPr>
          <w:rFonts w:cs="Times New Roman"/>
          <w:szCs w:val="24"/>
        </w:rPr>
        <w:t xml:space="preserve"> compared to prior eras, the SG as a party </w:t>
      </w:r>
      <w:r w:rsidR="007E26FD">
        <w:rPr>
          <w:rFonts w:cs="Times New Roman"/>
          <w:szCs w:val="24"/>
        </w:rPr>
        <w:t xml:space="preserve">is appearing in a smaller percentage of </w:t>
      </w:r>
      <w:r w:rsidR="00731901">
        <w:rPr>
          <w:rFonts w:cs="Times New Roman"/>
          <w:szCs w:val="24"/>
        </w:rPr>
        <w:t>cases with</w:t>
      </w:r>
      <w:r w:rsidR="007E26FD">
        <w:rPr>
          <w:rFonts w:cs="Times New Roman"/>
          <w:szCs w:val="24"/>
        </w:rPr>
        <w:t xml:space="preserve"> the Roberts Court, and has</w:t>
      </w:r>
      <w:r w:rsidR="00731901">
        <w:rPr>
          <w:rFonts w:cs="Times New Roman"/>
          <w:szCs w:val="24"/>
        </w:rPr>
        <w:t xml:space="preserve"> a lower winning percentage with the Roberts Court than with </w:t>
      </w:r>
      <w:r w:rsidR="007E26FD">
        <w:rPr>
          <w:rFonts w:cs="Times New Roman"/>
          <w:szCs w:val="24"/>
        </w:rPr>
        <w:t xml:space="preserve">prior </w:t>
      </w:r>
      <w:r w:rsidR="007E26FD">
        <w:rPr>
          <w:rFonts w:cs="Times New Roman"/>
          <w:szCs w:val="24"/>
        </w:rPr>
        <w:lastRenderedPageBreak/>
        <w:t>Courts.</w:t>
      </w:r>
      <w:r w:rsidR="0048466B">
        <w:rPr>
          <w:rFonts w:cs="Times New Roman"/>
          <w:szCs w:val="24"/>
        </w:rPr>
        <w:t xml:space="preserve">   It appears that the influence of the SG as a party is diminishing slightly in comparison to past Courts.</w:t>
      </w:r>
      <w:r>
        <w:rPr>
          <w:rFonts w:cs="Times New Roman"/>
          <w:szCs w:val="24"/>
        </w:rPr>
        <w:t xml:space="preserve">  </w:t>
      </w:r>
    </w:p>
    <w:p w:rsidR="007E26FD" w:rsidRDefault="007E26FD" w:rsidP="00DC2127">
      <w:pPr>
        <w:spacing w:line="480" w:lineRule="auto"/>
        <w:ind w:left="0" w:firstLine="720"/>
        <w:rPr>
          <w:rFonts w:cs="Times New Roman"/>
          <w:szCs w:val="24"/>
        </w:rPr>
      </w:pPr>
      <w:r>
        <w:rPr>
          <w:rFonts w:cs="Times New Roman"/>
          <w:szCs w:val="24"/>
        </w:rPr>
        <w:t>In total, the SG participated in 287 out of 397 cases (or 72.29 percent) as either a party or an amicus</w:t>
      </w:r>
      <w:r w:rsidR="00355B2A">
        <w:rPr>
          <w:rFonts w:cs="Times New Roman"/>
          <w:szCs w:val="24"/>
        </w:rPr>
        <w:t xml:space="preserve"> </w:t>
      </w:r>
      <w:proofErr w:type="gramStart"/>
      <w:r w:rsidR="00355B2A">
        <w:rPr>
          <w:rFonts w:cs="Times New Roman"/>
          <w:szCs w:val="24"/>
        </w:rPr>
        <w:t>between 2007-2011</w:t>
      </w:r>
      <w:proofErr w:type="gramEnd"/>
      <w:r>
        <w:rPr>
          <w:rFonts w:cs="Times New Roman"/>
          <w:szCs w:val="24"/>
        </w:rPr>
        <w:t xml:space="preserve">.  </w:t>
      </w:r>
      <w:r w:rsidR="00016582">
        <w:rPr>
          <w:rFonts w:cs="Times New Roman"/>
          <w:szCs w:val="24"/>
        </w:rPr>
        <w:t>In those cases in which the SG appeared either as a party or an amicus, the SG supported the winning side in 63.10 percent of cases</w:t>
      </w:r>
      <w:r w:rsidR="001C5B98">
        <w:rPr>
          <w:rFonts w:cs="Times New Roman"/>
          <w:szCs w:val="24"/>
        </w:rPr>
        <w:t>.</w:t>
      </w:r>
      <w:r w:rsidR="00354AD6">
        <w:rPr>
          <w:rFonts w:cs="Times New Roman"/>
          <w:szCs w:val="24"/>
        </w:rPr>
        <w:t xml:space="preserve">  By winning over 6 out of 10 cases in which it appears, the SG’s influence on the Roberts Court is apparent and strong.</w:t>
      </w:r>
    </w:p>
    <w:p w:rsidR="007A3C23" w:rsidRDefault="00397C4E" w:rsidP="00DC2127">
      <w:pPr>
        <w:spacing w:line="480" w:lineRule="auto"/>
        <w:ind w:left="0" w:firstLine="720"/>
        <w:rPr>
          <w:rFonts w:cs="Times New Roman"/>
          <w:szCs w:val="24"/>
        </w:rPr>
      </w:pPr>
      <w:r>
        <w:rPr>
          <w:rFonts w:cs="Times New Roman"/>
          <w:szCs w:val="24"/>
        </w:rPr>
        <w:t xml:space="preserve">Continuing with the examination of Table 4.10, one notices the winning percentage of the conservative-libertarian leaning Pacific Legal Foundation rivals that of the SG at 72 percent.  Using this measure, PLF is the most successful prestigious interest group of those tracked at the Roberts Court.   This should not come as a total surprise, as the PLF is one of the most prestigious conservative amici </w:t>
      </w:r>
      <w:r w:rsidR="007A3C23">
        <w:rPr>
          <w:rFonts w:cs="Times New Roman"/>
          <w:szCs w:val="24"/>
        </w:rPr>
        <w:t>and is self-described as the “oldest and most successful public interest legal organization that fights for limited government, property rights, individual rights, and a balanced approach to environmental protection.”</w:t>
      </w:r>
      <w:r w:rsidR="007A3C23">
        <w:rPr>
          <w:rStyle w:val="FootnoteReference"/>
          <w:rFonts w:cs="Times New Roman"/>
          <w:szCs w:val="24"/>
        </w:rPr>
        <w:footnoteReference w:id="82"/>
      </w:r>
      <w:r w:rsidR="00313FE4">
        <w:rPr>
          <w:rFonts w:cs="Times New Roman"/>
          <w:szCs w:val="24"/>
        </w:rPr>
        <w:t xml:space="preserve">  As such, one would expect the modestly conservative Roberts Court to be receptive to their arguments. </w:t>
      </w:r>
      <w:r>
        <w:rPr>
          <w:rFonts w:cs="Times New Roman"/>
          <w:szCs w:val="24"/>
        </w:rPr>
        <w:t xml:space="preserve"> </w:t>
      </w:r>
    </w:p>
    <w:p w:rsidR="00397C4E" w:rsidRDefault="00313FE4" w:rsidP="00DC2127">
      <w:pPr>
        <w:spacing w:line="480" w:lineRule="auto"/>
        <w:ind w:left="0" w:firstLine="720"/>
        <w:rPr>
          <w:rFonts w:cs="Times New Roman"/>
          <w:szCs w:val="24"/>
        </w:rPr>
      </w:pPr>
      <w:r>
        <w:rPr>
          <w:rFonts w:cs="Times New Roman"/>
          <w:szCs w:val="24"/>
        </w:rPr>
        <w:t>Also notable is the finding that the American Bar Association, a left-leaning professional organization, has the third highest winning percentage at the Roberts Court, winning almost 70 percent of its cases.   This is particularly striking, as over 80 percent of its amicus briefs advocate the liberal position.  Perhaps it should not be that much of a surprise, however, that the nation’s leading association of attorneys would produce high-quality</w:t>
      </w:r>
      <w:r w:rsidR="002B6213">
        <w:rPr>
          <w:rFonts w:cs="Times New Roman"/>
          <w:szCs w:val="24"/>
        </w:rPr>
        <w:t xml:space="preserve">, influential amicus briefs.  </w:t>
      </w:r>
      <w:r>
        <w:rPr>
          <w:rFonts w:cs="Times New Roman"/>
          <w:szCs w:val="24"/>
        </w:rPr>
        <w:t>Ranking fourth in winning percentage are state government amici, whose amicus briefs support the winning position over 62 percent of the time.  This is expected, as the states have been long known for their in</w:t>
      </w:r>
      <w:r w:rsidR="00074A64">
        <w:rPr>
          <w:rFonts w:cs="Times New Roman"/>
          <w:szCs w:val="24"/>
        </w:rPr>
        <w:t xml:space="preserve">fluence and high quality briefs (Kearney and Merrill 2000; Lynch 2004), and </w:t>
      </w:r>
      <w:r w:rsidR="00074A64">
        <w:rPr>
          <w:rFonts w:cs="Times New Roman"/>
          <w:szCs w:val="24"/>
        </w:rPr>
        <w:lastRenderedPageBreak/>
        <w:t>as the conservative leaning Roberts Court is likely to be receptive to the arguments advanced by the conservative leaning states.</w:t>
      </w:r>
      <w:r>
        <w:rPr>
          <w:rFonts w:cs="Times New Roman"/>
          <w:szCs w:val="24"/>
        </w:rPr>
        <w:t xml:space="preserve"> </w:t>
      </w:r>
    </w:p>
    <w:p w:rsidR="00074A64" w:rsidRDefault="00074A64" w:rsidP="00DC2127">
      <w:pPr>
        <w:spacing w:line="480" w:lineRule="auto"/>
        <w:ind w:left="0" w:firstLine="720"/>
        <w:rPr>
          <w:rFonts w:cs="Times New Roman"/>
          <w:szCs w:val="24"/>
        </w:rPr>
      </w:pPr>
      <w:r>
        <w:rPr>
          <w:rFonts w:cs="Times New Roman"/>
          <w:szCs w:val="24"/>
        </w:rPr>
        <w:t xml:space="preserve">Table 4.10 shows that conservative amici WLF and the Chamber of Commerce rank fifth and sixth in winning percentage, at about 60 percent each.   Thus, of the top six amici according to their winning percentage at the Roberts Court, four are conservatively oriented (PLF; states; WLF; </w:t>
      </w:r>
      <w:proofErr w:type="spellStart"/>
      <w:r>
        <w:rPr>
          <w:rFonts w:cs="Times New Roman"/>
          <w:szCs w:val="24"/>
        </w:rPr>
        <w:t>CofC</w:t>
      </w:r>
      <w:proofErr w:type="spellEnd"/>
      <w:r>
        <w:rPr>
          <w:rFonts w:cs="Times New Roman"/>
          <w:szCs w:val="24"/>
        </w:rPr>
        <w:t>), one is liberally inclined (ABA), and one is relatively ideologically balanced (SG).  Local and foreign government amici are ranked seventh and eighth, with winning percentages of 59 percent and 55 percent, respectively.  Therefore, is can be safely concluded that government amici in general experience success at the Roberts Court:  the SG wins 72 percent of the time; the states 62 percent of the time; localities 59 percent of the time; and even foreign governments support the winning side over half the time (although the sample size is admit</w:t>
      </w:r>
      <w:r w:rsidR="00743454">
        <w:rPr>
          <w:rFonts w:cs="Times New Roman"/>
          <w:szCs w:val="24"/>
        </w:rPr>
        <w:t>tedly small).  If one were the betting sort</w:t>
      </w:r>
      <w:r>
        <w:rPr>
          <w:rFonts w:cs="Times New Roman"/>
          <w:szCs w:val="24"/>
        </w:rPr>
        <w:t>, one would be well advised to p</w:t>
      </w:r>
      <w:r w:rsidR="00743454">
        <w:rPr>
          <w:rFonts w:cs="Times New Roman"/>
          <w:szCs w:val="24"/>
        </w:rPr>
        <w:t>ut money on the side of the table where the majority of governmental amici gather at the Roberts Court.</w:t>
      </w:r>
    </w:p>
    <w:p w:rsidR="00DE49C8" w:rsidRDefault="00743454" w:rsidP="00FB3E90">
      <w:pPr>
        <w:spacing w:line="480" w:lineRule="auto"/>
        <w:ind w:left="0" w:firstLine="720"/>
        <w:rPr>
          <w:rFonts w:cs="Times New Roman"/>
          <w:szCs w:val="24"/>
        </w:rPr>
      </w:pPr>
      <w:r>
        <w:rPr>
          <w:rFonts w:cs="Times New Roman"/>
          <w:szCs w:val="24"/>
        </w:rPr>
        <w:t>Ranking ninth in winning percentage at the Roberts Court is the NACDL, prevailing in exactly half of the cases in which they participate and in which a winner can be discerned.   It might seem that this means the success of the NACDL is simply a</w:t>
      </w:r>
      <w:r w:rsidR="00FB3E90">
        <w:rPr>
          <w:rFonts w:cs="Times New Roman"/>
          <w:szCs w:val="24"/>
        </w:rPr>
        <w:t>kin to a</w:t>
      </w:r>
      <w:r>
        <w:rPr>
          <w:rFonts w:cs="Times New Roman"/>
          <w:szCs w:val="24"/>
        </w:rPr>
        <w:t xml:space="preserve"> coin flip.  However, when one views the NACDL’s winning percentage in light of the fact that they typically advance the liberal </w:t>
      </w:r>
      <w:proofErr w:type="gramStart"/>
      <w:r>
        <w:rPr>
          <w:rFonts w:cs="Times New Roman"/>
          <w:szCs w:val="24"/>
        </w:rPr>
        <w:t>position,</w:t>
      </w:r>
      <w:proofErr w:type="gramEnd"/>
      <w:r>
        <w:rPr>
          <w:rFonts w:cs="Times New Roman"/>
          <w:szCs w:val="24"/>
        </w:rPr>
        <w:t xml:space="preserve"> and that they typically support those parties who are low in reso</w:t>
      </w:r>
      <w:r w:rsidR="00FB3E90">
        <w:rPr>
          <w:rFonts w:cs="Times New Roman"/>
          <w:szCs w:val="24"/>
        </w:rPr>
        <w:t>urces and public sympathy, a</w:t>
      </w:r>
      <w:r>
        <w:rPr>
          <w:rFonts w:cs="Times New Roman"/>
          <w:szCs w:val="24"/>
        </w:rPr>
        <w:t xml:space="preserve"> 50 percent winning percentage becomes more impressive.  </w:t>
      </w:r>
      <w:r w:rsidR="00FB3E90">
        <w:rPr>
          <w:rFonts w:cs="Times New Roman"/>
          <w:szCs w:val="24"/>
        </w:rPr>
        <w:t xml:space="preserve">The prominence of the AFL-CIO, ranking twelfth, seems to be diminishing, as it filed only 17 briefs and won only 41 percent of the time.  This finding is probably linked to the broader decline of political power and influence of unions and organized labor in our political process.  </w:t>
      </w:r>
    </w:p>
    <w:p w:rsidR="00743454" w:rsidRDefault="00743454" w:rsidP="00FB3E90">
      <w:pPr>
        <w:spacing w:line="480" w:lineRule="auto"/>
        <w:ind w:left="0" w:firstLine="720"/>
        <w:rPr>
          <w:rFonts w:cs="Times New Roman"/>
          <w:szCs w:val="24"/>
        </w:rPr>
      </w:pPr>
      <w:r>
        <w:rPr>
          <w:rFonts w:cs="Times New Roman"/>
          <w:szCs w:val="24"/>
        </w:rPr>
        <w:lastRenderedPageBreak/>
        <w:t>Lastly, those amici ranked tenth through fourteenth in Table 4.10 each have winning percentages of less than 50 percent, with the ACLU (41 percent success rate) and NAACP (36 percent success rate) assuming the bottom two positions.  This finding is a bit surprising, even given the liberal character o</w:t>
      </w:r>
      <w:r w:rsidR="00E5461E">
        <w:rPr>
          <w:rFonts w:cs="Times New Roman"/>
          <w:szCs w:val="24"/>
        </w:rPr>
        <w:t xml:space="preserve">f these two organizations, since </w:t>
      </w:r>
      <w:r>
        <w:rPr>
          <w:rFonts w:cs="Times New Roman"/>
          <w:szCs w:val="24"/>
        </w:rPr>
        <w:t>these two groups have historically been seen as among the most prestigious amici, and have been at the vanguard of interest group litigation and amicus participation in American legal history, particularly in the realm of civil rights and liberties.  Perhaps the declining influence of these groups is related to a sense that the major civil rights battles of the past are behind us as a society and that it is now time to move on to a differing vision of legal e</w:t>
      </w:r>
      <w:r w:rsidR="00712E03">
        <w:rPr>
          <w:rFonts w:cs="Times New Roman"/>
          <w:szCs w:val="24"/>
        </w:rPr>
        <w:t>quality, particularly in the realms of gender and race</w:t>
      </w:r>
      <w:r>
        <w:rPr>
          <w:rFonts w:cs="Times New Roman"/>
          <w:szCs w:val="24"/>
        </w:rPr>
        <w:t>.   Or perhaps the lower success rate of these groups owes to the fact t</w:t>
      </w:r>
      <w:r w:rsidR="00712E03">
        <w:rPr>
          <w:rFonts w:cs="Times New Roman"/>
          <w:szCs w:val="24"/>
        </w:rPr>
        <w:t>hat they typically represent</w:t>
      </w:r>
      <w:r>
        <w:rPr>
          <w:rFonts w:cs="Times New Roman"/>
          <w:szCs w:val="24"/>
        </w:rPr>
        <w:t xml:space="preserve"> minority and/or politically unpopular voices in our society. </w:t>
      </w:r>
      <w:r w:rsidR="00712E03">
        <w:rPr>
          <w:rFonts w:cs="Times New Roman"/>
          <w:szCs w:val="24"/>
        </w:rPr>
        <w:t xml:space="preserve"> The lower success rate of these two prominent groups in particular should provide a caveat to assuming that winning percentage before the USSC is equivalent to influence, as it is hard to detect how the parties these amici groups side with would have fared in the absence of these amici.</w:t>
      </w:r>
      <w:r>
        <w:rPr>
          <w:rFonts w:cs="Times New Roman"/>
          <w:szCs w:val="24"/>
        </w:rPr>
        <w:t xml:space="preserve"> </w:t>
      </w:r>
    </w:p>
    <w:p w:rsidR="00463D9C" w:rsidRDefault="00463D9C" w:rsidP="00FB3E90">
      <w:pPr>
        <w:spacing w:line="480" w:lineRule="auto"/>
        <w:ind w:left="0" w:firstLine="720"/>
        <w:rPr>
          <w:rFonts w:cs="Times New Roman"/>
          <w:szCs w:val="24"/>
        </w:rPr>
      </w:pPr>
    </w:p>
    <w:p w:rsidR="00D658FC" w:rsidRPr="0056631B" w:rsidRDefault="00D658FC" w:rsidP="00D658FC">
      <w:pPr>
        <w:pStyle w:val="ListParagraph"/>
        <w:numPr>
          <w:ilvl w:val="0"/>
          <w:numId w:val="32"/>
        </w:numPr>
        <w:autoSpaceDE w:val="0"/>
        <w:autoSpaceDN w:val="0"/>
        <w:adjustRightInd w:val="0"/>
        <w:spacing w:line="480" w:lineRule="auto"/>
        <w:rPr>
          <w:b/>
          <w:szCs w:val="24"/>
        </w:rPr>
      </w:pPr>
      <w:r w:rsidRPr="0056631B">
        <w:rPr>
          <w:b/>
          <w:szCs w:val="24"/>
        </w:rPr>
        <w:t>Conclusion</w:t>
      </w:r>
    </w:p>
    <w:p w:rsidR="00FB3E90" w:rsidRDefault="000305D0" w:rsidP="00DC2127">
      <w:pPr>
        <w:spacing w:line="480" w:lineRule="auto"/>
        <w:ind w:left="0" w:firstLine="720"/>
        <w:rPr>
          <w:rFonts w:cs="Times New Roman"/>
          <w:szCs w:val="24"/>
        </w:rPr>
      </w:pPr>
      <w:r>
        <w:rPr>
          <w:rFonts w:cs="Times New Roman"/>
          <w:szCs w:val="24"/>
        </w:rPr>
        <w:t>A</w:t>
      </w:r>
      <w:r w:rsidR="00FB3E90">
        <w:rPr>
          <w:rFonts w:cs="Times New Roman"/>
          <w:szCs w:val="24"/>
        </w:rPr>
        <w:t xml:space="preserve">micus participation at </w:t>
      </w:r>
      <w:r w:rsidR="00DE49C8">
        <w:rPr>
          <w:rFonts w:cs="Times New Roman"/>
          <w:szCs w:val="24"/>
        </w:rPr>
        <w:t>the Roberts Court is robust and at all-time high levels,</w:t>
      </w:r>
      <w:r w:rsidR="007A3C23">
        <w:rPr>
          <w:rFonts w:cs="Times New Roman"/>
          <w:szCs w:val="24"/>
        </w:rPr>
        <w:t xml:space="preserve"> as </w:t>
      </w:r>
      <w:r w:rsidR="00DE49C8">
        <w:rPr>
          <w:rFonts w:cs="Times New Roman"/>
          <w:szCs w:val="24"/>
        </w:rPr>
        <w:t xml:space="preserve">governments, individuals, and </w:t>
      </w:r>
      <w:r w:rsidR="00FB3E90">
        <w:rPr>
          <w:rFonts w:cs="Times New Roman"/>
          <w:szCs w:val="24"/>
        </w:rPr>
        <w:t>interest groups</w:t>
      </w:r>
      <w:r w:rsidR="007A3C23">
        <w:rPr>
          <w:rFonts w:cs="Times New Roman"/>
          <w:szCs w:val="24"/>
        </w:rPr>
        <w:t xml:space="preserve"> submit briefs regularly</w:t>
      </w:r>
      <w:r w:rsidR="00DE49C8">
        <w:rPr>
          <w:rFonts w:cs="Times New Roman"/>
          <w:szCs w:val="24"/>
        </w:rPr>
        <w:t>.  On average, over 96 percent of the cases at the Roberts Court have amicus participation, over 9 amicus briefs are filed per case, and</w:t>
      </w:r>
      <w:r w:rsidR="00E5461E">
        <w:rPr>
          <w:rFonts w:cs="Times New Roman"/>
          <w:szCs w:val="24"/>
        </w:rPr>
        <w:t xml:space="preserve"> over 61 amici are present</w:t>
      </w:r>
      <w:r w:rsidR="00DE49C8">
        <w:rPr>
          <w:rFonts w:cs="Times New Roman"/>
          <w:szCs w:val="24"/>
        </w:rPr>
        <w:t xml:space="preserve"> </w:t>
      </w:r>
      <w:r w:rsidR="00E5461E">
        <w:rPr>
          <w:rFonts w:cs="Times New Roman"/>
          <w:szCs w:val="24"/>
        </w:rPr>
        <w:t>on average each case</w:t>
      </w:r>
      <w:r w:rsidR="00DE49C8">
        <w:rPr>
          <w:rFonts w:cs="Times New Roman"/>
          <w:szCs w:val="24"/>
        </w:rPr>
        <w:t xml:space="preserve">.  While levels of amicus participation vary by case issue area, all areas attract significant amicus activity.  In total, over 3,600 amicus briefs, and over 24,400 cosigners participated in just five terms of the Roberts Court.  Saying that amicus participation is the norm at the Roberts Court is not adequate to </w:t>
      </w:r>
      <w:r w:rsidR="00DE49C8">
        <w:rPr>
          <w:rFonts w:cs="Times New Roman"/>
          <w:szCs w:val="24"/>
        </w:rPr>
        <w:lastRenderedPageBreak/>
        <w:t>describe its intensity.  The te</w:t>
      </w:r>
      <w:r>
        <w:rPr>
          <w:rFonts w:cs="Times New Roman"/>
          <w:szCs w:val="24"/>
        </w:rPr>
        <w:t>rms “counteractive lobbying” or</w:t>
      </w:r>
      <w:r w:rsidR="00DE49C8">
        <w:rPr>
          <w:rFonts w:cs="Times New Roman"/>
          <w:szCs w:val="24"/>
        </w:rPr>
        <w:t xml:space="preserve"> “arms race” </w:t>
      </w:r>
      <w:r>
        <w:rPr>
          <w:rFonts w:cs="Times New Roman"/>
          <w:szCs w:val="24"/>
        </w:rPr>
        <w:t xml:space="preserve">are </w:t>
      </w:r>
      <w:r w:rsidR="00DE49C8">
        <w:rPr>
          <w:rFonts w:cs="Times New Roman"/>
          <w:szCs w:val="24"/>
        </w:rPr>
        <w:t xml:space="preserve">more apt monikers for describing amicus activity at the Roberts Court, particularly since the ideological persuasion of amici are relatively balanced at the Roberts Court, though leaning slightly liberal.  The Roberts Court is </w:t>
      </w:r>
      <w:r w:rsidR="00EF1F72">
        <w:rPr>
          <w:rFonts w:cs="Times New Roman"/>
          <w:szCs w:val="24"/>
        </w:rPr>
        <w:t xml:space="preserve">a firing range </w:t>
      </w:r>
      <w:r w:rsidR="00DE49C8">
        <w:rPr>
          <w:rFonts w:cs="Times New Roman"/>
          <w:szCs w:val="24"/>
        </w:rPr>
        <w:t xml:space="preserve">in which organized interests </w:t>
      </w:r>
      <w:r w:rsidR="00EF1F72">
        <w:rPr>
          <w:rFonts w:cs="Times New Roman"/>
          <w:szCs w:val="24"/>
        </w:rPr>
        <w:t>s</w:t>
      </w:r>
      <w:r>
        <w:rPr>
          <w:rFonts w:cs="Times New Roman"/>
          <w:szCs w:val="24"/>
        </w:rPr>
        <w:t>et their aim and target the justices</w:t>
      </w:r>
      <w:r w:rsidR="00EF1F72">
        <w:rPr>
          <w:rFonts w:cs="Times New Roman"/>
          <w:szCs w:val="24"/>
        </w:rPr>
        <w:t xml:space="preserve"> to hit their legal goals and to leave their mark on public policy.  In this sense, the “friends” of the Roberts Court are truly engaging in “friendly fire.”  </w:t>
      </w:r>
    </w:p>
    <w:p w:rsidR="00743454" w:rsidRDefault="00743454" w:rsidP="00DC2127">
      <w:pPr>
        <w:spacing w:line="480" w:lineRule="auto"/>
        <w:ind w:left="0" w:firstLine="720"/>
        <w:rPr>
          <w:rFonts w:cs="Times New Roman"/>
          <w:szCs w:val="24"/>
        </w:rPr>
      </w:pPr>
    </w:p>
    <w:p w:rsidR="00E0108D" w:rsidRPr="00E0108D" w:rsidRDefault="00E0108D" w:rsidP="004F50FC">
      <w:pPr>
        <w:ind w:left="0" w:firstLine="0"/>
        <w:rPr>
          <w:rFonts w:cs="Times New Roman"/>
          <w:szCs w:val="24"/>
        </w:rPr>
      </w:pPr>
    </w:p>
    <w:p w:rsidR="0015747C" w:rsidRDefault="0015747C" w:rsidP="00533202">
      <w:pPr>
        <w:spacing w:line="480" w:lineRule="auto"/>
        <w:ind w:left="0" w:firstLine="0"/>
        <w:rPr>
          <w:rFonts w:cs="Times New Roman"/>
          <w:szCs w:val="24"/>
        </w:rPr>
      </w:pPr>
    </w:p>
    <w:p w:rsidR="0015747C" w:rsidRDefault="0015747C" w:rsidP="00DC2127">
      <w:pPr>
        <w:spacing w:line="480" w:lineRule="auto"/>
        <w:ind w:left="0" w:firstLine="720"/>
        <w:rPr>
          <w:rFonts w:cs="Times New Roman"/>
          <w:szCs w:val="24"/>
        </w:rPr>
      </w:pPr>
    </w:p>
    <w:p w:rsidR="0015747C" w:rsidRDefault="0015747C" w:rsidP="00DC2127">
      <w:pPr>
        <w:spacing w:line="480" w:lineRule="auto"/>
        <w:ind w:left="0" w:firstLine="720"/>
        <w:rPr>
          <w:rFonts w:cs="Times New Roman"/>
          <w:szCs w:val="24"/>
        </w:rPr>
      </w:pPr>
    </w:p>
    <w:p w:rsidR="0073399D" w:rsidRDefault="0073399D" w:rsidP="00E71D36">
      <w:pPr>
        <w:spacing w:line="480" w:lineRule="auto"/>
        <w:ind w:left="0" w:firstLine="0"/>
        <w:rPr>
          <w:rFonts w:cs="Times New Roman"/>
          <w:b/>
          <w:sz w:val="32"/>
          <w:szCs w:val="32"/>
        </w:rPr>
      </w:pPr>
    </w:p>
    <w:p w:rsidR="0073399D" w:rsidRDefault="0073399D" w:rsidP="00E71D36">
      <w:pPr>
        <w:spacing w:line="480" w:lineRule="auto"/>
        <w:ind w:left="0" w:firstLine="0"/>
        <w:rPr>
          <w:rFonts w:cs="Times New Roman"/>
          <w:b/>
          <w:sz w:val="32"/>
          <w:szCs w:val="32"/>
        </w:rPr>
      </w:pPr>
    </w:p>
    <w:p w:rsidR="0073399D" w:rsidRDefault="0073399D" w:rsidP="00E71D36">
      <w:pPr>
        <w:spacing w:line="480" w:lineRule="auto"/>
        <w:ind w:left="0" w:firstLine="0"/>
        <w:rPr>
          <w:rFonts w:cs="Times New Roman"/>
          <w:b/>
          <w:sz w:val="32"/>
          <w:szCs w:val="32"/>
        </w:rPr>
      </w:pPr>
    </w:p>
    <w:p w:rsidR="0073399D" w:rsidRDefault="0073399D" w:rsidP="00E71D36">
      <w:pPr>
        <w:spacing w:line="480" w:lineRule="auto"/>
        <w:ind w:left="0" w:firstLine="0"/>
        <w:rPr>
          <w:rFonts w:cs="Times New Roman"/>
          <w:b/>
          <w:sz w:val="32"/>
          <w:szCs w:val="32"/>
        </w:rPr>
      </w:pPr>
    </w:p>
    <w:p w:rsidR="0073399D" w:rsidRDefault="0073399D" w:rsidP="00E71D36">
      <w:pPr>
        <w:spacing w:line="480" w:lineRule="auto"/>
        <w:ind w:left="0" w:firstLine="0"/>
        <w:rPr>
          <w:rFonts w:cs="Times New Roman"/>
          <w:b/>
          <w:sz w:val="32"/>
          <w:szCs w:val="32"/>
        </w:rPr>
      </w:pPr>
    </w:p>
    <w:p w:rsidR="0073399D" w:rsidRDefault="0073399D" w:rsidP="00E71D36">
      <w:pPr>
        <w:spacing w:line="480" w:lineRule="auto"/>
        <w:ind w:left="0" w:firstLine="0"/>
        <w:rPr>
          <w:rFonts w:cs="Times New Roman"/>
          <w:b/>
          <w:sz w:val="32"/>
          <w:szCs w:val="32"/>
        </w:rPr>
      </w:pPr>
    </w:p>
    <w:p w:rsidR="00F324AC" w:rsidRDefault="00F324AC" w:rsidP="00E71D36">
      <w:pPr>
        <w:spacing w:line="480" w:lineRule="auto"/>
        <w:ind w:left="0" w:firstLine="0"/>
        <w:rPr>
          <w:rFonts w:cs="Times New Roman"/>
          <w:b/>
          <w:sz w:val="32"/>
          <w:szCs w:val="32"/>
        </w:rPr>
      </w:pPr>
    </w:p>
    <w:p w:rsidR="00463D9C" w:rsidRDefault="00463D9C" w:rsidP="00E71D36">
      <w:pPr>
        <w:spacing w:line="480" w:lineRule="auto"/>
        <w:ind w:left="0" w:firstLine="0"/>
        <w:rPr>
          <w:rFonts w:cs="Times New Roman"/>
          <w:b/>
          <w:sz w:val="32"/>
          <w:szCs w:val="32"/>
        </w:rPr>
      </w:pPr>
    </w:p>
    <w:p w:rsidR="00017C8B" w:rsidRDefault="00017C8B" w:rsidP="00E71D36">
      <w:pPr>
        <w:spacing w:line="480" w:lineRule="auto"/>
        <w:ind w:left="0" w:firstLine="0"/>
        <w:rPr>
          <w:rFonts w:cs="Times New Roman"/>
          <w:b/>
          <w:sz w:val="32"/>
          <w:szCs w:val="32"/>
        </w:rPr>
      </w:pPr>
    </w:p>
    <w:p w:rsidR="00F122E7" w:rsidRDefault="00F122E7" w:rsidP="00E71D36">
      <w:pPr>
        <w:spacing w:line="480" w:lineRule="auto"/>
        <w:ind w:left="0" w:firstLine="0"/>
        <w:rPr>
          <w:rFonts w:cs="Times New Roman"/>
          <w:b/>
          <w:sz w:val="32"/>
          <w:szCs w:val="32"/>
        </w:rPr>
      </w:pPr>
    </w:p>
    <w:p w:rsidR="000F5C60" w:rsidRPr="00E71D36" w:rsidRDefault="00E77CF3" w:rsidP="00E77CF3">
      <w:pPr>
        <w:spacing w:line="480" w:lineRule="auto"/>
        <w:ind w:left="0" w:firstLine="0"/>
        <w:jc w:val="center"/>
        <w:rPr>
          <w:b/>
          <w:sz w:val="32"/>
          <w:szCs w:val="32"/>
        </w:rPr>
      </w:pPr>
      <w:r>
        <w:rPr>
          <w:rFonts w:cs="Times New Roman"/>
          <w:b/>
          <w:sz w:val="32"/>
          <w:szCs w:val="32"/>
        </w:rPr>
        <w:lastRenderedPageBreak/>
        <w:t>Chapter 5</w:t>
      </w:r>
      <w:r w:rsidR="00E71D36" w:rsidRPr="00E71D36">
        <w:rPr>
          <w:rFonts w:cs="Times New Roman"/>
          <w:sz w:val="32"/>
          <w:szCs w:val="32"/>
        </w:rPr>
        <w:t xml:space="preserve">: </w:t>
      </w:r>
      <w:r w:rsidR="00974364">
        <w:rPr>
          <w:b/>
          <w:sz w:val="32"/>
          <w:szCs w:val="32"/>
        </w:rPr>
        <w:t>Amici Impact</w:t>
      </w:r>
      <w:r w:rsidR="00E71D36" w:rsidRPr="00E71D36">
        <w:rPr>
          <w:b/>
          <w:sz w:val="32"/>
          <w:szCs w:val="32"/>
        </w:rPr>
        <w:t xml:space="preserve"> on Justice Votes</w:t>
      </w:r>
    </w:p>
    <w:p w:rsidR="000A3E79" w:rsidRDefault="000F5C60" w:rsidP="00E71D36">
      <w:pPr>
        <w:spacing w:line="480" w:lineRule="auto"/>
        <w:ind w:left="0" w:firstLine="0"/>
        <w:rPr>
          <w:rFonts w:cs="Times New Roman"/>
          <w:szCs w:val="24"/>
        </w:rPr>
      </w:pPr>
      <w:r>
        <w:rPr>
          <w:rFonts w:cs="Times New Roman"/>
          <w:szCs w:val="24"/>
        </w:rPr>
        <w:tab/>
        <w:t>As a</w:t>
      </w:r>
      <w:r w:rsidR="0073399D">
        <w:rPr>
          <w:rFonts w:cs="Times New Roman"/>
          <w:szCs w:val="24"/>
        </w:rPr>
        <w:t xml:space="preserve"> means of showing whether or not, and to what extent,</w:t>
      </w:r>
      <w:r>
        <w:rPr>
          <w:rFonts w:cs="Times New Roman"/>
          <w:szCs w:val="24"/>
        </w:rPr>
        <w:t xml:space="preserve"> amic</w:t>
      </w:r>
      <w:r w:rsidR="00974364">
        <w:rPr>
          <w:rFonts w:cs="Times New Roman"/>
          <w:szCs w:val="24"/>
        </w:rPr>
        <w:t>i impact the way</w:t>
      </w:r>
      <w:r w:rsidR="00527518">
        <w:rPr>
          <w:rFonts w:cs="Times New Roman"/>
          <w:szCs w:val="24"/>
        </w:rPr>
        <w:t xml:space="preserve"> </w:t>
      </w:r>
      <w:proofErr w:type="gramStart"/>
      <w:r w:rsidR="00527518">
        <w:rPr>
          <w:rFonts w:cs="Times New Roman"/>
          <w:szCs w:val="24"/>
        </w:rPr>
        <w:t>justices</w:t>
      </w:r>
      <w:proofErr w:type="gramEnd"/>
      <w:r w:rsidR="00527518">
        <w:rPr>
          <w:rFonts w:cs="Times New Roman"/>
          <w:szCs w:val="24"/>
        </w:rPr>
        <w:t xml:space="preserve"> vote at the Roberts Court, t</w:t>
      </w:r>
      <w:r>
        <w:rPr>
          <w:rFonts w:cs="Times New Roman"/>
          <w:szCs w:val="24"/>
        </w:rPr>
        <w:t xml:space="preserve">his chapter presents the results </w:t>
      </w:r>
      <w:r w:rsidR="0073399D">
        <w:rPr>
          <w:rFonts w:cs="Times New Roman"/>
          <w:szCs w:val="24"/>
        </w:rPr>
        <w:t xml:space="preserve">and interpretation of </w:t>
      </w:r>
      <w:r>
        <w:rPr>
          <w:rFonts w:cs="Times New Roman"/>
          <w:szCs w:val="24"/>
        </w:rPr>
        <w:t xml:space="preserve">the various statistical </w:t>
      </w:r>
      <w:proofErr w:type="spellStart"/>
      <w:r>
        <w:rPr>
          <w:rFonts w:cs="Times New Roman"/>
          <w:szCs w:val="24"/>
        </w:rPr>
        <w:t>logit</w:t>
      </w:r>
      <w:proofErr w:type="spellEnd"/>
      <w:r>
        <w:rPr>
          <w:rFonts w:cs="Times New Roman"/>
          <w:szCs w:val="24"/>
        </w:rPr>
        <w:t xml:space="preserve"> m</w:t>
      </w:r>
      <w:r w:rsidR="00583583">
        <w:rPr>
          <w:rFonts w:cs="Times New Roman"/>
          <w:szCs w:val="24"/>
        </w:rPr>
        <w:t>odels that were described in Chapter</w:t>
      </w:r>
      <w:r>
        <w:rPr>
          <w:rFonts w:cs="Times New Roman"/>
          <w:szCs w:val="24"/>
        </w:rPr>
        <w:t xml:space="preserve"> 3.</w:t>
      </w:r>
      <w:r w:rsidR="0073399D">
        <w:rPr>
          <w:rFonts w:cs="Times New Roman"/>
          <w:szCs w:val="24"/>
        </w:rPr>
        <w:t xml:space="preserve">   Along with this presentation and interpretation, this chapter will also discuss how the results support, or fail to support,</w:t>
      </w:r>
      <w:r w:rsidR="00583583">
        <w:rPr>
          <w:rFonts w:cs="Times New Roman"/>
          <w:szCs w:val="24"/>
        </w:rPr>
        <w:t xml:space="preserve"> the hypotheses listed in Chapter</w:t>
      </w:r>
      <w:r w:rsidR="0073399D">
        <w:rPr>
          <w:rFonts w:cs="Times New Roman"/>
          <w:szCs w:val="24"/>
        </w:rPr>
        <w:t xml:space="preserve"> 3.   Lastly, I will conclude this chapter by highlighting some implications of my findings.</w:t>
      </w:r>
    </w:p>
    <w:p w:rsidR="00F324AC" w:rsidRDefault="00F324AC" w:rsidP="00E71D36">
      <w:pPr>
        <w:spacing w:line="480" w:lineRule="auto"/>
        <w:ind w:left="0" w:firstLine="0"/>
        <w:rPr>
          <w:rFonts w:cs="Times New Roman"/>
          <w:szCs w:val="24"/>
        </w:rPr>
      </w:pPr>
    </w:p>
    <w:p w:rsidR="000A4321" w:rsidRPr="000A4321" w:rsidRDefault="000A4321" w:rsidP="000A4321">
      <w:pPr>
        <w:pStyle w:val="ListParagraph"/>
        <w:numPr>
          <w:ilvl w:val="0"/>
          <w:numId w:val="39"/>
        </w:numPr>
        <w:spacing w:line="480" w:lineRule="auto"/>
        <w:rPr>
          <w:rFonts w:cs="Times New Roman"/>
          <w:b/>
          <w:szCs w:val="24"/>
        </w:rPr>
      </w:pPr>
      <w:r w:rsidRPr="000A4321">
        <w:rPr>
          <w:rFonts w:cs="Times New Roman"/>
          <w:b/>
          <w:szCs w:val="24"/>
        </w:rPr>
        <w:t>Results an</w:t>
      </w:r>
      <w:r>
        <w:rPr>
          <w:rFonts w:cs="Times New Roman"/>
          <w:b/>
          <w:szCs w:val="24"/>
        </w:rPr>
        <w:t xml:space="preserve">d Interpretation of </w:t>
      </w:r>
      <w:proofErr w:type="spellStart"/>
      <w:r>
        <w:rPr>
          <w:rFonts w:cs="Times New Roman"/>
          <w:b/>
          <w:szCs w:val="24"/>
        </w:rPr>
        <w:t>Logit</w:t>
      </w:r>
      <w:proofErr w:type="spellEnd"/>
      <w:r>
        <w:rPr>
          <w:rFonts w:cs="Times New Roman"/>
          <w:b/>
          <w:szCs w:val="24"/>
        </w:rPr>
        <w:t xml:space="preserve"> Models</w:t>
      </w:r>
    </w:p>
    <w:p w:rsidR="00C16CDC" w:rsidRPr="00EC3630" w:rsidRDefault="00C16CDC" w:rsidP="00C16CDC">
      <w:pPr>
        <w:spacing w:line="480" w:lineRule="auto"/>
        <w:ind w:left="0" w:firstLine="720"/>
        <w:rPr>
          <w:rFonts w:cs="Times New Roman"/>
          <w:szCs w:val="24"/>
        </w:rPr>
      </w:pPr>
      <w:r w:rsidRPr="006E5EBF">
        <w:rPr>
          <w:rFonts w:cs="Times New Roman"/>
          <w:szCs w:val="24"/>
        </w:rPr>
        <w:t>The results of my primary all-inclusive</w:t>
      </w:r>
      <w:r w:rsidR="00595414" w:rsidRPr="006E5EBF">
        <w:rPr>
          <w:rFonts w:cs="Times New Roman"/>
          <w:szCs w:val="24"/>
        </w:rPr>
        <w:t xml:space="preserve"> </w:t>
      </w:r>
      <w:proofErr w:type="spellStart"/>
      <w:r w:rsidR="00595414" w:rsidRPr="006E5EBF">
        <w:rPr>
          <w:rFonts w:cs="Times New Roman"/>
          <w:szCs w:val="24"/>
        </w:rPr>
        <w:t>logit</w:t>
      </w:r>
      <w:proofErr w:type="spellEnd"/>
      <w:r w:rsidRPr="006E5EBF">
        <w:rPr>
          <w:rFonts w:cs="Times New Roman"/>
          <w:szCs w:val="24"/>
        </w:rPr>
        <w:t xml:space="preserve"> model</w:t>
      </w:r>
      <w:r w:rsidR="006E5EBF">
        <w:rPr>
          <w:rFonts w:cs="Times New Roman"/>
          <w:szCs w:val="24"/>
        </w:rPr>
        <w:t xml:space="preserve"> (Model 1</w:t>
      </w:r>
      <w:r w:rsidR="00595414" w:rsidRPr="006E5EBF">
        <w:rPr>
          <w:rFonts w:cs="Times New Roman"/>
          <w:szCs w:val="24"/>
        </w:rPr>
        <w:t>)</w:t>
      </w:r>
      <w:r w:rsidR="0071543E" w:rsidRPr="006E5EBF">
        <w:rPr>
          <w:rFonts w:cs="Times New Roman"/>
          <w:szCs w:val="24"/>
        </w:rPr>
        <w:t xml:space="preserve"> are reported in T</w:t>
      </w:r>
      <w:r w:rsidRPr="006E5EBF">
        <w:rPr>
          <w:rFonts w:cs="Times New Roman"/>
          <w:szCs w:val="24"/>
        </w:rPr>
        <w:t>able 5.1</w:t>
      </w:r>
      <w:r w:rsidRPr="00A34A98">
        <w:rPr>
          <w:rFonts w:cs="Times New Roman"/>
          <w:color w:val="FF0000"/>
          <w:szCs w:val="24"/>
        </w:rPr>
        <w:t xml:space="preserve">. </w:t>
      </w:r>
      <w:r>
        <w:rPr>
          <w:rFonts w:cs="Times New Roman"/>
          <w:szCs w:val="24"/>
        </w:rPr>
        <w:t xml:space="preserve"> </w:t>
      </w:r>
      <w:r w:rsidR="00595414">
        <w:t>Mode</w:t>
      </w:r>
      <w:r w:rsidR="006E5EBF">
        <w:t>l 1</w:t>
      </w:r>
      <w:r w:rsidR="00595414">
        <w:t xml:space="preserve"> </w:t>
      </w:r>
      <w:r w:rsidRPr="00595414">
        <w:t xml:space="preserve">estimates the influence of </w:t>
      </w:r>
      <w:r w:rsidR="00595414" w:rsidRPr="00595414">
        <w:t>the net difference of liberal-conservative amicus briefs, the net difference of liberal-conservative amicus cosigners</w:t>
      </w:r>
      <w:r w:rsidR="00595414">
        <w:t>, and the net difference of</w:t>
      </w:r>
      <w:r w:rsidR="00595414" w:rsidRPr="00595414">
        <w:t xml:space="preserve"> prestigious liberal-conservative amici in a case on </w:t>
      </w:r>
      <w:r w:rsidRPr="00595414">
        <w:t>the ideological dir</w:t>
      </w:r>
      <w:r w:rsidR="0071543E">
        <w:t>ection of the justices’</w:t>
      </w:r>
      <w:r w:rsidRPr="00595414">
        <w:t xml:space="preserve"> votes</w:t>
      </w:r>
      <w:r w:rsidR="00595414">
        <w:t>, controlling for other known influences on justice decision-making</w:t>
      </w:r>
      <w:r w:rsidRPr="00595414">
        <w:t>.</w:t>
      </w:r>
      <w:r w:rsidRPr="00C16CDC">
        <w:rPr>
          <w:color w:val="00B050"/>
        </w:rPr>
        <w:t xml:space="preserve"> </w:t>
      </w:r>
      <w:r w:rsidRPr="00595414">
        <w:t xml:space="preserve"> Included</w:t>
      </w:r>
      <w:r w:rsidR="00595414" w:rsidRPr="00595414">
        <w:t xml:space="preserve"> </w:t>
      </w:r>
      <w:r w:rsidRPr="00595414">
        <w:t>are the constituent variabl</w:t>
      </w:r>
      <w:r w:rsidR="00112889">
        <w:t>es and their MLE coefficients</w:t>
      </w:r>
      <w:r w:rsidRPr="00595414">
        <w:t xml:space="preserve">. </w:t>
      </w:r>
      <w:r w:rsidRPr="00C16CDC">
        <w:rPr>
          <w:color w:val="00B050"/>
        </w:rPr>
        <w:t xml:space="preserve"> </w:t>
      </w:r>
      <w:r w:rsidRPr="00EC3630">
        <w:t>The chi square test for the model is statistically significant, which means that all the variables co</w:t>
      </w:r>
      <w:r w:rsidR="00EC3630">
        <w:t xml:space="preserve">nsidered together in the model </w:t>
      </w:r>
      <w:r w:rsidRPr="00EC3630">
        <w:t>are significantly different than zero.</w:t>
      </w:r>
      <w:r w:rsidRPr="00C16CDC">
        <w:rPr>
          <w:color w:val="00B050"/>
        </w:rPr>
        <w:t xml:space="preserve">  </w:t>
      </w:r>
      <w:r w:rsidRPr="00EC3630">
        <w:t>T</w:t>
      </w:r>
      <w:r w:rsidR="00EC3630" w:rsidRPr="00EC3630">
        <w:t>he model correctly predicts 6</w:t>
      </w:r>
      <w:r w:rsidR="00EC3630">
        <w:t>4</w:t>
      </w:r>
      <w:r w:rsidR="00EC3630" w:rsidRPr="00EC3630">
        <w:t>.</w:t>
      </w:r>
      <w:r w:rsidR="00EC3630">
        <w:t>99</w:t>
      </w:r>
      <w:r w:rsidRPr="00EC3630">
        <w:t xml:space="preserve"> percent of the outcomes on the dependent variable (liberal vote),</w:t>
      </w:r>
      <w:r w:rsidR="001A032B">
        <w:rPr>
          <w:color w:val="00B050"/>
        </w:rPr>
        <w:t xml:space="preserve"> </w:t>
      </w:r>
      <w:r w:rsidR="001A032B" w:rsidRPr="001A032B">
        <w:t>which is a 27.15</w:t>
      </w:r>
      <w:r w:rsidRPr="001A032B">
        <w:t xml:space="preserve"> percent reduction in error in the absence of the model</w:t>
      </w:r>
      <w:r w:rsidRPr="00C16CDC">
        <w:rPr>
          <w:color w:val="00B050"/>
        </w:rPr>
        <w:t xml:space="preserve"> </w:t>
      </w:r>
      <w:r w:rsidRPr="00EC3630">
        <w:t>(li</w:t>
      </w:r>
      <w:r w:rsidR="00EC3630">
        <w:t>beral votes actually occurred 48.06</w:t>
      </w:r>
      <w:r w:rsidRPr="00EC3630">
        <w:t xml:space="preserve"> percent of the time).  </w:t>
      </w:r>
    </w:p>
    <w:p w:rsidR="00F311E4" w:rsidRDefault="00DC7D97" w:rsidP="002C1E2B">
      <w:pPr>
        <w:autoSpaceDE w:val="0"/>
        <w:autoSpaceDN w:val="0"/>
        <w:adjustRightInd w:val="0"/>
        <w:spacing w:line="480" w:lineRule="auto"/>
        <w:ind w:left="0" w:firstLine="720"/>
      </w:pPr>
      <w:r>
        <w:t>It is essential to recognize that</w:t>
      </w:r>
      <w:r w:rsidRPr="00DC7D97">
        <w:t xml:space="preserve">, as emphasized by </w:t>
      </w:r>
      <w:proofErr w:type="spellStart"/>
      <w:r w:rsidRPr="00DC7D97">
        <w:t>Brambor</w:t>
      </w:r>
      <w:proofErr w:type="spellEnd"/>
      <w:r w:rsidRPr="00DC7D97">
        <w:t xml:space="preserve">, Clark, and </w:t>
      </w:r>
      <w:proofErr w:type="spellStart"/>
      <w:r w:rsidRPr="00DC7D97">
        <w:t>Golder</w:t>
      </w:r>
      <w:proofErr w:type="spellEnd"/>
      <w:r w:rsidRPr="00DC7D97">
        <w:t xml:space="preserve"> (2006) and Ai and Norton (2003), </w:t>
      </w:r>
      <w:r w:rsidR="00C16CDC" w:rsidRPr="00DC7D97">
        <w:t>it cannot be inferred from the</w:t>
      </w:r>
      <w:r w:rsidRPr="00DC7D97">
        <w:t xml:space="preserve"> sign,</w:t>
      </w:r>
      <w:r w:rsidR="00C16CDC" w:rsidRPr="00DC7D97">
        <w:t xml:space="preserve"> magnitude</w:t>
      </w:r>
      <w:r>
        <w:t xml:space="preserve"> of the coefficient</w:t>
      </w:r>
      <w:r w:rsidRPr="00DC7D97">
        <w:t>,</w:t>
      </w:r>
      <w:r w:rsidR="00C16CDC" w:rsidRPr="00DC7D97">
        <w:t xml:space="preserve"> and significance of the interaction </w:t>
      </w:r>
      <w:r>
        <w:t>term</w:t>
      </w:r>
      <w:r w:rsidRPr="00DC7D97">
        <w:t xml:space="preserve"> whether</w:t>
      </w:r>
      <w:r w:rsidR="00B52E53">
        <w:t xml:space="preserve"> the</w:t>
      </w:r>
      <w:r w:rsidRPr="00DC7D97">
        <w:t xml:space="preserve"> conditioning variable</w:t>
      </w:r>
      <w:r w:rsidR="00C16CDC" w:rsidRPr="00DC7D97">
        <w:t xml:space="preserve"> mediates the influence of </w:t>
      </w:r>
      <w:r w:rsidRPr="00DC7D97">
        <w:t xml:space="preserve">the conditioned variable. </w:t>
      </w:r>
      <w:r w:rsidR="003D7560">
        <w:t xml:space="preserve"> </w:t>
      </w:r>
      <w:r w:rsidR="00D27D9A">
        <w:t xml:space="preserve">Therefore, I have no expectations as to the direction or significance of </w:t>
      </w:r>
    </w:p>
    <w:p w:rsidR="00F311E4" w:rsidRDefault="00F311E4" w:rsidP="00F311E4">
      <w:pPr>
        <w:autoSpaceDE w:val="0"/>
        <w:autoSpaceDN w:val="0"/>
        <w:adjustRightInd w:val="0"/>
        <w:spacing w:line="480" w:lineRule="auto"/>
        <w:ind w:left="0" w:firstLine="0"/>
        <w:rPr>
          <w:rFonts w:cs="Times New Roman"/>
          <w:szCs w:val="24"/>
        </w:rPr>
      </w:pPr>
      <w:proofErr w:type="gramStart"/>
      <w:r w:rsidRPr="00E8454D">
        <w:rPr>
          <w:rFonts w:cs="Times New Roman"/>
          <w:b/>
          <w:szCs w:val="24"/>
        </w:rPr>
        <w:lastRenderedPageBreak/>
        <w:t>Table 5.1.</w:t>
      </w:r>
      <w:proofErr w:type="gramEnd"/>
      <w:r>
        <w:rPr>
          <w:rFonts w:cs="Times New Roman"/>
          <w:b/>
          <w:szCs w:val="24"/>
        </w:rPr>
        <w:t xml:space="preserve"> Primary</w:t>
      </w:r>
      <w:r>
        <w:rPr>
          <w:rFonts w:cs="Times New Roman"/>
          <w:szCs w:val="24"/>
        </w:rPr>
        <w:t xml:space="preserve"> </w:t>
      </w:r>
      <w:proofErr w:type="spellStart"/>
      <w:r>
        <w:rPr>
          <w:rFonts w:cs="Times New Roman"/>
          <w:b/>
          <w:szCs w:val="24"/>
        </w:rPr>
        <w:t>Logit</w:t>
      </w:r>
      <w:proofErr w:type="spellEnd"/>
      <w:r>
        <w:rPr>
          <w:rFonts w:cs="Times New Roman"/>
          <w:b/>
          <w:szCs w:val="24"/>
        </w:rPr>
        <w:t xml:space="preserve"> Model</w:t>
      </w:r>
      <w:r w:rsidRPr="00A02BA1">
        <w:rPr>
          <w:b/>
        </w:rPr>
        <w:t xml:space="preserve"> of</w:t>
      </w:r>
      <w:r>
        <w:rPr>
          <w:b/>
        </w:rPr>
        <w:t xml:space="preserve"> the Impact of Amici on Ideological Direction of Justice Votes at the Roberts Court with Interaction Term, 2007 – 201</w:t>
      </w:r>
      <w:r w:rsidRPr="00A02BA1">
        <w:rPr>
          <w:b/>
        </w:rPr>
        <w:t>1 Terms</w:t>
      </w:r>
    </w:p>
    <w:tbl>
      <w:tblPr>
        <w:tblW w:w="0" w:type="auto"/>
        <w:tblInd w:w="93" w:type="dxa"/>
        <w:tblBorders>
          <w:top w:val="single" w:sz="18" w:space="0" w:color="auto"/>
          <w:bottom w:val="single" w:sz="18" w:space="0" w:color="auto"/>
        </w:tblBorders>
        <w:tblLook w:val="04A0" w:firstRow="1" w:lastRow="0" w:firstColumn="1" w:lastColumn="0" w:noHBand="0" w:noVBand="1"/>
      </w:tblPr>
      <w:tblGrid>
        <w:gridCol w:w="3821"/>
        <w:gridCol w:w="1921"/>
        <w:gridCol w:w="1213"/>
        <w:gridCol w:w="1615"/>
      </w:tblGrid>
      <w:tr w:rsidR="00F311E4" w:rsidRPr="00944261" w:rsidTr="002D72FB">
        <w:trPr>
          <w:trHeight w:val="576"/>
        </w:trPr>
        <w:tc>
          <w:tcPr>
            <w:tcW w:w="0" w:type="auto"/>
            <w:tcBorders>
              <w:top w:val="single" w:sz="18" w:space="0" w:color="auto"/>
              <w:bottom w:val="single" w:sz="18" w:space="0" w:color="auto"/>
            </w:tcBorders>
            <w:shd w:val="clear" w:color="auto" w:fill="auto"/>
            <w:noWrap/>
            <w:vAlign w:val="center"/>
            <w:hideMark/>
          </w:tcPr>
          <w:p w:rsidR="00F311E4" w:rsidRPr="00944261" w:rsidRDefault="00F311E4" w:rsidP="002D72FB">
            <w:pPr>
              <w:ind w:left="0" w:firstLine="0"/>
              <w:rPr>
                <w:rFonts w:eastAsia="Times New Roman" w:cs="Times New Roman"/>
                <w:color w:val="000000"/>
                <w:sz w:val="22"/>
              </w:rPr>
            </w:pPr>
            <w:r w:rsidRPr="00944261">
              <w:rPr>
                <w:rFonts w:eastAsia="Times New Roman" w:cs="Times New Roman"/>
                <w:color w:val="000000"/>
                <w:sz w:val="22"/>
              </w:rPr>
              <w:t>Variable</w:t>
            </w:r>
          </w:p>
        </w:tc>
        <w:tc>
          <w:tcPr>
            <w:tcW w:w="0" w:type="auto"/>
            <w:tcBorders>
              <w:top w:val="single" w:sz="18" w:space="0" w:color="auto"/>
              <w:bottom w:val="single" w:sz="18" w:space="0" w:color="auto"/>
            </w:tcBorders>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r w:rsidRPr="00944261">
              <w:rPr>
                <w:rFonts w:eastAsia="Times New Roman" w:cs="Times New Roman"/>
                <w:color w:val="000000"/>
                <w:sz w:val="22"/>
              </w:rPr>
              <w:t>MLE Coefficient</w:t>
            </w:r>
          </w:p>
        </w:tc>
        <w:tc>
          <w:tcPr>
            <w:tcW w:w="0" w:type="auto"/>
            <w:tcBorders>
              <w:top w:val="single" w:sz="18" w:space="0" w:color="auto"/>
              <w:bottom w:val="single" w:sz="18" w:space="0" w:color="auto"/>
            </w:tcBorders>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r>
              <w:rPr>
                <w:rFonts w:eastAsia="Times New Roman" w:cs="Times New Roman"/>
                <w:color w:val="000000"/>
                <w:sz w:val="22"/>
              </w:rPr>
              <w:t>Odds Ratio</w:t>
            </w:r>
          </w:p>
        </w:tc>
        <w:tc>
          <w:tcPr>
            <w:tcW w:w="0" w:type="auto"/>
            <w:tcBorders>
              <w:top w:val="single" w:sz="18" w:space="0" w:color="auto"/>
              <w:bottom w:val="single" w:sz="18" w:space="0" w:color="auto"/>
            </w:tcBorders>
            <w:shd w:val="clear" w:color="auto" w:fill="auto"/>
            <w:noWrap/>
            <w:vAlign w:val="center"/>
            <w:hideMark/>
          </w:tcPr>
          <w:p w:rsidR="00F311E4" w:rsidRPr="00BF0054" w:rsidRDefault="00F311E4" w:rsidP="002D72FB">
            <w:pPr>
              <w:ind w:left="0" w:firstLine="0"/>
              <w:jc w:val="center"/>
              <w:rPr>
                <w:rFonts w:eastAsia="Times New Roman" w:cs="Times New Roman"/>
                <w:sz w:val="22"/>
              </w:rPr>
            </w:pPr>
            <w:r w:rsidRPr="00BF0054">
              <w:rPr>
                <w:rFonts w:eastAsia="Times New Roman" w:cs="Times New Roman"/>
                <w:sz w:val="22"/>
              </w:rPr>
              <w:t>Marginal Effect</w:t>
            </w:r>
          </w:p>
        </w:tc>
      </w:tr>
      <w:tr w:rsidR="00F311E4" w:rsidRPr="00944261" w:rsidTr="002D72FB">
        <w:trPr>
          <w:trHeight w:val="576"/>
        </w:trPr>
        <w:tc>
          <w:tcPr>
            <w:tcW w:w="0" w:type="auto"/>
            <w:tcBorders>
              <w:top w:val="single" w:sz="18" w:space="0" w:color="auto"/>
            </w:tcBorders>
            <w:shd w:val="clear" w:color="auto" w:fill="auto"/>
            <w:noWrap/>
            <w:vAlign w:val="center"/>
            <w:hideMark/>
          </w:tcPr>
          <w:p w:rsidR="00F311E4" w:rsidRPr="00944261" w:rsidRDefault="00F311E4" w:rsidP="002D72FB">
            <w:pPr>
              <w:ind w:left="0" w:firstLine="0"/>
              <w:rPr>
                <w:rFonts w:eastAsia="Times New Roman" w:cs="Times New Roman"/>
                <w:b/>
                <w:bCs/>
                <w:color w:val="000000"/>
                <w:sz w:val="22"/>
              </w:rPr>
            </w:pPr>
            <w:r w:rsidRPr="00944261">
              <w:rPr>
                <w:rFonts w:eastAsia="Times New Roman" w:cs="Times New Roman"/>
                <w:b/>
                <w:bCs/>
                <w:color w:val="000000"/>
                <w:sz w:val="22"/>
              </w:rPr>
              <w:t>Amicus Brief Difference</w:t>
            </w:r>
          </w:p>
        </w:tc>
        <w:tc>
          <w:tcPr>
            <w:tcW w:w="0" w:type="auto"/>
            <w:tcBorders>
              <w:top w:val="single" w:sz="18" w:space="0" w:color="auto"/>
            </w:tcBorders>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r w:rsidRPr="00944261">
              <w:rPr>
                <w:rFonts w:eastAsia="Times New Roman" w:cs="Times New Roman"/>
                <w:color w:val="000000"/>
                <w:sz w:val="22"/>
              </w:rPr>
              <w:t>0.015</w:t>
            </w:r>
            <w:r>
              <w:rPr>
                <w:rFonts w:eastAsia="Times New Roman" w:cs="Times New Roman"/>
                <w:color w:val="000000"/>
                <w:sz w:val="22"/>
              </w:rPr>
              <w:t xml:space="preserve"> (</w:t>
            </w:r>
            <w:r w:rsidRPr="00944261">
              <w:rPr>
                <w:rFonts w:eastAsia="Times New Roman" w:cs="Times New Roman"/>
                <w:color w:val="000000"/>
                <w:sz w:val="22"/>
              </w:rPr>
              <w:t>.024</w:t>
            </w:r>
            <w:r>
              <w:rPr>
                <w:rFonts w:eastAsia="Times New Roman" w:cs="Times New Roman"/>
                <w:color w:val="000000"/>
                <w:sz w:val="22"/>
              </w:rPr>
              <w:t>)</w:t>
            </w:r>
          </w:p>
        </w:tc>
        <w:tc>
          <w:tcPr>
            <w:tcW w:w="0" w:type="auto"/>
            <w:tcBorders>
              <w:top w:val="single" w:sz="18" w:space="0" w:color="auto"/>
            </w:tcBorders>
            <w:shd w:val="clear" w:color="auto" w:fill="auto"/>
            <w:noWrap/>
            <w:vAlign w:val="center"/>
            <w:hideMark/>
          </w:tcPr>
          <w:p w:rsidR="00F311E4" w:rsidRPr="00D62BD1" w:rsidRDefault="00F311E4" w:rsidP="002D72FB">
            <w:pPr>
              <w:jc w:val="center"/>
              <w:rPr>
                <w:rFonts w:cs="Times New Roman"/>
                <w:color w:val="000000"/>
                <w:sz w:val="22"/>
              </w:rPr>
            </w:pPr>
            <w:r>
              <w:rPr>
                <w:rFonts w:cs="Times New Roman"/>
                <w:color w:val="000000"/>
                <w:sz w:val="22"/>
              </w:rPr>
              <w:t>1.015</w:t>
            </w:r>
          </w:p>
        </w:tc>
        <w:tc>
          <w:tcPr>
            <w:tcW w:w="0" w:type="auto"/>
            <w:tcBorders>
              <w:top w:val="single" w:sz="18" w:space="0" w:color="auto"/>
            </w:tcBorders>
            <w:shd w:val="clear" w:color="auto" w:fill="auto"/>
            <w:noWrap/>
            <w:vAlign w:val="center"/>
            <w:hideMark/>
          </w:tcPr>
          <w:p w:rsidR="00F311E4" w:rsidRPr="00BF0054" w:rsidRDefault="00F311E4" w:rsidP="002D72FB">
            <w:pPr>
              <w:ind w:left="0" w:firstLine="0"/>
              <w:jc w:val="center"/>
              <w:rPr>
                <w:rFonts w:eastAsia="Times New Roman" w:cs="Times New Roman"/>
                <w:sz w:val="22"/>
              </w:rPr>
            </w:pPr>
            <w:r w:rsidRPr="00BF0054">
              <w:rPr>
                <w:rFonts w:eastAsia="Times New Roman" w:cs="Times New Roman"/>
                <w:sz w:val="22"/>
              </w:rPr>
              <w:t>1.7%</w:t>
            </w:r>
          </w:p>
        </w:tc>
      </w:tr>
      <w:tr w:rsidR="00F311E4" w:rsidRPr="00944261" w:rsidTr="002D72FB">
        <w:trPr>
          <w:trHeight w:val="576"/>
        </w:trPr>
        <w:tc>
          <w:tcPr>
            <w:tcW w:w="0" w:type="auto"/>
            <w:shd w:val="clear" w:color="auto" w:fill="auto"/>
            <w:noWrap/>
            <w:vAlign w:val="center"/>
            <w:hideMark/>
          </w:tcPr>
          <w:p w:rsidR="00F311E4" w:rsidRPr="00944261" w:rsidRDefault="00F311E4" w:rsidP="002D72FB">
            <w:pPr>
              <w:ind w:left="0" w:firstLine="0"/>
              <w:rPr>
                <w:rFonts w:eastAsia="Times New Roman" w:cs="Times New Roman"/>
                <w:b/>
                <w:bCs/>
                <w:color w:val="000000"/>
                <w:sz w:val="22"/>
              </w:rPr>
            </w:pPr>
            <w:r w:rsidRPr="00944261">
              <w:rPr>
                <w:rFonts w:eastAsia="Times New Roman" w:cs="Times New Roman"/>
                <w:b/>
                <w:bCs/>
                <w:color w:val="000000"/>
                <w:sz w:val="22"/>
              </w:rPr>
              <w:t>Moderation</w:t>
            </w:r>
          </w:p>
        </w:tc>
        <w:tc>
          <w:tcPr>
            <w:tcW w:w="0" w:type="auto"/>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r w:rsidRPr="00944261">
              <w:rPr>
                <w:rFonts w:eastAsia="Times New Roman" w:cs="Times New Roman"/>
                <w:color w:val="000000"/>
                <w:sz w:val="22"/>
              </w:rPr>
              <w:t>-0.050</w:t>
            </w:r>
            <w:r>
              <w:rPr>
                <w:rFonts w:eastAsia="Times New Roman" w:cs="Times New Roman"/>
                <w:color w:val="000000"/>
                <w:sz w:val="22"/>
              </w:rPr>
              <w:t xml:space="preserve"> (</w:t>
            </w:r>
            <w:r w:rsidRPr="00944261">
              <w:rPr>
                <w:rFonts w:eastAsia="Times New Roman" w:cs="Times New Roman"/>
                <w:color w:val="000000"/>
                <w:sz w:val="22"/>
              </w:rPr>
              <w:t>045</w:t>
            </w:r>
            <w:r>
              <w:rPr>
                <w:rFonts w:eastAsia="Times New Roman" w:cs="Times New Roman"/>
                <w:color w:val="000000"/>
                <w:sz w:val="22"/>
              </w:rPr>
              <w:t>)</w:t>
            </w:r>
          </w:p>
        </w:tc>
        <w:tc>
          <w:tcPr>
            <w:tcW w:w="0" w:type="auto"/>
            <w:shd w:val="clear" w:color="auto" w:fill="auto"/>
            <w:noWrap/>
            <w:vAlign w:val="center"/>
            <w:hideMark/>
          </w:tcPr>
          <w:p w:rsidR="00F311E4" w:rsidRPr="00D62BD1" w:rsidRDefault="00F311E4" w:rsidP="002D72FB">
            <w:pPr>
              <w:jc w:val="center"/>
              <w:rPr>
                <w:rFonts w:cs="Times New Roman"/>
                <w:color w:val="000000"/>
                <w:sz w:val="22"/>
              </w:rPr>
            </w:pPr>
            <w:r>
              <w:rPr>
                <w:rFonts w:cs="Times New Roman"/>
                <w:color w:val="000000"/>
                <w:sz w:val="22"/>
              </w:rPr>
              <w:t>0.951</w:t>
            </w:r>
          </w:p>
        </w:tc>
        <w:tc>
          <w:tcPr>
            <w:tcW w:w="0" w:type="auto"/>
            <w:shd w:val="clear" w:color="auto" w:fill="auto"/>
            <w:noWrap/>
            <w:vAlign w:val="center"/>
            <w:hideMark/>
          </w:tcPr>
          <w:p w:rsidR="00F311E4" w:rsidRPr="00BF0054" w:rsidRDefault="00F311E4" w:rsidP="002D72FB">
            <w:pPr>
              <w:ind w:left="0" w:firstLine="0"/>
              <w:jc w:val="center"/>
              <w:rPr>
                <w:rFonts w:eastAsia="Times New Roman" w:cs="Times New Roman"/>
                <w:sz w:val="22"/>
              </w:rPr>
            </w:pPr>
            <w:r w:rsidRPr="00BF0054">
              <w:rPr>
                <w:rFonts w:eastAsia="Times New Roman" w:cs="Times New Roman"/>
                <w:sz w:val="22"/>
              </w:rPr>
              <w:t>-1.1%</w:t>
            </w:r>
          </w:p>
        </w:tc>
      </w:tr>
      <w:tr w:rsidR="00F311E4" w:rsidRPr="00944261" w:rsidTr="002D72FB">
        <w:trPr>
          <w:trHeight w:val="576"/>
        </w:trPr>
        <w:tc>
          <w:tcPr>
            <w:tcW w:w="0" w:type="auto"/>
            <w:shd w:val="clear" w:color="auto" w:fill="auto"/>
            <w:noWrap/>
            <w:vAlign w:val="center"/>
            <w:hideMark/>
          </w:tcPr>
          <w:p w:rsidR="00F311E4" w:rsidRPr="00944261" w:rsidRDefault="00F311E4" w:rsidP="002D72FB">
            <w:pPr>
              <w:ind w:left="0" w:firstLine="0"/>
              <w:rPr>
                <w:rFonts w:eastAsia="Times New Roman" w:cs="Times New Roman"/>
                <w:b/>
                <w:bCs/>
                <w:color w:val="000000"/>
                <w:sz w:val="22"/>
              </w:rPr>
            </w:pPr>
            <w:r w:rsidRPr="00944261">
              <w:rPr>
                <w:rFonts w:eastAsia="Times New Roman" w:cs="Times New Roman"/>
                <w:b/>
                <w:bCs/>
                <w:color w:val="000000"/>
                <w:sz w:val="22"/>
              </w:rPr>
              <w:t>Moderation x Amicus Brief Difference</w:t>
            </w:r>
          </w:p>
        </w:tc>
        <w:tc>
          <w:tcPr>
            <w:tcW w:w="0" w:type="auto"/>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r w:rsidRPr="00944261">
              <w:rPr>
                <w:rFonts w:eastAsia="Times New Roman" w:cs="Times New Roman"/>
                <w:color w:val="000000"/>
                <w:sz w:val="22"/>
              </w:rPr>
              <w:t>0.015</w:t>
            </w:r>
            <w:r>
              <w:rPr>
                <w:rFonts w:eastAsia="Times New Roman" w:cs="Times New Roman"/>
                <w:color w:val="000000"/>
                <w:sz w:val="22"/>
              </w:rPr>
              <w:t xml:space="preserve"> (.</w:t>
            </w:r>
            <w:r w:rsidRPr="00944261">
              <w:rPr>
                <w:rFonts w:eastAsia="Times New Roman" w:cs="Times New Roman"/>
                <w:color w:val="000000"/>
                <w:sz w:val="22"/>
              </w:rPr>
              <w:t>009</w:t>
            </w:r>
            <w:r>
              <w:rPr>
                <w:rFonts w:eastAsia="Times New Roman" w:cs="Times New Roman"/>
                <w:color w:val="000000"/>
                <w:sz w:val="22"/>
              </w:rPr>
              <w:t>)</w:t>
            </w:r>
          </w:p>
        </w:tc>
        <w:tc>
          <w:tcPr>
            <w:tcW w:w="0" w:type="auto"/>
            <w:shd w:val="clear" w:color="auto" w:fill="auto"/>
            <w:noWrap/>
            <w:vAlign w:val="center"/>
            <w:hideMark/>
          </w:tcPr>
          <w:p w:rsidR="00F311E4" w:rsidRPr="00D62BD1" w:rsidRDefault="00F311E4" w:rsidP="002D72FB">
            <w:pPr>
              <w:jc w:val="center"/>
              <w:rPr>
                <w:rFonts w:cs="Times New Roman"/>
                <w:color w:val="000000"/>
                <w:sz w:val="22"/>
              </w:rPr>
            </w:pPr>
            <w:r>
              <w:rPr>
                <w:rFonts w:cs="Times New Roman"/>
                <w:color w:val="000000"/>
                <w:sz w:val="22"/>
              </w:rPr>
              <w:t>1.015</w:t>
            </w:r>
          </w:p>
        </w:tc>
        <w:tc>
          <w:tcPr>
            <w:tcW w:w="0" w:type="auto"/>
            <w:shd w:val="clear" w:color="auto" w:fill="auto"/>
            <w:noWrap/>
            <w:vAlign w:val="center"/>
            <w:hideMark/>
          </w:tcPr>
          <w:p w:rsidR="00F311E4" w:rsidRPr="00BF0054" w:rsidRDefault="00F311E4" w:rsidP="002D72FB">
            <w:pPr>
              <w:ind w:left="0" w:firstLine="0"/>
              <w:jc w:val="center"/>
              <w:rPr>
                <w:rFonts w:eastAsia="Times New Roman" w:cs="Times New Roman"/>
                <w:sz w:val="22"/>
              </w:rPr>
            </w:pPr>
            <w:r w:rsidRPr="00BF0054">
              <w:rPr>
                <w:rFonts w:eastAsia="Times New Roman" w:cs="Times New Roman"/>
                <w:sz w:val="22"/>
              </w:rPr>
              <w:t>See Figure 5.1</w:t>
            </w:r>
          </w:p>
        </w:tc>
      </w:tr>
      <w:tr w:rsidR="00F311E4" w:rsidRPr="00944261" w:rsidTr="002D72FB">
        <w:trPr>
          <w:trHeight w:val="576"/>
        </w:trPr>
        <w:tc>
          <w:tcPr>
            <w:tcW w:w="0" w:type="auto"/>
            <w:shd w:val="clear" w:color="auto" w:fill="auto"/>
            <w:noWrap/>
            <w:vAlign w:val="center"/>
            <w:hideMark/>
          </w:tcPr>
          <w:p w:rsidR="00F311E4" w:rsidRPr="00944261" w:rsidRDefault="00F311E4" w:rsidP="002D72FB">
            <w:pPr>
              <w:ind w:left="0" w:firstLine="0"/>
              <w:rPr>
                <w:rFonts w:eastAsia="Times New Roman" w:cs="Times New Roman"/>
                <w:b/>
                <w:bCs/>
                <w:color w:val="000000"/>
                <w:sz w:val="22"/>
              </w:rPr>
            </w:pPr>
            <w:r w:rsidRPr="00944261">
              <w:rPr>
                <w:rFonts w:eastAsia="Times New Roman" w:cs="Times New Roman"/>
                <w:b/>
                <w:bCs/>
                <w:color w:val="000000"/>
                <w:sz w:val="22"/>
              </w:rPr>
              <w:t>Ideology</w:t>
            </w:r>
          </w:p>
        </w:tc>
        <w:tc>
          <w:tcPr>
            <w:tcW w:w="0" w:type="auto"/>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r w:rsidRPr="00944261">
              <w:rPr>
                <w:rFonts w:eastAsia="Times New Roman" w:cs="Times New Roman"/>
                <w:color w:val="000000"/>
                <w:sz w:val="22"/>
              </w:rPr>
              <w:t>1.987</w:t>
            </w:r>
            <w:r>
              <w:rPr>
                <w:rFonts w:eastAsia="Times New Roman" w:cs="Times New Roman"/>
                <w:color w:val="000000"/>
                <w:sz w:val="22"/>
              </w:rPr>
              <w:t xml:space="preserve"> (</w:t>
            </w:r>
            <w:r w:rsidRPr="00944261">
              <w:rPr>
                <w:rFonts w:eastAsia="Times New Roman" w:cs="Times New Roman"/>
                <w:color w:val="000000"/>
                <w:sz w:val="22"/>
              </w:rPr>
              <w:t>0.166</w:t>
            </w:r>
            <w:r>
              <w:rPr>
                <w:rFonts w:eastAsia="Times New Roman" w:cs="Times New Roman"/>
                <w:color w:val="000000"/>
                <w:sz w:val="22"/>
              </w:rPr>
              <w:t>)****</w:t>
            </w:r>
          </w:p>
        </w:tc>
        <w:tc>
          <w:tcPr>
            <w:tcW w:w="0" w:type="auto"/>
            <w:shd w:val="clear" w:color="auto" w:fill="auto"/>
            <w:noWrap/>
            <w:vAlign w:val="center"/>
            <w:hideMark/>
          </w:tcPr>
          <w:p w:rsidR="00F311E4" w:rsidRPr="00D62BD1" w:rsidRDefault="00F311E4" w:rsidP="002D72FB">
            <w:pPr>
              <w:jc w:val="center"/>
              <w:rPr>
                <w:rFonts w:cs="Times New Roman"/>
                <w:color w:val="000000"/>
                <w:sz w:val="22"/>
              </w:rPr>
            </w:pPr>
            <w:r>
              <w:rPr>
                <w:rFonts w:cs="Times New Roman"/>
                <w:color w:val="000000"/>
                <w:sz w:val="22"/>
              </w:rPr>
              <w:t>7.295</w:t>
            </w:r>
          </w:p>
        </w:tc>
        <w:tc>
          <w:tcPr>
            <w:tcW w:w="0" w:type="auto"/>
            <w:shd w:val="clear" w:color="auto" w:fill="auto"/>
            <w:noWrap/>
            <w:vAlign w:val="center"/>
            <w:hideMark/>
          </w:tcPr>
          <w:p w:rsidR="00F311E4" w:rsidRPr="00BF0054" w:rsidRDefault="00F311E4" w:rsidP="002D72FB">
            <w:pPr>
              <w:ind w:left="0" w:firstLine="0"/>
              <w:jc w:val="center"/>
              <w:rPr>
                <w:rFonts w:eastAsia="Times New Roman" w:cs="Times New Roman"/>
                <w:sz w:val="22"/>
              </w:rPr>
            </w:pPr>
            <w:r w:rsidRPr="00BF0054">
              <w:rPr>
                <w:rFonts w:eastAsia="Times New Roman" w:cs="Times New Roman"/>
                <w:sz w:val="22"/>
              </w:rPr>
              <w:t>11.8%</w:t>
            </w:r>
          </w:p>
        </w:tc>
      </w:tr>
      <w:tr w:rsidR="00F311E4" w:rsidRPr="00944261" w:rsidTr="002D72FB">
        <w:trPr>
          <w:trHeight w:val="576"/>
        </w:trPr>
        <w:tc>
          <w:tcPr>
            <w:tcW w:w="0" w:type="auto"/>
            <w:shd w:val="clear" w:color="auto" w:fill="auto"/>
            <w:noWrap/>
            <w:vAlign w:val="center"/>
            <w:hideMark/>
          </w:tcPr>
          <w:p w:rsidR="00F311E4" w:rsidRPr="00944261" w:rsidRDefault="00F311E4" w:rsidP="002D72FB">
            <w:pPr>
              <w:ind w:left="0" w:firstLine="0"/>
              <w:rPr>
                <w:rFonts w:eastAsia="Times New Roman" w:cs="Times New Roman"/>
                <w:b/>
                <w:bCs/>
                <w:color w:val="000000"/>
                <w:sz w:val="22"/>
              </w:rPr>
            </w:pPr>
            <w:r w:rsidRPr="00944261">
              <w:rPr>
                <w:rFonts w:eastAsia="Times New Roman" w:cs="Times New Roman"/>
                <w:b/>
                <w:bCs/>
                <w:color w:val="000000"/>
                <w:sz w:val="22"/>
              </w:rPr>
              <w:t>Amicus Cosigner Difference</w:t>
            </w:r>
          </w:p>
        </w:tc>
        <w:tc>
          <w:tcPr>
            <w:tcW w:w="0" w:type="auto"/>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r w:rsidRPr="00944261">
              <w:rPr>
                <w:rFonts w:eastAsia="Times New Roman" w:cs="Times New Roman"/>
                <w:color w:val="000000"/>
                <w:sz w:val="22"/>
              </w:rPr>
              <w:t>-0.001</w:t>
            </w:r>
            <w:r>
              <w:rPr>
                <w:rFonts w:eastAsia="Times New Roman" w:cs="Times New Roman"/>
                <w:color w:val="000000"/>
                <w:sz w:val="22"/>
              </w:rPr>
              <w:t>(</w:t>
            </w:r>
            <w:r w:rsidRPr="00944261">
              <w:rPr>
                <w:rFonts w:eastAsia="Times New Roman" w:cs="Times New Roman"/>
                <w:color w:val="000000"/>
                <w:sz w:val="22"/>
              </w:rPr>
              <w:t>0.000</w:t>
            </w:r>
            <w:r>
              <w:rPr>
                <w:rFonts w:eastAsia="Times New Roman" w:cs="Times New Roman"/>
                <w:color w:val="000000"/>
                <w:sz w:val="22"/>
              </w:rPr>
              <w:t>)</w:t>
            </w:r>
          </w:p>
        </w:tc>
        <w:tc>
          <w:tcPr>
            <w:tcW w:w="0" w:type="auto"/>
            <w:shd w:val="clear" w:color="auto" w:fill="auto"/>
            <w:noWrap/>
            <w:vAlign w:val="center"/>
            <w:hideMark/>
          </w:tcPr>
          <w:p w:rsidR="00F311E4" w:rsidRPr="00D62BD1" w:rsidRDefault="00F311E4" w:rsidP="002D72FB">
            <w:pPr>
              <w:jc w:val="center"/>
              <w:rPr>
                <w:rFonts w:cs="Times New Roman"/>
                <w:color w:val="000000"/>
                <w:sz w:val="22"/>
              </w:rPr>
            </w:pPr>
            <w:r>
              <w:rPr>
                <w:rFonts w:cs="Times New Roman"/>
                <w:color w:val="000000"/>
                <w:sz w:val="22"/>
              </w:rPr>
              <w:t>0.999</w:t>
            </w:r>
          </w:p>
        </w:tc>
        <w:tc>
          <w:tcPr>
            <w:tcW w:w="0" w:type="auto"/>
            <w:shd w:val="clear" w:color="auto" w:fill="auto"/>
            <w:noWrap/>
            <w:vAlign w:val="center"/>
            <w:hideMark/>
          </w:tcPr>
          <w:p w:rsidR="00F311E4" w:rsidRPr="00BF0054" w:rsidRDefault="00F311E4" w:rsidP="002D72FB">
            <w:pPr>
              <w:ind w:left="0" w:firstLine="0"/>
              <w:jc w:val="center"/>
              <w:rPr>
                <w:rFonts w:eastAsia="Times New Roman" w:cs="Times New Roman"/>
                <w:sz w:val="22"/>
              </w:rPr>
            </w:pPr>
            <w:r w:rsidRPr="00BF0054">
              <w:rPr>
                <w:rFonts w:eastAsia="Times New Roman" w:cs="Times New Roman"/>
                <w:sz w:val="22"/>
              </w:rPr>
              <w:t>-1.2%</w:t>
            </w:r>
          </w:p>
        </w:tc>
      </w:tr>
      <w:tr w:rsidR="00F311E4" w:rsidRPr="00944261" w:rsidTr="002D72FB">
        <w:trPr>
          <w:trHeight w:val="576"/>
        </w:trPr>
        <w:tc>
          <w:tcPr>
            <w:tcW w:w="0" w:type="auto"/>
            <w:shd w:val="clear" w:color="auto" w:fill="auto"/>
            <w:noWrap/>
            <w:vAlign w:val="center"/>
            <w:hideMark/>
          </w:tcPr>
          <w:p w:rsidR="00F311E4" w:rsidRPr="00944261" w:rsidRDefault="00F311E4" w:rsidP="002D72FB">
            <w:pPr>
              <w:ind w:left="0" w:firstLine="0"/>
              <w:rPr>
                <w:rFonts w:eastAsia="Times New Roman" w:cs="Times New Roman"/>
                <w:b/>
                <w:bCs/>
                <w:color w:val="000000"/>
                <w:sz w:val="22"/>
              </w:rPr>
            </w:pPr>
            <w:r w:rsidRPr="00944261">
              <w:rPr>
                <w:rFonts w:eastAsia="Times New Roman" w:cs="Times New Roman"/>
                <w:b/>
                <w:bCs/>
                <w:color w:val="000000"/>
                <w:sz w:val="22"/>
              </w:rPr>
              <w:t>SG Lib Amicus Brief</w:t>
            </w:r>
          </w:p>
        </w:tc>
        <w:tc>
          <w:tcPr>
            <w:tcW w:w="0" w:type="auto"/>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r w:rsidRPr="00944261">
              <w:rPr>
                <w:rFonts w:eastAsia="Times New Roman" w:cs="Times New Roman"/>
                <w:color w:val="000000"/>
                <w:sz w:val="22"/>
              </w:rPr>
              <w:t>0.620</w:t>
            </w:r>
            <w:r>
              <w:rPr>
                <w:rFonts w:eastAsia="Times New Roman" w:cs="Times New Roman"/>
                <w:color w:val="000000"/>
                <w:sz w:val="22"/>
              </w:rPr>
              <w:t xml:space="preserve"> (</w:t>
            </w:r>
            <w:r w:rsidRPr="00944261">
              <w:rPr>
                <w:rFonts w:eastAsia="Times New Roman" w:cs="Times New Roman"/>
                <w:color w:val="000000"/>
                <w:sz w:val="22"/>
              </w:rPr>
              <w:t>0.108</w:t>
            </w:r>
            <w:r>
              <w:rPr>
                <w:rFonts w:eastAsia="Times New Roman" w:cs="Times New Roman"/>
                <w:color w:val="000000"/>
                <w:sz w:val="22"/>
              </w:rPr>
              <w:t>)****</w:t>
            </w:r>
          </w:p>
        </w:tc>
        <w:tc>
          <w:tcPr>
            <w:tcW w:w="0" w:type="auto"/>
            <w:shd w:val="clear" w:color="auto" w:fill="auto"/>
            <w:noWrap/>
            <w:vAlign w:val="center"/>
            <w:hideMark/>
          </w:tcPr>
          <w:p w:rsidR="00F311E4" w:rsidRPr="00D62BD1" w:rsidRDefault="00F311E4" w:rsidP="002D72FB">
            <w:pPr>
              <w:jc w:val="center"/>
              <w:rPr>
                <w:rFonts w:cs="Times New Roman"/>
                <w:color w:val="000000"/>
                <w:sz w:val="22"/>
              </w:rPr>
            </w:pPr>
            <w:r>
              <w:rPr>
                <w:rFonts w:cs="Times New Roman"/>
                <w:color w:val="000000"/>
                <w:sz w:val="22"/>
              </w:rPr>
              <w:t>1.860</w:t>
            </w:r>
          </w:p>
        </w:tc>
        <w:tc>
          <w:tcPr>
            <w:tcW w:w="0" w:type="auto"/>
            <w:shd w:val="clear" w:color="auto" w:fill="auto"/>
            <w:noWrap/>
            <w:vAlign w:val="center"/>
            <w:hideMark/>
          </w:tcPr>
          <w:p w:rsidR="00F311E4" w:rsidRPr="00BF0054" w:rsidRDefault="00F311E4" w:rsidP="002D72FB">
            <w:pPr>
              <w:ind w:left="0" w:firstLine="0"/>
              <w:jc w:val="center"/>
              <w:rPr>
                <w:rFonts w:eastAsia="Times New Roman" w:cs="Times New Roman"/>
                <w:sz w:val="22"/>
              </w:rPr>
            </w:pPr>
            <w:r w:rsidRPr="00BF0054">
              <w:rPr>
                <w:rFonts w:eastAsia="Times New Roman" w:cs="Times New Roman"/>
                <w:sz w:val="22"/>
              </w:rPr>
              <w:t>15.3%</w:t>
            </w:r>
          </w:p>
        </w:tc>
      </w:tr>
      <w:tr w:rsidR="00F311E4" w:rsidRPr="00944261" w:rsidTr="002D72FB">
        <w:trPr>
          <w:trHeight w:val="576"/>
        </w:trPr>
        <w:tc>
          <w:tcPr>
            <w:tcW w:w="0" w:type="auto"/>
            <w:shd w:val="clear" w:color="auto" w:fill="auto"/>
            <w:noWrap/>
            <w:vAlign w:val="center"/>
            <w:hideMark/>
          </w:tcPr>
          <w:p w:rsidR="00F311E4" w:rsidRPr="00944261" w:rsidRDefault="00F311E4" w:rsidP="002D72FB">
            <w:pPr>
              <w:ind w:left="0" w:firstLine="0"/>
              <w:rPr>
                <w:rFonts w:eastAsia="Times New Roman" w:cs="Times New Roman"/>
                <w:b/>
                <w:bCs/>
                <w:color w:val="000000"/>
                <w:sz w:val="22"/>
              </w:rPr>
            </w:pPr>
            <w:r w:rsidRPr="00944261">
              <w:rPr>
                <w:rFonts w:eastAsia="Times New Roman" w:cs="Times New Roman"/>
                <w:b/>
                <w:bCs/>
                <w:color w:val="000000"/>
                <w:sz w:val="22"/>
              </w:rPr>
              <w:t>SG Con Amicus Brief</w:t>
            </w:r>
          </w:p>
        </w:tc>
        <w:tc>
          <w:tcPr>
            <w:tcW w:w="0" w:type="auto"/>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r w:rsidRPr="00944261">
              <w:rPr>
                <w:rFonts w:eastAsia="Times New Roman" w:cs="Times New Roman"/>
                <w:color w:val="000000"/>
                <w:sz w:val="22"/>
              </w:rPr>
              <w:t>-0.760</w:t>
            </w:r>
            <w:r>
              <w:rPr>
                <w:rFonts w:eastAsia="Times New Roman" w:cs="Times New Roman"/>
                <w:color w:val="000000"/>
                <w:sz w:val="22"/>
              </w:rPr>
              <w:t xml:space="preserve"> (</w:t>
            </w:r>
            <w:r w:rsidRPr="00944261">
              <w:rPr>
                <w:rFonts w:eastAsia="Times New Roman" w:cs="Times New Roman"/>
                <w:color w:val="000000"/>
                <w:sz w:val="22"/>
              </w:rPr>
              <w:t>0.105</w:t>
            </w:r>
            <w:r>
              <w:rPr>
                <w:rFonts w:eastAsia="Times New Roman" w:cs="Times New Roman"/>
                <w:color w:val="000000"/>
                <w:sz w:val="22"/>
              </w:rPr>
              <w:t>)****</w:t>
            </w:r>
          </w:p>
        </w:tc>
        <w:tc>
          <w:tcPr>
            <w:tcW w:w="0" w:type="auto"/>
            <w:shd w:val="clear" w:color="auto" w:fill="auto"/>
            <w:noWrap/>
            <w:vAlign w:val="center"/>
            <w:hideMark/>
          </w:tcPr>
          <w:p w:rsidR="00F311E4" w:rsidRPr="00D62BD1" w:rsidRDefault="00F311E4" w:rsidP="002D72FB">
            <w:pPr>
              <w:jc w:val="center"/>
              <w:rPr>
                <w:rFonts w:cs="Times New Roman"/>
                <w:color w:val="000000"/>
                <w:sz w:val="22"/>
              </w:rPr>
            </w:pPr>
            <w:r>
              <w:rPr>
                <w:rFonts w:cs="Times New Roman"/>
                <w:color w:val="000000"/>
                <w:sz w:val="22"/>
              </w:rPr>
              <w:t>0.468</w:t>
            </w:r>
          </w:p>
        </w:tc>
        <w:tc>
          <w:tcPr>
            <w:tcW w:w="0" w:type="auto"/>
            <w:shd w:val="clear" w:color="auto" w:fill="auto"/>
            <w:noWrap/>
            <w:vAlign w:val="center"/>
            <w:hideMark/>
          </w:tcPr>
          <w:p w:rsidR="00F311E4" w:rsidRPr="00BF0054" w:rsidRDefault="00F311E4" w:rsidP="002D72FB">
            <w:pPr>
              <w:ind w:left="0" w:firstLine="0"/>
              <w:jc w:val="center"/>
              <w:rPr>
                <w:rFonts w:eastAsia="Times New Roman" w:cs="Times New Roman"/>
                <w:sz w:val="22"/>
              </w:rPr>
            </w:pPr>
            <w:r w:rsidRPr="00BF0054">
              <w:rPr>
                <w:rFonts w:eastAsia="Times New Roman" w:cs="Times New Roman"/>
                <w:sz w:val="22"/>
              </w:rPr>
              <w:t>-16.1%</w:t>
            </w:r>
          </w:p>
        </w:tc>
      </w:tr>
      <w:tr w:rsidR="00F311E4" w:rsidRPr="00944261" w:rsidTr="002D72FB">
        <w:trPr>
          <w:trHeight w:val="576"/>
        </w:trPr>
        <w:tc>
          <w:tcPr>
            <w:tcW w:w="0" w:type="auto"/>
            <w:shd w:val="clear" w:color="auto" w:fill="auto"/>
            <w:noWrap/>
            <w:vAlign w:val="center"/>
            <w:hideMark/>
          </w:tcPr>
          <w:p w:rsidR="00F311E4" w:rsidRPr="00944261" w:rsidRDefault="00F311E4" w:rsidP="002D72FB">
            <w:pPr>
              <w:ind w:left="0" w:firstLine="0"/>
              <w:rPr>
                <w:rFonts w:eastAsia="Times New Roman" w:cs="Times New Roman"/>
                <w:b/>
                <w:bCs/>
                <w:color w:val="000000"/>
                <w:sz w:val="22"/>
              </w:rPr>
            </w:pPr>
            <w:r w:rsidRPr="00944261">
              <w:rPr>
                <w:rFonts w:eastAsia="Times New Roman" w:cs="Times New Roman"/>
                <w:b/>
                <w:bCs/>
                <w:color w:val="000000"/>
                <w:sz w:val="22"/>
              </w:rPr>
              <w:t>Prestigious Amicus Difference</w:t>
            </w:r>
          </w:p>
        </w:tc>
        <w:tc>
          <w:tcPr>
            <w:tcW w:w="0" w:type="auto"/>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r w:rsidRPr="00944261">
              <w:rPr>
                <w:rFonts w:eastAsia="Times New Roman" w:cs="Times New Roman"/>
                <w:color w:val="000000"/>
                <w:sz w:val="22"/>
              </w:rPr>
              <w:t>0.063</w:t>
            </w:r>
            <w:r>
              <w:rPr>
                <w:rFonts w:eastAsia="Times New Roman" w:cs="Times New Roman"/>
                <w:color w:val="000000"/>
                <w:sz w:val="22"/>
              </w:rPr>
              <w:t xml:space="preserve"> (</w:t>
            </w:r>
            <w:r w:rsidRPr="00944261">
              <w:rPr>
                <w:rFonts w:eastAsia="Times New Roman" w:cs="Times New Roman"/>
                <w:color w:val="000000"/>
                <w:sz w:val="22"/>
              </w:rPr>
              <w:t>0.034</w:t>
            </w:r>
            <w:r>
              <w:rPr>
                <w:rFonts w:eastAsia="Times New Roman" w:cs="Times New Roman"/>
                <w:color w:val="000000"/>
                <w:sz w:val="22"/>
              </w:rPr>
              <w:t>)*</w:t>
            </w:r>
          </w:p>
        </w:tc>
        <w:tc>
          <w:tcPr>
            <w:tcW w:w="0" w:type="auto"/>
            <w:shd w:val="clear" w:color="auto" w:fill="auto"/>
            <w:noWrap/>
            <w:vAlign w:val="center"/>
            <w:hideMark/>
          </w:tcPr>
          <w:p w:rsidR="00F311E4" w:rsidRPr="00D62BD1" w:rsidRDefault="00F311E4" w:rsidP="002D72FB">
            <w:pPr>
              <w:jc w:val="center"/>
              <w:rPr>
                <w:rFonts w:cs="Times New Roman"/>
                <w:color w:val="000000"/>
                <w:sz w:val="22"/>
              </w:rPr>
            </w:pPr>
            <w:r>
              <w:rPr>
                <w:rFonts w:cs="Times New Roman"/>
                <w:color w:val="000000"/>
                <w:sz w:val="22"/>
              </w:rPr>
              <w:t>1.066</w:t>
            </w:r>
          </w:p>
        </w:tc>
        <w:tc>
          <w:tcPr>
            <w:tcW w:w="0" w:type="auto"/>
            <w:shd w:val="clear" w:color="auto" w:fill="auto"/>
            <w:noWrap/>
            <w:vAlign w:val="center"/>
            <w:hideMark/>
          </w:tcPr>
          <w:p w:rsidR="00F311E4" w:rsidRPr="00BF0054" w:rsidRDefault="00F311E4" w:rsidP="002D72FB">
            <w:pPr>
              <w:ind w:left="0" w:firstLine="0"/>
              <w:jc w:val="center"/>
              <w:rPr>
                <w:rFonts w:eastAsia="Times New Roman" w:cs="Times New Roman"/>
                <w:sz w:val="22"/>
              </w:rPr>
            </w:pPr>
            <w:r w:rsidRPr="00BF0054">
              <w:rPr>
                <w:rFonts w:eastAsia="Times New Roman" w:cs="Times New Roman"/>
                <w:sz w:val="22"/>
              </w:rPr>
              <w:t>1.9%</w:t>
            </w:r>
          </w:p>
        </w:tc>
      </w:tr>
      <w:tr w:rsidR="00F311E4" w:rsidRPr="00944261" w:rsidTr="002D72FB">
        <w:trPr>
          <w:trHeight w:val="576"/>
        </w:trPr>
        <w:tc>
          <w:tcPr>
            <w:tcW w:w="0" w:type="auto"/>
            <w:shd w:val="clear" w:color="auto" w:fill="auto"/>
            <w:noWrap/>
            <w:vAlign w:val="center"/>
            <w:hideMark/>
          </w:tcPr>
          <w:p w:rsidR="00F311E4" w:rsidRPr="00944261" w:rsidRDefault="00F311E4" w:rsidP="002D72FB">
            <w:pPr>
              <w:ind w:left="0" w:firstLine="0"/>
              <w:rPr>
                <w:rFonts w:eastAsia="Times New Roman" w:cs="Times New Roman"/>
                <w:b/>
                <w:bCs/>
                <w:color w:val="000000"/>
                <w:sz w:val="22"/>
              </w:rPr>
            </w:pPr>
            <w:r w:rsidRPr="00944261">
              <w:rPr>
                <w:rFonts w:eastAsia="Times New Roman" w:cs="Times New Roman"/>
                <w:b/>
                <w:bCs/>
                <w:color w:val="000000"/>
                <w:sz w:val="22"/>
              </w:rPr>
              <w:t>Lower Court Direction</w:t>
            </w:r>
          </w:p>
        </w:tc>
        <w:tc>
          <w:tcPr>
            <w:tcW w:w="0" w:type="auto"/>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r w:rsidRPr="00944261">
              <w:rPr>
                <w:rFonts w:eastAsia="Times New Roman" w:cs="Times New Roman"/>
                <w:color w:val="000000"/>
                <w:sz w:val="22"/>
              </w:rPr>
              <w:t>-0.750</w:t>
            </w:r>
            <w:r>
              <w:rPr>
                <w:rFonts w:eastAsia="Times New Roman" w:cs="Times New Roman"/>
                <w:color w:val="000000"/>
                <w:sz w:val="22"/>
              </w:rPr>
              <w:t xml:space="preserve"> (</w:t>
            </w:r>
            <w:r w:rsidRPr="00944261">
              <w:rPr>
                <w:rFonts w:eastAsia="Times New Roman" w:cs="Times New Roman"/>
                <w:color w:val="000000"/>
                <w:sz w:val="22"/>
              </w:rPr>
              <w:t>0.076</w:t>
            </w:r>
            <w:r>
              <w:rPr>
                <w:rFonts w:eastAsia="Times New Roman" w:cs="Times New Roman"/>
                <w:color w:val="000000"/>
                <w:sz w:val="22"/>
              </w:rPr>
              <w:t>)****</w:t>
            </w:r>
          </w:p>
        </w:tc>
        <w:tc>
          <w:tcPr>
            <w:tcW w:w="0" w:type="auto"/>
            <w:shd w:val="clear" w:color="auto" w:fill="auto"/>
            <w:noWrap/>
            <w:vAlign w:val="center"/>
            <w:hideMark/>
          </w:tcPr>
          <w:p w:rsidR="00F311E4" w:rsidRPr="00D62BD1" w:rsidRDefault="00F311E4" w:rsidP="002D72FB">
            <w:pPr>
              <w:jc w:val="center"/>
              <w:rPr>
                <w:rFonts w:cs="Times New Roman"/>
                <w:color w:val="000000"/>
                <w:sz w:val="22"/>
              </w:rPr>
            </w:pPr>
            <w:r>
              <w:rPr>
                <w:rFonts w:cs="Times New Roman"/>
                <w:color w:val="000000"/>
                <w:sz w:val="22"/>
              </w:rPr>
              <w:t>0.472</w:t>
            </w:r>
          </w:p>
        </w:tc>
        <w:tc>
          <w:tcPr>
            <w:tcW w:w="0" w:type="auto"/>
            <w:shd w:val="clear" w:color="auto" w:fill="auto"/>
            <w:noWrap/>
            <w:vAlign w:val="center"/>
            <w:hideMark/>
          </w:tcPr>
          <w:p w:rsidR="00F311E4" w:rsidRPr="00BF0054" w:rsidRDefault="00F311E4" w:rsidP="002D72FB">
            <w:pPr>
              <w:ind w:left="0" w:firstLine="0"/>
              <w:jc w:val="center"/>
              <w:rPr>
                <w:rFonts w:eastAsia="Times New Roman" w:cs="Times New Roman"/>
                <w:sz w:val="22"/>
              </w:rPr>
            </w:pPr>
            <w:r w:rsidRPr="00BF0054">
              <w:rPr>
                <w:rFonts w:eastAsia="Times New Roman" w:cs="Times New Roman"/>
                <w:sz w:val="22"/>
              </w:rPr>
              <w:t>-18.5%</w:t>
            </w:r>
          </w:p>
        </w:tc>
      </w:tr>
      <w:tr w:rsidR="00F311E4" w:rsidRPr="00944261" w:rsidTr="002D72FB">
        <w:trPr>
          <w:trHeight w:val="576"/>
        </w:trPr>
        <w:tc>
          <w:tcPr>
            <w:tcW w:w="0" w:type="auto"/>
            <w:shd w:val="clear" w:color="auto" w:fill="auto"/>
            <w:noWrap/>
            <w:vAlign w:val="center"/>
            <w:hideMark/>
          </w:tcPr>
          <w:p w:rsidR="00F311E4" w:rsidRPr="00944261" w:rsidRDefault="00F311E4" w:rsidP="002D72FB">
            <w:pPr>
              <w:ind w:left="0" w:firstLine="0"/>
              <w:rPr>
                <w:rFonts w:eastAsia="Times New Roman" w:cs="Times New Roman"/>
                <w:b/>
                <w:bCs/>
                <w:color w:val="000000"/>
                <w:sz w:val="22"/>
              </w:rPr>
            </w:pPr>
            <w:r w:rsidRPr="00944261">
              <w:rPr>
                <w:rFonts w:eastAsia="Times New Roman" w:cs="Times New Roman"/>
                <w:b/>
                <w:bCs/>
                <w:color w:val="000000"/>
                <w:sz w:val="22"/>
              </w:rPr>
              <w:t>Resource Difference</w:t>
            </w:r>
          </w:p>
        </w:tc>
        <w:tc>
          <w:tcPr>
            <w:tcW w:w="0" w:type="auto"/>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r w:rsidRPr="00944261">
              <w:rPr>
                <w:rFonts w:eastAsia="Times New Roman" w:cs="Times New Roman"/>
                <w:color w:val="000000"/>
                <w:sz w:val="22"/>
              </w:rPr>
              <w:t>0.057</w:t>
            </w:r>
            <w:r>
              <w:rPr>
                <w:rFonts w:eastAsia="Times New Roman" w:cs="Times New Roman"/>
                <w:color w:val="000000"/>
                <w:sz w:val="22"/>
              </w:rPr>
              <w:t xml:space="preserve"> (</w:t>
            </w:r>
            <w:r w:rsidRPr="00944261">
              <w:rPr>
                <w:rFonts w:eastAsia="Times New Roman" w:cs="Times New Roman"/>
                <w:color w:val="000000"/>
                <w:sz w:val="22"/>
              </w:rPr>
              <w:t>0.009</w:t>
            </w:r>
            <w:r>
              <w:rPr>
                <w:rFonts w:eastAsia="Times New Roman" w:cs="Times New Roman"/>
                <w:color w:val="000000"/>
                <w:sz w:val="22"/>
              </w:rPr>
              <w:t>)****</w:t>
            </w:r>
          </w:p>
        </w:tc>
        <w:tc>
          <w:tcPr>
            <w:tcW w:w="0" w:type="auto"/>
            <w:shd w:val="clear" w:color="auto" w:fill="auto"/>
            <w:noWrap/>
            <w:vAlign w:val="center"/>
            <w:hideMark/>
          </w:tcPr>
          <w:p w:rsidR="00F311E4" w:rsidRPr="00D62BD1" w:rsidRDefault="00F311E4" w:rsidP="002D72FB">
            <w:pPr>
              <w:jc w:val="center"/>
              <w:rPr>
                <w:rFonts w:cs="Times New Roman"/>
                <w:color w:val="000000"/>
                <w:sz w:val="22"/>
              </w:rPr>
            </w:pPr>
            <w:r>
              <w:rPr>
                <w:rFonts w:cs="Times New Roman"/>
                <w:color w:val="000000"/>
                <w:sz w:val="22"/>
              </w:rPr>
              <w:t>1.059</w:t>
            </w:r>
          </w:p>
        </w:tc>
        <w:tc>
          <w:tcPr>
            <w:tcW w:w="0" w:type="auto"/>
            <w:shd w:val="clear" w:color="auto" w:fill="auto"/>
            <w:noWrap/>
            <w:vAlign w:val="center"/>
            <w:hideMark/>
          </w:tcPr>
          <w:p w:rsidR="00F311E4" w:rsidRPr="00BF0054" w:rsidRDefault="00F311E4" w:rsidP="002D72FB">
            <w:pPr>
              <w:ind w:left="0" w:firstLine="0"/>
              <w:jc w:val="center"/>
              <w:rPr>
                <w:rFonts w:eastAsia="Times New Roman" w:cs="Times New Roman"/>
                <w:sz w:val="22"/>
              </w:rPr>
            </w:pPr>
            <w:r w:rsidRPr="00BF0054">
              <w:rPr>
                <w:rFonts w:eastAsia="Times New Roman" w:cs="Times New Roman"/>
                <w:sz w:val="22"/>
              </w:rPr>
              <w:t>6.5%</w:t>
            </w:r>
          </w:p>
        </w:tc>
      </w:tr>
      <w:tr w:rsidR="00F311E4" w:rsidRPr="00944261" w:rsidTr="002D72FB">
        <w:trPr>
          <w:trHeight w:val="576"/>
        </w:trPr>
        <w:tc>
          <w:tcPr>
            <w:tcW w:w="0" w:type="auto"/>
            <w:tcBorders>
              <w:bottom w:val="single" w:sz="18" w:space="0" w:color="auto"/>
            </w:tcBorders>
            <w:shd w:val="clear" w:color="auto" w:fill="auto"/>
            <w:noWrap/>
            <w:vAlign w:val="center"/>
            <w:hideMark/>
          </w:tcPr>
          <w:p w:rsidR="00F311E4" w:rsidRPr="00944261" w:rsidRDefault="00F311E4" w:rsidP="002D72FB">
            <w:pPr>
              <w:ind w:left="0" w:firstLine="0"/>
              <w:rPr>
                <w:rFonts w:eastAsia="Times New Roman" w:cs="Times New Roman"/>
                <w:b/>
                <w:bCs/>
                <w:color w:val="000000"/>
                <w:sz w:val="22"/>
              </w:rPr>
            </w:pPr>
            <w:r w:rsidRPr="00944261">
              <w:rPr>
                <w:rFonts w:eastAsia="Times New Roman" w:cs="Times New Roman"/>
                <w:b/>
                <w:bCs/>
                <w:color w:val="000000"/>
                <w:sz w:val="22"/>
              </w:rPr>
              <w:t>Constant</w:t>
            </w:r>
          </w:p>
        </w:tc>
        <w:tc>
          <w:tcPr>
            <w:tcW w:w="0" w:type="auto"/>
            <w:tcBorders>
              <w:bottom w:val="single" w:sz="18" w:space="0" w:color="auto"/>
            </w:tcBorders>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r w:rsidRPr="00944261">
              <w:rPr>
                <w:rFonts w:eastAsia="Times New Roman" w:cs="Times New Roman"/>
                <w:color w:val="000000"/>
                <w:sz w:val="22"/>
              </w:rPr>
              <w:t>-0.033</w:t>
            </w:r>
            <w:r>
              <w:rPr>
                <w:rFonts w:eastAsia="Times New Roman" w:cs="Times New Roman"/>
                <w:color w:val="000000"/>
                <w:sz w:val="22"/>
              </w:rPr>
              <w:t xml:space="preserve"> (</w:t>
            </w:r>
            <w:r w:rsidRPr="00944261">
              <w:rPr>
                <w:rFonts w:eastAsia="Times New Roman" w:cs="Times New Roman"/>
                <w:color w:val="000000"/>
                <w:sz w:val="22"/>
              </w:rPr>
              <w:t>0.128</w:t>
            </w:r>
            <w:r>
              <w:rPr>
                <w:rFonts w:eastAsia="Times New Roman" w:cs="Times New Roman"/>
                <w:color w:val="000000"/>
                <w:sz w:val="22"/>
              </w:rPr>
              <w:t>)</w:t>
            </w:r>
          </w:p>
        </w:tc>
        <w:tc>
          <w:tcPr>
            <w:tcW w:w="0" w:type="auto"/>
            <w:tcBorders>
              <w:bottom w:val="single" w:sz="18" w:space="0" w:color="auto"/>
            </w:tcBorders>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p>
        </w:tc>
        <w:tc>
          <w:tcPr>
            <w:tcW w:w="0" w:type="auto"/>
            <w:tcBorders>
              <w:bottom w:val="single" w:sz="18" w:space="0" w:color="auto"/>
            </w:tcBorders>
            <w:shd w:val="clear" w:color="auto" w:fill="auto"/>
            <w:noWrap/>
            <w:vAlign w:val="center"/>
            <w:hideMark/>
          </w:tcPr>
          <w:p w:rsidR="00F311E4" w:rsidRPr="00D62BD1" w:rsidRDefault="00F311E4" w:rsidP="002D72FB">
            <w:pPr>
              <w:ind w:left="0" w:firstLine="0"/>
              <w:jc w:val="center"/>
              <w:rPr>
                <w:rFonts w:eastAsia="Times New Roman" w:cs="Times New Roman"/>
                <w:color w:val="00B050"/>
                <w:sz w:val="22"/>
              </w:rPr>
            </w:pPr>
          </w:p>
        </w:tc>
      </w:tr>
      <w:tr w:rsidR="00F311E4" w:rsidRPr="00944261" w:rsidTr="002D72FB">
        <w:trPr>
          <w:trHeight w:val="576"/>
        </w:trPr>
        <w:tc>
          <w:tcPr>
            <w:tcW w:w="0" w:type="auto"/>
            <w:tcBorders>
              <w:top w:val="single" w:sz="18" w:space="0" w:color="auto"/>
              <w:bottom w:val="nil"/>
            </w:tcBorders>
            <w:shd w:val="clear" w:color="auto" w:fill="auto"/>
            <w:noWrap/>
            <w:vAlign w:val="center"/>
            <w:hideMark/>
          </w:tcPr>
          <w:p w:rsidR="00F311E4" w:rsidRPr="00944261" w:rsidRDefault="00F311E4" w:rsidP="002D72FB">
            <w:pPr>
              <w:ind w:left="0" w:firstLine="0"/>
              <w:rPr>
                <w:rFonts w:eastAsia="Times New Roman" w:cs="Times New Roman"/>
                <w:b/>
                <w:bCs/>
                <w:color w:val="000000"/>
                <w:sz w:val="22"/>
              </w:rPr>
            </w:pPr>
            <w:r w:rsidRPr="00944261">
              <w:rPr>
                <w:rFonts w:eastAsia="Times New Roman" w:cs="Times New Roman"/>
                <w:b/>
                <w:bCs/>
                <w:color w:val="000000"/>
                <w:sz w:val="22"/>
              </w:rPr>
              <w:t>N</w:t>
            </w:r>
          </w:p>
        </w:tc>
        <w:tc>
          <w:tcPr>
            <w:tcW w:w="0" w:type="auto"/>
            <w:tcBorders>
              <w:top w:val="single" w:sz="18" w:space="0" w:color="auto"/>
              <w:bottom w:val="nil"/>
            </w:tcBorders>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r>
              <w:rPr>
                <w:rFonts w:eastAsia="Times New Roman" w:cs="Times New Roman"/>
                <w:color w:val="000000"/>
                <w:sz w:val="22"/>
              </w:rPr>
              <w:t>3,264</w:t>
            </w:r>
          </w:p>
        </w:tc>
        <w:tc>
          <w:tcPr>
            <w:tcW w:w="0" w:type="auto"/>
            <w:tcBorders>
              <w:top w:val="single" w:sz="18" w:space="0" w:color="auto"/>
              <w:bottom w:val="nil"/>
            </w:tcBorders>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p>
        </w:tc>
        <w:tc>
          <w:tcPr>
            <w:tcW w:w="0" w:type="auto"/>
            <w:tcBorders>
              <w:top w:val="single" w:sz="18" w:space="0" w:color="auto"/>
              <w:bottom w:val="nil"/>
            </w:tcBorders>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p>
        </w:tc>
      </w:tr>
      <w:tr w:rsidR="00F311E4" w:rsidRPr="00944261" w:rsidTr="002D72FB">
        <w:trPr>
          <w:trHeight w:val="576"/>
        </w:trPr>
        <w:tc>
          <w:tcPr>
            <w:tcW w:w="0" w:type="auto"/>
            <w:tcBorders>
              <w:top w:val="nil"/>
              <w:bottom w:val="nil"/>
            </w:tcBorders>
            <w:shd w:val="clear" w:color="auto" w:fill="auto"/>
            <w:noWrap/>
            <w:vAlign w:val="center"/>
            <w:hideMark/>
          </w:tcPr>
          <w:p w:rsidR="00F311E4" w:rsidRPr="00944261" w:rsidRDefault="00F311E4" w:rsidP="002D72FB">
            <w:pPr>
              <w:ind w:left="0" w:firstLine="0"/>
              <w:rPr>
                <w:rFonts w:eastAsia="Times New Roman" w:cs="Times New Roman"/>
                <w:b/>
                <w:bCs/>
                <w:color w:val="000000"/>
                <w:sz w:val="22"/>
              </w:rPr>
            </w:pPr>
            <w:proofErr w:type="spellStart"/>
            <w:r w:rsidRPr="00944261">
              <w:rPr>
                <w:rFonts w:eastAsia="Times New Roman" w:cs="Times New Roman"/>
                <w:b/>
                <w:bCs/>
                <w:color w:val="000000"/>
                <w:sz w:val="22"/>
              </w:rPr>
              <w:t>Prob</w:t>
            </w:r>
            <w:proofErr w:type="spellEnd"/>
            <w:r w:rsidRPr="00944261">
              <w:rPr>
                <w:rFonts w:eastAsia="Times New Roman" w:cs="Times New Roman"/>
                <w:b/>
                <w:bCs/>
                <w:color w:val="000000"/>
                <w:sz w:val="22"/>
              </w:rPr>
              <w:t xml:space="preserve"> &gt; chi2</w:t>
            </w:r>
          </w:p>
        </w:tc>
        <w:tc>
          <w:tcPr>
            <w:tcW w:w="0" w:type="auto"/>
            <w:tcBorders>
              <w:top w:val="nil"/>
              <w:bottom w:val="nil"/>
            </w:tcBorders>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r w:rsidRPr="00944261">
              <w:rPr>
                <w:rFonts w:eastAsia="Times New Roman" w:cs="Times New Roman"/>
                <w:color w:val="000000"/>
                <w:sz w:val="22"/>
              </w:rPr>
              <w:t>0</w:t>
            </w:r>
          </w:p>
        </w:tc>
        <w:tc>
          <w:tcPr>
            <w:tcW w:w="0" w:type="auto"/>
            <w:tcBorders>
              <w:top w:val="nil"/>
              <w:bottom w:val="nil"/>
            </w:tcBorders>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p>
        </w:tc>
        <w:tc>
          <w:tcPr>
            <w:tcW w:w="0" w:type="auto"/>
            <w:tcBorders>
              <w:top w:val="nil"/>
              <w:bottom w:val="nil"/>
            </w:tcBorders>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p>
        </w:tc>
      </w:tr>
      <w:tr w:rsidR="00F311E4" w:rsidRPr="00944261" w:rsidTr="002D72FB">
        <w:trPr>
          <w:trHeight w:val="576"/>
        </w:trPr>
        <w:tc>
          <w:tcPr>
            <w:tcW w:w="0" w:type="auto"/>
            <w:tcBorders>
              <w:top w:val="nil"/>
              <w:bottom w:val="nil"/>
            </w:tcBorders>
            <w:shd w:val="clear" w:color="auto" w:fill="auto"/>
            <w:noWrap/>
            <w:vAlign w:val="center"/>
            <w:hideMark/>
          </w:tcPr>
          <w:p w:rsidR="00F311E4" w:rsidRPr="00944261" w:rsidRDefault="00F311E4" w:rsidP="002D72FB">
            <w:pPr>
              <w:ind w:left="0" w:firstLine="0"/>
              <w:rPr>
                <w:rFonts w:eastAsia="Times New Roman" w:cs="Times New Roman"/>
                <w:b/>
                <w:bCs/>
                <w:color w:val="000000"/>
                <w:sz w:val="22"/>
              </w:rPr>
            </w:pPr>
            <w:r w:rsidRPr="00944261">
              <w:rPr>
                <w:rFonts w:eastAsia="Times New Roman" w:cs="Times New Roman"/>
                <w:b/>
                <w:bCs/>
                <w:color w:val="000000"/>
                <w:sz w:val="22"/>
              </w:rPr>
              <w:t>Percent Correctly Predicted</w:t>
            </w:r>
          </w:p>
        </w:tc>
        <w:tc>
          <w:tcPr>
            <w:tcW w:w="0" w:type="auto"/>
            <w:tcBorders>
              <w:top w:val="nil"/>
              <w:bottom w:val="nil"/>
            </w:tcBorders>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r>
              <w:rPr>
                <w:rFonts w:eastAsia="Times New Roman" w:cs="Times New Roman"/>
                <w:color w:val="000000"/>
                <w:sz w:val="22"/>
              </w:rPr>
              <w:t>64.99</w:t>
            </w:r>
          </w:p>
        </w:tc>
        <w:tc>
          <w:tcPr>
            <w:tcW w:w="0" w:type="auto"/>
            <w:tcBorders>
              <w:top w:val="nil"/>
              <w:bottom w:val="nil"/>
            </w:tcBorders>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p>
        </w:tc>
        <w:tc>
          <w:tcPr>
            <w:tcW w:w="0" w:type="auto"/>
            <w:tcBorders>
              <w:top w:val="nil"/>
              <w:bottom w:val="nil"/>
            </w:tcBorders>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p>
        </w:tc>
      </w:tr>
      <w:tr w:rsidR="00F311E4" w:rsidRPr="00944261" w:rsidTr="002D72FB">
        <w:trPr>
          <w:trHeight w:val="576"/>
        </w:trPr>
        <w:tc>
          <w:tcPr>
            <w:tcW w:w="0" w:type="auto"/>
            <w:tcBorders>
              <w:top w:val="nil"/>
              <w:bottom w:val="single" w:sz="18" w:space="0" w:color="auto"/>
            </w:tcBorders>
            <w:shd w:val="clear" w:color="auto" w:fill="auto"/>
            <w:noWrap/>
            <w:vAlign w:val="center"/>
            <w:hideMark/>
          </w:tcPr>
          <w:p w:rsidR="00F311E4" w:rsidRPr="00944261" w:rsidRDefault="00F311E4" w:rsidP="002D72FB">
            <w:pPr>
              <w:ind w:left="0" w:firstLine="0"/>
              <w:rPr>
                <w:rFonts w:eastAsia="Times New Roman" w:cs="Times New Roman"/>
                <w:b/>
                <w:bCs/>
                <w:color w:val="000000"/>
                <w:sz w:val="22"/>
              </w:rPr>
            </w:pPr>
            <w:r w:rsidRPr="00944261">
              <w:rPr>
                <w:rFonts w:eastAsia="Times New Roman" w:cs="Times New Roman"/>
                <w:b/>
                <w:bCs/>
                <w:color w:val="000000"/>
                <w:sz w:val="22"/>
              </w:rPr>
              <w:t>Percent Reduction in Error</w:t>
            </w:r>
          </w:p>
        </w:tc>
        <w:tc>
          <w:tcPr>
            <w:tcW w:w="0" w:type="auto"/>
            <w:tcBorders>
              <w:top w:val="nil"/>
              <w:bottom w:val="single" w:sz="18" w:space="0" w:color="auto"/>
            </w:tcBorders>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r>
              <w:rPr>
                <w:rFonts w:eastAsia="Times New Roman" w:cs="Times New Roman"/>
                <w:color w:val="000000"/>
                <w:sz w:val="22"/>
              </w:rPr>
              <w:t>27.15</w:t>
            </w:r>
          </w:p>
        </w:tc>
        <w:tc>
          <w:tcPr>
            <w:tcW w:w="0" w:type="auto"/>
            <w:tcBorders>
              <w:top w:val="nil"/>
              <w:bottom w:val="single" w:sz="18" w:space="0" w:color="auto"/>
            </w:tcBorders>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p>
        </w:tc>
        <w:tc>
          <w:tcPr>
            <w:tcW w:w="0" w:type="auto"/>
            <w:tcBorders>
              <w:top w:val="nil"/>
              <w:bottom w:val="single" w:sz="18" w:space="0" w:color="auto"/>
            </w:tcBorders>
            <w:shd w:val="clear" w:color="auto" w:fill="auto"/>
            <w:noWrap/>
            <w:vAlign w:val="center"/>
            <w:hideMark/>
          </w:tcPr>
          <w:p w:rsidR="00F311E4" w:rsidRPr="00944261" w:rsidRDefault="00F311E4" w:rsidP="002D72FB">
            <w:pPr>
              <w:ind w:left="0" w:firstLine="0"/>
              <w:jc w:val="center"/>
              <w:rPr>
                <w:rFonts w:eastAsia="Times New Roman" w:cs="Times New Roman"/>
                <w:color w:val="000000"/>
                <w:sz w:val="22"/>
              </w:rPr>
            </w:pPr>
          </w:p>
        </w:tc>
      </w:tr>
    </w:tbl>
    <w:p w:rsidR="00F311E4" w:rsidRPr="009E62D9" w:rsidRDefault="00F311E4" w:rsidP="00F311E4">
      <w:pPr>
        <w:autoSpaceDE w:val="0"/>
        <w:autoSpaceDN w:val="0"/>
        <w:adjustRightInd w:val="0"/>
        <w:ind w:left="90" w:firstLine="0"/>
        <w:rPr>
          <w:sz w:val="22"/>
        </w:rPr>
      </w:pPr>
      <w:r w:rsidRPr="009E62D9">
        <w:rPr>
          <w:sz w:val="22"/>
        </w:rPr>
        <w:t xml:space="preserve">Dependent variable indicates the ideological direction of the individual justices’ vote (1 = liberal, 0 = conservative). </w:t>
      </w:r>
      <w:r>
        <w:rPr>
          <w:sz w:val="22"/>
        </w:rPr>
        <w:t xml:space="preserve">Numbers in parentheses indicated standard errors. </w:t>
      </w:r>
      <w:r w:rsidRPr="009E62D9">
        <w:rPr>
          <w:sz w:val="22"/>
        </w:rPr>
        <w:t xml:space="preserve"> </w:t>
      </w:r>
      <w:proofErr w:type="gramStart"/>
      <w:r>
        <w:rPr>
          <w:sz w:val="22"/>
        </w:rPr>
        <w:t>*p&lt; .07, **p&lt;.05, ***p&lt;.01, ****p&lt;.001</w:t>
      </w:r>
      <w:r w:rsidRPr="009E62D9">
        <w:rPr>
          <w:sz w:val="22"/>
        </w:rPr>
        <w:t xml:space="preserve"> (one-tailed).</w:t>
      </w:r>
      <w:proofErr w:type="gramEnd"/>
    </w:p>
    <w:p w:rsidR="00F311E4" w:rsidRDefault="00F311E4" w:rsidP="00F311E4">
      <w:pPr>
        <w:autoSpaceDE w:val="0"/>
        <w:autoSpaceDN w:val="0"/>
        <w:adjustRightInd w:val="0"/>
        <w:spacing w:line="480" w:lineRule="auto"/>
        <w:ind w:left="0" w:firstLine="0"/>
      </w:pPr>
    </w:p>
    <w:p w:rsidR="00F311E4" w:rsidRDefault="00F311E4" w:rsidP="00F311E4">
      <w:pPr>
        <w:autoSpaceDE w:val="0"/>
        <w:autoSpaceDN w:val="0"/>
        <w:adjustRightInd w:val="0"/>
        <w:spacing w:line="480" w:lineRule="auto"/>
        <w:ind w:left="0" w:firstLine="0"/>
      </w:pPr>
    </w:p>
    <w:p w:rsidR="00F311E4" w:rsidRDefault="00D27D9A" w:rsidP="00F311E4">
      <w:pPr>
        <w:autoSpaceDE w:val="0"/>
        <w:autoSpaceDN w:val="0"/>
        <w:adjustRightInd w:val="0"/>
        <w:spacing w:line="480" w:lineRule="auto"/>
        <w:ind w:left="0" w:firstLine="0"/>
        <w:rPr>
          <w:rFonts w:cs="Times New Roman"/>
          <w:szCs w:val="24"/>
        </w:rPr>
      </w:pPr>
      <w:proofErr w:type="gramStart"/>
      <w:r>
        <w:lastRenderedPageBreak/>
        <w:t>the</w:t>
      </w:r>
      <w:proofErr w:type="gramEnd"/>
      <w:r>
        <w:t xml:space="preserve"> interaction term. </w:t>
      </w:r>
      <w:r w:rsidR="00F324AC">
        <w:t xml:space="preserve"> </w:t>
      </w:r>
      <w:r w:rsidR="00DC7D97" w:rsidRPr="00DC7D97">
        <w:t>Instead, the magnitude of the interaction effect depends on the values of all the covariates in the model.</w:t>
      </w:r>
      <w:r w:rsidR="00DC7D97">
        <w:rPr>
          <w:color w:val="00B050"/>
        </w:rPr>
        <w:t xml:space="preserve">  </w:t>
      </w:r>
      <w:r>
        <w:t xml:space="preserve"> </w:t>
      </w:r>
      <w:r w:rsidRPr="00F324AC">
        <w:t xml:space="preserve">Accordingly, I employ the method developed by </w:t>
      </w:r>
      <w:proofErr w:type="spellStart"/>
      <w:r w:rsidRPr="00F324AC">
        <w:t>Br</w:t>
      </w:r>
      <w:r w:rsidR="00F324AC" w:rsidRPr="00F324AC">
        <w:t>ambor</w:t>
      </w:r>
      <w:proofErr w:type="spellEnd"/>
      <w:r w:rsidR="00F324AC" w:rsidRPr="00F324AC">
        <w:t xml:space="preserve">, Clark, and </w:t>
      </w:r>
      <w:proofErr w:type="spellStart"/>
      <w:r w:rsidR="00F324AC" w:rsidRPr="00F324AC">
        <w:t>Golder</w:t>
      </w:r>
      <w:proofErr w:type="spellEnd"/>
      <w:r w:rsidR="00F324AC" w:rsidRPr="00F324AC">
        <w:t xml:space="preserve"> (2006)</w:t>
      </w:r>
      <w:r w:rsidRPr="00F324AC">
        <w:t xml:space="preserve"> to evaluate interaction terms. </w:t>
      </w:r>
      <w:r w:rsidR="00C16CDC" w:rsidRPr="00F324AC">
        <w:rPr>
          <w:rFonts w:cs="Times New Roman"/>
          <w:szCs w:val="24"/>
        </w:rPr>
        <w:t xml:space="preserve">I calculate marginal effects and confidence intervals </w:t>
      </w:r>
      <w:r w:rsidR="008D73E8" w:rsidRPr="00F324AC">
        <w:rPr>
          <w:rFonts w:cs="Times New Roman"/>
          <w:szCs w:val="24"/>
        </w:rPr>
        <w:t xml:space="preserve">for all non-interactive terms in Model I </w:t>
      </w:r>
      <w:r w:rsidR="00C16CDC" w:rsidRPr="00F324AC">
        <w:rPr>
          <w:rFonts w:cs="Times New Roman"/>
          <w:szCs w:val="24"/>
        </w:rPr>
        <w:t xml:space="preserve">by altering the variables of interest from 0 to 1 for dichotomous variables and from the mean to one standard deviation above the mean for continuous and count variables, while holding all other variables at their mean or </w:t>
      </w:r>
      <w:proofErr w:type="spellStart"/>
      <w:r w:rsidR="00C16CDC" w:rsidRPr="00F324AC">
        <w:rPr>
          <w:rFonts w:cs="Times New Roman"/>
          <w:szCs w:val="24"/>
        </w:rPr>
        <w:t>modal</w:t>
      </w:r>
      <w:proofErr w:type="spellEnd"/>
      <w:r w:rsidR="00C16CDC" w:rsidRPr="00F324AC">
        <w:rPr>
          <w:rFonts w:cs="Times New Roman"/>
          <w:szCs w:val="24"/>
        </w:rPr>
        <w:t xml:space="preserve"> values, as appropriate.</w:t>
      </w:r>
      <w:r w:rsidR="008D73E8" w:rsidRPr="00F324AC">
        <w:rPr>
          <w:rStyle w:val="FootnoteReference"/>
          <w:rFonts w:cs="Times New Roman"/>
          <w:szCs w:val="24"/>
        </w:rPr>
        <w:footnoteReference w:id="83"/>
      </w:r>
      <w:r w:rsidR="008D73E8" w:rsidRPr="00F324AC">
        <w:rPr>
          <w:rFonts w:cs="Times New Roman"/>
          <w:szCs w:val="24"/>
        </w:rPr>
        <w:t xml:space="preserve">  </w:t>
      </w:r>
    </w:p>
    <w:p w:rsidR="002C1E2B" w:rsidRDefault="008D73E8" w:rsidP="00F311E4">
      <w:pPr>
        <w:autoSpaceDE w:val="0"/>
        <w:autoSpaceDN w:val="0"/>
        <w:adjustRightInd w:val="0"/>
        <w:spacing w:line="480" w:lineRule="auto"/>
        <w:ind w:left="0" w:firstLine="720"/>
        <w:rPr>
          <w:rFonts w:cs="Times New Roman"/>
          <w:szCs w:val="24"/>
        </w:rPr>
      </w:pPr>
      <w:r>
        <w:rPr>
          <w:rFonts w:cs="Times New Roman"/>
          <w:szCs w:val="24"/>
        </w:rPr>
        <w:t>Further, I graphically</w:t>
      </w:r>
      <w:r w:rsidR="00D62BD1">
        <w:rPr>
          <w:rFonts w:cs="Times New Roman"/>
          <w:szCs w:val="24"/>
        </w:rPr>
        <w:t xml:space="preserve"> illustrate</w:t>
      </w:r>
      <w:r>
        <w:rPr>
          <w:rFonts w:cs="Times New Roman"/>
          <w:szCs w:val="24"/>
        </w:rPr>
        <w:t xml:space="preserve"> </w:t>
      </w:r>
      <w:r w:rsidR="007808A6">
        <w:rPr>
          <w:rFonts w:cs="Times New Roman"/>
          <w:szCs w:val="24"/>
        </w:rPr>
        <w:t>the marginal effect of amicus briefs on the ideological direction of the vote across the observed range of judicial moderation, as depicted in Figure 5.1</w:t>
      </w:r>
      <w:r w:rsidR="00F311E4">
        <w:rPr>
          <w:rFonts w:cs="Times New Roman"/>
          <w:szCs w:val="24"/>
        </w:rPr>
        <w:t xml:space="preserve">.  </w:t>
      </w:r>
      <w:r w:rsidR="00F324AC">
        <w:rPr>
          <w:rFonts w:cs="Times New Roman"/>
          <w:szCs w:val="24"/>
        </w:rPr>
        <w:t>I employ this same interpretive approach for the other five interaction models that follow.</w:t>
      </w:r>
      <w:r w:rsidR="00F311E4">
        <w:rPr>
          <w:rFonts w:cs="Times New Roman"/>
          <w:szCs w:val="24"/>
        </w:rPr>
        <w:t xml:space="preserve">  A</w:t>
      </w:r>
      <w:r w:rsidR="002C1E2B">
        <w:rPr>
          <w:rFonts w:cs="Times New Roman"/>
          <w:szCs w:val="24"/>
        </w:rPr>
        <w:t xml:space="preserve">s an alternative interpretation to marginal effects, I report odds ratios for each of the constituent variables in my models.   </w:t>
      </w:r>
      <w:r w:rsidR="002C1E2B">
        <w:t xml:space="preserve">The odds ratio simply reflects the proportionate change in the dependent variable (ideological direction of justice vote) </w:t>
      </w:r>
      <w:r w:rsidR="002C1E2B" w:rsidRPr="00F85DEF">
        <w:t>that coincides with a single unit difference on the independent variable (</w:t>
      </w:r>
      <w:r w:rsidR="002C1E2B">
        <w:t xml:space="preserve">a change for 0 to 1 for dummy variables).  Stated another way, the odds ratio tells how the presence of each independent variable increasing by one unit increases or decreases the odds of observing the presence of the dependent variable (i.e., a liberal justice vote).  If the odds </w:t>
      </w:r>
      <w:r w:rsidR="0071543E">
        <w:t xml:space="preserve">ratio is less than 1, </w:t>
      </w:r>
      <w:r w:rsidR="002C1E2B">
        <w:t>then the odds of a liberal justice vote decrease with a one unit increase in the independent variable.  If the odds ratio</w:t>
      </w:r>
      <w:r w:rsidR="0071543E">
        <w:t xml:space="preserve"> is</w:t>
      </w:r>
      <w:r w:rsidR="002C1E2B">
        <w:t xml:space="preserve"> greater than 1, then the odds of a liberal justice vote increase with a one unit increase in the independent variable. </w:t>
      </w:r>
    </w:p>
    <w:p w:rsidR="00E8454D" w:rsidRDefault="00E8454D" w:rsidP="00E8454D">
      <w:pPr>
        <w:autoSpaceDE w:val="0"/>
        <w:autoSpaceDN w:val="0"/>
        <w:adjustRightInd w:val="0"/>
        <w:spacing w:line="480" w:lineRule="auto"/>
        <w:ind w:left="0" w:firstLine="0"/>
        <w:rPr>
          <w:rFonts w:cs="Times New Roman"/>
          <w:szCs w:val="24"/>
        </w:rPr>
      </w:pPr>
    </w:p>
    <w:p w:rsidR="00112889" w:rsidRDefault="00112889" w:rsidP="00C16CDC">
      <w:pPr>
        <w:spacing w:line="480" w:lineRule="auto"/>
        <w:ind w:left="0" w:firstLine="0"/>
        <w:rPr>
          <w:rFonts w:cs="Times New Roman"/>
          <w:szCs w:val="24"/>
        </w:rPr>
      </w:pPr>
    </w:p>
    <w:p w:rsidR="00426385" w:rsidRDefault="00CF06F6" w:rsidP="00016491">
      <w:pPr>
        <w:autoSpaceDE w:val="0"/>
        <w:autoSpaceDN w:val="0"/>
        <w:adjustRightInd w:val="0"/>
        <w:spacing w:line="480" w:lineRule="auto"/>
        <w:ind w:left="0" w:firstLine="720"/>
      </w:pPr>
      <w:r w:rsidRPr="000767EB">
        <w:lastRenderedPageBreak/>
        <w:t xml:space="preserve">While the MLE coefficient for </w:t>
      </w:r>
      <w:r w:rsidRPr="000767EB">
        <w:rPr>
          <w:i/>
        </w:rPr>
        <w:t xml:space="preserve">Liberal-Conservative Amicus Briefs Difference </w:t>
      </w:r>
      <w:r w:rsidRPr="000767EB">
        <w:t>does not rise to the level of sta</w:t>
      </w:r>
      <w:r w:rsidR="00A928C7" w:rsidRPr="000767EB">
        <w:t>tistical significance in Model 1</w:t>
      </w:r>
      <w:r w:rsidRPr="000767EB">
        <w:t xml:space="preserve">, it </w:t>
      </w:r>
      <w:r w:rsidR="00426385">
        <w:t>is</w:t>
      </w:r>
      <w:r w:rsidRPr="000767EB">
        <w:t xml:space="preserve"> shown to be statistically significant and in the exp</w:t>
      </w:r>
      <w:r w:rsidR="00426385">
        <w:t>ected direction when I estimate</w:t>
      </w:r>
      <w:r w:rsidRPr="000767EB">
        <w:t xml:space="preserve"> this same model without the </w:t>
      </w:r>
      <w:r w:rsidR="00A928C7" w:rsidRPr="000767EB">
        <w:t xml:space="preserve">judicial moderation variable and without the </w:t>
      </w:r>
      <w:r w:rsidRPr="000767EB">
        <w:t>interaction term</w:t>
      </w:r>
      <w:r w:rsidR="00A928C7" w:rsidRPr="000767EB">
        <w:t xml:space="preserve"> (</w:t>
      </w:r>
      <w:r w:rsidR="00A928C7" w:rsidRPr="000767EB">
        <w:rPr>
          <w:i/>
        </w:rPr>
        <w:t>Judicial Moderation x Liberal-Conservative Amicus Briefs Difference</w:t>
      </w:r>
      <w:r w:rsidR="00A928C7" w:rsidRPr="000767EB">
        <w:t>)</w:t>
      </w:r>
      <w:r w:rsidR="006E5EBF" w:rsidRPr="000767EB">
        <w:t xml:space="preserve"> –</w:t>
      </w:r>
      <w:r w:rsidR="00A928C7" w:rsidRPr="000767EB">
        <w:t xml:space="preserve"> what I term the </w:t>
      </w:r>
      <w:r w:rsidR="006E5EBF" w:rsidRPr="000767EB">
        <w:t>“</w:t>
      </w:r>
      <w:r w:rsidR="00426385">
        <w:t>B</w:t>
      </w:r>
      <w:r w:rsidR="006E5EBF" w:rsidRPr="000767EB">
        <w:t>ase</w:t>
      </w:r>
      <w:r w:rsidR="00426385">
        <w:t xml:space="preserve"> M</w:t>
      </w:r>
      <w:r w:rsidR="006E5EBF" w:rsidRPr="000767EB">
        <w:t>odel</w:t>
      </w:r>
      <w:r w:rsidRPr="000767EB">
        <w:t>.</w:t>
      </w:r>
      <w:r w:rsidR="00A928C7" w:rsidRPr="000767EB">
        <w:t>”</w:t>
      </w:r>
      <w:r w:rsidR="006E5EBF" w:rsidRPr="000767EB">
        <w:t xml:space="preserve">   The results of this </w:t>
      </w:r>
      <w:r w:rsidR="00426385">
        <w:t>B</w:t>
      </w:r>
      <w:r w:rsidR="006E5EBF" w:rsidRPr="000767EB">
        <w:t>ase</w:t>
      </w:r>
      <w:r w:rsidR="00426385">
        <w:t xml:space="preserve"> M</w:t>
      </w:r>
      <w:r w:rsidR="00A928C7" w:rsidRPr="000767EB">
        <w:t xml:space="preserve">odel </w:t>
      </w:r>
      <w:r w:rsidR="006E5EBF" w:rsidRPr="000767EB">
        <w:t>are reported in the Appendix</w:t>
      </w:r>
      <w:r w:rsidR="00A928C7" w:rsidRPr="000767EB">
        <w:t xml:space="preserve"> in Table A.3.  The r</w:t>
      </w:r>
      <w:r w:rsidR="00426385">
        <w:t>emainder of the results of the Base M</w:t>
      </w:r>
      <w:r w:rsidR="00A928C7" w:rsidRPr="000767EB">
        <w:t>odel are consistent with those of the Model 1, and have a similar interpretation, thus it is not necessary to include further discussion of the Base Model</w:t>
      </w:r>
      <w:r w:rsidR="00426385">
        <w:t xml:space="preserve"> here</w:t>
      </w:r>
      <w:r w:rsidR="00A928C7" w:rsidRPr="000767EB">
        <w:t xml:space="preserve">.  Because the MLE coefficient for </w:t>
      </w:r>
      <w:r w:rsidR="00A928C7" w:rsidRPr="000767EB">
        <w:rPr>
          <w:i/>
        </w:rPr>
        <w:t xml:space="preserve">Liberal-Conservative Amicus Briefs Difference </w:t>
      </w:r>
      <w:r w:rsidR="000767EB">
        <w:t xml:space="preserve">is </w:t>
      </w:r>
      <w:r w:rsidR="00A928C7" w:rsidRPr="000767EB">
        <w:t>significant and in</w:t>
      </w:r>
      <w:r w:rsidR="00426385">
        <w:t xml:space="preserve"> the expected direction in the Base M</w:t>
      </w:r>
      <w:r w:rsidR="00A928C7" w:rsidRPr="000767EB">
        <w:t>odel, the inclusion of the interaction term</w:t>
      </w:r>
      <w:r w:rsidR="00A928C7">
        <w:t xml:space="preserve"> </w:t>
      </w:r>
      <w:r w:rsidR="003464A8">
        <w:t xml:space="preserve">in Model 1 </w:t>
      </w:r>
      <w:r w:rsidR="000767EB">
        <w:t>is</w:t>
      </w:r>
      <w:r w:rsidR="00A928C7">
        <w:t xml:space="preserve"> justified</w:t>
      </w:r>
      <w:r w:rsidR="000767EB">
        <w:t>, enabling me to</w:t>
      </w:r>
      <w:r w:rsidR="00A928C7">
        <w:t xml:space="preserve"> </w:t>
      </w:r>
      <w:r w:rsidR="003464A8">
        <w:t xml:space="preserve">determine the effects of an amicus brief advantage across a range of judicial moderation scores.  </w:t>
      </w:r>
    </w:p>
    <w:p w:rsidR="00112889" w:rsidRDefault="003464A8" w:rsidP="00016491">
      <w:pPr>
        <w:autoSpaceDE w:val="0"/>
        <w:autoSpaceDN w:val="0"/>
        <w:adjustRightInd w:val="0"/>
        <w:spacing w:line="480" w:lineRule="auto"/>
        <w:ind w:left="0" w:firstLine="720"/>
        <w:rPr>
          <w:i/>
        </w:rPr>
      </w:pPr>
      <w:r>
        <w:t>In Model 1,</w:t>
      </w:r>
      <w:r w:rsidR="00CF06F6">
        <w:t xml:space="preserve"> </w:t>
      </w:r>
      <w:r>
        <w:t>t</w:t>
      </w:r>
      <w:r w:rsidR="00FA701D">
        <w:t>he MLE coefficient</w:t>
      </w:r>
      <w:r w:rsidR="00112889" w:rsidRPr="0013327C">
        <w:t xml:space="preserve"> on </w:t>
      </w:r>
      <w:r w:rsidR="004740C0" w:rsidRPr="0013327C">
        <w:rPr>
          <w:i/>
        </w:rPr>
        <w:t>Liberal-Conservative Amicus Briefs Difference</w:t>
      </w:r>
      <w:r w:rsidR="006C120C">
        <w:rPr>
          <w:i/>
        </w:rPr>
        <w:t xml:space="preserve"> </w:t>
      </w:r>
      <w:r w:rsidR="006C120C">
        <w:t>(.015)</w:t>
      </w:r>
      <w:r w:rsidR="004740C0" w:rsidRPr="0013327C">
        <w:rPr>
          <w:i/>
        </w:rPr>
        <w:t xml:space="preserve"> </w:t>
      </w:r>
      <w:r w:rsidR="00112889" w:rsidRPr="0013327C">
        <w:t>indicate</w:t>
      </w:r>
      <w:r w:rsidR="006C120C">
        <w:t>s</w:t>
      </w:r>
      <w:r w:rsidR="00112889" w:rsidRPr="0013327C">
        <w:t xml:space="preserve"> the infl</w:t>
      </w:r>
      <w:r w:rsidR="004740C0" w:rsidRPr="0013327C">
        <w:t>uence of amicus briefs when the interaction term (</w:t>
      </w:r>
      <w:r w:rsidR="004740C0" w:rsidRPr="0013327C">
        <w:rPr>
          <w:i/>
        </w:rPr>
        <w:t>Moderation x Liberal-Conservative Amicus Briefs Difference</w:t>
      </w:r>
      <w:r w:rsidR="004740C0" w:rsidRPr="0013327C">
        <w:t>) is held at the product of the means of its constituent variables</w:t>
      </w:r>
      <w:r w:rsidR="00112889" w:rsidRPr="0013327C">
        <w:t xml:space="preserve">.  </w:t>
      </w:r>
      <w:r w:rsidR="00FA701D">
        <w:t xml:space="preserve">The odds ratio of </w:t>
      </w:r>
      <w:r w:rsidR="00FA701D" w:rsidRPr="0013327C">
        <w:rPr>
          <w:i/>
        </w:rPr>
        <w:t>Liberal-Conservative Amicus Briefs Difference</w:t>
      </w:r>
      <w:r w:rsidR="00FA701D" w:rsidRPr="0013327C">
        <w:t xml:space="preserve"> </w:t>
      </w:r>
      <w:r w:rsidR="00FA701D">
        <w:t xml:space="preserve">is 1.015, indicating that the odds of liberal justice vote increase in Model 1 by </w:t>
      </w:r>
      <w:r w:rsidR="00EE4A6E">
        <w:t>1</w:t>
      </w:r>
      <w:r w:rsidR="00FA701D">
        <w:t>.015 times when there is a one unit increase in a liberal brief advantage.</w:t>
      </w:r>
      <w:r w:rsidR="00CF06F6">
        <w:t xml:space="preserve"> </w:t>
      </w:r>
      <w:r w:rsidR="00112889" w:rsidRPr="0013327C">
        <w:t>The mar</w:t>
      </w:r>
      <w:r w:rsidR="004740C0" w:rsidRPr="0013327C">
        <w:t xml:space="preserve">ginal effects of </w:t>
      </w:r>
      <w:r w:rsidR="004740C0" w:rsidRPr="0013327C">
        <w:rPr>
          <w:i/>
        </w:rPr>
        <w:t>Liberal-Conservative Amicus Briefs Difference</w:t>
      </w:r>
      <w:r w:rsidR="00112889" w:rsidRPr="0013327C">
        <w:t xml:space="preserve"> reveal</w:t>
      </w:r>
      <w:r w:rsidR="004740C0" w:rsidRPr="0013327C">
        <w:t>s</w:t>
      </w:r>
      <w:r w:rsidR="00112889" w:rsidRPr="0013327C">
        <w:t xml:space="preserve"> that a j</w:t>
      </w:r>
      <w:r w:rsidR="004740C0" w:rsidRPr="0013327C">
        <w:t>ustice whose moderation score is at 2.44 (</w:t>
      </w:r>
      <w:r w:rsidR="0013327C">
        <w:t xml:space="preserve">i.e., </w:t>
      </w:r>
      <w:r w:rsidR="004740C0" w:rsidRPr="0013327C">
        <w:t>the mean moderate justice</w:t>
      </w:r>
      <w:r w:rsidR="00320116" w:rsidRPr="0013327C">
        <w:t xml:space="preserve"> – closet to Justice Ginsburg’s mean moderation score of 2.51)</w:t>
      </w:r>
      <w:r w:rsidR="00112889" w:rsidRPr="0013327C">
        <w:t xml:space="preserve"> is </w:t>
      </w:r>
      <w:r w:rsidR="00320116" w:rsidRPr="0013327C">
        <w:t xml:space="preserve">1.7 percent more likely to cast a liberal vote as </w:t>
      </w:r>
      <w:r w:rsidR="0013327C" w:rsidRPr="0013327C">
        <w:t xml:space="preserve">the </w:t>
      </w:r>
      <w:r w:rsidR="0013327C" w:rsidRPr="0013327C">
        <w:rPr>
          <w:i/>
        </w:rPr>
        <w:t xml:space="preserve">Liberal-Conservative Amicus Briefs Difference </w:t>
      </w:r>
      <w:r w:rsidR="0013327C" w:rsidRPr="0013327C">
        <w:t>in the case increases from .57 (the mean) to just over 5 (approximately one stand</w:t>
      </w:r>
      <w:r>
        <w:t>ard deviation above the mean). Yet, a</w:t>
      </w:r>
      <w:r w:rsidRPr="0013327C">
        <w:t xml:space="preserve">s none of the observations actually involve a </w:t>
      </w:r>
      <w:r w:rsidRPr="0013327C">
        <w:rPr>
          <w:i/>
        </w:rPr>
        <w:t xml:space="preserve">Judicial Moderation </w:t>
      </w:r>
      <w:r w:rsidRPr="0013327C">
        <w:t>score at the mean</w:t>
      </w:r>
      <w:r>
        <w:t xml:space="preserve">, and as the sign or significance of the interaction term cannot be interpreted from its MLE coefficient </w:t>
      </w:r>
      <w:r>
        <w:lastRenderedPageBreak/>
        <w:t>(</w:t>
      </w:r>
      <w:proofErr w:type="spellStart"/>
      <w:r>
        <w:t>Brambor</w:t>
      </w:r>
      <w:proofErr w:type="spellEnd"/>
      <w:r>
        <w:t xml:space="preserve">, Clark and </w:t>
      </w:r>
      <w:proofErr w:type="spellStart"/>
      <w:r>
        <w:t>Golder</w:t>
      </w:r>
      <w:proofErr w:type="spellEnd"/>
      <w:r>
        <w:t xml:space="preserve"> 2006), </w:t>
      </w:r>
      <w:r w:rsidR="0013327C">
        <w:t xml:space="preserve">it is necessary to </w:t>
      </w:r>
      <w:r w:rsidR="0013327C" w:rsidRPr="0013327C">
        <w:t>graphically illustrate the marginal effect</w:t>
      </w:r>
      <w:r w:rsidR="00FA701D">
        <w:t>s</w:t>
      </w:r>
      <w:r w:rsidR="0013327C" w:rsidRPr="0013327C">
        <w:t xml:space="preserve"> </w:t>
      </w:r>
      <w:r w:rsidR="0013327C">
        <w:t xml:space="preserve">of </w:t>
      </w:r>
      <w:r w:rsidR="0013327C" w:rsidRPr="0013327C">
        <w:rPr>
          <w:i/>
        </w:rPr>
        <w:t>Liberal-Conservative Amicus Briefs Difference</w:t>
      </w:r>
      <w:r w:rsidR="0013327C">
        <w:t xml:space="preserve"> </w:t>
      </w:r>
      <w:r w:rsidR="0013327C" w:rsidRPr="0013327C">
        <w:t xml:space="preserve">on the ideological direction of the vote across the observed range of </w:t>
      </w:r>
      <w:r w:rsidR="0013327C" w:rsidRPr="0013327C">
        <w:rPr>
          <w:i/>
        </w:rPr>
        <w:t>Judicial Moderation</w:t>
      </w:r>
      <w:r w:rsidR="0013327C" w:rsidRPr="0013327C">
        <w:t xml:space="preserve"> </w:t>
      </w:r>
      <w:r w:rsidR="00891FD3">
        <w:t xml:space="preserve">(as shown </w:t>
      </w:r>
      <w:r w:rsidR="0013327C" w:rsidRPr="0013327C">
        <w:t>in Figure 5.1</w:t>
      </w:r>
      <w:r w:rsidR="0013327C">
        <w:t>.</w:t>
      </w:r>
      <w:r w:rsidR="00891FD3">
        <w:t>)</w:t>
      </w:r>
      <w:r>
        <w:t xml:space="preserve"> to properly assess whether the effects of </w:t>
      </w:r>
      <w:r w:rsidRPr="0013327C">
        <w:rPr>
          <w:i/>
        </w:rPr>
        <w:t>Liberal-Conservative Amicus Briefs Difference</w:t>
      </w:r>
      <w:r>
        <w:rPr>
          <w:i/>
        </w:rPr>
        <w:t xml:space="preserve"> </w:t>
      </w:r>
      <w:r>
        <w:t xml:space="preserve">on justice votes rise to the level of statistical significance as they vary across a range of </w:t>
      </w:r>
      <w:r>
        <w:rPr>
          <w:i/>
        </w:rPr>
        <w:t>Judicial Moderation.</w:t>
      </w:r>
    </w:p>
    <w:p w:rsidR="00F311E4" w:rsidRDefault="00F311E4" w:rsidP="00016491">
      <w:pPr>
        <w:autoSpaceDE w:val="0"/>
        <w:autoSpaceDN w:val="0"/>
        <w:adjustRightInd w:val="0"/>
        <w:spacing w:line="480" w:lineRule="auto"/>
        <w:ind w:left="0" w:firstLine="720"/>
        <w:rPr>
          <w:i/>
        </w:rPr>
      </w:pPr>
      <w:r w:rsidRPr="00341289">
        <w:t>As noted by Collins (2008, 101-102) when interpreting an interaction term, one must pay close attention to not only the slope of the effect but also the confidence intervals surrounding the slope which indicate significance levels.  The marginal effects are significant whenever the</w:t>
      </w:r>
      <w:r w:rsidRPr="00F311E4">
        <w:t xml:space="preserve"> </w:t>
      </w:r>
      <w:r w:rsidRPr="00341289">
        <w:t xml:space="preserve">upper </w:t>
      </w:r>
      <w:r w:rsidRPr="00683CF6">
        <w:rPr>
          <w:i/>
        </w:rPr>
        <w:t>and</w:t>
      </w:r>
      <w:r w:rsidRPr="00341289">
        <w:t xml:space="preserve"> lower bounds of the confidence intervals are </w:t>
      </w:r>
      <w:proofErr w:type="gramStart"/>
      <w:r w:rsidRPr="00341289">
        <w:rPr>
          <w:i/>
        </w:rPr>
        <w:t xml:space="preserve">both </w:t>
      </w:r>
      <w:r w:rsidRPr="00341289">
        <w:t>above (or</w:t>
      </w:r>
      <w:proofErr w:type="gramEnd"/>
      <w:r w:rsidRPr="00341289">
        <w:t xml:space="preserve"> below) the zero line. </w:t>
      </w:r>
      <w:r w:rsidRPr="00341289">
        <w:rPr>
          <w:rFonts w:cs="Times New Roman"/>
          <w:szCs w:val="24"/>
        </w:rPr>
        <w:t xml:space="preserve"> </w:t>
      </w:r>
    </w:p>
    <w:p w:rsidR="00426385" w:rsidRPr="003464A8" w:rsidRDefault="00426385" w:rsidP="00016491">
      <w:pPr>
        <w:autoSpaceDE w:val="0"/>
        <w:autoSpaceDN w:val="0"/>
        <w:adjustRightInd w:val="0"/>
        <w:spacing w:line="480" w:lineRule="auto"/>
        <w:ind w:left="0" w:firstLine="720"/>
        <w:rPr>
          <w:i/>
        </w:rPr>
      </w:pPr>
    </w:p>
    <w:p w:rsidR="00DE4886" w:rsidRPr="00DE4886" w:rsidRDefault="00DE4886" w:rsidP="00E71D36">
      <w:pPr>
        <w:spacing w:line="480" w:lineRule="auto"/>
        <w:ind w:left="0" w:firstLine="0"/>
        <w:rPr>
          <w:rFonts w:cs="Times New Roman"/>
          <w:b/>
          <w:szCs w:val="24"/>
        </w:rPr>
      </w:pPr>
      <w:r w:rsidRPr="00DE4886">
        <w:rPr>
          <w:rFonts w:cs="Times New Roman"/>
          <w:b/>
          <w:szCs w:val="24"/>
        </w:rPr>
        <w:t xml:space="preserve">Figure 5.1 Marginal Effect of </w:t>
      </w:r>
      <w:r w:rsidRPr="00DE4886">
        <w:rPr>
          <w:rFonts w:cs="Times New Roman"/>
          <w:b/>
          <w:i/>
          <w:szCs w:val="24"/>
        </w:rPr>
        <w:t>Liberal-Conservative Amicus Brief Difference</w:t>
      </w:r>
      <w:r w:rsidRPr="00DE4886">
        <w:rPr>
          <w:rFonts w:cs="Times New Roman"/>
          <w:b/>
          <w:szCs w:val="24"/>
        </w:rPr>
        <w:t xml:space="preserve"> on Ideological Direction of Justice Vote </w:t>
      </w:r>
      <w:proofErr w:type="gramStart"/>
      <w:r w:rsidRPr="00DE4886">
        <w:rPr>
          <w:rFonts w:cs="Times New Roman"/>
          <w:b/>
          <w:szCs w:val="24"/>
        </w:rPr>
        <w:t>Across</w:t>
      </w:r>
      <w:proofErr w:type="gramEnd"/>
      <w:r w:rsidRPr="00DE4886">
        <w:rPr>
          <w:rFonts w:cs="Times New Roman"/>
          <w:b/>
          <w:szCs w:val="24"/>
        </w:rPr>
        <w:t xml:space="preserve"> Varyin</w:t>
      </w:r>
      <w:r w:rsidR="00F311E4">
        <w:rPr>
          <w:rFonts w:cs="Times New Roman"/>
          <w:b/>
          <w:szCs w:val="24"/>
        </w:rPr>
        <w:t>g Levels of Judicial Moderation</w:t>
      </w:r>
    </w:p>
    <w:p w:rsidR="00DE4886" w:rsidRDefault="003F3B64" w:rsidP="00E71D36">
      <w:pPr>
        <w:spacing w:line="480" w:lineRule="auto"/>
        <w:ind w:left="0" w:firstLine="0"/>
        <w:rPr>
          <w:rFonts w:cs="Times New Roman"/>
          <w:szCs w:val="24"/>
        </w:rPr>
      </w:pPr>
      <w:r>
        <w:rPr>
          <w:rFonts w:cs="Times New Roman"/>
          <w:noProof/>
          <w:szCs w:val="24"/>
        </w:rPr>
        <w:drawing>
          <wp:inline distT="0" distB="0" distL="0" distR="0" wp14:anchorId="768D260D" wp14:editId="1FF9AD25">
            <wp:extent cx="5114925" cy="3743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3F3B64" w:rsidRDefault="00F311E4" w:rsidP="00F311E4">
      <w:pPr>
        <w:autoSpaceDE w:val="0"/>
        <w:autoSpaceDN w:val="0"/>
        <w:adjustRightInd w:val="0"/>
        <w:spacing w:line="480" w:lineRule="auto"/>
        <w:ind w:left="0" w:firstLine="0"/>
        <w:rPr>
          <w:rFonts w:cs="Times New Roman"/>
          <w:szCs w:val="24"/>
        </w:rPr>
      </w:pPr>
      <w:r>
        <w:rPr>
          <w:rFonts w:cs="Times New Roman"/>
          <w:szCs w:val="24"/>
        </w:rPr>
        <w:lastRenderedPageBreak/>
        <w:t>The solid line in the</w:t>
      </w:r>
      <w:r w:rsidR="003F3B64" w:rsidRPr="00341289">
        <w:rPr>
          <w:rFonts w:cs="Times New Roman"/>
          <w:szCs w:val="24"/>
        </w:rPr>
        <w:t xml:space="preserve"> figure indicates how </w:t>
      </w:r>
      <w:r w:rsidR="00341289" w:rsidRPr="00341289">
        <w:rPr>
          <w:rFonts w:cs="Times New Roman"/>
          <w:szCs w:val="24"/>
        </w:rPr>
        <w:t xml:space="preserve">the marginal effects of </w:t>
      </w:r>
      <w:r w:rsidR="00341289" w:rsidRPr="00341289">
        <w:rPr>
          <w:rFonts w:cs="Times New Roman"/>
          <w:i/>
          <w:szCs w:val="24"/>
        </w:rPr>
        <w:t xml:space="preserve">Liberal-Conservative Amicus Brief </w:t>
      </w:r>
      <w:proofErr w:type="spellStart"/>
      <w:r w:rsidR="00341289" w:rsidRPr="00341289">
        <w:rPr>
          <w:rFonts w:cs="Times New Roman"/>
          <w:i/>
          <w:szCs w:val="24"/>
        </w:rPr>
        <w:t>Diffference</w:t>
      </w:r>
      <w:proofErr w:type="spellEnd"/>
      <w:r w:rsidR="00341289" w:rsidRPr="00341289">
        <w:rPr>
          <w:rFonts w:cs="Times New Roman"/>
          <w:i/>
          <w:szCs w:val="24"/>
        </w:rPr>
        <w:t xml:space="preserve"> </w:t>
      </w:r>
      <w:r w:rsidR="00341289" w:rsidRPr="00341289">
        <w:rPr>
          <w:rFonts w:cs="Times New Roman"/>
          <w:szCs w:val="24"/>
        </w:rPr>
        <w:t>vary across a range of justice moderation scores</w:t>
      </w:r>
      <w:r w:rsidR="003F3B64" w:rsidRPr="00341289">
        <w:rPr>
          <w:rFonts w:cs="Times New Roman"/>
          <w:szCs w:val="24"/>
        </w:rPr>
        <w:t>.  The 95 percent confide</w:t>
      </w:r>
      <w:r>
        <w:rPr>
          <w:rFonts w:cs="Times New Roman"/>
          <w:szCs w:val="24"/>
        </w:rPr>
        <w:t>nce intervals drawn around this solid line</w:t>
      </w:r>
      <w:r w:rsidR="003F3B64" w:rsidRPr="00341289">
        <w:rPr>
          <w:rFonts w:cs="Times New Roman"/>
          <w:szCs w:val="24"/>
        </w:rPr>
        <w:t xml:space="preserve"> indicate significance levels.</w:t>
      </w:r>
      <w:r w:rsidR="003F3B64" w:rsidRPr="003F3B64">
        <w:rPr>
          <w:rFonts w:cs="Times New Roman"/>
          <w:color w:val="00B050"/>
          <w:szCs w:val="24"/>
        </w:rPr>
        <w:t xml:space="preserve"> </w:t>
      </w:r>
      <w:r w:rsidR="00341289">
        <w:rPr>
          <w:rFonts w:cs="Times New Roman"/>
          <w:color w:val="00B050"/>
          <w:szCs w:val="24"/>
        </w:rPr>
        <w:t xml:space="preserve"> </w:t>
      </w:r>
      <w:r w:rsidR="00341289" w:rsidRPr="00341289">
        <w:rPr>
          <w:rFonts w:cs="Times New Roman"/>
          <w:szCs w:val="24"/>
        </w:rPr>
        <w:t>Figure 5.1</w:t>
      </w:r>
      <w:r w:rsidR="003F3B64" w:rsidRPr="00341289">
        <w:rPr>
          <w:rFonts w:cs="Times New Roman"/>
          <w:szCs w:val="24"/>
        </w:rPr>
        <w:t xml:space="preserve"> reveal</w:t>
      </w:r>
      <w:r w:rsidR="00341289" w:rsidRPr="00341289">
        <w:rPr>
          <w:rFonts w:cs="Times New Roman"/>
          <w:szCs w:val="24"/>
        </w:rPr>
        <w:t>s that</w:t>
      </w:r>
      <w:r w:rsidR="00C86279">
        <w:rPr>
          <w:rFonts w:cs="Times New Roman"/>
          <w:szCs w:val="24"/>
        </w:rPr>
        <w:t xml:space="preserve"> a</w:t>
      </w:r>
      <w:r w:rsidR="00341289" w:rsidRPr="00341289">
        <w:rPr>
          <w:rFonts w:cs="Times New Roman"/>
          <w:szCs w:val="24"/>
        </w:rPr>
        <w:t xml:space="preserve"> justice’s moderation level </w:t>
      </w:r>
      <w:r w:rsidR="003F3B64" w:rsidRPr="00341289">
        <w:rPr>
          <w:rFonts w:cs="Times New Roman"/>
          <w:szCs w:val="24"/>
        </w:rPr>
        <w:t>does indeed mediate the influence of</w:t>
      </w:r>
      <w:r w:rsidR="00341289" w:rsidRPr="00341289">
        <w:rPr>
          <w:rFonts w:cs="Times New Roman"/>
          <w:szCs w:val="24"/>
        </w:rPr>
        <w:t xml:space="preserve"> amicus briefs, and</w:t>
      </w:r>
      <w:r w:rsidR="003F3B64" w:rsidRPr="00341289">
        <w:rPr>
          <w:rFonts w:cs="Times New Roman"/>
          <w:szCs w:val="24"/>
        </w:rPr>
        <w:t xml:space="preserve"> that this effect is</w:t>
      </w:r>
      <w:r w:rsidR="00341289" w:rsidRPr="00341289">
        <w:rPr>
          <w:rFonts w:cs="Times New Roman"/>
          <w:szCs w:val="24"/>
        </w:rPr>
        <w:t xml:space="preserve"> </w:t>
      </w:r>
      <w:r w:rsidR="001B14CD">
        <w:rPr>
          <w:rFonts w:cs="Times New Roman"/>
          <w:szCs w:val="24"/>
        </w:rPr>
        <w:t xml:space="preserve">in the expected direction and </w:t>
      </w:r>
      <w:r w:rsidR="00341289" w:rsidRPr="00341289">
        <w:rPr>
          <w:rFonts w:cs="Times New Roman"/>
          <w:szCs w:val="24"/>
        </w:rPr>
        <w:t>statistically significant</w:t>
      </w:r>
      <w:r w:rsidR="001B14CD">
        <w:rPr>
          <w:rFonts w:cs="Times New Roman"/>
          <w:szCs w:val="24"/>
        </w:rPr>
        <w:t xml:space="preserve"> for all justices with a </w:t>
      </w:r>
      <w:r w:rsidR="001B14CD">
        <w:rPr>
          <w:rFonts w:cs="Times New Roman"/>
          <w:i/>
          <w:szCs w:val="24"/>
        </w:rPr>
        <w:t xml:space="preserve">Judicial Moderation </w:t>
      </w:r>
      <w:r w:rsidR="001B14CD">
        <w:rPr>
          <w:rFonts w:cs="Times New Roman"/>
          <w:szCs w:val="24"/>
        </w:rPr>
        <w:t xml:space="preserve">score greater than 1 – which is every </w:t>
      </w:r>
      <w:r w:rsidR="003464A8">
        <w:rPr>
          <w:rFonts w:cs="Times New Roman"/>
          <w:szCs w:val="24"/>
        </w:rPr>
        <w:t>justice except Clarence Thomas (</w:t>
      </w:r>
      <w:r w:rsidR="001B14CD">
        <w:rPr>
          <w:rFonts w:cs="Times New Roman"/>
          <w:szCs w:val="24"/>
        </w:rPr>
        <w:t>who has a mean moderation score of .65</w:t>
      </w:r>
      <w:r w:rsidR="003464A8">
        <w:rPr>
          <w:rFonts w:cs="Times New Roman"/>
          <w:szCs w:val="24"/>
        </w:rPr>
        <w:t>)</w:t>
      </w:r>
      <w:r w:rsidR="00341289">
        <w:rPr>
          <w:rFonts w:cs="Times New Roman"/>
          <w:szCs w:val="24"/>
        </w:rPr>
        <w:t xml:space="preserve">.  </w:t>
      </w:r>
      <w:r w:rsidR="001B14CD">
        <w:rPr>
          <w:rFonts w:cs="Times New Roman"/>
          <w:szCs w:val="24"/>
        </w:rPr>
        <w:t>A</w:t>
      </w:r>
      <w:r w:rsidR="00341289" w:rsidRPr="00341289">
        <w:rPr>
          <w:rFonts w:cs="Times New Roman"/>
          <w:szCs w:val="24"/>
        </w:rPr>
        <w:t>s justices become more moderate, they are more influenced by a liberal-conservative amicus brief difference</w:t>
      </w:r>
      <w:r w:rsidR="003F3B64" w:rsidRPr="00341289">
        <w:rPr>
          <w:rFonts w:cs="Times New Roman"/>
          <w:szCs w:val="24"/>
        </w:rPr>
        <w:t xml:space="preserve">. </w:t>
      </w:r>
      <w:r w:rsidR="00341289">
        <w:rPr>
          <w:rFonts w:cs="Times New Roman"/>
          <w:szCs w:val="24"/>
        </w:rPr>
        <w:t xml:space="preserve"> </w:t>
      </w:r>
      <w:r w:rsidR="00341289" w:rsidRPr="003D7560">
        <w:rPr>
          <w:rFonts w:cs="Times New Roman"/>
          <w:szCs w:val="24"/>
        </w:rPr>
        <w:t>So, every justice on the Roberts Court except Thomas is more likely to vote in a liberal direction when there is an advantage of liberal amicus</w:t>
      </w:r>
      <w:r w:rsidR="00341289" w:rsidRPr="00ED3D6F">
        <w:rPr>
          <w:rFonts w:cs="Times New Roman"/>
          <w:color w:val="0070C0"/>
          <w:szCs w:val="24"/>
        </w:rPr>
        <w:t xml:space="preserve"> </w:t>
      </w:r>
      <w:r w:rsidR="00341289" w:rsidRPr="003D7560">
        <w:rPr>
          <w:rFonts w:cs="Times New Roman"/>
          <w:szCs w:val="24"/>
        </w:rPr>
        <w:t>briefs in a case</w:t>
      </w:r>
      <w:r w:rsidR="00891FD3" w:rsidRPr="006C120C">
        <w:rPr>
          <w:rFonts w:cs="Times New Roman"/>
          <w:szCs w:val="24"/>
        </w:rPr>
        <w:t>,</w:t>
      </w:r>
      <w:r w:rsidR="00C17F4F" w:rsidRPr="00891FD3">
        <w:rPr>
          <w:rFonts w:cs="Times New Roman"/>
          <w:szCs w:val="24"/>
        </w:rPr>
        <w:t xml:space="preserve"> holding all else equal</w:t>
      </w:r>
      <w:r w:rsidR="00341289" w:rsidRPr="00891FD3">
        <w:rPr>
          <w:rFonts w:cs="Times New Roman"/>
          <w:szCs w:val="24"/>
        </w:rPr>
        <w:t>.</w:t>
      </w:r>
      <w:r w:rsidR="00891FD3">
        <w:rPr>
          <w:rFonts w:cs="Times New Roman"/>
          <w:color w:val="FF0000"/>
          <w:szCs w:val="24"/>
        </w:rPr>
        <w:t xml:space="preserve">  </w:t>
      </w:r>
      <w:r w:rsidR="006B7422">
        <w:rPr>
          <w:rFonts w:cs="Times New Roman"/>
          <w:szCs w:val="24"/>
        </w:rPr>
        <w:t xml:space="preserve">The </w:t>
      </w:r>
      <w:r w:rsidR="00C86279" w:rsidRPr="00891FD3">
        <w:rPr>
          <w:rFonts w:cs="Times New Roman"/>
          <w:szCs w:val="24"/>
        </w:rPr>
        <w:t>marginal effects</w:t>
      </w:r>
      <w:r w:rsidR="006B7422">
        <w:rPr>
          <w:rFonts w:cs="Times New Roman"/>
          <w:szCs w:val="24"/>
        </w:rPr>
        <w:t xml:space="preserve"> graph shows that there is an approximately 4 percent increase in the likelihood </w:t>
      </w:r>
      <w:r w:rsidR="00C86279" w:rsidRPr="00891FD3">
        <w:rPr>
          <w:rFonts w:cs="Times New Roman"/>
          <w:szCs w:val="24"/>
        </w:rPr>
        <w:t>of a liberal vote for justice with a moderat</w:t>
      </w:r>
      <w:r w:rsidR="006C120C">
        <w:rPr>
          <w:rFonts w:cs="Times New Roman"/>
          <w:szCs w:val="24"/>
        </w:rPr>
        <w:t xml:space="preserve">ion score of 1.69 (Scalia), and a </w:t>
      </w:r>
      <w:r w:rsidR="00891FD3">
        <w:rPr>
          <w:rFonts w:cs="Times New Roman"/>
          <w:szCs w:val="24"/>
        </w:rPr>
        <w:t>7.5</w:t>
      </w:r>
      <w:r w:rsidR="00C86279" w:rsidRPr="00891FD3">
        <w:rPr>
          <w:rFonts w:cs="Times New Roman"/>
          <w:szCs w:val="24"/>
        </w:rPr>
        <w:t xml:space="preserve"> percent increase in the likelihood of a liberal vote for a justice with a moderation score of 4.02 (Kennedy)</w:t>
      </w:r>
      <w:r w:rsidR="0039459D">
        <w:rPr>
          <w:rFonts w:cs="Times New Roman"/>
          <w:szCs w:val="24"/>
        </w:rPr>
        <w:t xml:space="preserve"> when there is an advantage of liberal briefs</w:t>
      </w:r>
      <w:r w:rsidR="00C86279" w:rsidRPr="00891FD3">
        <w:rPr>
          <w:rFonts w:cs="Times New Roman"/>
          <w:szCs w:val="24"/>
        </w:rPr>
        <w:t xml:space="preserve">.  </w:t>
      </w:r>
    </w:p>
    <w:p w:rsidR="00770BC8" w:rsidRDefault="0039459D" w:rsidP="00016491">
      <w:pPr>
        <w:autoSpaceDE w:val="0"/>
        <w:autoSpaceDN w:val="0"/>
        <w:adjustRightInd w:val="0"/>
        <w:spacing w:line="480" w:lineRule="auto"/>
        <w:ind w:left="0" w:firstLine="720"/>
        <w:rPr>
          <w:rFonts w:cs="Times New Roman"/>
          <w:szCs w:val="24"/>
        </w:rPr>
      </w:pPr>
      <w:r>
        <w:rPr>
          <w:rFonts w:cs="Times New Roman"/>
          <w:szCs w:val="24"/>
        </w:rPr>
        <w:t>These results demonstrate that amicus briefs influence almost all of the justices on the Roberts Court (except for Justice Thomas), and that this influence becomes more pronounced as the justices become more moderate in their ideologies</w:t>
      </w:r>
      <w:r w:rsidR="00770BC8">
        <w:rPr>
          <w:rFonts w:cs="Times New Roman"/>
          <w:szCs w:val="24"/>
        </w:rPr>
        <w:t>.  These results are</w:t>
      </w:r>
      <w:r>
        <w:rPr>
          <w:rFonts w:cs="Times New Roman"/>
          <w:szCs w:val="24"/>
        </w:rPr>
        <w:t xml:space="preserve"> consistent with the </w:t>
      </w:r>
      <w:r w:rsidR="00DF2473">
        <w:rPr>
          <w:rFonts w:cs="Times New Roman"/>
          <w:szCs w:val="24"/>
        </w:rPr>
        <w:t>findings of Collins (2008)</w:t>
      </w:r>
      <w:r>
        <w:rPr>
          <w:rFonts w:cs="Times New Roman"/>
          <w:szCs w:val="24"/>
        </w:rPr>
        <w:t xml:space="preserve"> regarding amicus influence on the USSC </w:t>
      </w:r>
      <w:r w:rsidR="00770BC8">
        <w:rPr>
          <w:rFonts w:cs="Times New Roman"/>
          <w:szCs w:val="24"/>
        </w:rPr>
        <w:t xml:space="preserve">justices </w:t>
      </w:r>
      <w:proofErr w:type="gramStart"/>
      <w:r>
        <w:rPr>
          <w:rFonts w:cs="Times New Roman"/>
          <w:szCs w:val="24"/>
        </w:rPr>
        <w:t>between 1946-2001</w:t>
      </w:r>
      <w:proofErr w:type="gramEnd"/>
      <w:r>
        <w:rPr>
          <w:rFonts w:cs="Times New Roman"/>
          <w:szCs w:val="24"/>
        </w:rPr>
        <w:t>.</w:t>
      </w:r>
      <w:r w:rsidR="00770BC8">
        <w:rPr>
          <w:rFonts w:cs="Times New Roman"/>
          <w:szCs w:val="24"/>
        </w:rPr>
        <w:t xml:space="preserve"> These findings support my information/legal persuasion hypotheses and my median justice hypotheses regarding amicus brief influence.  </w:t>
      </w:r>
    </w:p>
    <w:p w:rsidR="005B5068" w:rsidRDefault="00284A98" w:rsidP="004B7055">
      <w:pPr>
        <w:autoSpaceDE w:val="0"/>
        <w:autoSpaceDN w:val="0"/>
        <w:adjustRightInd w:val="0"/>
        <w:spacing w:line="480" w:lineRule="auto"/>
        <w:ind w:left="0" w:firstLine="720"/>
        <w:rPr>
          <w:rFonts w:cs="Times New Roman"/>
          <w:szCs w:val="24"/>
        </w:rPr>
      </w:pPr>
      <w:r>
        <w:rPr>
          <w:rFonts w:cs="Times New Roman"/>
          <w:szCs w:val="24"/>
        </w:rPr>
        <w:t xml:space="preserve">Although there is clearly a statistically significant influence of amicus brief advantage for all but one of the justices, the above information is limited in that it does not </w:t>
      </w:r>
      <w:r w:rsidR="002C2B8C">
        <w:rPr>
          <w:rFonts w:cs="Times New Roman"/>
          <w:szCs w:val="24"/>
        </w:rPr>
        <w:t xml:space="preserve">adequately </w:t>
      </w:r>
      <w:r w:rsidR="005B5068">
        <w:rPr>
          <w:rFonts w:cs="Times New Roman"/>
          <w:szCs w:val="24"/>
        </w:rPr>
        <w:t>depict</w:t>
      </w:r>
      <w:r>
        <w:rPr>
          <w:rFonts w:cs="Times New Roman"/>
          <w:szCs w:val="24"/>
        </w:rPr>
        <w:t xml:space="preserve"> how the i</w:t>
      </w:r>
      <w:r w:rsidR="002C2B8C">
        <w:rPr>
          <w:rFonts w:cs="Times New Roman"/>
          <w:szCs w:val="24"/>
        </w:rPr>
        <w:t xml:space="preserve">mpact of amicus briefs </w:t>
      </w:r>
      <w:r>
        <w:rPr>
          <w:rFonts w:cs="Times New Roman"/>
          <w:szCs w:val="24"/>
        </w:rPr>
        <w:t>in a case</w:t>
      </w:r>
      <w:r w:rsidR="002C2B8C">
        <w:rPr>
          <w:rFonts w:cs="Times New Roman"/>
          <w:szCs w:val="24"/>
        </w:rPr>
        <w:t xml:space="preserve"> changes as both the </w:t>
      </w:r>
      <w:r>
        <w:rPr>
          <w:rFonts w:cs="Times New Roman"/>
          <w:szCs w:val="24"/>
        </w:rPr>
        <w:t>numerical advantage</w:t>
      </w:r>
      <w:r w:rsidR="002C2B8C">
        <w:rPr>
          <w:rFonts w:cs="Times New Roman"/>
          <w:szCs w:val="24"/>
        </w:rPr>
        <w:t xml:space="preserve"> of amicus briefs</w:t>
      </w:r>
      <w:r>
        <w:rPr>
          <w:rFonts w:cs="Times New Roman"/>
          <w:szCs w:val="24"/>
        </w:rPr>
        <w:t xml:space="preserve"> increases or decreases and as judicial moderation scores vary</w:t>
      </w:r>
      <w:r w:rsidR="004B7055">
        <w:rPr>
          <w:rFonts w:cs="Times New Roman"/>
          <w:szCs w:val="24"/>
        </w:rPr>
        <w:t xml:space="preserve"> in other meaningful ways</w:t>
      </w:r>
      <w:r>
        <w:rPr>
          <w:rFonts w:cs="Times New Roman"/>
          <w:szCs w:val="24"/>
        </w:rPr>
        <w:t>.</w:t>
      </w:r>
      <w:r w:rsidR="002C2B8C">
        <w:rPr>
          <w:rFonts w:cs="Times New Roman"/>
          <w:szCs w:val="24"/>
        </w:rPr>
        <w:t xml:space="preserve">   </w:t>
      </w:r>
      <w:r w:rsidR="002C2B8C">
        <w:rPr>
          <w:rFonts w:cs="Times New Roman"/>
          <w:szCs w:val="24"/>
        </w:rPr>
        <w:lastRenderedPageBreak/>
        <w:t xml:space="preserve">Thus, Table </w:t>
      </w:r>
      <w:r w:rsidR="0008667A">
        <w:rPr>
          <w:rFonts w:cs="Times New Roman"/>
          <w:szCs w:val="24"/>
        </w:rPr>
        <w:t>A.4, located in the Appendix,</w:t>
      </w:r>
      <w:r w:rsidR="002C2B8C">
        <w:rPr>
          <w:rFonts w:cs="Times New Roman"/>
          <w:szCs w:val="24"/>
        </w:rPr>
        <w:t xml:space="preserve"> provides predicted probabilities </w:t>
      </w:r>
      <w:r w:rsidR="005B5068">
        <w:rPr>
          <w:rFonts w:cs="Times New Roman"/>
          <w:szCs w:val="24"/>
        </w:rPr>
        <w:t>of observing</w:t>
      </w:r>
      <w:r w:rsidR="002C2B8C">
        <w:rPr>
          <w:rFonts w:cs="Times New Roman"/>
          <w:szCs w:val="24"/>
        </w:rPr>
        <w:t xml:space="preserve"> a liberal justice vote at varying levels of amicus brief advantage and judicial moderation</w:t>
      </w:r>
      <w:r w:rsidR="005B5068">
        <w:rPr>
          <w:rFonts w:cs="Times New Roman"/>
          <w:szCs w:val="24"/>
        </w:rPr>
        <w:t xml:space="preserve">, holding all other variables at their mean or </w:t>
      </w:r>
      <w:proofErr w:type="spellStart"/>
      <w:r w:rsidR="005B5068">
        <w:rPr>
          <w:rFonts w:cs="Times New Roman"/>
          <w:szCs w:val="24"/>
        </w:rPr>
        <w:t>modal</w:t>
      </w:r>
      <w:proofErr w:type="spellEnd"/>
      <w:r w:rsidR="005B5068">
        <w:rPr>
          <w:rFonts w:cs="Times New Roman"/>
          <w:szCs w:val="24"/>
        </w:rPr>
        <w:t xml:space="preserve"> values</w:t>
      </w:r>
      <w:r w:rsidR="002C2B8C">
        <w:rPr>
          <w:rFonts w:cs="Times New Roman"/>
          <w:szCs w:val="24"/>
        </w:rPr>
        <w:t xml:space="preserve">. </w:t>
      </w:r>
      <w:r w:rsidR="005B5068">
        <w:rPr>
          <w:rFonts w:cs="Times New Roman"/>
          <w:szCs w:val="24"/>
        </w:rPr>
        <w:t>For purposes</w:t>
      </w:r>
      <w:r w:rsidR="0008667A">
        <w:rPr>
          <w:rFonts w:cs="Times New Roman"/>
          <w:szCs w:val="24"/>
        </w:rPr>
        <w:t xml:space="preserve"> of Table A.4</w:t>
      </w:r>
      <w:r w:rsidR="005B5068">
        <w:rPr>
          <w:rFonts w:cs="Times New Roman"/>
          <w:szCs w:val="24"/>
        </w:rPr>
        <w:t>, the mean moderate justice is classified as having a judicial moderation score at the mean (2.43), the less moderate justice is classified as having a judicial moderation score at the 25th percentile (2.0), the more moderate justice is classified as having a moderation score at the 75th</w:t>
      </w:r>
      <w:r w:rsidR="004B7055">
        <w:rPr>
          <w:rFonts w:cs="Times New Roman"/>
          <w:szCs w:val="24"/>
        </w:rPr>
        <w:t xml:space="preserve"> percentile (2.84), </w:t>
      </w:r>
      <w:r w:rsidR="005B5068">
        <w:rPr>
          <w:rFonts w:cs="Times New Roman"/>
          <w:szCs w:val="24"/>
        </w:rPr>
        <w:t>the least moderate justice has a moderation score of 0, and the most moderate justice has a moderation score of 4.02.</w:t>
      </w:r>
      <w:r w:rsidR="004B7055">
        <w:rPr>
          <w:rFonts w:cs="Times New Roman"/>
          <w:szCs w:val="24"/>
        </w:rPr>
        <w:t xml:space="preserve">   </w:t>
      </w:r>
      <w:r w:rsidR="002C2B8C">
        <w:rPr>
          <w:rFonts w:cs="Times New Roman"/>
          <w:szCs w:val="24"/>
        </w:rPr>
        <w:t xml:space="preserve"> </w:t>
      </w:r>
    </w:p>
    <w:p w:rsidR="00EF3047" w:rsidRDefault="0008667A" w:rsidP="00016491">
      <w:pPr>
        <w:autoSpaceDE w:val="0"/>
        <w:autoSpaceDN w:val="0"/>
        <w:adjustRightInd w:val="0"/>
        <w:spacing w:line="480" w:lineRule="auto"/>
        <w:ind w:left="0" w:firstLine="720"/>
        <w:rPr>
          <w:rFonts w:cs="Times New Roman"/>
          <w:szCs w:val="24"/>
        </w:rPr>
      </w:pPr>
      <w:r>
        <w:rPr>
          <w:rFonts w:cs="Times New Roman"/>
          <w:szCs w:val="24"/>
        </w:rPr>
        <w:t>Table A.4</w:t>
      </w:r>
      <w:r w:rsidR="002C2B8C">
        <w:rPr>
          <w:rFonts w:cs="Times New Roman"/>
          <w:szCs w:val="24"/>
        </w:rPr>
        <w:t xml:space="preserve"> </w:t>
      </w:r>
      <w:r w:rsidR="008F600A">
        <w:rPr>
          <w:rFonts w:cs="Times New Roman"/>
          <w:szCs w:val="24"/>
        </w:rPr>
        <w:t>conveys two</w:t>
      </w:r>
      <w:r w:rsidR="00BA473D">
        <w:rPr>
          <w:rFonts w:cs="Times New Roman"/>
          <w:szCs w:val="24"/>
        </w:rPr>
        <w:t xml:space="preserve"> significant pieces of information</w:t>
      </w:r>
      <w:r w:rsidR="00143AE3">
        <w:rPr>
          <w:rFonts w:cs="Times New Roman"/>
          <w:szCs w:val="24"/>
        </w:rPr>
        <w:t xml:space="preserve"> regarding amicus brief influence</w:t>
      </w:r>
      <w:r w:rsidR="005737DF">
        <w:rPr>
          <w:rFonts w:cs="Times New Roman"/>
          <w:szCs w:val="24"/>
        </w:rPr>
        <w:t xml:space="preserve"> that bolster the findings of the marginal effects graph and the primary all-inclusive </w:t>
      </w:r>
      <w:proofErr w:type="spellStart"/>
      <w:r w:rsidR="005737DF">
        <w:rPr>
          <w:rFonts w:cs="Times New Roman"/>
          <w:szCs w:val="24"/>
        </w:rPr>
        <w:t>logit</w:t>
      </w:r>
      <w:proofErr w:type="spellEnd"/>
      <w:r w:rsidR="005737DF">
        <w:rPr>
          <w:rFonts w:cs="Times New Roman"/>
          <w:szCs w:val="24"/>
        </w:rPr>
        <w:t xml:space="preserve"> model</w:t>
      </w:r>
      <w:r w:rsidR="00143AE3">
        <w:rPr>
          <w:rFonts w:cs="Times New Roman"/>
          <w:szCs w:val="24"/>
        </w:rPr>
        <w:t>.</w:t>
      </w:r>
      <w:r w:rsidR="005737DF">
        <w:rPr>
          <w:rFonts w:cs="Times New Roman"/>
          <w:szCs w:val="24"/>
        </w:rPr>
        <w:t xml:space="preserve"> First, as expected, Table A.4</w:t>
      </w:r>
      <w:r w:rsidR="00BA473D">
        <w:rPr>
          <w:rFonts w:cs="Times New Roman"/>
          <w:szCs w:val="24"/>
        </w:rPr>
        <w:t xml:space="preserve"> </w:t>
      </w:r>
      <w:r w:rsidR="002C2B8C">
        <w:rPr>
          <w:rFonts w:cs="Times New Roman"/>
          <w:szCs w:val="24"/>
        </w:rPr>
        <w:t xml:space="preserve">shows that when </w:t>
      </w:r>
      <w:r w:rsidR="00F946BF">
        <w:rPr>
          <w:rFonts w:cs="Times New Roman"/>
          <w:szCs w:val="24"/>
        </w:rPr>
        <w:t xml:space="preserve">the justices </w:t>
      </w:r>
      <w:r w:rsidR="002C2B8C">
        <w:rPr>
          <w:rFonts w:cs="Times New Roman"/>
          <w:szCs w:val="24"/>
        </w:rPr>
        <w:t>encounter an increasing ideological advantage of briefs, the influence of those briefs increases</w:t>
      </w:r>
      <w:r w:rsidR="00BA473D">
        <w:rPr>
          <w:rFonts w:cs="Times New Roman"/>
          <w:szCs w:val="24"/>
        </w:rPr>
        <w:t>, as the justices become more likely to vote in the direction of amicus brief advantage as the advantage becomes more pronounced</w:t>
      </w:r>
      <w:r w:rsidR="00F946BF">
        <w:rPr>
          <w:rFonts w:cs="Times New Roman"/>
          <w:szCs w:val="24"/>
        </w:rPr>
        <w:t>.</w:t>
      </w:r>
      <w:r w:rsidR="00BA473D">
        <w:rPr>
          <w:rFonts w:cs="Times New Roman"/>
          <w:szCs w:val="24"/>
        </w:rPr>
        <w:t xml:space="preserve">  This effect holds</w:t>
      </w:r>
      <w:r w:rsidR="00E8282B">
        <w:rPr>
          <w:rFonts w:cs="Times New Roman"/>
          <w:szCs w:val="24"/>
        </w:rPr>
        <w:t xml:space="preserve"> true for justices across </w:t>
      </w:r>
      <w:r w:rsidR="00BA473D">
        <w:rPr>
          <w:rFonts w:cs="Times New Roman"/>
          <w:szCs w:val="24"/>
        </w:rPr>
        <w:t xml:space="preserve">varying moderation levels. </w:t>
      </w:r>
      <w:r w:rsidR="00EF3047">
        <w:rPr>
          <w:rFonts w:cs="Times New Roman"/>
          <w:szCs w:val="24"/>
        </w:rPr>
        <w:t xml:space="preserve">Second, Table A.4 shows that as the justices become more moderate, they are more susceptible to amicus impact, as they typically become even more likely to vote in the direction of the amicus brief advantage as their moderation levels increase.  </w:t>
      </w:r>
    </w:p>
    <w:p w:rsidR="00EF3047" w:rsidRDefault="00BA473D" w:rsidP="00016491">
      <w:pPr>
        <w:autoSpaceDE w:val="0"/>
        <w:autoSpaceDN w:val="0"/>
        <w:adjustRightInd w:val="0"/>
        <w:spacing w:line="480" w:lineRule="auto"/>
        <w:ind w:left="0" w:firstLine="720"/>
        <w:rPr>
          <w:rFonts w:cs="Times New Roman"/>
          <w:szCs w:val="24"/>
        </w:rPr>
      </w:pPr>
      <w:r>
        <w:rPr>
          <w:rFonts w:cs="Times New Roman"/>
          <w:szCs w:val="24"/>
        </w:rPr>
        <w:t>For example,</w:t>
      </w:r>
      <w:r w:rsidR="00D9573E">
        <w:rPr>
          <w:rFonts w:cs="Times New Roman"/>
          <w:szCs w:val="24"/>
        </w:rPr>
        <w:t xml:space="preserve"> </w:t>
      </w:r>
      <w:r w:rsidR="00EF3047">
        <w:rPr>
          <w:rFonts w:cs="Times New Roman"/>
          <w:szCs w:val="24"/>
        </w:rPr>
        <w:t>compared to a case in which there is an 1 brief conservative advantage, in a case in which there is an 1 brief liberal advantage, the least moderate justice is 1 percent more likely to vote liberally, the less moderate justice is 2 percent more likely to vote liberally, the mean moderate justice is 2.4 percent more likely to vote liberally, the more moderate justice is 3 percent more likely to vote liberally, and the most moderate justice is 3.4 percent more likely to vote liberally.  C</w:t>
      </w:r>
      <w:r w:rsidR="00D9573E">
        <w:rPr>
          <w:rFonts w:cs="Times New Roman"/>
          <w:szCs w:val="24"/>
        </w:rPr>
        <w:t xml:space="preserve">ompared with a case in which there is a 3 brief conservative advantage, in a case </w:t>
      </w:r>
      <w:r w:rsidR="00D9573E">
        <w:rPr>
          <w:rFonts w:cs="Times New Roman"/>
          <w:szCs w:val="24"/>
        </w:rPr>
        <w:lastRenderedPageBreak/>
        <w:t>in which there is a 3 brief liberal advantage, the least moderate justice is 2 percent more likely to vote liberally, the less moderate justice is 6 percent more likely to vote liberally, the mean moderate justice is 6 percent more likely to vote liberally, the more moderate justice is 7 percent more likely to vote liberally, and the most moderate justice is 10 percent more likely to vote liberally.</w:t>
      </w:r>
      <w:r>
        <w:rPr>
          <w:rFonts w:cs="Times New Roman"/>
          <w:szCs w:val="24"/>
        </w:rPr>
        <w:t xml:space="preserve"> </w:t>
      </w:r>
      <w:r w:rsidR="00E8282B">
        <w:rPr>
          <w:rFonts w:cs="Times New Roman"/>
          <w:szCs w:val="24"/>
        </w:rPr>
        <w:t>Also, compared with a case in which there is a 10 brief conservative advantage, in a case in which there is a 10 brief liberal advantage, the least moderate justice is 7 percent more likely to vote liberally, the less moderate justice is 21 percent more likely to vote liberally, the mean moderate justice is 24 percent more likely to vote liberally, the more moderate justice is 26 percent more likely to vote liberally, and the most moderate justice is 33 percent more likely to vote liberally.</w:t>
      </w:r>
      <w:r w:rsidR="00D9573E">
        <w:rPr>
          <w:rFonts w:cs="Times New Roman"/>
          <w:szCs w:val="24"/>
        </w:rPr>
        <w:t xml:space="preserve">  </w:t>
      </w:r>
      <w:r w:rsidR="00143AE3">
        <w:rPr>
          <w:rFonts w:cs="Times New Roman"/>
          <w:szCs w:val="24"/>
        </w:rPr>
        <w:t xml:space="preserve">And </w:t>
      </w:r>
      <w:r w:rsidR="008F600A">
        <w:rPr>
          <w:rFonts w:cs="Times New Roman"/>
          <w:szCs w:val="24"/>
        </w:rPr>
        <w:t xml:space="preserve">compared to a case in which there is </w:t>
      </w:r>
      <w:r w:rsidR="00143AE3">
        <w:rPr>
          <w:rFonts w:cs="Times New Roman"/>
          <w:szCs w:val="24"/>
        </w:rPr>
        <w:t>a</w:t>
      </w:r>
      <w:r w:rsidR="008F600A">
        <w:rPr>
          <w:rFonts w:cs="Times New Roman"/>
          <w:szCs w:val="24"/>
        </w:rPr>
        <w:t xml:space="preserve"> </w:t>
      </w:r>
      <w:r w:rsidR="00143AE3">
        <w:rPr>
          <w:rFonts w:cs="Times New Roman"/>
          <w:szCs w:val="24"/>
        </w:rPr>
        <w:t>15</w:t>
      </w:r>
      <w:r w:rsidR="008F600A">
        <w:rPr>
          <w:rFonts w:cs="Times New Roman"/>
          <w:szCs w:val="24"/>
        </w:rPr>
        <w:t xml:space="preserve"> brief conservative advantage, in a case in which there is a </w:t>
      </w:r>
      <w:r w:rsidR="00143AE3">
        <w:rPr>
          <w:rFonts w:cs="Times New Roman"/>
          <w:szCs w:val="24"/>
        </w:rPr>
        <w:t>15</w:t>
      </w:r>
      <w:r w:rsidR="008F600A">
        <w:rPr>
          <w:rFonts w:cs="Times New Roman"/>
          <w:szCs w:val="24"/>
        </w:rPr>
        <w:t xml:space="preserve"> brief liberal advantage, the least moderate justice is </w:t>
      </w:r>
      <w:r w:rsidR="00143AE3">
        <w:rPr>
          <w:rFonts w:cs="Times New Roman"/>
          <w:szCs w:val="24"/>
        </w:rPr>
        <w:t>1</w:t>
      </w:r>
      <w:r w:rsidR="008F600A">
        <w:rPr>
          <w:rFonts w:cs="Times New Roman"/>
          <w:szCs w:val="24"/>
        </w:rPr>
        <w:t>1 percent more likely to vote liberally, the</w:t>
      </w:r>
      <w:r w:rsidR="00143AE3">
        <w:rPr>
          <w:rFonts w:cs="Times New Roman"/>
          <w:szCs w:val="24"/>
        </w:rPr>
        <w:t xml:space="preserve"> less moderate justice is 30.7</w:t>
      </w:r>
      <w:r w:rsidR="008F600A">
        <w:rPr>
          <w:rFonts w:cs="Times New Roman"/>
          <w:szCs w:val="24"/>
        </w:rPr>
        <w:t xml:space="preserve"> percent more likely to vote liberally, the mean moderate justice is </w:t>
      </w:r>
      <w:r w:rsidR="00143AE3">
        <w:rPr>
          <w:rFonts w:cs="Times New Roman"/>
          <w:szCs w:val="24"/>
        </w:rPr>
        <w:t>34.7</w:t>
      </w:r>
      <w:r w:rsidR="008F600A">
        <w:rPr>
          <w:rFonts w:cs="Times New Roman"/>
          <w:szCs w:val="24"/>
        </w:rPr>
        <w:t xml:space="preserve"> percent more likely to vote liberally, the</w:t>
      </w:r>
      <w:r w:rsidR="00143AE3">
        <w:rPr>
          <w:rFonts w:cs="Times New Roman"/>
          <w:szCs w:val="24"/>
        </w:rPr>
        <w:t xml:space="preserve"> more moderate justice is</w:t>
      </w:r>
      <w:r w:rsidR="008F600A">
        <w:rPr>
          <w:rFonts w:cs="Times New Roman"/>
          <w:szCs w:val="24"/>
        </w:rPr>
        <w:t xml:space="preserve"> 3</w:t>
      </w:r>
      <w:r w:rsidR="00143AE3">
        <w:rPr>
          <w:rFonts w:cs="Times New Roman"/>
          <w:szCs w:val="24"/>
        </w:rPr>
        <w:t>9</w:t>
      </w:r>
      <w:r w:rsidR="008F600A">
        <w:rPr>
          <w:rFonts w:cs="Times New Roman"/>
          <w:szCs w:val="24"/>
        </w:rPr>
        <w:t xml:space="preserve"> percent more likely to vote liberally, and the most </w:t>
      </w:r>
      <w:r w:rsidR="00143AE3">
        <w:rPr>
          <w:rFonts w:cs="Times New Roman"/>
          <w:szCs w:val="24"/>
        </w:rPr>
        <w:t>moderate justice is almost 48</w:t>
      </w:r>
      <w:r w:rsidR="008F600A">
        <w:rPr>
          <w:rFonts w:cs="Times New Roman"/>
          <w:szCs w:val="24"/>
        </w:rPr>
        <w:t xml:space="preserve"> percent more likely to vote liberally. </w:t>
      </w:r>
    </w:p>
    <w:p w:rsidR="0052419A" w:rsidRDefault="00D9573E" w:rsidP="0052419A">
      <w:pPr>
        <w:autoSpaceDE w:val="0"/>
        <w:autoSpaceDN w:val="0"/>
        <w:adjustRightInd w:val="0"/>
        <w:spacing w:line="480" w:lineRule="auto"/>
        <w:ind w:left="0" w:firstLine="720"/>
        <w:rPr>
          <w:rFonts w:cs="Times New Roman"/>
          <w:szCs w:val="24"/>
        </w:rPr>
      </w:pPr>
      <w:r>
        <w:rPr>
          <w:rFonts w:cs="Times New Roman"/>
          <w:szCs w:val="24"/>
        </w:rPr>
        <w:t>In short, Table A.4</w:t>
      </w:r>
      <w:r w:rsidR="00E8282B">
        <w:rPr>
          <w:rFonts w:cs="Times New Roman"/>
          <w:szCs w:val="24"/>
        </w:rPr>
        <w:t xml:space="preserve"> shows that the greater the amicus brief advantage in a case, the more pronounced the</w:t>
      </w:r>
      <w:r w:rsidR="001B40E1">
        <w:rPr>
          <w:rFonts w:cs="Times New Roman"/>
          <w:szCs w:val="24"/>
        </w:rPr>
        <w:t xml:space="preserve"> impact of the</w:t>
      </w:r>
      <w:r w:rsidR="00E8282B">
        <w:rPr>
          <w:rFonts w:cs="Times New Roman"/>
          <w:szCs w:val="24"/>
        </w:rPr>
        <w:t xml:space="preserve"> amicus</w:t>
      </w:r>
      <w:r w:rsidR="00143AE3">
        <w:rPr>
          <w:rFonts w:cs="Times New Roman"/>
          <w:szCs w:val="24"/>
        </w:rPr>
        <w:t xml:space="preserve"> advantage</w:t>
      </w:r>
      <w:r>
        <w:rPr>
          <w:rFonts w:cs="Times New Roman"/>
          <w:szCs w:val="24"/>
        </w:rPr>
        <w:t xml:space="preserve">.  </w:t>
      </w:r>
      <w:r w:rsidR="00143AE3">
        <w:rPr>
          <w:rFonts w:cs="Times New Roman"/>
          <w:szCs w:val="24"/>
        </w:rPr>
        <w:t>Further, the greater</w:t>
      </w:r>
      <w:r w:rsidR="001B40E1">
        <w:rPr>
          <w:rFonts w:cs="Times New Roman"/>
          <w:szCs w:val="24"/>
        </w:rPr>
        <w:t xml:space="preserve"> the moderation</w:t>
      </w:r>
      <w:r w:rsidR="00143AE3">
        <w:rPr>
          <w:rFonts w:cs="Times New Roman"/>
          <w:szCs w:val="24"/>
        </w:rPr>
        <w:t xml:space="preserve"> of the justice, the greater </w:t>
      </w:r>
      <w:r w:rsidR="001B40E1">
        <w:rPr>
          <w:rFonts w:cs="Times New Roman"/>
          <w:szCs w:val="24"/>
        </w:rPr>
        <w:t xml:space="preserve">the influence of </w:t>
      </w:r>
      <w:r w:rsidR="00143AE3">
        <w:rPr>
          <w:rFonts w:cs="Times New Roman"/>
          <w:szCs w:val="24"/>
        </w:rPr>
        <w:t>amicus brief</w:t>
      </w:r>
      <w:r w:rsidR="001B40E1">
        <w:rPr>
          <w:rFonts w:cs="Times New Roman"/>
          <w:szCs w:val="24"/>
        </w:rPr>
        <w:t xml:space="preserve"> advantage becomes</w:t>
      </w:r>
      <w:r w:rsidR="0052419A">
        <w:rPr>
          <w:rFonts w:cs="Times New Roman"/>
          <w:szCs w:val="24"/>
        </w:rPr>
        <w:t>.</w:t>
      </w:r>
      <w:r w:rsidR="00143AE3">
        <w:rPr>
          <w:rFonts w:cs="Times New Roman"/>
          <w:szCs w:val="24"/>
        </w:rPr>
        <w:t xml:space="preserve"> </w:t>
      </w:r>
      <w:r w:rsidR="001B40E1">
        <w:rPr>
          <w:rFonts w:cs="Times New Roman"/>
          <w:szCs w:val="24"/>
        </w:rPr>
        <w:t xml:space="preserve"> These results corroborate the findings of Model 1 and Figure 5.1.</w:t>
      </w:r>
      <w:r w:rsidR="0052419A">
        <w:rPr>
          <w:rFonts w:cs="Times New Roman"/>
          <w:szCs w:val="24"/>
        </w:rPr>
        <w:t xml:space="preserve"> The degree of</w:t>
      </w:r>
      <w:r w:rsidR="001B40E1">
        <w:rPr>
          <w:rFonts w:cs="Times New Roman"/>
          <w:szCs w:val="24"/>
        </w:rPr>
        <w:t xml:space="preserve"> </w:t>
      </w:r>
      <w:r w:rsidR="0052419A">
        <w:rPr>
          <w:rFonts w:cs="Times New Roman"/>
          <w:szCs w:val="24"/>
        </w:rPr>
        <w:t>amicus brief impact in a case is related to both the numerical ideological disparity of briefs and the moderation levels of the justices.</w:t>
      </w:r>
    </w:p>
    <w:p w:rsidR="005B5068" w:rsidRPr="0052419A" w:rsidRDefault="0052419A" w:rsidP="0052419A">
      <w:pPr>
        <w:autoSpaceDE w:val="0"/>
        <w:autoSpaceDN w:val="0"/>
        <w:adjustRightInd w:val="0"/>
        <w:spacing w:line="480" w:lineRule="auto"/>
        <w:ind w:left="0" w:firstLine="0"/>
        <w:rPr>
          <w:rFonts w:cs="Times New Roman"/>
          <w:szCs w:val="24"/>
        </w:rPr>
      </w:pPr>
      <w:r>
        <w:rPr>
          <w:rFonts w:cs="Times New Roman"/>
          <w:szCs w:val="24"/>
        </w:rPr>
        <w:t>T</w:t>
      </w:r>
      <w:r w:rsidR="001B40E1">
        <w:rPr>
          <w:rFonts w:cs="Times New Roman"/>
          <w:szCs w:val="24"/>
        </w:rPr>
        <w:t>hese</w:t>
      </w:r>
      <w:r w:rsidR="00D9573E">
        <w:rPr>
          <w:rFonts w:cs="Times New Roman"/>
          <w:szCs w:val="24"/>
        </w:rPr>
        <w:t xml:space="preserve"> result</w:t>
      </w:r>
      <w:r w:rsidR="008F600A">
        <w:rPr>
          <w:rFonts w:cs="Times New Roman"/>
          <w:szCs w:val="24"/>
        </w:rPr>
        <w:t xml:space="preserve">s </w:t>
      </w:r>
      <w:r w:rsidR="001B40E1">
        <w:rPr>
          <w:rFonts w:cs="Times New Roman"/>
          <w:szCs w:val="24"/>
        </w:rPr>
        <w:t xml:space="preserve">provide strong </w:t>
      </w:r>
      <w:r w:rsidR="008F600A">
        <w:rPr>
          <w:rFonts w:cs="Times New Roman"/>
          <w:szCs w:val="24"/>
        </w:rPr>
        <w:t>support</w:t>
      </w:r>
      <w:r w:rsidR="001B40E1">
        <w:rPr>
          <w:rFonts w:cs="Times New Roman"/>
          <w:szCs w:val="24"/>
        </w:rPr>
        <w:t xml:space="preserve"> for</w:t>
      </w:r>
      <w:r w:rsidR="00D9573E">
        <w:rPr>
          <w:rFonts w:cs="Times New Roman"/>
          <w:szCs w:val="24"/>
        </w:rPr>
        <w:t xml:space="preserve"> my </w:t>
      </w:r>
      <w:r w:rsidR="001B40E1">
        <w:rPr>
          <w:rFonts w:cs="Times New Roman"/>
          <w:szCs w:val="24"/>
        </w:rPr>
        <w:t xml:space="preserve">information/legal persuasion </w:t>
      </w:r>
      <w:r w:rsidR="00D9573E">
        <w:rPr>
          <w:rFonts w:cs="Times New Roman"/>
          <w:szCs w:val="24"/>
        </w:rPr>
        <w:t>hypotheses</w:t>
      </w:r>
      <w:r w:rsidR="001B40E1">
        <w:rPr>
          <w:rFonts w:cs="Times New Roman"/>
          <w:szCs w:val="24"/>
        </w:rPr>
        <w:t xml:space="preserve"> and my median justice hypotheses,</w:t>
      </w:r>
      <w:r w:rsidR="00D9573E">
        <w:rPr>
          <w:rFonts w:cs="Times New Roman"/>
          <w:szCs w:val="24"/>
        </w:rPr>
        <w:t xml:space="preserve"> and </w:t>
      </w:r>
      <w:r w:rsidR="001B40E1">
        <w:rPr>
          <w:rFonts w:cs="Times New Roman"/>
          <w:szCs w:val="24"/>
        </w:rPr>
        <w:t xml:space="preserve">support </w:t>
      </w:r>
      <w:r w:rsidR="00D9573E">
        <w:rPr>
          <w:rFonts w:cs="Times New Roman"/>
          <w:szCs w:val="24"/>
        </w:rPr>
        <w:t xml:space="preserve">the legal persuasion model of amicus influence.  </w:t>
      </w:r>
      <w:r w:rsidR="00BA473D">
        <w:rPr>
          <w:rFonts w:cs="Times New Roman"/>
          <w:szCs w:val="24"/>
        </w:rPr>
        <w:t xml:space="preserve">  </w:t>
      </w:r>
      <w:r w:rsidR="00F946BF">
        <w:rPr>
          <w:rFonts w:cs="Times New Roman"/>
          <w:szCs w:val="24"/>
        </w:rPr>
        <w:t xml:space="preserve"> </w:t>
      </w:r>
    </w:p>
    <w:p w:rsidR="0039459D" w:rsidRDefault="006C120C" w:rsidP="00016491">
      <w:pPr>
        <w:autoSpaceDE w:val="0"/>
        <w:autoSpaceDN w:val="0"/>
        <w:adjustRightInd w:val="0"/>
        <w:spacing w:line="480" w:lineRule="auto"/>
        <w:ind w:left="0" w:firstLine="720"/>
        <w:rPr>
          <w:rFonts w:cs="Times New Roman"/>
          <w:szCs w:val="24"/>
        </w:rPr>
      </w:pPr>
      <w:r>
        <w:rPr>
          <w:rFonts w:cs="Times New Roman"/>
          <w:szCs w:val="24"/>
        </w:rPr>
        <w:lastRenderedPageBreak/>
        <w:t>On the other hand</w:t>
      </w:r>
      <w:r w:rsidR="00770BC8">
        <w:rPr>
          <w:rFonts w:cs="Times New Roman"/>
          <w:szCs w:val="24"/>
        </w:rPr>
        <w:t xml:space="preserve">, </w:t>
      </w:r>
      <w:r>
        <w:rPr>
          <w:rFonts w:cs="Times New Roman"/>
          <w:szCs w:val="24"/>
        </w:rPr>
        <w:t xml:space="preserve">the results of </w:t>
      </w:r>
      <w:r w:rsidR="00770BC8">
        <w:rPr>
          <w:rFonts w:cs="Times New Roman"/>
          <w:szCs w:val="24"/>
        </w:rPr>
        <w:t xml:space="preserve">Model 1 </w:t>
      </w:r>
      <w:r>
        <w:rPr>
          <w:rFonts w:cs="Times New Roman"/>
          <w:szCs w:val="24"/>
        </w:rPr>
        <w:t xml:space="preserve">show that </w:t>
      </w:r>
      <w:r w:rsidR="0052419A">
        <w:rPr>
          <w:rFonts w:cs="Times New Roman"/>
          <w:szCs w:val="24"/>
        </w:rPr>
        <w:t xml:space="preserve">amicus cosigner disparity </w:t>
      </w:r>
      <w:r w:rsidR="00770BC8">
        <w:rPr>
          <w:rFonts w:cs="Times New Roman"/>
          <w:szCs w:val="24"/>
        </w:rPr>
        <w:t>does not rise to the level of statistical significance, and is signed in an unexpected direction.</w:t>
      </w:r>
      <w:r w:rsidR="00770BC8">
        <w:rPr>
          <w:rStyle w:val="FootnoteReference"/>
          <w:rFonts w:cs="Times New Roman"/>
          <w:szCs w:val="24"/>
        </w:rPr>
        <w:footnoteReference w:id="84"/>
      </w:r>
      <w:r w:rsidR="0039459D">
        <w:rPr>
          <w:rFonts w:cs="Times New Roman"/>
          <w:szCs w:val="24"/>
        </w:rPr>
        <w:t xml:space="preserve"> </w:t>
      </w:r>
      <w:r w:rsidR="00770BC8">
        <w:rPr>
          <w:rFonts w:cs="Times New Roman"/>
          <w:szCs w:val="24"/>
        </w:rPr>
        <w:t xml:space="preserve"> This result confirms Collins (2004, 2008) prior findings that it is the number of amicus briefs, not amicus </w:t>
      </w:r>
      <w:r w:rsidR="00DF2473">
        <w:rPr>
          <w:rFonts w:cs="Times New Roman"/>
          <w:szCs w:val="24"/>
        </w:rPr>
        <w:t>cosigners, which</w:t>
      </w:r>
      <w:r w:rsidR="00770BC8">
        <w:rPr>
          <w:rFonts w:cs="Times New Roman"/>
          <w:szCs w:val="24"/>
        </w:rPr>
        <w:t xml:space="preserve"> influence the justice’s votes.  This is a consequential finding, as it fails to provide support for the interest group model of amicus influence</w:t>
      </w:r>
      <w:r w:rsidR="00A55B33">
        <w:rPr>
          <w:rFonts w:cs="Times New Roman"/>
          <w:szCs w:val="24"/>
        </w:rPr>
        <w:t xml:space="preserve">.  An ideological advantage of amicus </w:t>
      </w:r>
      <w:r w:rsidR="00122148">
        <w:rPr>
          <w:rFonts w:cs="Times New Roman"/>
          <w:szCs w:val="24"/>
        </w:rPr>
        <w:t>co</w:t>
      </w:r>
      <w:r w:rsidR="00A55B33">
        <w:rPr>
          <w:rFonts w:cs="Times New Roman"/>
          <w:szCs w:val="24"/>
        </w:rPr>
        <w:t xml:space="preserve">signers does not seem to impact the justices in the same way that an ideological advantage of amicus briefs does.  </w:t>
      </w:r>
      <w:r w:rsidR="00122148">
        <w:rPr>
          <w:rFonts w:cs="Times New Roman"/>
          <w:szCs w:val="24"/>
        </w:rPr>
        <w:t xml:space="preserve">Therefore, my affected group hypotheses are not confirmed. </w:t>
      </w:r>
      <w:r w:rsidR="00E13713">
        <w:rPr>
          <w:rFonts w:cs="Times New Roman"/>
          <w:szCs w:val="24"/>
        </w:rPr>
        <w:t xml:space="preserve"> The impact of amici must come from the substantive information they impart, as opposed to merely a simple tally of which side has a numerical advantage of affected groups.</w:t>
      </w:r>
      <w:r w:rsidR="00632AA9">
        <w:rPr>
          <w:rFonts w:cs="Times New Roman"/>
          <w:szCs w:val="24"/>
        </w:rPr>
        <w:t xml:space="preserve"> </w:t>
      </w:r>
      <w:r w:rsidR="00E13713">
        <w:rPr>
          <w:rFonts w:cs="Times New Roman"/>
          <w:szCs w:val="24"/>
        </w:rPr>
        <w:t xml:space="preserve"> </w:t>
      </w:r>
      <w:r w:rsidR="00A55B33">
        <w:rPr>
          <w:rFonts w:cs="Times New Roman"/>
          <w:szCs w:val="24"/>
        </w:rPr>
        <w:t xml:space="preserve">As the MLE coefficient for </w:t>
      </w:r>
      <w:r w:rsidR="00A55B33">
        <w:rPr>
          <w:rFonts w:cs="Times New Roman"/>
          <w:i/>
          <w:szCs w:val="24"/>
        </w:rPr>
        <w:t xml:space="preserve">Liberal-Conservative Amicus Cosigner Difference </w:t>
      </w:r>
      <w:r w:rsidR="00A55B33">
        <w:rPr>
          <w:rFonts w:cs="Times New Roman"/>
          <w:szCs w:val="24"/>
        </w:rPr>
        <w:t>is not statistically significant, it is not necessary to provide an interpretation of its odds ratio or marginal effect.</w:t>
      </w:r>
    </w:p>
    <w:p w:rsidR="009D32CE" w:rsidRDefault="009D32CE" w:rsidP="00016491">
      <w:pPr>
        <w:autoSpaceDE w:val="0"/>
        <w:autoSpaceDN w:val="0"/>
        <w:adjustRightInd w:val="0"/>
        <w:spacing w:line="480" w:lineRule="auto"/>
        <w:ind w:left="0" w:firstLine="720"/>
        <w:rPr>
          <w:rFonts w:cs="Times New Roman"/>
          <w:szCs w:val="24"/>
        </w:rPr>
      </w:pPr>
      <w:r>
        <w:rPr>
          <w:rFonts w:cs="Times New Roman"/>
          <w:szCs w:val="24"/>
        </w:rPr>
        <w:t xml:space="preserve">However, </w:t>
      </w:r>
      <w:r w:rsidR="00A55B33" w:rsidRPr="00A55B33">
        <w:rPr>
          <w:rFonts w:cs="Times New Roman"/>
          <w:i/>
          <w:szCs w:val="24"/>
        </w:rPr>
        <w:t>Prestigious Liberal-Conservative Amicus Difference</w:t>
      </w:r>
      <w:r w:rsidR="00A55B33">
        <w:rPr>
          <w:rFonts w:cs="Times New Roman"/>
          <w:i/>
          <w:szCs w:val="24"/>
        </w:rPr>
        <w:t xml:space="preserve"> </w:t>
      </w:r>
      <w:r>
        <w:rPr>
          <w:rFonts w:cs="Times New Roman"/>
          <w:szCs w:val="24"/>
        </w:rPr>
        <w:t xml:space="preserve">is </w:t>
      </w:r>
      <w:r w:rsidR="00A55B33">
        <w:rPr>
          <w:rFonts w:cs="Times New Roman"/>
          <w:szCs w:val="24"/>
        </w:rPr>
        <w:t>statistically significant</w:t>
      </w:r>
      <w:r>
        <w:rPr>
          <w:rFonts w:cs="Times New Roman"/>
          <w:szCs w:val="24"/>
        </w:rPr>
        <w:t xml:space="preserve"> and signed in the expected direction. </w:t>
      </w:r>
      <w:r>
        <w:t xml:space="preserve">The odds ratio of </w:t>
      </w:r>
      <w:r w:rsidRPr="00A55B33">
        <w:rPr>
          <w:rFonts w:cs="Times New Roman"/>
          <w:i/>
          <w:szCs w:val="24"/>
        </w:rPr>
        <w:t>Prestigious Liberal-Conservative Amicus Difference</w:t>
      </w:r>
      <w:r>
        <w:t xml:space="preserve"> is 1.066, indicating that the odds of liberal justice vote increase in Model 1 by </w:t>
      </w:r>
      <w:r w:rsidR="00EE4A6E">
        <w:t>1</w:t>
      </w:r>
      <w:r>
        <w:t xml:space="preserve">.066 times when there is a one unit increase in a prestigious liberal brief advantage. </w:t>
      </w:r>
      <w:r w:rsidRPr="0013327C">
        <w:t xml:space="preserve">The marginal effects of </w:t>
      </w:r>
      <w:r w:rsidRPr="00A55B33">
        <w:rPr>
          <w:rFonts w:cs="Times New Roman"/>
          <w:i/>
          <w:szCs w:val="24"/>
        </w:rPr>
        <w:t>Prestigious Liberal-Conservative Amicus Difference</w:t>
      </w:r>
      <w:r>
        <w:rPr>
          <w:rFonts w:cs="Times New Roman"/>
          <w:i/>
          <w:szCs w:val="24"/>
        </w:rPr>
        <w:t xml:space="preserve"> </w:t>
      </w:r>
      <w:r w:rsidRPr="0013327C">
        <w:t xml:space="preserve">reveals that a justice is </w:t>
      </w:r>
      <w:r>
        <w:t>1.9</w:t>
      </w:r>
      <w:r w:rsidRPr="0013327C">
        <w:t xml:space="preserve"> percent more likely to cast a liberal vote as the </w:t>
      </w:r>
      <w:r w:rsidR="00C06847" w:rsidRPr="00A55B33">
        <w:rPr>
          <w:rFonts w:cs="Times New Roman"/>
          <w:i/>
          <w:szCs w:val="24"/>
        </w:rPr>
        <w:t>Prestigious Liberal-Conservative Amicus Difference</w:t>
      </w:r>
      <w:r w:rsidR="00C06847">
        <w:rPr>
          <w:rFonts w:cs="Times New Roman"/>
          <w:i/>
          <w:szCs w:val="24"/>
        </w:rPr>
        <w:t xml:space="preserve"> </w:t>
      </w:r>
      <w:r w:rsidR="00C06847">
        <w:t>in the case increases from .39 (the mean) to 1.62 (</w:t>
      </w:r>
      <w:r w:rsidRPr="0013327C">
        <w:t>one stand</w:t>
      </w:r>
      <w:r>
        <w:t>ard deviation above the mean)</w:t>
      </w:r>
      <w:r w:rsidR="005E5D3E">
        <w:t xml:space="preserve">, and 13.4 percent more likely to cast a liberal vote as the </w:t>
      </w:r>
      <w:r w:rsidR="005E5D3E" w:rsidRPr="00A55B33">
        <w:rPr>
          <w:rFonts w:cs="Times New Roman"/>
          <w:i/>
          <w:szCs w:val="24"/>
        </w:rPr>
        <w:t>Prestigious Liberal-Conservative Amicus Difference</w:t>
      </w:r>
      <w:r w:rsidR="005E5D3E">
        <w:rPr>
          <w:rFonts w:cs="Times New Roman"/>
          <w:i/>
          <w:szCs w:val="24"/>
        </w:rPr>
        <w:t xml:space="preserve"> </w:t>
      </w:r>
      <w:r w:rsidR="005E5D3E">
        <w:t>in the case increases from the least liberal advantage (-5) to the greatest liberal advantage (4)</w:t>
      </w:r>
      <w:r>
        <w:t>.</w:t>
      </w:r>
      <w:r w:rsidR="00C06847">
        <w:t xml:space="preserve">  This result supports my prestigious amicus hypotheses, indicating that, </w:t>
      </w:r>
      <w:r w:rsidR="00C06847">
        <w:lastRenderedPageBreak/>
        <w:t>although the effect i</w:t>
      </w:r>
      <w:r w:rsidR="005E5D3E">
        <w:t>s relatively small</w:t>
      </w:r>
      <w:r w:rsidR="00C06847">
        <w:t>, the justices respond favorably to an advantage of prestigious amicus briefs, even when controlling for an ideological advantage of total briefs and cosigners in a case.</w:t>
      </w:r>
    </w:p>
    <w:p w:rsidR="00A55B33" w:rsidRDefault="00E13231" w:rsidP="00016491">
      <w:pPr>
        <w:autoSpaceDE w:val="0"/>
        <w:autoSpaceDN w:val="0"/>
        <w:adjustRightInd w:val="0"/>
        <w:spacing w:line="480" w:lineRule="auto"/>
        <w:ind w:left="0" w:firstLine="720"/>
      </w:pPr>
      <w:r>
        <w:rPr>
          <w:rFonts w:cs="Times New Roman"/>
          <w:szCs w:val="24"/>
        </w:rPr>
        <w:t>Further</w:t>
      </w:r>
      <w:r w:rsidR="00756529">
        <w:rPr>
          <w:rFonts w:cs="Times New Roman"/>
          <w:szCs w:val="24"/>
        </w:rPr>
        <w:t xml:space="preserve">, all of the control variables are signed in the expected direction and statistically significant in Model 1.  First, </w:t>
      </w:r>
      <w:r w:rsidR="00A55B33">
        <w:rPr>
          <w:rFonts w:cs="Times New Roman"/>
          <w:szCs w:val="24"/>
        </w:rPr>
        <w:t xml:space="preserve">Model 1 confirms the </w:t>
      </w:r>
      <w:r w:rsidR="00756529">
        <w:rPr>
          <w:rFonts w:cs="Times New Roman"/>
          <w:szCs w:val="24"/>
        </w:rPr>
        <w:t xml:space="preserve">strong and </w:t>
      </w:r>
      <w:r w:rsidR="00A55B33">
        <w:rPr>
          <w:rFonts w:cs="Times New Roman"/>
          <w:szCs w:val="24"/>
        </w:rPr>
        <w:t>statistic</w:t>
      </w:r>
      <w:r w:rsidR="00122148">
        <w:rPr>
          <w:rFonts w:cs="Times New Roman"/>
          <w:szCs w:val="24"/>
        </w:rPr>
        <w:t>al</w:t>
      </w:r>
      <w:r w:rsidR="00017C8B">
        <w:rPr>
          <w:rFonts w:cs="Times New Roman"/>
          <w:szCs w:val="24"/>
        </w:rPr>
        <w:t>ly</w:t>
      </w:r>
      <w:r w:rsidR="00122148">
        <w:rPr>
          <w:rFonts w:cs="Times New Roman"/>
          <w:szCs w:val="24"/>
        </w:rPr>
        <w:t xml:space="preserve"> significant role</w:t>
      </w:r>
      <w:r w:rsidR="00A55B33">
        <w:rPr>
          <w:rFonts w:cs="Times New Roman"/>
          <w:szCs w:val="24"/>
        </w:rPr>
        <w:t xml:space="preserve"> of </w:t>
      </w:r>
      <w:r w:rsidR="00A55B33">
        <w:rPr>
          <w:rFonts w:cs="Times New Roman"/>
          <w:i/>
          <w:szCs w:val="24"/>
        </w:rPr>
        <w:t xml:space="preserve">Ideology </w:t>
      </w:r>
      <w:r w:rsidR="00122148">
        <w:rPr>
          <w:rFonts w:cs="Times New Roman"/>
          <w:szCs w:val="24"/>
        </w:rPr>
        <w:t>in predicting</w:t>
      </w:r>
      <w:r w:rsidR="00A55B33">
        <w:rPr>
          <w:rFonts w:cs="Times New Roman"/>
          <w:szCs w:val="24"/>
        </w:rPr>
        <w:t xml:space="preserve"> how a</w:t>
      </w:r>
      <w:r w:rsidR="00DF2473">
        <w:rPr>
          <w:rFonts w:cs="Times New Roman"/>
          <w:szCs w:val="24"/>
        </w:rPr>
        <w:t xml:space="preserve"> justice will vote.</w:t>
      </w:r>
      <w:r w:rsidR="00A55B33">
        <w:rPr>
          <w:rFonts w:cs="Times New Roman"/>
          <w:szCs w:val="24"/>
        </w:rPr>
        <w:t xml:space="preserve"> </w:t>
      </w:r>
      <w:r w:rsidR="00DF2473">
        <w:t xml:space="preserve">The odds ratio of </w:t>
      </w:r>
      <w:r w:rsidR="00DF2473">
        <w:rPr>
          <w:i/>
        </w:rPr>
        <w:t xml:space="preserve">Ideology </w:t>
      </w:r>
      <w:r w:rsidR="00DF2473">
        <w:t>is 7.295, indicating that the odds of liberal justi</w:t>
      </w:r>
      <w:r w:rsidR="00756529">
        <w:t xml:space="preserve">ce vote increase in Model 1 by </w:t>
      </w:r>
      <w:r w:rsidR="00EE4A6E">
        <w:t>7</w:t>
      </w:r>
      <w:r w:rsidR="00DF2473">
        <w:t>.295 times when there is a one unit increase in judicial ideology.</w:t>
      </w:r>
      <w:r w:rsidR="00122148">
        <w:t xml:space="preserve"> The marginal effect of </w:t>
      </w:r>
      <w:r w:rsidR="00122148">
        <w:rPr>
          <w:i/>
        </w:rPr>
        <w:t xml:space="preserve">Ideology </w:t>
      </w:r>
      <w:r w:rsidR="00122148">
        <w:t>is 11.8 percent, indicating that a justic</w:t>
      </w:r>
      <w:r w:rsidR="00017C8B">
        <w:t>e whose Segal-Cover score is at .579 (one standard deviation above the mean – closest to Justice Ginsburg at .68, and second closest to Justice Breyer at .475) is 11.8 percent more likely to cast a liberal vote than a justice whose Segal-Cover score is at the</w:t>
      </w:r>
      <w:r w:rsidR="00122148">
        <w:t xml:space="preserve"> mean (.327)</w:t>
      </w:r>
      <w:r w:rsidR="00122148" w:rsidRPr="0013327C">
        <w:t xml:space="preserve"> (</w:t>
      </w:r>
      <w:r w:rsidR="00122148">
        <w:t>closet to Justice Souter</w:t>
      </w:r>
      <w:r w:rsidR="00122148" w:rsidRPr="0013327C">
        <w:t xml:space="preserve">’s </w:t>
      </w:r>
      <w:r w:rsidR="00122148">
        <w:t>score of .325, and second closest to Justice Kennedy’s at .365</w:t>
      </w:r>
      <w:r w:rsidR="00122148" w:rsidRPr="0013327C">
        <w:t>)</w:t>
      </w:r>
      <w:r w:rsidR="00017C8B">
        <w:t xml:space="preserve">.   Further, </w:t>
      </w:r>
      <w:r w:rsidR="00756529">
        <w:t xml:space="preserve">the marginal effects reveal that, </w:t>
      </w:r>
      <w:r w:rsidR="00017C8B">
        <w:t>compared with the most conservative justice – Justice S</w:t>
      </w:r>
      <w:r w:rsidR="00756529">
        <w:t xml:space="preserve">calia (Segal-Cover score of 0) – </w:t>
      </w:r>
      <w:r w:rsidR="00017C8B">
        <w:t xml:space="preserve">the most liberal justice – Justice Sotomayor (Segal-Cover score of .78) </w:t>
      </w:r>
      <w:r w:rsidR="00756529">
        <w:t xml:space="preserve">– </w:t>
      </w:r>
      <w:r w:rsidR="00017C8B">
        <w:t xml:space="preserve">is 36.24 percent more likely to cast a liberal vote. </w:t>
      </w:r>
      <w:r w:rsidR="00756529">
        <w:t>These</w:t>
      </w:r>
      <w:r w:rsidR="00122148">
        <w:t xml:space="preserve"> finding</w:t>
      </w:r>
      <w:r w:rsidR="00756529">
        <w:t xml:space="preserve">s are expected and are </w:t>
      </w:r>
      <w:r w:rsidR="00122148">
        <w:t>consistent with the attitudinal mode</w:t>
      </w:r>
      <w:r w:rsidR="009A619A">
        <w:t>l of judicial decision making.  Ideology is among the strongest, if not the strongest, predictor of how a justice will vote.</w:t>
      </w:r>
    </w:p>
    <w:p w:rsidR="00756529" w:rsidRDefault="00756529" w:rsidP="00016491">
      <w:pPr>
        <w:autoSpaceDE w:val="0"/>
        <w:autoSpaceDN w:val="0"/>
        <w:adjustRightInd w:val="0"/>
        <w:spacing w:line="480" w:lineRule="auto"/>
        <w:ind w:left="0" w:firstLine="720"/>
        <w:rPr>
          <w:rFonts w:cs="Times New Roman"/>
          <w:szCs w:val="24"/>
        </w:rPr>
      </w:pPr>
      <w:r>
        <w:t xml:space="preserve">Second, the importance of the Solicitor General as both a conservative and liberal amicus in confirmed.  The odds ratio of </w:t>
      </w:r>
      <w:r w:rsidR="00EE4A6E">
        <w:rPr>
          <w:i/>
        </w:rPr>
        <w:t xml:space="preserve">SG Liberal Amicus </w:t>
      </w:r>
      <w:r w:rsidR="002A062F">
        <w:t>is 1.860</w:t>
      </w:r>
      <w:r>
        <w:t>, indicating that the odds of</w:t>
      </w:r>
      <w:r w:rsidR="00187617">
        <w:t xml:space="preserve"> a</w:t>
      </w:r>
      <w:r>
        <w:t xml:space="preserve"> liberal justice </w:t>
      </w:r>
      <w:r w:rsidR="00187617">
        <w:t>v</w:t>
      </w:r>
      <w:r w:rsidR="002A062F">
        <w:t>ote</w:t>
      </w:r>
      <w:r w:rsidR="00EE4A6E">
        <w:t xml:space="preserve"> is 1.860 times higher </w:t>
      </w:r>
      <w:r w:rsidR="00876BA4">
        <w:t>when the</w:t>
      </w:r>
      <w:r w:rsidR="003A76A1">
        <w:t xml:space="preserve"> SG is a liberal amicus than when the SG is not.</w:t>
      </w:r>
      <w:r w:rsidR="00EE4A6E">
        <w:t xml:space="preserve"> </w:t>
      </w:r>
      <w:r w:rsidR="00187617">
        <w:t xml:space="preserve"> </w:t>
      </w:r>
      <w:r w:rsidR="00187617">
        <w:rPr>
          <w:rFonts w:cs="Times New Roman"/>
          <w:szCs w:val="24"/>
        </w:rPr>
        <w:t>Further</w:t>
      </w:r>
      <w:r w:rsidRPr="00F54B83">
        <w:rPr>
          <w:rFonts w:cs="Times New Roman"/>
          <w:szCs w:val="24"/>
        </w:rPr>
        <w:t>,</w:t>
      </w:r>
      <w:r w:rsidR="00187617">
        <w:rPr>
          <w:rFonts w:cs="Times New Roman"/>
          <w:szCs w:val="24"/>
        </w:rPr>
        <w:t xml:space="preserve"> the marginal effects reveal that the when the SG argues the liberal position, </w:t>
      </w:r>
      <w:r w:rsidR="00095B27">
        <w:t>a justice is 15.3 percent more lik</w:t>
      </w:r>
      <w:r w:rsidR="00183DAB">
        <w:t xml:space="preserve">ely to cast a liberal vote than when the SG does not advance the liberal position as an amicus.  </w:t>
      </w:r>
      <w:r w:rsidR="00187617">
        <w:rPr>
          <w:rFonts w:cs="Times New Roman"/>
          <w:szCs w:val="24"/>
        </w:rPr>
        <w:t xml:space="preserve">Conversely, the odds ratio of </w:t>
      </w:r>
      <w:r w:rsidR="00187617">
        <w:rPr>
          <w:rFonts w:cs="Times New Roman"/>
          <w:i/>
          <w:szCs w:val="24"/>
        </w:rPr>
        <w:t xml:space="preserve">SG Conservative Amicus </w:t>
      </w:r>
      <w:r w:rsidR="002A062F">
        <w:rPr>
          <w:rFonts w:cs="Times New Roman"/>
          <w:szCs w:val="24"/>
        </w:rPr>
        <w:t>is .468</w:t>
      </w:r>
      <w:r w:rsidR="00187617">
        <w:rPr>
          <w:rFonts w:cs="Times New Roman"/>
          <w:szCs w:val="24"/>
        </w:rPr>
        <w:t xml:space="preserve">, indicating </w:t>
      </w:r>
      <w:r w:rsidR="00187617">
        <w:rPr>
          <w:rFonts w:cs="Times New Roman"/>
          <w:szCs w:val="24"/>
        </w:rPr>
        <w:lastRenderedPageBreak/>
        <w:t xml:space="preserve">that the odds of a liberal justice vote decrease by </w:t>
      </w:r>
      <w:r w:rsidR="00EE4A6E">
        <w:rPr>
          <w:rFonts w:cs="Times New Roman"/>
          <w:szCs w:val="24"/>
        </w:rPr>
        <w:t>2.14 times</w:t>
      </w:r>
      <w:r w:rsidR="00187617">
        <w:rPr>
          <w:rFonts w:cs="Times New Roman"/>
          <w:szCs w:val="24"/>
        </w:rPr>
        <w:t xml:space="preserve"> when the SG advocates the conservative position as amicus than when the SG does not.  Likewise, the m</w:t>
      </w:r>
      <w:r w:rsidR="00095B27">
        <w:rPr>
          <w:rFonts w:cs="Times New Roman"/>
          <w:szCs w:val="24"/>
        </w:rPr>
        <w:t xml:space="preserve">arginal effects reveal that </w:t>
      </w:r>
      <w:r w:rsidR="00187617">
        <w:rPr>
          <w:rFonts w:cs="Times New Roman"/>
          <w:szCs w:val="24"/>
        </w:rPr>
        <w:t>when the SG arg</w:t>
      </w:r>
      <w:r w:rsidR="00080D3D">
        <w:rPr>
          <w:rFonts w:cs="Times New Roman"/>
          <w:szCs w:val="24"/>
        </w:rPr>
        <w:t xml:space="preserve">ues the conservative position, </w:t>
      </w:r>
      <w:r w:rsidR="00095B27">
        <w:t xml:space="preserve">a justice </w:t>
      </w:r>
      <w:r w:rsidR="00187617">
        <w:rPr>
          <w:rFonts w:cs="Times New Roman"/>
          <w:szCs w:val="24"/>
        </w:rPr>
        <w:t xml:space="preserve">is 16.1 </w:t>
      </w:r>
      <w:r w:rsidR="00095B27">
        <w:rPr>
          <w:rFonts w:cs="Times New Roman"/>
          <w:szCs w:val="24"/>
        </w:rPr>
        <w:t xml:space="preserve">percent </w:t>
      </w:r>
      <w:r w:rsidR="00187617">
        <w:rPr>
          <w:rFonts w:cs="Times New Roman"/>
          <w:szCs w:val="24"/>
        </w:rPr>
        <w:t>less likely to cast a liberal vote</w:t>
      </w:r>
      <w:r w:rsidR="00095B27">
        <w:rPr>
          <w:rFonts w:cs="Times New Roman"/>
          <w:szCs w:val="24"/>
        </w:rPr>
        <w:t>, than when the SG does not advocate the conservative position as an amicus</w:t>
      </w:r>
      <w:r w:rsidR="003059F5">
        <w:rPr>
          <w:rFonts w:cs="Times New Roman"/>
          <w:szCs w:val="24"/>
        </w:rPr>
        <w:t>.</w:t>
      </w:r>
    </w:p>
    <w:p w:rsidR="003059F5" w:rsidRDefault="003059F5" w:rsidP="00016491">
      <w:pPr>
        <w:autoSpaceDE w:val="0"/>
        <w:autoSpaceDN w:val="0"/>
        <w:adjustRightInd w:val="0"/>
        <w:spacing w:line="480" w:lineRule="auto"/>
        <w:ind w:left="0" w:firstLine="720"/>
        <w:rPr>
          <w:rFonts w:cs="Times New Roman"/>
          <w:szCs w:val="24"/>
        </w:rPr>
      </w:pPr>
      <w:r>
        <w:rPr>
          <w:rFonts w:cs="Times New Roman"/>
          <w:szCs w:val="24"/>
        </w:rPr>
        <w:t xml:space="preserve">Third, the </w:t>
      </w:r>
      <w:r>
        <w:rPr>
          <w:rFonts w:cs="Times New Roman"/>
          <w:i/>
          <w:szCs w:val="24"/>
        </w:rPr>
        <w:t xml:space="preserve">Lower Court Direction </w:t>
      </w:r>
      <w:r>
        <w:rPr>
          <w:rFonts w:cs="Times New Roman"/>
          <w:szCs w:val="24"/>
        </w:rPr>
        <w:t>variable is statistically significant and, as expected,</w:t>
      </w:r>
      <w:r w:rsidR="002A062F">
        <w:rPr>
          <w:rFonts w:cs="Times New Roman"/>
          <w:szCs w:val="24"/>
        </w:rPr>
        <w:t xml:space="preserve"> negatively signed.  This odds ratio of .472</w:t>
      </w:r>
      <w:r w:rsidR="00095B27">
        <w:rPr>
          <w:rFonts w:cs="Times New Roman"/>
          <w:szCs w:val="24"/>
        </w:rPr>
        <w:t xml:space="preserve"> indicates that when the Roberts Court </w:t>
      </w:r>
      <w:r>
        <w:rPr>
          <w:rFonts w:cs="Times New Roman"/>
          <w:szCs w:val="24"/>
        </w:rPr>
        <w:t>is reviewing a lib</w:t>
      </w:r>
      <w:r w:rsidR="00095B27">
        <w:rPr>
          <w:rFonts w:cs="Times New Roman"/>
          <w:szCs w:val="24"/>
        </w:rPr>
        <w:t>eral decision, a justice is 2.12 times less likely to issue a liberal vote than when the Roberts Court is reviewing a conservative decision.  Similarly, the marginal effects reveal that whe</w:t>
      </w:r>
      <w:r w:rsidR="001D1482">
        <w:rPr>
          <w:rFonts w:cs="Times New Roman"/>
          <w:szCs w:val="24"/>
        </w:rPr>
        <w:t xml:space="preserve">n the Roberts Court </w:t>
      </w:r>
      <w:proofErr w:type="gramStart"/>
      <w:r w:rsidR="001D1482">
        <w:rPr>
          <w:rFonts w:cs="Times New Roman"/>
          <w:szCs w:val="24"/>
        </w:rPr>
        <w:t>reviews</w:t>
      </w:r>
      <w:proofErr w:type="gramEnd"/>
      <w:r w:rsidR="00095B27">
        <w:rPr>
          <w:rFonts w:cs="Times New Roman"/>
          <w:szCs w:val="24"/>
        </w:rPr>
        <w:t xml:space="preserve"> a liberal decision, a justice is 18.5 percent less likely to issue a liberal vote.</w:t>
      </w:r>
      <w:r w:rsidR="009A619A">
        <w:rPr>
          <w:rFonts w:cs="Times New Roman"/>
          <w:szCs w:val="24"/>
        </w:rPr>
        <w:t xml:space="preserve">  This result confirms the known propensity of justices to vote to overturn cases that they review.</w:t>
      </w:r>
    </w:p>
    <w:p w:rsidR="0052419A" w:rsidRDefault="009A619A" w:rsidP="0052419A">
      <w:pPr>
        <w:autoSpaceDE w:val="0"/>
        <w:autoSpaceDN w:val="0"/>
        <w:adjustRightInd w:val="0"/>
        <w:spacing w:line="480" w:lineRule="auto"/>
        <w:ind w:left="0" w:firstLine="720"/>
        <w:rPr>
          <w:rFonts w:cs="Times New Roman"/>
          <w:szCs w:val="24"/>
        </w:rPr>
      </w:pPr>
      <w:r>
        <w:rPr>
          <w:rFonts w:cs="Times New Roman"/>
          <w:szCs w:val="24"/>
        </w:rPr>
        <w:t xml:space="preserve">Fourth and finally, the </w:t>
      </w:r>
      <w:r>
        <w:rPr>
          <w:rFonts w:cs="Times New Roman"/>
          <w:i/>
          <w:szCs w:val="24"/>
        </w:rPr>
        <w:t xml:space="preserve">Liberal – Conservative Resource Difference </w:t>
      </w:r>
      <w:r>
        <w:rPr>
          <w:rFonts w:cs="Times New Roman"/>
          <w:szCs w:val="24"/>
        </w:rPr>
        <w:t xml:space="preserve">variable is statistically significant and signed in the expected direction.  The odds ratio of </w:t>
      </w:r>
      <w:r>
        <w:rPr>
          <w:rFonts w:cs="Times New Roman"/>
          <w:i/>
          <w:szCs w:val="24"/>
        </w:rPr>
        <w:t xml:space="preserve">Liberal – Conservative Resource Difference </w:t>
      </w:r>
      <w:r>
        <w:rPr>
          <w:rFonts w:cs="Times New Roman"/>
          <w:szCs w:val="24"/>
        </w:rPr>
        <w:t xml:space="preserve">is 1.059, indicating that a justice is 1.059 times more likely to issue a liberal ruling </w:t>
      </w:r>
      <w:r>
        <w:t xml:space="preserve">in Model 1 when there is a one unit increase in  </w:t>
      </w:r>
      <w:r>
        <w:rPr>
          <w:rFonts w:cs="Times New Roman"/>
          <w:i/>
          <w:szCs w:val="24"/>
        </w:rPr>
        <w:t>Liberal – Conservative Resource Difference</w:t>
      </w:r>
      <w:r w:rsidR="00B32600">
        <w:rPr>
          <w:rFonts w:cs="Times New Roman"/>
          <w:szCs w:val="24"/>
        </w:rPr>
        <w:t>.  The marginal effect of</w:t>
      </w:r>
      <w:r w:rsidR="00B32600" w:rsidRPr="00B32600">
        <w:rPr>
          <w:rFonts w:cs="Times New Roman"/>
          <w:i/>
          <w:szCs w:val="24"/>
        </w:rPr>
        <w:t xml:space="preserve"> </w:t>
      </w:r>
      <w:r w:rsidR="00B32600">
        <w:rPr>
          <w:rFonts w:cs="Times New Roman"/>
          <w:i/>
          <w:szCs w:val="24"/>
        </w:rPr>
        <w:t>Liberal – Conservative Resource Difference</w:t>
      </w:r>
      <w:r w:rsidR="00B32600">
        <w:rPr>
          <w:rFonts w:cs="Times New Roman"/>
          <w:szCs w:val="24"/>
        </w:rPr>
        <w:t xml:space="preserve"> </w:t>
      </w:r>
      <w:r w:rsidR="00B32600">
        <w:t xml:space="preserve">is 6.5 percent, indicating that </w:t>
      </w:r>
      <w:r w:rsidR="009009A3">
        <w:t xml:space="preserve">in </w:t>
      </w:r>
      <w:r w:rsidR="00B32600">
        <w:t>a case in which</w:t>
      </w:r>
      <w:r>
        <w:t xml:space="preserve"> </w:t>
      </w:r>
      <w:r w:rsidR="009009A3">
        <w:t xml:space="preserve">the liberal party’s </w:t>
      </w:r>
      <w:r w:rsidR="005074E8">
        <w:t xml:space="preserve">resource advantage is .97 </w:t>
      </w:r>
      <w:r w:rsidR="009009A3">
        <w:t>(</w:t>
      </w:r>
      <w:r w:rsidRPr="009009A3">
        <w:t>one standard deviation above the mean</w:t>
      </w:r>
      <w:r w:rsidR="009009A3" w:rsidRPr="009009A3">
        <w:t>)</w:t>
      </w:r>
      <w:r w:rsidR="009009A3">
        <w:t xml:space="preserve">, a justice </w:t>
      </w:r>
      <w:r w:rsidR="009009A3" w:rsidRPr="009009A3">
        <w:t xml:space="preserve">is 6.5 </w:t>
      </w:r>
      <w:r w:rsidRPr="009009A3">
        <w:t>percent more likely to cast a liberal vote than</w:t>
      </w:r>
      <w:r w:rsidR="009009A3">
        <w:t xml:space="preserve"> in a case where the liberal party’s resource advantage is -3.78</w:t>
      </w:r>
      <w:r w:rsidR="001D1482">
        <w:t xml:space="preserve"> (the mean)</w:t>
      </w:r>
      <w:r w:rsidR="009009A3">
        <w:t xml:space="preserve">. </w:t>
      </w:r>
      <w:r w:rsidRPr="00B32600">
        <w:rPr>
          <w:color w:val="FF0000"/>
        </w:rPr>
        <w:t xml:space="preserve"> </w:t>
      </w:r>
      <w:r w:rsidRPr="009009A3">
        <w:t>Further, t</w:t>
      </w:r>
      <w:r w:rsidR="009009A3" w:rsidRPr="009009A3">
        <w:t xml:space="preserve">he marginal effects reveal that a justice is 24.82 percent more likely to cast a liberal vote in a case </w:t>
      </w:r>
      <w:r w:rsidR="009009A3">
        <w:t>where liberal party resource advantage is at it</w:t>
      </w:r>
      <w:r w:rsidR="009009A3" w:rsidRPr="009009A3">
        <w:rPr>
          <w:rFonts w:cs="Times New Roman"/>
          <w:szCs w:val="24"/>
        </w:rPr>
        <w:t xml:space="preserve">s highest value (9), than in a case where </w:t>
      </w:r>
      <w:r w:rsidR="009009A3">
        <w:rPr>
          <w:rFonts w:cs="Times New Roman"/>
          <w:szCs w:val="24"/>
        </w:rPr>
        <w:t xml:space="preserve">liberal resource advantage </w:t>
      </w:r>
      <w:r w:rsidR="009009A3" w:rsidRPr="009009A3">
        <w:rPr>
          <w:rFonts w:cs="Times New Roman"/>
          <w:szCs w:val="24"/>
        </w:rPr>
        <w:t>is at its lowest value (-9)</w:t>
      </w:r>
      <w:r w:rsidR="009009A3">
        <w:rPr>
          <w:rFonts w:cs="Times New Roman"/>
          <w:szCs w:val="24"/>
        </w:rPr>
        <w:t xml:space="preserve">. </w:t>
      </w:r>
    </w:p>
    <w:p w:rsidR="007B2F10" w:rsidRDefault="007B2F10" w:rsidP="0052419A">
      <w:pPr>
        <w:autoSpaceDE w:val="0"/>
        <w:autoSpaceDN w:val="0"/>
        <w:adjustRightInd w:val="0"/>
        <w:spacing w:line="480" w:lineRule="auto"/>
        <w:ind w:left="0" w:firstLine="720"/>
      </w:pPr>
      <w:r>
        <w:lastRenderedPageBreak/>
        <w:t xml:space="preserve">In sum, the results and interpretation of Model 1 (my primary, all-inclusive model) show that, when considering all cases, an ideological advantage of amicus briefs does influence the direction of all the justice votes except Justice Thomas at the Roberts Court. </w:t>
      </w:r>
      <w:r w:rsidR="0052419A">
        <w:t xml:space="preserve"> The marginal </w:t>
      </w:r>
      <w:r w:rsidR="006B7901">
        <w:t xml:space="preserve">effects </w:t>
      </w:r>
      <w:r>
        <w:t xml:space="preserve">are statistically significant, varying from about 4 percent to 7.5 percent as the justice becomes more moderate. </w:t>
      </w:r>
      <w:r w:rsidR="0052419A">
        <w:t xml:space="preserve"> However, these effects become </w:t>
      </w:r>
      <w:r w:rsidR="006B7901">
        <w:t xml:space="preserve">much larger </w:t>
      </w:r>
      <w:r w:rsidR="0052419A">
        <w:t xml:space="preserve">as conservative or liberal amicus brief advantage increases in a case, as shown by Table A.4. </w:t>
      </w:r>
      <w:r>
        <w:t xml:space="preserve">  Similar findings regarding the impact of a prestigious amici advantage are also present. </w:t>
      </w:r>
      <w:r w:rsidR="006B7901">
        <w:t xml:space="preserve"> </w:t>
      </w:r>
      <w:r>
        <w:t xml:space="preserve">An ideological advantage of amicus cosigners, however, does not have a statistically significant impact on the votes of the justices.  Thus, justices seem to be influenced by who is filing amicus briefs, as well as how many briefs are filed.  These findings support my information/legal persuasion hypotheses, my median justice hypotheses, and my prestigious amicus hypotheses.   My findings do not support my affected </w:t>
      </w:r>
      <w:proofErr w:type="gramStart"/>
      <w:r>
        <w:t>groups</w:t>
      </w:r>
      <w:proofErr w:type="gramEnd"/>
      <w:r>
        <w:t xml:space="preserve"> hypotheses.  Therefore, Model 1 indicates that the legal model is a better explanation for amicus impact on the Roberts Court than the interest group model.  While attitudes are very strong predictors of justice votes, justices across the ideological spectrum do respond to the arguments put forward by amici in their briefs, and this impact generally becomes more evident at the justices become more moderate</w:t>
      </w:r>
      <w:r w:rsidR="006B7901">
        <w:t>, and as the ideological advantage of amicus briefs increases</w:t>
      </w:r>
      <w:r>
        <w:t>.</w:t>
      </w:r>
    </w:p>
    <w:p w:rsidR="006B7901" w:rsidRPr="002A69E6" w:rsidRDefault="00F311E4" w:rsidP="002A69E6">
      <w:pPr>
        <w:spacing w:line="480" w:lineRule="auto"/>
        <w:ind w:left="0" w:firstLine="720"/>
        <w:rPr>
          <w:rFonts w:cs="Times New Roman"/>
          <w:szCs w:val="24"/>
        </w:rPr>
      </w:pPr>
      <w:r>
        <w:rPr>
          <w:rFonts w:cs="Times New Roman"/>
          <w:szCs w:val="24"/>
        </w:rPr>
        <w:t xml:space="preserve">The results of my </w:t>
      </w:r>
      <w:proofErr w:type="spellStart"/>
      <w:r>
        <w:rPr>
          <w:rFonts w:cs="Times New Roman"/>
          <w:szCs w:val="24"/>
        </w:rPr>
        <w:t>logit</w:t>
      </w:r>
      <w:proofErr w:type="spellEnd"/>
      <w:r>
        <w:rPr>
          <w:rFonts w:cs="Times New Roman"/>
          <w:szCs w:val="24"/>
        </w:rPr>
        <w:t xml:space="preserve"> model considering only criminal procedure cases at the Roberts Court (Model 2) are reported in table 5.2.  </w:t>
      </w:r>
      <w:r>
        <w:t>Model 2 was estimated using the same variables and methodology as Model 1, and will be interpreted in the same manner as Model 1</w:t>
      </w:r>
      <w:r w:rsidRPr="00595414">
        <w:t xml:space="preserve">. </w:t>
      </w:r>
      <w:r w:rsidRPr="00C16CDC">
        <w:rPr>
          <w:color w:val="00B050"/>
        </w:rPr>
        <w:t xml:space="preserve"> </w:t>
      </w:r>
      <w:r w:rsidRPr="00EC3630">
        <w:t>The chi square test for the model is statistically significant, which means that all the variables co</w:t>
      </w:r>
      <w:r>
        <w:t xml:space="preserve">nsidered together in the model </w:t>
      </w:r>
      <w:r w:rsidRPr="00EC3630">
        <w:t>are significantly different than zero.</w:t>
      </w:r>
      <w:r w:rsidRPr="00C16CDC">
        <w:rPr>
          <w:color w:val="00B050"/>
        </w:rPr>
        <w:t xml:space="preserve">  </w:t>
      </w:r>
      <w:r w:rsidRPr="00EC3630">
        <w:t>The model correctly predicts 6</w:t>
      </w:r>
      <w:r>
        <w:t>4</w:t>
      </w:r>
      <w:r w:rsidRPr="00EC3630">
        <w:t>.</w:t>
      </w:r>
      <w:r>
        <w:t>72</w:t>
      </w:r>
      <w:r w:rsidRPr="00EC3630">
        <w:t xml:space="preserve"> percent of the outcomes on the dependent variable (liberal vote),</w:t>
      </w:r>
      <w:r>
        <w:rPr>
          <w:color w:val="00B050"/>
        </w:rPr>
        <w:t xml:space="preserve"> </w:t>
      </w:r>
      <w:r>
        <w:t>which is an 11.28</w:t>
      </w:r>
      <w:r w:rsidR="002A69E6">
        <w:t xml:space="preserve"> percent</w:t>
      </w:r>
    </w:p>
    <w:p w:rsidR="00683CF6" w:rsidRDefault="00683CF6" w:rsidP="00683CF6">
      <w:pPr>
        <w:autoSpaceDE w:val="0"/>
        <w:autoSpaceDN w:val="0"/>
        <w:adjustRightInd w:val="0"/>
        <w:spacing w:line="480" w:lineRule="auto"/>
        <w:ind w:left="0" w:firstLine="0"/>
        <w:rPr>
          <w:rFonts w:cs="Times New Roman"/>
          <w:szCs w:val="24"/>
        </w:rPr>
      </w:pPr>
      <w:proofErr w:type="gramStart"/>
      <w:r>
        <w:rPr>
          <w:rFonts w:cs="Times New Roman"/>
          <w:b/>
          <w:szCs w:val="24"/>
        </w:rPr>
        <w:lastRenderedPageBreak/>
        <w:t>Table 5.2</w:t>
      </w:r>
      <w:r w:rsidRPr="00E8454D">
        <w:rPr>
          <w:rFonts w:cs="Times New Roman"/>
          <w:b/>
          <w:szCs w:val="24"/>
        </w:rPr>
        <w:t>.</w:t>
      </w:r>
      <w:proofErr w:type="gramEnd"/>
      <w:r>
        <w:rPr>
          <w:rFonts w:cs="Times New Roman"/>
          <w:szCs w:val="24"/>
        </w:rPr>
        <w:t xml:space="preserve"> </w:t>
      </w:r>
      <w:proofErr w:type="spellStart"/>
      <w:r>
        <w:rPr>
          <w:rFonts w:cs="Times New Roman"/>
          <w:b/>
          <w:szCs w:val="24"/>
        </w:rPr>
        <w:t>Logit</w:t>
      </w:r>
      <w:proofErr w:type="spellEnd"/>
      <w:r>
        <w:rPr>
          <w:rFonts w:cs="Times New Roman"/>
          <w:b/>
          <w:szCs w:val="24"/>
        </w:rPr>
        <w:t xml:space="preserve"> Model</w:t>
      </w:r>
      <w:r w:rsidRPr="00A02BA1">
        <w:rPr>
          <w:b/>
        </w:rPr>
        <w:t xml:space="preserve"> of</w:t>
      </w:r>
      <w:r>
        <w:rPr>
          <w:b/>
        </w:rPr>
        <w:t xml:space="preserve"> the Impact of Amici on Ideological Direction of Justice Votes at the Roberts Court, 2007 – 201</w:t>
      </w:r>
      <w:r w:rsidRPr="00A02BA1">
        <w:rPr>
          <w:b/>
        </w:rPr>
        <w:t>1 Terms</w:t>
      </w:r>
      <w:r w:rsidR="00B30972">
        <w:rPr>
          <w:b/>
        </w:rPr>
        <w:t>: Criminal Procedure Cases</w:t>
      </w:r>
    </w:p>
    <w:tbl>
      <w:tblPr>
        <w:tblW w:w="0" w:type="auto"/>
        <w:tblInd w:w="93" w:type="dxa"/>
        <w:tblBorders>
          <w:top w:val="single" w:sz="18" w:space="0" w:color="auto"/>
          <w:bottom w:val="single" w:sz="18" w:space="0" w:color="auto"/>
        </w:tblBorders>
        <w:tblLook w:val="04A0" w:firstRow="1" w:lastRow="0" w:firstColumn="1" w:lastColumn="0" w:noHBand="0" w:noVBand="1"/>
      </w:tblPr>
      <w:tblGrid>
        <w:gridCol w:w="3821"/>
        <w:gridCol w:w="2061"/>
        <w:gridCol w:w="1213"/>
        <w:gridCol w:w="1615"/>
      </w:tblGrid>
      <w:tr w:rsidR="00683CF6" w:rsidRPr="00944261" w:rsidTr="003D7560">
        <w:trPr>
          <w:trHeight w:val="576"/>
        </w:trPr>
        <w:tc>
          <w:tcPr>
            <w:tcW w:w="0" w:type="auto"/>
            <w:tcBorders>
              <w:top w:val="single" w:sz="18" w:space="0" w:color="auto"/>
              <w:bottom w:val="single" w:sz="18" w:space="0" w:color="auto"/>
            </w:tcBorders>
            <w:shd w:val="clear" w:color="auto" w:fill="auto"/>
            <w:noWrap/>
            <w:vAlign w:val="center"/>
            <w:hideMark/>
          </w:tcPr>
          <w:p w:rsidR="00683CF6" w:rsidRPr="00944261" w:rsidRDefault="00683CF6" w:rsidP="003D7560">
            <w:pPr>
              <w:ind w:left="0" w:firstLine="0"/>
              <w:rPr>
                <w:rFonts w:eastAsia="Times New Roman" w:cs="Times New Roman"/>
                <w:color w:val="000000"/>
                <w:sz w:val="22"/>
              </w:rPr>
            </w:pPr>
            <w:r w:rsidRPr="00944261">
              <w:rPr>
                <w:rFonts w:eastAsia="Times New Roman" w:cs="Times New Roman"/>
                <w:color w:val="000000"/>
                <w:sz w:val="22"/>
              </w:rPr>
              <w:t>Variable</w:t>
            </w:r>
          </w:p>
        </w:tc>
        <w:tc>
          <w:tcPr>
            <w:tcW w:w="0" w:type="auto"/>
            <w:tcBorders>
              <w:top w:val="single" w:sz="18" w:space="0" w:color="auto"/>
              <w:bottom w:val="single" w:sz="18" w:space="0" w:color="auto"/>
            </w:tcBorders>
            <w:shd w:val="clear" w:color="auto" w:fill="auto"/>
            <w:noWrap/>
            <w:vAlign w:val="center"/>
            <w:hideMark/>
          </w:tcPr>
          <w:p w:rsidR="00683CF6" w:rsidRPr="00944261" w:rsidRDefault="00683CF6" w:rsidP="003D7560">
            <w:pPr>
              <w:ind w:left="0" w:firstLine="0"/>
              <w:jc w:val="center"/>
              <w:rPr>
                <w:rFonts w:eastAsia="Times New Roman" w:cs="Times New Roman"/>
                <w:color w:val="000000"/>
                <w:sz w:val="22"/>
              </w:rPr>
            </w:pPr>
            <w:r w:rsidRPr="00944261">
              <w:rPr>
                <w:rFonts w:eastAsia="Times New Roman" w:cs="Times New Roman"/>
                <w:color w:val="000000"/>
                <w:sz w:val="22"/>
              </w:rPr>
              <w:t>MLE Coefficient</w:t>
            </w:r>
          </w:p>
        </w:tc>
        <w:tc>
          <w:tcPr>
            <w:tcW w:w="0" w:type="auto"/>
            <w:tcBorders>
              <w:top w:val="single" w:sz="18" w:space="0" w:color="auto"/>
              <w:bottom w:val="single" w:sz="18" w:space="0" w:color="auto"/>
            </w:tcBorders>
            <w:shd w:val="clear" w:color="auto" w:fill="auto"/>
            <w:noWrap/>
            <w:vAlign w:val="center"/>
            <w:hideMark/>
          </w:tcPr>
          <w:p w:rsidR="00683CF6" w:rsidRPr="00944261" w:rsidRDefault="00683CF6" w:rsidP="003D7560">
            <w:pPr>
              <w:ind w:left="0" w:firstLine="0"/>
              <w:jc w:val="center"/>
              <w:rPr>
                <w:rFonts w:eastAsia="Times New Roman" w:cs="Times New Roman"/>
                <w:color w:val="000000"/>
                <w:sz w:val="22"/>
              </w:rPr>
            </w:pPr>
            <w:r>
              <w:rPr>
                <w:rFonts w:eastAsia="Times New Roman" w:cs="Times New Roman"/>
                <w:color w:val="000000"/>
                <w:sz w:val="22"/>
              </w:rPr>
              <w:t>Odds Ratio</w:t>
            </w:r>
          </w:p>
        </w:tc>
        <w:tc>
          <w:tcPr>
            <w:tcW w:w="0" w:type="auto"/>
            <w:tcBorders>
              <w:top w:val="single" w:sz="18" w:space="0" w:color="auto"/>
              <w:bottom w:val="single" w:sz="18" w:space="0" w:color="auto"/>
            </w:tcBorders>
            <w:shd w:val="clear" w:color="auto" w:fill="auto"/>
            <w:noWrap/>
            <w:vAlign w:val="center"/>
            <w:hideMark/>
          </w:tcPr>
          <w:p w:rsidR="00683CF6" w:rsidRPr="000A14B5" w:rsidRDefault="00683CF6" w:rsidP="003D7560">
            <w:pPr>
              <w:ind w:left="0" w:firstLine="0"/>
              <w:jc w:val="center"/>
              <w:rPr>
                <w:rFonts w:eastAsia="Times New Roman" w:cs="Times New Roman"/>
                <w:sz w:val="22"/>
              </w:rPr>
            </w:pPr>
            <w:r w:rsidRPr="000A14B5">
              <w:rPr>
                <w:rFonts w:eastAsia="Times New Roman" w:cs="Times New Roman"/>
                <w:sz w:val="22"/>
              </w:rPr>
              <w:t>Marginal Effect</w:t>
            </w:r>
          </w:p>
        </w:tc>
      </w:tr>
      <w:tr w:rsidR="00B30972" w:rsidRPr="00944261" w:rsidTr="00B30972">
        <w:trPr>
          <w:trHeight w:val="576"/>
        </w:trPr>
        <w:tc>
          <w:tcPr>
            <w:tcW w:w="0" w:type="auto"/>
            <w:tcBorders>
              <w:top w:val="single" w:sz="18" w:space="0" w:color="auto"/>
            </w:tcBorders>
            <w:shd w:val="clear" w:color="auto" w:fill="auto"/>
            <w:noWrap/>
            <w:vAlign w:val="center"/>
            <w:hideMark/>
          </w:tcPr>
          <w:p w:rsidR="00B30972" w:rsidRPr="00944261" w:rsidRDefault="00B30972" w:rsidP="003D7560">
            <w:pPr>
              <w:ind w:left="0" w:firstLine="0"/>
              <w:rPr>
                <w:rFonts w:eastAsia="Times New Roman" w:cs="Times New Roman"/>
                <w:b/>
                <w:bCs/>
                <w:color w:val="000000"/>
                <w:sz w:val="22"/>
              </w:rPr>
            </w:pPr>
            <w:r w:rsidRPr="00944261">
              <w:rPr>
                <w:rFonts w:eastAsia="Times New Roman" w:cs="Times New Roman"/>
                <w:b/>
                <w:bCs/>
                <w:color w:val="000000"/>
                <w:sz w:val="22"/>
              </w:rPr>
              <w:t>Amicus Brief Difference</w:t>
            </w:r>
          </w:p>
        </w:tc>
        <w:tc>
          <w:tcPr>
            <w:tcW w:w="0" w:type="auto"/>
            <w:tcBorders>
              <w:top w:val="single" w:sz="18" w:space="0" w:color="auto"/>
            </w:tcBorders>
            <w:shd w:val="clear" w:color="auto" w:fill="auto"/>
            <w:noWrap/>
            <w:vAlign w:val="center"/>
            <w:hideMark/>
          </w:tcPr>
          <w:p w:rsidR="00B30972" w:rsidRPr="00B30972" w:rsidRDefault="00B30972" w:rsidP="00B30972">
            <w:pPr>
              <w:jc w:val="center"/>
              <w:rPr>
                <w:rFonts w:cs="Times New Roman"/>
                <w:color w:val="000000"/>
                <w:sz w:val="22"/>
              </w:rPr>
            </w:pPr>
            <w:r w:rsidRPr="00B30972">
              <w:rPr>
                <w:rFonts w:cs="Times New Roman"/>
                <w:color w:val="000000"/>
                <w:sz w:val="22"/>
              </w:rPr>
              <w:t>-0.031</w:t>
            </w:r>
            <w:r>
              <w:rPr>
                <w:rFonts w:cs="Times New Roman"/>
                <w:color w:val="000000"/>
                <w:sz w:val="22"/>
              </w:rPr>
              <w:t xml:space="preserve"> (.044)</w:t>
            </w:r>
          </w:p>
        </w:tc>
        <w:tc>
          <w:tcPr>
            <w:tcW w:w="0" w:type="auto"/>
            <w:tcBorders>
              <w:top w:val="single" w:sz="18" w:space="0" w:color="auto"/>
            </w:tcBorders>
            <w:shd w:val="clear" w:color="auto" w:fill="auto"/>
            <w:noWrap/>
            <w:vAlign w:val="center"/>
            <w:hideMark/>
          </w:tcPr>
          <w:p w:rsidR="00B30972" w:rsidRPr="00B30972" w:rsidRDefault="00B30972" w:rsidP="00B30972">
            <w:pPr>
              <w:jc w:val="center"/>
              <w:rPr>
                <w:rFonts w:cs="Times New Roman"/>
                <w:color w:val="000000"/>
                <w:sz w:val="22"/>
              </w:rPr>
            </w:pPr>
            <w:r w:rsidRPr="00B30972">
              <w:rPr>
                <w:rFonts w:cs="Times New Roman"/>
                <w:color w:val="000000"/>
                <w:sz w:val="22"/>
              </w:rPr>
              <w:t>0.970</w:t>
            </w:r>
          </w:p>
        </w:tc>
        <w:tc>
          <w:tcPr>
            <w:tcW w:w="0" w:type="auto"/>
            <w:tcBorders>
              <w:top w:val="single" w:sz="18" w:space="0" w:color="auto"/>
            </w:tcBorders>
            <w:shd w:val="clear" w:color="auto" w:fill="auto"/>
            <w:noWrap/>
            <w:vAlign w:val="center"/>
            <w:hideMark/>
          </w:tcPr>
          <w:p w:rsidR="00B30972" w:rsidRPr="000A14B5" w:rsidRDefault="000A14B5" w:rsidP="003D7560">
            <w:pPr>
              <w:ind w:left="0" w:firstLine="0"/>
              <w:jc w:val="center"/>
              <w:rPr>
                <w:rFonts w:eastAsia="Times New Roman" w:cs="Times New Roman"/>
                <w:sz w:val="22"/>
              </w:rPr>
            </w:pPr>
            <w:r w:rsidRPr="000A14B5">
              <w:rPr>
                <w:rFonts w:eastAsia="Times New Roman" w:cs="Times New Roman"/>
                <w:sz w:val="22"/>
              </w:rPr>
              <w:t>-3</w:t>
            </w:r>
            <w:r w:rsidR="000809F5" w:rsidRPr="000A14B5">
              <w:rPr>
                <w:rFonts w:eastAsia="Times New Roman" w:cs="Times New Roman"/>
                <w:sz w:val="22"/>
              </w:rPr>
              <w:t>.8%</w:t>
            </w:r>
          </w:p>
        </w:tc>
      </w:tr>
      <w:tr w:rsidR="00B30972" w:rsidRPr="00944261" w:rsidTr="00B30972">
        <w:trPr>
          <w:trHeight w:val="576"/>
        </w:trPr>
        <w:tc>
          <w:tcPr>
            <w:tcW w:w="0" w:type="auto"/>
            <w:shd w:val="clear" w:color="auto" w:fill="auto"/>
            <w:noWrap/>
            <w:vAlign w:val="center"/>
            <w:hideMark/>
          </w:tcPr>
          <w:p w:rsidR="00B30972" w:rsidRPr="00944261" w:rsidRDefault="00B30972" w:rsidP="003D7560">
            <w:pPr>
              <w:ind w:left="0" w:firstLine="0"/>
              <w:rPr>
                <w:rFonts w:eastAsia="Times New Roman" w:cs="Times New Roman"/>
                <w:b/>
                <w:bCs/>
                <w:color w:val="000000"/>
                <w:sz w:val="22"/>
              </w:rPr>
            </w:pPr>
            <w:r w:rsidRPr="00944261">
              <w:rPr>
                <w:rFonts w:eastAsia="Times New Roman" w:cs="Times New Roman"/>
                <w:b/>
                <w:bCs/>
                <w:color w:val="000000"/>
                <w:sz w:val="22"/>
              </w:rPr>
              <w:t>Moderation</w:t>
            </w:r>
          </w:p>
        </w:tc>
        <w:tc>
          <w:tcPr>
            <w:tcW w:w="0" w:type="auto"/>
            <w:shd w:val="clear" w:color="auto" w:fill="auto"/>
            <w:noWrap/>
            <w:vAlign w:val="center"/>
            <w:hideMark/>
          </w:tcPr>
          <w:p w:rsidR="00B30972" w:rsidRPr="00B30972" w:rsidRDefault="00B30972" w:rsidP="00B30972">
            <w:pPr>
              <w:jc w:val="center"/>
              <w:rPr>
                <w:rFonts w:cs="Times New Roman"/>
                <w:color w:val="000000"/>
                <w:sz w:val="22"/>
              </w:rPr>
            </w:pPr>
            <w:r w:rsidRPr="00B30972">
              <w:rPr>
                <w:rFonts w:cs="Times New Roman"/>
                <w:color w:val="000000"/>
                <w:sz w:val="22"/>
              </w:rPr>
              <w:t>-0.055</w:t>
            </w:r>
            <w:r>
              <w:rPr>
                <w:rFonts w:cs="Times New Roman"/>
                <w:color w:val="000000"/>
                <w:sz w:val="22"/>
              </w:rPr>
              <w:t xml:space="preserve"> (.085)</w:t>
            </w:r>
          </w:p>
        </w:tc>
        <w:tc>
          <w:tcPr>
            <w:tcW w:w="0" w:type="auto"/>
            <w:shd w:val="clear" w:color="auto" w:fill="auto"/>
            <w:noWrap/>
            <w:vAlign w:val="center"/>
            <w:hideMark/>
          </w:tcPr>
          <w:p w:rsidR="00B30972" w:rsidRPr="00B30972" w:rsidRDefault="00B30972" w:rsidP="00B30972">
            <w:pPr>
              <w:jc w:val="center"/>
              <w:rPr>
                <w:rFonts w:cs="Times New Roman"/>
                <w:color w:val="000000"/>
                <w:sz w:val="22"/>
              </w:rPr>
            </w:pPr>
            <w:r w:rsidRPr="00B30972">
              <w:rPr>
                <w:rFonts w:cs="Times New Roman"/>
                <w:color w:val="000000"/>
                <w:sz w:val="22"/>
              </w:rPr>
              <w:t>0.947</w:t>
            </w:r>
          </w:p>
        </w:tc>
        <w:tc>
          <w:tcPr>
            <w:tcW w:w="0" w:type="auto"/>
            <w:shd w:val="clear" w:color="auto" w:fill="auto"/>
            <w:noWrap/>
            <w:vAlign w:val="center"/>
            <w:hideMark/>
          </w:tcPr>
          <w:p w:rsidR="00B30972" w:rsidRPr="000A14B5" w:rsidRDefault="000A14B5" w:rsidP="003D7560">
            <w:pPr>
              <w:ind w:left="0" w:firstLine="0"/>
              <w:jc w:val="center"/>
              <w:rPr>
                <w:rFonts w:eastAsia="Times New Roman" w:cs="Times New Roman"/>
                <w:sz w:val="22"/>
              </w:rPr>
            </w:pPr>
            <w:r w:rsidRPr="000A14B5">
              <w:rPr>
                <w:rFonts w:eastAsia="Times New Roman" w:cs="Times New Roman"/>
                <w:sz w:val="22"/>
              </w:rPr>
              <w:t>-1.2</w:t>
            </w:r>
            <w:r w:rsidR="000809F5" w:rsidRPr="000A14B5">
              <w:rPr>
                <w:rFonts w:eastAsia="Times New Roman" w:cs="Times New Roman"/>
                <w:sz w:val="22"/>
              </w:rPr>
              <w:t>%</w:t>
            </w:r>
          </w:p>
        </w:tc>
      </w:tr>
      <w:tr w:rsidR="00B30972" w:rsidRPr="00944261" w:rsidTr="00B30972">
        <w:trPr>
          <w:trHeight w:val="576"/>
        </w:trPr>
        <w:tc>
          <w:tcPr>
            <w:tcW w:w="0" w:type="auto"/>
            <w:shd w:val="clear" w:color="auto" w:fill="auto"/>
            <w:noWrap/>
            <w:vAlign w:val="center"/>
            <w:hideMark/>
          </w:tcPr>
          <w:p w:rsidR="00B30972" w:rsidRPr="00944261" w:rsidRDefault="00B30972" w:rsidP="003D7560">
            <w:pPr>
              <w:ind w:left="0" w:firstLine="0"/>
              <w:rPr>
                <w:rFonts w:eastAsia="Times New Roman" w:cs="Times New Roman"/>
                <w:b/>
                <w:bCs/>
                <w:color w:val="000000"/>
                <w:sz w:val="22"/>
              </w:rPr>
            </w:pPr>
            <w:r w:rsidRPr="00944261">
              <w:rPr>
                <w:rFonts w:eastAsia="Times New Roman" w:cs="Times New Roman"/>
                <w:b/>
                <w:bCs/>
                <w:color w:val="000000"/>
                <w:sz w:val="22"/>
              </w:rPr>
              <w:t>Moderation x Amicus Brief Difference</w:t>
            </w:r>
          </w:p>
        </w:tc>
        <w:tc>
          <w:tcPr>
            <w:tcW w:w="0" w:type="auto"/>
            <w:shd w:val="clear" w:color="auto" w:fill="auto"/>
            <w:noWrap/>
            <w:vAlign w:val="center"/>
            <w:hideMark/>
          </w:tcPr>
          <w:p w:rsidR="00B30972" w:rsidRPr="00B30972" w:rsidRDefault="00B30972" w:rsidP="00B30972">
            <w:pPr>
              <w:jc w:val="center"/>
              <w:rPr>
                <w:rFonts w:cs="Times New Roman"/>
                <w:color w:val="000000"/>
                <w:sz w:val="22"/>
              </w:rPr>
            </w:pPr>
            <w:r w:rsidRPr="00B30972">
              <w:rPr>
                <w:rFonts w:cs="Times New Roman"/>
                <w:color w:val="000000"/>
                <w:sz w:val="22"/>
              </w:rPr>
              <w:t>0.038</w:t>
            </w:r>
            <w:r>
              <w:rPr>
                <w:rFonts w:cs="Times New Roman"/>
                <w:color w:val="000000"/>
                <w:sz w:val="22"/>
              </w:rPr>
              <w:t xml:space="preserve"> (.017)</w:t>
            </w:r>
            <w:r w:rsidR="00AB732A">
              <w:rPr>
                <w:rFonts w:cs="Times New Roman"/>
                <w:color w:val="000000"/>
                <w:sz w:val="22"/>
              </w:rPr>
              <w:t>*</w:t>
            </w:r>
          </w:p>
        </w:tc>
        <w:tc>
          <w:tcPr>
            <w:tcW w:w="0" w:type="auto"/>
            <w:shd w:val="clear" w:color="auto" w:fill="auto"/>
            <w:noWrap/>
            <w:vAlign w:val="center"/>
            <w:hideMark/>
          </w:tcPr>
          <w:p w:rsidR="00B30972" w:rsidRPr="00B30972" w:rsidRDefault="00B30972" w:rsidP="00B30972">
            <w:pPr>
              <w:jc w:val="center"/>
              <w:rPr>
                <w:rFonts w:cs="Times New Roman"/>
                <w:color w:val="000000"/>
                <w:sz w:val="22"/>
              </w:rPr>
            </w:pPr>
            <w:r w:rsidRPr="00B30972">
              <w:rPr>
                <w:rFonts w:cs="Times New Roman"/>
                <w:color w:val="000000"/>
                <w:sz w:val="22"/>
              </w:rPr>
              <w:t>1.039</w:t>
            </w:r>
          </w:p>
        </w:tc>
        <w:tc>
          <w:tcPr>
            <w:tcW w:w="0" w:type="auto"/>
            <w:shd w:val="clear" w:color="auto" w:fill="auto"/>
            <w:noWrap/>
            <w:vAlign w:val="center"/>
            <w:hideMark/>
          </w:tcPr>
          <w:p w:rsidR="00B30972" w:rsidRPr="000A14B5" w:rsidRDefault="00B30972" w:rsidP="003D7560">
            <w:pPr>
              <w:ind w:left="0" w:firstLine="0"/>
              <w:jc w:val="center"/>
              <w:rPr>
                <w:rFonts w:eastAsia="Times New Roman" w:cs="Times New Roman"/>
                <w:sz w:val="22"/>
              </w:rPr>
            </w:pPr>
            <w:r w:rsidRPr="000A14B5">
              <w:rPr>
                <w:rFonts w:eastAsia="Times New Roman" w:cs="Times New Roman"/>
                <w:sz w:val="22"/>
              </w:rPr>
              <w:t>See Figure 5.2</w:t>
            </w:r>
          </w:p>
        </w:tc>
      </w:tr>
      <w:tr w:rsidR="00B30972" w:rsidRPr="00944261" w:rsidTr="00B30972">
        <w:trPr>
          <w:trHeight w:val="576"/>
        </w:trPr>
        <w:tc>
          <w:tcPr>
            <w:tcW w:w="0" w:type="auto"/>
            <w:shd w:val="clear" w:color="auto" w:fill="auto"/>
            <w:noWrap/>
            <w:vAlign w:val="center"/>
            <w:hideMark/>
          </w:tcPr>
          <w:p w:rsidR="00B30972" w:rsidRPr="00944261" w:rsidRDefault="00B30972" w:rsidP="003D7560">
            <w:pPr>
              <w:ind w:left="0" w:firstLine="0"/>
              <w:rPr>
                <w:rFonts w:eastAsia="Times New Roman" w:cs="Times New Roman"/>
                <w:b/>
                <w:bCs/>
                <w:color w:val="000000"/>
                <w:sz w:val="22"/>
              </w:rPr>
            </w:pPr>
            <w:r w:rsidRPr="00944261">
              <w:rPr>
                <w:rFonts w:eastAsia="Times New Roman" w:cs="Times New Roman"/>
                <w:b/>
                <w:bCs/>
                <w:color w:val="000000"/>
                <w:sz w:val="22"/>
              </w:rPr>
              <w:t>Ideology</w:t>
            </w:r>
          </w:p>
        </w:tc>
        <w:tc>
          <w:tcPr>
            <w:tcW w:w="0" w:type="auto"/>
            <w:shd w:val="clear" w:color="auto" w:fill="auto"/>
            <w:noWrap/>
            <w:vAlign w:val="center"/>
            <w:hideMark/>
          </w:tcPr>
          <w:p w:rsidR="00B30972" w:rsidRPr="00B30972" w:rsidRDefault="00B30972" w:rsidP="00B30972">
            <w:pPr>
              <w:jc w:val="center"/>
              <w:rPr>
                <w:rFonts w:cs="Times New Roman"/>
                <w:color w:val="000000"/>
                <w:sz w:val="22"/>
              </w:rPr>
            </w:pPr>
            <w:r w:rsidRPr="00B30972">
              <w:rPr>
                <w:rFonts w:cs="Times New Roman"/>
                <w:color w:val="000000"/>
                <w:sz w:val="22"/>
              </w:rPr>
              <w:t>2.421</w:t>
            </w:r>
            <w:r>
              <w:rPr>
                <w:rFonts w:cs="Times New Roman"/>
                <w:color w:val="000000"/>
                <w:sz w:val="22"/>
              </w:rPr>
              <w:t xml:space="preserve"> (.314)</w:t>
            </w:r>
            <w:r w:rsidR="00AB732A">
              <w:rPr>
                <w:rFonts w:cs="Times New Roman"/>
                <w:color w:val="000000"/>
                <w:sz w:val="22"/>
              </w:rPr>
              <w:t>***</w:t>
            </w:r>
          </w:p>
        </w:tc>
        <w:tc>
          <w:tcPr>
            <w:tcW w:w="0" w:type="auto"/>
            <w:shd w:val="clear" w:color="auto" w:fill="auto"/>
            <w:noWrap/>
            <w:vAlign w:val="center"/>
            <w:hideMark/>
          </w:tcPr>
          <w:p w:rsidR="00B30972" w:rsidRPr="00B30972" w:rsidRDefault="00B30972" w:rsidP="00B30972">
            <w:pPr>
              <w:jc w:val="center"/>
              <w:rPr>
                <w:rFonts w:cs="Times New Roman"/>
                <w:color w:val="000000"/>
                <w:sz w:val="22"/>
              </w:rPr>
            </w:pPr>
            <w:r w:rsidRPr="00B30972">
              <w:rPr>
                <w:rFonts w:cs="Times New Roman"/>
                <w:color w:val="000000"/>
                <w:sz w:val="22"/>
              </w:rPr>
              <w:t>11.253</w:t>
            </w:r>
          </w:p>
        </w:tc>
        <w:tc>
          <w:tcPr>
            <w:tcW w:w="0" w:type="auto"/>
            <w:shd w:val="clear" w:color="auto" w:fill="auto"/>
            <w:noWrap/>
            <w:vAlign w:val="center"/>
            <w:hideMark/>
          </w:tcPr>
          <w:p w:rsidR="00B30972" w:rsidRPr="000A14B5" w:rsidRDefault="000A14B5" w:rsidP="003D7560">
            <w:pPr>
              <w:ind w:left="0" w:firstLine="0"/>
              <w:jc w:val="center"/>
              <w:rPr>
                <w:rFonts w:eastAsia="Times New Roman" w:cs="Times New Roman"/>
                <w:sz w:val="22"/>
              </w:rPr>
            </w:pPr>
            <w:r w:rsidRPr="000A14B5">
              <w:rPr>
                <w:rFonts w:eastAsia="Times New Roman" w:cs="Times New Roman"/>
                <w:sz w:val="22"/>
              </w:rPr>
              <w:t>14.77%</w:t>
            </w:r>
          </w:p>
        </w:tc>
      </w:tr>
      <w:tr w:rsidR="00B30972" w:rsidRPr="00944261" w:rsidTr="00B30972">
        <w:trPr>
          <w:trHeight w:val="576"/>
        </w:trPr>
        <w:tc>
          <w:tcPr>
            <w:tcW w:w="0" w:type="auto"/>
            <w:shd w:val="clear" w:color="auto" w:fill="auto"/>
            <w:noWrap/>
            <w:vAlign w:val="center"/>
            <w:hideMark/>
          </w:tcPr>
          <w:p w:rsidR="00B30972" w:rsidRPr="00944261" w:rsidRDefault="00B30972" w:rsidP="003D7560">
            <w:pPr>
              <w:ind w:left="0" w:firstLine="0"/>
              <w:rPr>
                <w:rFonts w:eastAsia="Times New Roman" w:cs="Times New Roman"/>
                <w:b/>
                <w:bCs/>
                <w:color w:val="000000"/>
                <w:sz w:val="22"/>
              </w:rPr>
            </w:pPr>
            <w:r w:rsidRPr="00944261">
              <w:rPr>
                <w:rFonts w:eastAsia="Times New Roman" w:cs="Times New Roman"/>
                <w:b/>
                <w:bCs/>
                <w:color w:val="000000"/>
                <w:sz w:val="22"/>
              </w:rPr>
              <w:t>Amicus Cosigner Difference</w:t>
            </w:r>
          </w:p>
        </w:tc>
        <w:tc>
          <w:tcPr>
            <w:tcW w:w="0" w:type="auto"/>
            <w:shd w:val="clear" w:color="auto" w:fill="auto"/>
            <w:noWrap/>
            <w:vAlign w:val="center"/>
            <w:hideMark/>
          </w:tcPr>
          <w:p w:rsidR="00B30972" w:rsidRPr="00B30972" w:rsidRDefault="00B30972" w:rsidP="00B30972">
            <w:pPr>
              <w:jc w:val="center"/>
              <w:rPr>
                <w:rFonts w:cs="Times New Roman"/>
                <w:color w:val="000000"/>
                <w:sz w:val="22"/>
              </w:rPr>
            </w:pPr>
            <w:r w:rsidRPr="00B30972">
              <w:rPr>
                <w:rFonts w:cs="Times New Roman"/>
                <w:color w:val="000000"/>
                <w:sz w:val="22"/>
              </w:rPr>
              <w:t>-0.001</w:t>
            </w:r>
            <w:r>
              <w:rPr>
                <w:rFonts w:cs="Times New Roman"/>
                <w:color w:val="000000"/>
                <w:sz w:val="22"/>
              </w:rPr>
              <w:t xml:space="preserve"> (.001)</w:t>
            </w:r>
          </w:p>
        </w:tc>
        <w:tc>
          <w:tcPr>
            <w:tcW w:w="0" w:type="auto"/>
            <w:shd w:val="clear" w:color="auto" w:fill="auto"/>
            <w:noWrap/>
            <w:vAlign w:val="center"/>
            <w:hideMark/>
          </w:tcPr>
          <w:p w:rsidR="00B30972" w:rsidRPr="00B30972" w:rsidRDefault="00B30972" w:rsidP="00B30972">
            <w:pPr>
              <w:jc w:val="center"/>
              <w:rPr>
                <w:rFonts w:cs="Times New Roman"/>
                <w:color w:val="000000"/>
                <w:sz w:val="22"/>
              </w:rPr>
            </w:pPr>
            <w:r w:rsidRPr="00B30972">
              <w:rPr>
                <w:rFonts w:cs="Times New Roman"/>
                <w:color w:val="000000"/>
                <w:sz w:val="22"/>
              </w:rPr>
              <w:t>0.999</w:t>
            </w:r>
          </w:p>
        </w:tc>
        <w:tc>
          <w:tcPr>
            <w:tcW w:w="0" w:type="auto"/>
            <w:shd w:val="clear" w:color="auto" w:fill="auto"/>
            <w:noWrap/>
            <w:vAlign w:val="center"/>
            <w:hideMark/>
          </w:tcPr>
          <w:p w:rsidR="00B30972" w:rsidRPr="000A14B5" w:rsidRDefault="000A14B5" w:rsidP="003D7560">
            <w:pPr>
              <w:ind w:left="0" w:firstLine="0"/>
              <w:jc w:val="center"/>
              <w:rPr>
                <w:rFonts w:eastAsia="Times New Roman" w:cs="Times New Roman"/>
                <w:sz w:val="22"/>
              </w:rPr>
            </w:pPr>
            <w:r w:rsidRPr="000A14B5">
              <w:rPr>
                <w:rFonts w:eastAsia="Times New Roman" w:cs="Times New Roman"/>
                <w:sz w:val="22"/>
              </w:rPr>
              <w:t>-3.9%</w:t>
            </w:r>
          </w:p>
        </w:tc>
      </w:tr>
      <w:tr w:rsidR="00B30972" w:rsidRPr="00944261" w:rsidTr="00B30972">
        <w:trPr>
          <w:trHeight w:val="576"/>
        </w:trPr>
        <w:tc>
          <w:tcPr>
            <w:tcW w:w="0" w:type="auto"/>
            <w:shd w:val="clear" w:color="auto" w:fill="auto"/>
            <w:noWrap/>
            <w:vAlign w:val="center"/>
            <w:hideMark/>
          </w:tcPr>
          <w:p w:rsidR="00B30972" w:rsidRPr="00944261" w:rsidRDefault="00B30972" w:rsidP="003D7560">
            <w:pPr>
              <w:ind w:left="0" w:firstLine="0"/>
              <w:rPr>
                <w:rFonts w:eastAsia="Times New Roman" w:cs="Times New Roman"/>
                <w:b/>
                <w:bCs/>
                <w:color w:val="000000"/>
                <w:sz w:val="22"/>
              </w:rPr>
            </w:pPr>
            <w:r w:rsidRPr="00944261">
              <w:rPr>
                <w:rFonts w:eastAsia="Times New Roman" w:cs="Times New Roman"/>
                <w:b/>
                <w:bCs/>
                <w:color w:val="000000"/>
                <w:sz w:val="22"/>
              </w:rPr>
              <w:t>SG Lib Amicus Brief</w:t>
            </w:r>
          </w:p>
        </w:tc>
        <w:tc>
          <w:tcPr>
            <w:tcW w:w="0" w:type="auto"/>
            <w:shd w:val="clear" w:color="auto" w:fill="auto"/>
            <w:noWrap/>
            <w:vAlign w:val="center"/>
            <w:hideMark/>
          </w:tcPr>
          <w:p w:rsidR="00B30972" w:rsidRPr="00B30972" w:rsidRDefault="00B30972" w:rsidP="00B30972">
            <w:pPr>
              <w:jc w:val="center"/>
              <w:rPr>
                <w:rFonts w:cs="Times New Roman"/>
                <w:color w:val="000000"/>
                <w:sz w:val="22"/>
              </w:rPr>
            </w:pPr>
            <w:r w:rsidRPr="00B30972">
              <w:rPr>
                <w:rFonts w:cs="Times New Roman"/>
                <w:color w:val="000000"/>
                <w:sz w:val="22"/>
              </w:rPr>
              <w:t>-0.048</w:t>
            </w:r>
            <w:r>
              <w:rPr>
                <w:rFonts w:cs="Times New Roman"/>
                <w:color w:val="000000"/>
                <w:sz w:val="22"/>
              </w:rPr>
              <w:t xml:space="preserve"> (.428)</w:t>
            </w:r>
          </w:p>
        </w:tc>
        <w:tc>
          <w:tcPr>
            <w:tcW w:w="0" w:type="auto"/>
            <w:shd w:val="clear" w:color="auto" w:fill="auto"/>
            <w:noWrap/>
            <w:vAlign w:val="center"/>
            <w:hideMark/>
          </w:tcPr>
          <w:p w:rsidR="00B30972" w:rsidRPr="00B30972" w:rsidRDefault="00B30972" w:rsidP="00B30972">
            <w:pPr>
              <w:jc w:val="center"/>
              <w:rPr>
                <w:rFonts w:cs="Times New Roman"/>
                <w:color w:val="000000"/>
                <w:sz w:val="22"/>
              </w:rPr>
            </w:pPr>
            <w:r w:rsidRPr="00B30972">
              <w:rPr>
                <w:rFonts w:cs="Times New Roman"/>
                <w:color w:val="000000"/>
                <w:sz w:val="22"/>
              </w:rPr>
              <w:t>0.953</w:t>
            </w:r>
          </w:p>
        </w:tc>
        <w:tc>
          <w:tcPr>
            <w:tcW w:w="0" w:type="auto"/>
            <w:shd w:val="clear" w:color="auto" w:fill="auto"/>
            <w:noWrap/>
            <w:vAlign w:val="center"/>
            <w:hideMark/>
          </w:tcPr>
          <w:p w:rsidR="00B30972" w:rsidRPr="000A14B5" w:rsidRDefault="000A14B5" w:rsidP="003D7560">
            <w:pPr>
              <w:ind w:left="0" w:firstLine="0"/>
              <w:jc w:val="center"/>
              <w:rPr>
                <w:rFonts w:eastAsia="Times New Roman" w:cs="Times New Roman"/>
                <w:sz w:val="22"/>
              </w:rPr>
            </w:pPr>
            <w:r w:rsidRPr="000A14B5">
              <w:rPr>
                <w:rFonts w:eastAsia="Times New Roman" w:cs="Times New Roman"/>
                <w:sz w:val="22"/>
              </w:rPr>
              <w:t>-1.2%</w:t>
            </w:r>
          </w:p>
        </w:tc>
      </w:tr>
      <w:tr w:rsidR="00B30972" w:rsidRPr="00944261" w:rsidTr="00B30972">
        <w:trPr>
          <w:trHeight w:val="576"/>
        </w:trPr>
        <w:tc>
          <w:tcPr>
            <w:tcW w:w="0" w:type="auto"/>
            <w:shd w:val="clear" w:color="auto" w:fill="auto"/>
            <w:noWrap/>
            <w:vAlign w:val="center"/>
            <w:hideMark/>
          </w:tcPr>
          <w:p w:rsidR="00B30972" w:rsidRPr="00944261" w:rsidRDefault="00B30972" w:rsidP="003D7560">
            <w:pPr>
              <w:ind w:left="0" w:firstLine="0"/>
              <w:rPr>
                <w:rFonts w:eastAsia="Times New Roman" w:cs="Times New Roman"/>
                <w:b/>
                <w:bCs/>
                <w:color w:val="000000"/>
                <w:sz w:val="22"/>
              </w:rPr>
            </w:pPr>
            <w:r w:rsidRPr="00944261">
              <w:rPr>
                <w:rFonts w:eastAsia="Times New Roman" w:cs="Times New Roman"/>
                <w:b/>
                <w:bCs/>
                <w:color w:val="000000"/>
                <w:sz w:val="22"/>
              </w:rPr>
              <w:t>SG Con Amicus Brief</w:t>
            </w:r>
          </w:p>
        </w:tc>
        <w:tc>
          <w:tcPr>
            <w:tcW w:w="0" w:type="auto"/>
            <w:shd w:val="clear" w:color="auto" w:fill="auto"/>
            <w:noWrap/>
            <w:vAlign w:val="center"/>
            <w:hideMark/>
          </w:tcPr>
          <w:p w:rsidR="00B30972" w:rsidRPr="00B30972" w:rsidRDefault="00B30972" w:rsidP="00B30972">
            <w:pPr>
              <w:jc w:val="center"/>
              <w:rPr>
                <w:rFonts w:cs="Times New Roman"/>
                <w:color w:val="000000"/>
                <w:sz w:val="22"/>
              </w:rPr>
            </w:pPr>
            <w:r w:rsidRPr="00B30972">
              <w:rPr>
                <w:rFonts w:cs="Times New Roman"/>
                <w:color w:val="000000"/>
                <w:sz w:val="22"/>
              </w:rPr>
              <w:t>-0.173</w:t>
            </w:r>
            <w:r>
              <w:rPr>
                <w:rFonts w:cs="Times New Roman"/>
                <w:color w:val="000000"/>
                <w:sz w:val="22"/>
              </w:rPr>
              <w:t xml:space="preserve"> (.180)</w:t>
            </w:r>
          </w:p>
        </w:tc>
        <w:tc>
          <w:tcPr>
            <w:tcW w:w="0" w:type="auto"/>
            <w:shd w:val="clear" w:color="auto" w:fill="auto"/>
            <w:noWrap/>
            <w:vAlign w:val="center"/>
            <w:hideMark/>
          </w:tcPr>
          <w:p w:rsidR="00B30972" w:rsidRPr="00B30972" w:rsidRDefault="00B30972" w:rsidP="00B30972">
            <w:pPr>
              <w:jc w:val="center"/>
              <w:rPr>
                <w:rFonts w:cs="Times New Roman"/>
                <w:color w:val="000000"/>
                <w:sz w:val="22"/>
              </w:rPr>
            </w:pPr>
            <w:r w:rsidRPr="00B30972">
              <w:rPr>
                <w:rFonts w:cs="Times New Roman"/>
                <w:color w:val="000000"/>
                <w:sz w:val="22"/>
              </w:rPr>
              <w:t>0.841</w:t>
            </w:r>
          </w:p>
        </w:tc>
        <w:tc>
          <w:tcPr>
            <w:tcW w:w="0" w:type="auto"/>
            <w:shd w:val="clear" w:color="auto" w:fill="auto"/>
            <w:noWrap/>
            <w:vAlign w:val="center"/>
            <w:hideMark/>
          </w:tcPr>
          <w:p w:rsidR="00B30972" w:rsidRPr="000A14B5" w:rsidRDefault="000A14B5" w:rsidP="003D7560">
            <w:pPr>
              <w:ind w:left="0" w:firstLine="0"/>
              <w:jc w:val="center"/>
              <w:rPr>
                <w:rFonts w:eastAsia="Times New Roman" w:cs="Times New Roman"/>
                <w:sz w:val="22"/>
              </w:rPr>
            </w:pPr>
            <w:r w:rsidRPr="000A14B5">
              <w:rPr>
                <w:rFonts w:eastAsia="Times New Roman" w:cs="Times New Roman"/>
                <w:sz w:val="22"/>
              </w:rPr>
              <w:t>-4.3%</w:t>
            </w:r>
          </w:p>
        </w:tc>
      </w:tr>
      <w:tr w:rsidR="00B30972" w:rsidRPr="00944261" w:rsidTr="00B30972">
        <w:trPr>
          <w:trHeight w:val="576"/>
        </w:trPr>
        <w:tc>
          <w:tcPr>
            <w:tcW w:w="0" w:type="auto"/>
            <w:shd w:val="clear" w:color="auto" w:fill="auto"/>
            <w:noWrap/>
            <w:vAlign w:val="center"/>
            <w:hideMark/>
          </w:tcPr>
          <w:p w:rsidR="00B30972" w:rsidRPr="00944261" w:rsidRDefault="00B30972" w:rsidP="003D7560">
            <w:pPr>
              <w:ind w:left="0" w:firstLine="0"/>
              <w:rPr>
                <w:rFonts w:eastAsia="Times New Roman" w:cs="Times New Roman"/>
                <w:b/>
                <w:bCs/>
                <w:color w:val="000000"/>
                <w:sz w:val="22"/>
              </w:rPr>
            </w:pPr>
            <w:r w:rsidRPr="00944261">
              <w:rPr>
                <w:rFonts w:eastAsia="Times New Roman" w:cs="Times New Roman"/>
                <w:b/>
                <w:bCs/>
                <w:color w:val="000000"/>
                <w:sz w:val="22"/>
              </w:rPr>
              <w:t>Prestigious Amicus Difference</w:t>
            </w:r>
          </w:p>
        </w:tc>
        <w:tc>
          <w:tcPr>
            <w:tcW w:w="0" w:type="auto"/>
            <w:shd w:val="clear" w:color="auto" w:fill="auto"/>
            <w:noWrap/>
            <w:vAlign w:val="center"/>
            <w:hideMark/>
          </w:tcPr>
          <w:p w:rsidR="00B30972" w:rsidRPr="00B30972" w:rsidRDefault="00B30972" w:rsidP="00B30972">
            <w:pPr>
              <w:jc w:val="center"/>
              <w:rPr>
                <w:rFonts w:cs="Times New Roman"/>
                <w:color w:val="000000"/>
                <w:sz w:val="22"/>
              </w:rPr>
            </w:pPr>
            <w:r w:rsidRPr="00B30972">
              <w:rPr>
                <w:rFonts w:cs="Times New Roman"/>
                <w:color w:val="000000"/>
                <w:sz w:val="22"/>
              </w:rPr>
              <w:t>-0.001</w:t>
            </w:r>
            <w:r>
              <w:rPr>
                <w:rFonts w:cs="Times New Roman"/>
                <w:color w:val="000000"/>
                <w:sz w:val="22"/>
              </w:rPr>
              <w:t xml:space="preserve"> (.083)</w:t>
            </w:r>
          </w:p>
        </w:tc>
        <w:tc>
          <w:tcPr>
            <w:tcW w:w="0" w:type="auto"/>
            <w:shd w:val="clear" w:color="auto" w:fill="auto"/>
            <w:noWrap/>
            <w:vAlign w:val="center"/>
            <w:hideMark/>
          </w:tcPr>
          <w:p w:rsidR="00B30972" w:rsidRPr="00B30972" w:rsidRDefault="00B30972" w:rsidP="00B30972">
            <w:pPr>
              <w:jc w:val="center"/>
              <w:rPr>
                <w:rFonts w:cs="Times New Roman"/>
                <w:color w:val="000000"/>
                <w:sz w:val="22"/>
              </w:rPr>
            </w:pPr>
            <w:r w:rsidRPr="00B30972">
              <w:rPr>
                <w:rFonts w:cs="Times New Roman"/>
                <w:color w:val="000000"/>
                <w:sz w:val="22"/>
              </w:rPr>
              <w:t>0.999</w:t>
            </w:r>
          </w:p>
        </w:tc>
        <w:tc>
          <w:tcPr>
            <w:tcW w:w="0" w:type="auto"/>
            <w:shd w:val="clear" w:color="auto" w:fill="auto"/>
            <w:noWrap/>
            <w:vAlign w:val="center"/>
            <w:hideMark/>
          </w:tcPr>
          <w:p w:rsidR="00B30972" w:rsidRPr="000A14B5" w:rsidRDefault="000A14B5" w:rsidP="003D7560">
            <w:pPr>
              <w:ind w:left="0" w:firstLine="0"/>
              <w:jc w:val="center"/>
              <w:rPr>
                <w:rFonts w:eastAsia="Times New Roman" w:cs="Times New Roman"/>
                <w:sz w:val="22"/>
              </w:rPr>
            </w:pPr>
            <w:r w:rsidRPr="000A14B5">
              <w:rPr>
                <w:rFonts w:eastAsia="Times New Roman" w:cs="Times New Roman"/>
                <w:sz w:val="22"/>
              </w:rPr>
              <w:t>0%</w:t>
            </w:r>
          </w:p>
        </w:tc>
      </w:tr>
      <w:tr w:rsidR="00B30972" w:rsidRPr="00944261" w:rsidTr="00B30972">
        <w:trPr>
          <w:trHeight w:val="576"/>
        </w:trPr>
        <w:tc>
          <w:tcPr>
            <w:tcW w:w="0" w:type="auto"/>
            <w:shd w:val="clear" w:color="auto" w:fill="auto"/>
            <w:noWrap/>
            <w:vAlign w:val="center"/>
            <w:hideMark/>
          </w:tcPr>
          <w:p w:rsidR="00B30972" w:rsidRPr="00944261" w:rsidRDefault="00B30972" w:rsidP="003D7560">
            <w:pPr>
              <w:ind w:left="0" w:firstLine="0"/>
              <w:rPr>
                <w:rFonts w:eastAsia="Times New Roman" w:cs="Times New Roman"/>
                <w:b/>
                <w:bCs/>
                <w:color w:val="000000"/>
                <w:sz w:val="22"/>
              </w:rPr>
            </w:pPr>
            <w:r w:rsidRPr="00944261">
              <w:rPr>
                <w:rFonts w:eastAsia="Times New Roman" w:cs="Times New Roman"/>
                <w:b/>
                <w:bCs/>
                <w:color w:val="000000"/>
                <w:sz w:val="22"/>
              </w:rPr>
              <w:t>Lower Court Direction</w:t>
            </w:r>
          </w:p>
        </w:tc>
        <w:tc>
          <w:tcPr>
            <w:tcW w:w="0" w:type="auto"/>
            <w:shd w:val="clear" w:color="auto" w:fill="auto"/>
            <w:noWrap/>
            <w:vAlign w:val="center"/>
            <w:hideMark/>
          </w:tcPr>
          <w:p w:rsidR="00B30972" w:rsidRPr="00B30972" w:rsidRDefault="00B30972" w:rsidP="00B30972">
            <w:pPr>
              <w:jc w:val="center"/>
              <w:rPr>
                <w:rFonts w:cs="Times New Roman"/>
                <w:color w:val="000000"/>
                <w:sz w:val="22"/>
              </w:rPr>
            </w:pPr>
            <w:r w:rsidRPr="00B30972">
              <w:rPr>
                <w:rFonts w:cs="Times New Roman"/>
                <w:color w:val="000000"/>
                <w:sz w:val="22"/>
              </w:rPr>
              <w:t>-0.755</w:t>
            </w:r>
            <w:r>
              <w:rPr>
                <w:rFonts w:cs="Times New Roman"/>
                <w:color w:val="000000"/>
                <w:sz w:val="22"/>
              </w:rPr>
              <w:t xml:space="preserve"> (.165)</w:t>
            </w:r>
            <w:r w:rsidR="00AB732A">
              <w:rPr>
                <w:rFonts w:cs="Times New Roman"/>
                <w:color w:val="000000"/>
                <w:sz w:val="22"/>
              </w:rPr>
              <w:t>***</w:t>
            </w:r>
          </w:p>
        </w:tc>
        <w:tc>
          <w:tcPr>
            <w:tcW w:w="0" w:type="auto"/>
            <w:shd w:val="clear" w:color="auto" w:fill="auto"/>
            <w:noWrap/>
            <w:vAlign w:val="center"/>
            <w:hideMark/>
          </w:tcPr>
          <w:p w:rsidR="00B30972" w:rsidRPr="00B30972" w:rsidRDefault="00B30972" w:rsidP="00B30972">
            <w:pPr>
              <w:jc w:val="center"/>
              <w:rPr>
                <w:rFonts w:cs="Times New Roman"/>
                <w:color w:val="000000"/>
                <w:sz w:val="22"/>
              </w:rPr>
            </w:pPr>
            <w:r w:rsidRPr="00B30972">
              <w:rPr>
                <w:rFonts w:cs="Times New Roman"/>
                <w:color w:val="000000"/>
                <w:sz w:val="22"/>
              </w:rPr>
              <w:t>0.470</w:t>
            </w:r>
          </w:p>
        </w:tc>
        <w:tc>
          <w:tcPr>
            <w:tcW w:w="0" w:type="auto"/>
            <w:shd w:val="clear" w:color="auto" w:fill="auto"/>
            <w:noWrap/>
            <w:vAlign w:val="center"/>
            <w:hideMark/>
          </w:tcPr>
          <w:p w:rsidR="00B30972" w:rsidRPr="000A14B5" w:rsidRDefault="000A14B5" w:rsidP="003D7560">
            <w:pPr>
              <w:ind w:left="0" w:firstLine="0"/>
              <w:jc w:val="center"/>
              <w:rPr>
                <w:rFonts w:eastAsia="Times New Roman" w:cs="Times New Roman"/>
                <w:sz w:val="22"/>
              </w:rPr>
            </w:pPr>
            <w:r w:rsidRPr="000A14B5">
              <w:rPr>
                <w:rFonts w:eastAsia="Times New Roman" w:cs="Times New Roman"/>
                <w:sz w:val="22"/>
              </w:rPr>
              <w:t>-18.31%</w:t>
            </w:r>
          </w:p>
        </w:tc>
      </w:tr>
      <w:tr w:rsidR="00B30972" w:rsidRPr="00944261" w:rsidTr="00B30972">
        <w:trPr>
          <w:trHeight w:val="576"/>
        </w:trPr>
        <w:tc>
          <w:tcPr>
            <w:tcW w:w="0" w:type="auto"/>
            <w:shd w:val="clear" w:color="auto" w:fill="auto"/>
            <w:noWrap/>
            <w:vAlign w:val="center"/>
            <w:hideMark/>
          </w:tcPr>
          <w:p w:rsidR="00B30972" w:rsidRPr="00944261" w:rsidRDefault="00B30972" w:rsidP="003D7560">
            <w:pPr>
              <w:ind w:left="0" w:firstLine="0"/>
              <w:rPr>
                <w:rFonts w:eastAsia="Times New Roman" w:cs="Times New Roman"/>
                <w:b/>
                <w:bCs/>
                <w:color w:val="000000"/>
                <w:sz w:val="22"/>
              </w:rPr>
            </w:pPr>
            <w:r w:rsidRPr="00944261">
              <w:rPr>
                <w:rFonts w:eastAsia="Times New Roman" w:cs="Times New Roman"/>
                <w:b/>
                <w:bCs/>
                <w:color w:val="000000"/>
                <w:sz w:val="22"/>
              </w:rPr>
              <w:t>Resource Difference</w:t>
            </w:r>
          </w:p>
        </w:tc>
        <w:tc>
          <w:tcPr>
            <w:tcW w:w="0" w:type="auto"/>
            <w:shd w:val="clear" w:color="auto" w:fill="auto"/>
            <w:noWrap/>
            <w:vAlign w:val="center"/>
            <w:hideMark/>
          </w:tcPr>
          <w:p w:rsidR="00B30972" w:rsidRPr="00B30972" w:rsidRDefault="00B30972" w:rsidP="00B30972">
            <w:pPr>
              <w:jc w:val="center"/>
              <w:rPr>
                <w:rFonts w:cs="Times New Roman"/>
                <w:color w:val="000000"/>
                <w:sz w:val="22"/>
              </w:rPr>
            </w:pPr>
            <w:r w:rsidRPr="00B30972">
              <w:rPr>
                <w:rFonts w:cs="Times New Roman"/>
                <w:color w:val="000000"/>
                <w:sz w:val="22"/>
              </w:rPr>
              <w:t>0.051</w:t>
            </w:r>
            <w:r>
              <w:rPr>
                <w:rFonts w:cs="Times New Roman"/>
                <w:color w:val="000000"/>
                <w:sz w:val="22"/>
              </w:rPr>
              <w:t xml:space="preserve"> (.031)</w:t>
            </w:r>
          </w:p>
        </w:tc>
        <w:tc>
          <w:tcPr>
            <w:tcW w:w="0" w:type="auto"/>
            <w:shd w:val="clear" w:color="auto" w:fill="auto"/>
            <w:noWrap/>
            <w:vAlign w:val="center"/>
            <w:hideMark/>
          </w:tcPr>
          <w:p w:rsidR="00B30972" w:rsidRPr="00B30972" w:rsidRDefault="00B30972" w:rsidP="00B30972">
            <w:pPr>
              <w:jc w:val="center"/>
              <w:rPr>
                <w:rFonts w:cs="Times New Roman"/>
                <w:color w:val="000000"/>
                <w:sz w:val="22"/>
              </w:rPr>
            </w:pPr>
            <w:r w:rsidRPr="00B30972">
              <w:rPr>
                <w:rFonts w:cs="Times New Roman"/>
                <w:color w:val="000000"/>
                <w:sz w:val="22"/>
              </w:rPr>
              <w:t>1.053</w:t>
            </w:r>
          </w:p>
        </w:tc>
        <w:tc>
          <w:tcPr>
            <w:tcW w:w="0" w:type="auto"/>
            <w:shd w:val="clear" w:color="auto" w:fill="auto"/>
            <w:noWrap/>
            <w:vAlign w:val="center"/>
            <w:hideMark/>
          </w:tcPr>
          <w:p w:rsidR="00B30972" w:rsidRPr="000A14B5" w:rsidRDefault="000A14B5" w:rsidP="003D7560">
            <w:pPr>
              <w:ind w:left="0" w:firstLine="0"/>
              <w:jc w:val="center"/>
              <w:rPr>
                <w:rFonts w:eastAsia="Times New Roman" w:cs="Times New Roman"/>
                <w:sz w:val="22"/>
              </w:rPr>
            </w:pPr>
            <w:r w:rsidRPr="000A14B5">
              <w:rPr>
                <w:rFonts w:eastAsia="Times New Roman" w:cs="Times New Roman"/>
                <w:sz w:val="22"/>
              </w:rPr>
              <w:t>1.2%</w:t>
            </w:r>
          </w:p>
        </w:tc>
      </w:tr>
      <w:tr w:rsidR="00B30972" w:rsidRPr="00944261" w:rsidTr="00B30972">
        <w:trPr>
          <w:trHeight w:val="576"/>
        </w:trPr>
        <w:tc>
          <w:tcPr>
            <w:tcW w:w="0" w:type="auto"/>
            <w:tcBorders>
              <w:bottom w:val="single" w:sz="18" w:space="0" w:color="auto"/>
            </w:tcBorders>
            <w:shd w:val="clear" w:color="auto" w:fill="auto"/>
            <w:noWrap/>
            <w:vAlign w:val="center"/>
            <w:hideMark/>
          </w:tcPr>
          <w:p w:rsidR="00B30972" w:rsidRPr="00944261" w:rsidRDefault="00B30972" w:rsidP="003D7560">
            <w:pPr>
              <w:ind w:left="0" w:firstLine="0"/>
              <w:rPr>
                <w:rFonts w:eastAsia="Times New Roman" w:cs="Times New Roman"/>
                <w:b/>
                <w:bCs/>
                <w:color w:val="000000"/>
                <w:sz w:val="22"/>
              </w:rPr>
            </w:pPr>
            <w:r w:rsidRPr="00944261">
              <w:rPr>
                <w:rFonts w:eastAsia="Times New Roman" w:cs="Times New Roman"/>
                <w:b/>
                <w:bCs/>
                <w:color w:val="000000"/>
                <w:sz w:val="22"/>
              </w:rPr>
              <w:t>Constant</w:t>
            </w:r>
          </w:p>
        </w:tc>
        <w:tc>
          <w:tcPr>
            <w:tcW w:w="0" w:type="auto"/>
            <w:tcBorders>
              <w:bottom w:val="single" w:sz="18" w:space="0" w:color="auto"/>
            </w:tcBorders>
            <w:shd w:val="clear" w:color="auto" w:fill="auto"/>
            <w:noWrap/>
            <w:vAlign w:val="center"/>
            <w:hideMark/>
          </w:tcPr>
          <w:p w:rsidR="00B30972" w:rsidRPr="00B30972" w:rsidRDefault="00B30972" w:rsidP="00B30972">
            <w:pPr>
              <w:jc w:val="center"/>
              <w:rPr>
                <w:rFonts w:cs="Times New Roman"/>
                <w:color w:val="000000"/>
                <w:sz w:val="22"/>
              </w:rPr>
            </w:pPr>
            <w:r w:rsidRPr="00B30972">
              <w:rPr>
                <w:rFonts w:cs="Times New Roman"/>
                <w:color w:val="000000"/>
                <w:sz w:val="22"/>
              </w:rPr>
              <w:t>-0.233</w:t>
            </w:r>
            <w:r>
              <w:rPr>
                <w:rFonts w:cs="Times New Roman"/>
                <w:color w:val="000000"/>
                <w:sz w:val="22"/>
              </w:rPr>
              <w:t>(.327)</w:t>
            </w:r>
          </w:p>
        </w:tc>
        <w:tc>
          <w:tcPr>
            <w:tcW w:w="0" w:type="auto"/>
            <w:tcBorders>
              <w:bottom w:val="single" w:sz="18" w:space="0" w:color="auto"/>
            </w:tcBorders>
            <w:shd w:val="clear" w:color="auto" w:fill="auto"/>
            <w:noWrap/>
            <w:vAlign w:val="center"/>
            <w:hideMark/>
          </w:tcPr>
          <w:p w:rsidR="00B30972" w:rsidRPr="00B30972" w:rsidRDefault="00B30972" w:rsidP="00B30972">
            <w:pPr>
              <w:jc w:val="center"/>
              <w:rPr>
                <w:rFonts w:cs="Times New Roman"/>
                <w:color w:val="000000"/>
                <w:sz w:val="22"/>
              </w:rPr>
            </w:pPr>
            <w:r w:rsidRPr="00B30972">
              <w:rPr>
                <w:rFonts w:cs="Times New Roman"/>
                <w:color w:val="000000"/>
                <w:sz w:val="22"/>
              </w:rPr>
              <w:t>0.327</w:t>
            </w:r>
          </w:p>
        </w:tc>
        <w:tc>
          <w:tcPr>
            <w:tcW w:w="0" w:type="auto"/>
            <w:tcBorders>
              <w:bottom w:val="single" w:sz="18" w:space="0" w:color="auto"/>
            </w:tcBorders>
            <w:shd w:val="clear" w:color="auto" w:fill="auto"/>
            <w:noWrap/>
            <w:vAlign w:val="center"/>
            <w:hideMark/>
          </w:tcPr>
          <w:p w:rsidR="00B30972" w:rsidRPr="00D62BD1" w:rsidRDefault="00B30972" w:rsidP="003D7560">
            <w:pPr>
              <w:ind w:left="0" w:firstLine="0"/>
              <w:jc w:val="center"/>
              <w:rPr>
                <w:rFonts w:eastAsia="Times New Roman" w:cs="Times New Roman"/>
                <w:color w:val="00B050"/>
                <w:sz w:val="22"/>
              </w:rPr>
            </w:pPr>
          </w:p>
        </w:tc>
      </w:tr>
      <w:tr w:rsidR="00683CF6" w:rsidRPr="00944261" w:rsidTr="003D7560">
        <w:trPr>
          <w:trHeight w:val="576"/>
        </w:trPr>
        <w:tc>
          <w:tcPr>
            <w:tcW w:w="0" w:type="auto"/>
            <w:tcBorders>
              <w:top w:val="single" w:sz="18" w:space="0" w:color="auto"/>
              <w:bottom w:val="nil"/>
            </w:tcBorders>
            <w:shd w:val="clear" w:color="auto" w:fill="auto"/>
            <w:noWrap/>
            <w:vAlign w:val="center"/>
            <w:hideMark/>
          </w:tcPr>
          <w:p w:rsidR="00683CF6" w:rsidRPr="00944261" w:rsidRDefault="00683CF6" w:rsidP="003D7560">
            <w:pPr>
              <w:ind w:left="0" w:firstLine="0"/>
              <w:rPr>
                <w:rFonts w:eastAsia="Times New Roman" w:cs="Times New Roman"/>
                <w:b/>
                <w:bCs/>
                <w:color w:val="000000"/>
                <w:sz w:val="22"/>
              </w:rPr>
            </w:pPr>
            <w:r w:rsidRPr="00944261">
              <w:rPr>
                <w:rFonts w:eastAsia="Times New Roman" w:cs="Times New Roman"/>
                <w:b/>
                <w:bCs/>
                <w:color w:val="000000"/>
                <w:sz w:val="22"/>
              </w:rPr>
              <w:t>N</w:t>
            </w:r>
          </w:p>
        </w:tc>
        <w:tc>
          <w:tcPr>
            <w:tcW w:w="0" w:type="auto"/>
            <w:tcBorders>
              <w:top w:val="single" w:sz="18" w:space="0" w:color="auto"/>
              <w:bottom w:val="nil"/>
            </w:tcBorders>
            <w:shd w:val="clear" w:color="auto" w:fill="auto"/>
            <w:noWrap/>
            <w:vAlign w:val="center"/>
            <w:hideMark/>
          </w:tcPr>
          <w:p w:rsidR="00683CF6" w:rsidRPr="00944261" w:rsidRDefault="00B30972" w:rsidP="003D7560">
            <w:pPr>
              <w:ind w:left="0" w:firstLine="0"/>
              <w:jc w:val="center"/>
              <w:rPr>
                <w:rFonts w:eastAsia="Times New Roman" w:cs="Times New Roman"/>
                <w:color w:val="000000"/>
                <w:sz w:val="22"/>
              </w:rPr>
            </w:pPr>
            <w:r>
              <w:rPr>
                <w:rFonts w:eastAsia="Times New Roman" w:cs="Times New Roman"/>
                <w:color w:val="000000"/>
                <w:sz w:val="22"/>
              </w:rPr>
              <w:t>927</w:t>
            </w:r>
          </w:p>
        </w:tc>
        <w:tc>
          <w:tcPr>
            <w:tcW w:w="0" w:type="auto"/>
            <w:tcBorders>
              <w:top w:val="single" w:sz="18" w:space="0" w:color="auto"/>
              <w:bottom w:val="nil"/>
            </w:tcBorders>
            <w:shd w:val="clear" w:color="auto" w:fill="auto"/>
            <w:noWrap/>
            <w:vAlign w:val="center"/>
            <w:hideMark/>
          </w:tcPr>
          <w:p w:rsidR="00683CF6" w:rsidRPr="00944261" w:rsidRDefault="00683CF6" w:rsidP="003D7560">
            <w:pPr>
              <w:ind w:left="0" w:firstLine="0"/>
              <w:jc w:val="center"/>
              <w:rPr>
                <w:rFonts w:eastAsia="Times New Roman" w:cs="Times New Roman"/>
                <w:color w:val="000000"/>
                <w:sz w:val="22"/>
              </w:rPr>
            </w:pPr>
          </w:p>
        </w:tc>
        <w:tc>
          <w:tcPr>
            <w:tcW w:w="0" w:type="auto"/>
            <w:tcBorders>
              <w:top w:val="single" w:sz="18" w:space="0" w:color="auto"/>
              <w:bottom w:val="nil"/>
            </w:tcBorders>
            <w:shd w:val="clear" w:color="auto" w:fill="auto"/>
            <w:noWrap/>
            <w:vAlign w:val="center"/>
            <w:hideMark/>
          </w:tcPr>
          <w:p w:rsidR="00683CF6" w:rsidRPr="00944261" w:rsidRDefault="00683CF6" w:rsidP="003D7560">
            <w:pPr>
              <w:ind w:left="0" w:firstLine="0"/>
              <w:jc w:val="center"/>
              <w:rPr>
                <w:rFonts w:eastAsia="Times New Roman" w:cs="Times New Roman"/>
                <w:color w:val="000000"/>
                <w:sz w:val="22"/>
              </w:rPr>
            </w:pPr>
          </w:p>
        </w:tc>
      </w:tr>
      <w:tr w:rsidR="00683CF6" w:rsidRPr="00944261" w:rsidTr="003D7560">
        <w:trPr>
          <w:trHeight w:val="576"/>
        </w:trPr>
        <w:tc>
          <w:tcPr>
            <w:tcW w:w="0" w:type="auto"/>
            <w:tcBorders>
              <w:top w:val="nil"/>
              <w:bottom w:val="nil"/>
            </w:tcBorders>
            <w:shd w:val="clear" w:color="auto" w:fill="auto"/>
            <w:noWrap/>
            <w:vAlign w:val="center"/>
            <w:hideMark/>
          </w:tcPr>
          <w:p w:rsidR="00683CF6" w:rsidRPr="00944261" w:rsidRDefault="00683CF6" w:rsidP="003D7560">
            <w:pPr>
              <w:ind w:left="0" w:firstLine="0"/>
              <w:rPr>
                <w:rFonts w:eastAsia="Times New Roman" w:cs="Times New Roman"/>
                <w:b/>
                <w:bCs/>
                <w:color w:val="000000"/>
                <w:sz w:val="22"/>
              </w:rPr>
            </w:pPr>
            <w:proofErr w:type="spellStart"/>
            <w:r w:rsidRPr="00944261">
              <w:rPr>
                <w:rFonts w:eastAsia="Times New Roman" w:cs="Times New Roman"/>
                <w:b/>
                <w:bCs/>
                <w:color w:val="000000"/>
                <w:sz w:val="22"/>
              </w:rPr>
              <w:t>Prob</w:t>
            </w:r>
            <w:proofErr w:type="spellEnd"/>
            <w:r w:rsidRPr="00944261">
              <w:rPr>
                <w:rFonts w:eastAsia="Times New Roman" w:cs="Times New Roman"/>
                <w:b/>
                <w:bCs/>
                <w:color w:val="000000"/>
                <w:sz w:val="22"/>
              </w:rPr>
              <w:t xml:space="preserve"> &gt; chi2</w:t>
            </w:r>
          </w:p>
        </w:tc>
        <w:tc>
          <w:tcPr>
            <w:tcW w:w="0" w:type="auto"/>
            <w:tcBorders>
              <w:top w:val="nil"/>
              <w:bottom w:val="nil"/>
            </w:tcBorders>
            <w:shd w:val="clear" w:color="auto" w:fill="auto"/>
            <w:noWrap/>
            <w:vAlign w:val="center"/>
            <w:hideMark/>
          </w:tcPr>
          <w:p w:rsidR="00683CF6" w:rsidRPr="00944261" w:rsidRDefault="00683CF6" w:rsidP="003D7560">
            <w:pPr>
              <w:ind w:left="0" w:firstLine="0"/>
              <w:jc w:val="center"/>
              <w:rPr>
                <w:rFonts w:eastAsia="Times New Roman" w:cs="Times New Roman"/>
                <w:color w:val="000000"/>
                <w:sz w:val="22"/>
              </w:rPr>
            </w:pPr>
            <w:r w:rsidRPr="00944261">
              <w:rPr>
                <w:rFonts w:eastAsia="Times New Roman" w:cs="Times New Roman"/>
                <w:color w:val="000000"/>
                <w:sz w:val="22"/>
              </w:rPr>
              <w:t>0</w:t>
            </w:r>
          </w:p>
        </w:tc>
        <w:tc>
          <w:tcPr>
            <w:tcW w:w="0" w:type="auto"/>
            <w:tcBorders>
              <w:top w:val="nil"/>
              <w:bottom w:val="nil"/>
            </w:tcBorders>
            <w:shd w:val="clear" w:color="auto" w:fill="auto"/>
            <w:noWrap/>
            <w:vAlign w:val="center"/>
            <w:hideMark/>
          </w:tcPr>
          <w:p w:rsidR="00683CF6" w:rsidRPr="00944261" w:rsidRDefault="00683CF6" w:rsidP="003D7560">
            <w:pPr>
              <w:ind w:left="0" w:firstLine="0"/>
              <w:jc w:val="center"/>
              <w:rPr>
                <w:rFonts w:eastAsia="Times New Roman" w:cs="Times New Roman"/>
                <w:color w:val="000000"/>
                <w:sz w:val="22"/>
              </w:rPr>
            </w:pPr>
          </w:p>
        </w:tc>
        <w:tc>
          <w:tcPr>
            <w:tcW w:w="0" w:type="auto"/>
            <w:tcBorders>
              <w:top w:val="nil"/>
              <w:bottom w:val="nil"/>
            </w:tcBorders>
            <w:shd w:val="clear" w:color="auto" w:fill="auto"/>
            <w:noWrap/>
            <w:vAlign w:val="center"/>
            <w:hideMark/>
          </w:tcPr>
          <w:p w:rsidR="00683CF6" w:rsidRPr="00944261" w:rsidRDefault="00683CF6" w:rsidP="003D7560">
            <w:pPr>
              <w:ind w:left="0" w:firstLine="0"/>
              <w:jc w:val="center"/>
              <w:rPr>
                <w:rFonts w:eastAsia="Times New Roman" w:cs="Times New Roman"/>
                <w:color w:val="000000"/>
                <w:sz w:val="22"/>
              </w:rPr>
            </w:pPr>
          </w:p>
        </w:tc>
      </w:tr>
      <w:tr w:rsidR="00683CF6" w:rsidRPr="00944261" w:rsidTr="003D7560">
        <w:trPr>
          <w:trHeight w:val="576"/>
        </w:trPr>
        <w:tc>
          <w:tcPr>
            <w:tcW w:w="0" w:type="auto"/>
            <w:tcBorders>
              <w:top w:val="nil"/>
              <w:bottom w:val="nil"/>
            </w:tcBorders>
            <w:shd w:val="clear" w:color="auto" w:fill="auto"/>
            <w:noWrap/>
            <w:vAlign w:val="center"/>
            <w:hideMark/>
          </w:tcPr>
          <w:p w:rsidR="00683CF6" w:rsidRPr="00944261" w:rsidRDefault="00683CF6" w:rsidP="003D7560">
            <w:pPr>
              <w:ind w:left="0" w:firstLine="0"/>
              <w:rPr>
                <w:rFonts w:eastAsia="Times New Roman" w:cs="Times New Roman"/>
                <w:b/>
                <w:bCs/>
                <w:color w:val="000000"/>
                <w:sz w:val="22"/>
              </w:rPr>
            </w:pPr>
            <w:r w:rsidRPr="00944261">
              <w:rPr>
                <w:rFonts w:eastAsia="Times New Roman" w:cs="Times New Roman"/>
                <w:b/>
                <w:bCs/>
                <w:color w:val="000000"/>
                <w:sz w:val="22"/>
              </w:rPr>
              <w:t>Percent Correctly Predicted</w:t>
            </w:r>
          </w:p>
        </w:tc>
        <w:tc>
          <w:tcPr>
            <w:tcW w:w="0" w:type="auto"/>
            <w:tcBorders>
              <w:top w:val="nil"/>
              <w:bottom w:val="nil"/>
            </w:tcBorders>
            <w:shd w:val="clear" w:color="auto" w:fill="auto"/>
            <w:noWrap/>
            <w:vAlign w:val="center"/>
            <w:hideMark/>
          </w:tcPr>
          <w:p w:rsidR="00683CF6" w:rsidRPr="00944261" w:rsidRDefault="00451FF6" w:rsidP="003D7560">
            <w:pPr>
              <w:ind w:left="0" w:firstLine="0"/>
              <w:jc w:val="center"/>
              <w:rPr>
                <w:rFonts w:eastAsia="Times New Roman" w:cs="Times New Roman"/>
                <w:color w:val="000000"/>
                <w:sz w:val="22"/>
              </w:rPr>
            </w:pPr>
            <w:r>
              <w:rPr>
                <w:rFonts w:eastAsia="Times New Roman" w:cs="Times New Roman"/>
                <w:color w:val="000000"/>
                <w:sz w:val="22"/>
              </w:rPr>
              <w:t>64.72</w:t>
            </w:r>
          </w:p>
        </w:tc>
        <w:tc>
          <w:tcPr>
            <w:tcW w:w="0" w:type="auto"/>
            <w:tcBorders>
              <w:top w:val="nil"/>
              <w:bottom w:val="nil"/>
            </w:tcBorders>
            <w:shd w:val="clear" w:color="auto" w:fill="auto"/>
            <w:noWrap/>
            <w:vAlign w:val="center"/>
            <w:hideMark/>
          </w:tcPr>
          <w:p w:rsidR="00683CF6" w:rsidRPr="00944261" w:rsidRDefault="00683CF6" w:rsidP="003D7560">
            <w:pPr>
              <w:ind w:left="0" w:firstLine="0"/>
              <w:jc w:val="center"/>
              <w:rPr>
                <w:rFonts w:eastAsia="Times New Roman" w:cs="Times New Roman"/>
                <w:color w:val="000000"/>
                <w:sz w:val="22"/>
              </w:rPr>
            </w:pPr>
          </w:p>
        </w:tc>
        <w:tc>
          <w:tcPr>
            <w:tcW w:w="0" w:type="auto"/>
            <w:tcBorders>
              <w:top w:val="nil"/>
              <w:bottom w:val="nil"/>
            </w:tcBorders>
            <w:shd w:val="clear" w:color="auto" w:fill="auto"/>
            <w:noWrap/>
            <w:vAlign w:val="center"/>
            <w:hideMark/>
          </w:tcPr>
          <w:p w:rsidR="00683CF6" w:rsidRPr="00944261" w:rsidRDefault="00683CF6" w:rsidP="003D7560">
            <w:pPr>
              <w:ind w:left="0" w:firstLine="0"/>
              <w:jc w:val="center"/>
              <w:rPr>
                <w:rFonts w:eastAsia="Times New Roman" w:cs="Times New Roman"/>
                <w:color w:val="000000"/>
                <w:sz w:val="22"/>
              </w:rPr>
            </w:pPr>
          </w:p>
        </w:tc>
      </w:tr>
      <w:tr w:rsidR="00683CF6" w:rsidRPr="00944261" w:rsidTr="003D7560">
        <w:trPr>
          <w:trHeight w:val="576"/>
        </w:trPr>
        <w:tc>
          <w:tcPr>
            <w:tcW w:w="0" w:type="auto"/>
            <w:tcBorders>
              <w:top w:val="nil"/>
              <w:bottom w:val="single" w:sz="18" w:space="0" w:color="auto"/>
            </w:tcBorders>
            <w:shd w:val="clear" w:color="auto" w:fill="auto"/>
            <w:noWrap/>
            <w:vAlign w:val="center"/>
            <w:hideMark/>
          </w:tcPr>
          <w:p w:rsidR="00683CF6" w:rsidRPr="00944261" w:rsidRDefault="00683CF6" w:rsidP="003D7560">
            <w:pPr>
              <w:ind w:left="0" w:firstLine="0"/>
              <w:rPr>
                <w:rFonts w:eastAsia="Times New Roman" w:cs="Times New Roman"/>
                <w:b/>
                <w:bCs/>
                <w:color w:val="000000"/>
                <w:sz w:val="22"/>
              </w:rPr>
            </w:pPr>
            <w:r w:rsidRPr="00944261">
              <w:rPr>
                <w:rFonts w:eastAsia="Times New Roman" w:cs="Times New Roman"/>
                <w:b/>
                <w:bCs/>
                <w:color w:val="000000"/>
                <w:sz w:val="22"/>
              </w:rPr>
              <w:t>Percent Reduction in Error</w:t>
            </w:r>
          </w:p>
        </w:tc>
        <w:tc>
          <w:tcPr>
            <w:tcW w:w="0" w:type="auto"/>
            <w:tcBorders>
              <w:top w:val="nil"/>
              <w:bottom w:val="single" w:sz="18" w:space="0" w:color="auto"/>
            </w:tcBorders>
            <w:shd w:val="clear" w:color="auto" w:fill="auto"/>
            <w:noWrap/>
            <w:vAlign w:val="center"/>
            <w:hideMark/>
          </w:tcPr>
          <w:p w:rsidR="00683CF6" w:rsidRPr="00944261" w:rsidRDefault="00451FF6" w:rsidP="003D7560">
            <w:pPr>
              <w:ind w:left="0" w:firstLine="0"/>
              <w:jc w:val="center"/>
              <w:rPr>
                <w:rFonts w:eastAsia="Times New Roman" w:cs="Times New Roman"/>
                <w:color w:val="000000"/>
                <w:sz w:val="22"/>
              </w:rPr>
            </w:pPr>
            <w:r>
              <w:rPr>
                <w:rFonts w:eastAsia="Times New Roman" w:cs="Times New Roman"/>
                <w:color w:val="000000"/>
                <w:sz w:val="22"/>
              </w:rPr>
              <w:t>11.28</w:t>
            </w:r>
          </w:p>
        </w:tc>
        <w:tc>
          <w:tcPr>
            <w:tcW w:w="0" w:type="auto"/>
            <w:tcBorders>
              <w:top w:val="nil"/>
              <w:bottom w:val="single" w:sz="18" w:space="0" w:color="auto"/>
            </w:tcBorders>
            <w:shd w:val="clear" w:color="auto" w:fill="auto"/>
            <w:noWrap/>
            <w:vAlign w:val="center"/>
            <w:hideMark/>
          </w:tcPr>
          <w:p w:rsidR="00683CF6" w:rsidRPr="00944261" w:rsidRDefault="00683CF6" w:rsidP="003D7560">
            <w:pPr>
              <w:ind w:left="0" w:firstLine="0"/>
              <w:jc w:val="center"/>
              <w:rPr>
                <w:rFonts w:eastAsia="Times New Roman" w:cs="Times New Roman"/>
                <w:color w:val="000000"/>
                <w:sz w:val="22"/>
              </w:rPr>
            </w:pPr>
          </w:p>
        </w:tc>
        <w:tc>
          <w:tcPr>
            <w:tcW w:w="0" w:type="auto"/>
            <w:tcBorders>
              <w:top w:val="nil"/>
              <w:bottom w:val="single" w:sz="18" w:space="0" w:color="auto"/>
            </w:tcBorders>
            <w:shd w:val="clear" w:color="auto" w:fill="auto"/>
            <w:noWrap/>
            <w:vAlign w:val="center"/>
            <w:hideMark/>
          </w:tcPr>
          <w:p w:rsidR="00683CF6" w:rsidRPr="00944261" w:rsidRDefault="00683CF6" w:rsidP="003D7560">
            <w:pPr>
              <w:ind w:left="0" w:firstLine="0"/>
              <w:jc w:val="center"/>
              <w:rPr>
                <w:rFonts w:eastAsia="Times New Roman" w:cs="Times New Roman"/>
                <w:color w:val="000000"/>
                <w:sz w:val="22"/>
              </w:rPr>
            </w:pPr>
          </w:p>
        </w:tc>
      </w:tr>
    </w:tbl>
    <w:p w:rsidR="00683CF6" w:rsidRPr="009E62D9" w:rsidRDefault="00683CF6" w:rsidP="00683CF6">
      <w:pPr>
        <w:autoSpaceDE w:val="0"/>
        <w:autoSpaceDN w:val="0"/>
        <w:adjustRightInd w:val="0"/>
        <w:ind w:left="90" w:firstLine="0"/>
        <w:rPr>
          <w:sz w:val="22"/>
        </w:rPr>
      </w:pPr>
      <w:r w:rsidRPr="009E62D9">
        <w:rPr>
          <w:sz w:val="22"/>
        </w:rPr>
        <w:t>Dependent variable indicates the ideological direction of the individual justices’ vote (1 = libe</w:t>
      </w:r>
      <w:r w:rsidR="00AB732A">
        <w:rPr>
          <w:sz w:val="22"/>
        </w:rPr>
        <w:t xml:space="preserve">ral, 0 = conservative).  </w:t>
      </w:r>
      <w:r w:rsidR="007203D8">
        <w:rPr>
          <w:sz w:val="22"/>
        </w:rPr>
        <w:t xml:space="preserve">Numbers in parentheses indicated standard errors. </w:t>
      </w:r>
      <w:proofErr w:type="gramStart"/>
      <w:r w:rsidR="00AB732A">
        <w:rPr>
          <w:sz w:val="22"/>
        </w:rPr>
        <w:t>*p&lt;.05, **p&lt;.01, ***p&lt;.001</w:t>
      </w:r>
      <w:r w:rsidRPr="009E62D9">
        <w:rPr>
          <w:sz w:val="22"/>
        </w:rPr>
        <w:t xml:space="preserve"> (one-tailed).</w:t>
      </w:r>
      <w:proofErr w:type="gramEnd"/>
    </w:p>
    <w:p w:rsidR="00683CF6" w:rsidRDefault="00683CF6" w:rsidP="00E71D36">
      <w:pPr>
        <w:spacing w:line="480" w:lineRule="auto"/>
        <w:ind w:left="0" w:firstLine="0"/>
        <w:rPr>
          <w:rFonts w:cs="Times New Roman"/>
          <w:szCs w:val="24"/>
        </w:rPr>
      </w:pPr>
    </w:p>
    <w:p w:rsidR="002A69E6" w:rsidRDefault="002A69E6" w:rsidP="00E71D36">
      <w:pPr>
        <w:spacing w:line="480" w:lineRule="auto"/>
        <w:ind w:left="0" w:firstLine="0"/>
        <w:rPr>
          <w:rFonts w:cs="Times New Roman"/>
          <w:szCs w:val="24"/>
        </w:rPr>
      </w:pPr>
    </w:p>
    <w:p w:rsidR="00451FF6" w:rsidRDefault="002A69E6" w:rsidP="00E71D36">
      <w:pPr>
        <w:spacing w:line="480" w:lineRule="auto"/>
        <w:ind w:left="0" w:firstLine="0"/>
        <w:rPr>
          <w:rFonts w:cs="Times New Roman"/>
          <w:szCs w:val="24"/>
        </w:rPr>
      </w:pPr>
      <w:proofErr w:type="gramStart"/>
      <w:r w:rsidRPr="001A032B">
        <w:lastRenderedPageBreak/>
        <w:t>reduction</w:t>
      </w:r>
      <w:proofErr w:type="gramEnd"/>
      <w:r w:rsidRPr="001A032B">
        <w:t xml:space="preserve"> in error in the absence of the model</w:t>
      </w:r>
      <w:r w:rsidRPr="00C16CDC">
        <w:rPr>
          <w:color w:val="00B050"/>
        </w:rPr>
        <w:t xml:space="preserve"> </w:t>
      </w:r>
      <w:r w:rsidRPr="00EC3630">
        <w:t>(li</w:t>
      </w:r>
      <w:r>
        <w:t>beral votes actually occurred 48.12</w:t>
      </w:r>
      <w:r w:rsidRPr="00EC3630">
        <w:t xml:space="preserve"> percent of the time).  </w:t>
      </w:r>
    </w:p>
    <w:p w:rsidR="002A69E6" w:rsidRPr="002A69E6" w:rsidRDefault="00F869BA" w:rsidP="002A69E6">
      <w:pPr>
        <w:autoSpaceDE w:val="0"/>
        <w:autoSpaceDN w:val="0"/>
        <w:adjustRightInd w:val="0"/>
        <w:spacing w:line="480" w:lineRule="auto"/>
        <w:ind w:left="0" w:firstLine="720"/>
        <w:rPr>
          <w:rFonts w:cs="Times New Roman"/>
          <w:color w:val="0070C0"/>
          <w:szCs w:val="24"/>
        </w:rPr>
      </w:pPr>
      <w:r>
        <w:t>As with Model 1, w</w:t>
      </w:r>
      <w:r w:rsidR="008570A7" w:rsidRPr="00C13EFE">
        <w:t xml:space="preserve">hile the MLE coefficient for </w:t>
      </w:r>
      <w:r w:rsidR="008570A7" w:rsidRPr="00C13EFE">
        <w:rPr>
          <w:i/>
        </w:rPr>
        <w:t xml:space="preserve">Liberal-Conservative Amicus Briefs Difference </w:t>
      </w:r>
      <w:r w:rsidR="008570A7" w:rsidRPr="00C13EFE">
        <w:t>does not rise to the level of sta</w:t>
      </w:r>
      <w:r>
        <w:t>tistical significance in Model 2</w:t>
      </w:r>
      <w:r w:rsidR="008570A7" w:rsidRPr="00C13EFE">
        <w:t xml:space="preserve">, it was shown to be statistically significant and in the expected direction when I estimated this same model without the interaction term.  </w:t>
      </w:r>
      <w:r w:rsidR="008570A7" w:rsidRPr="00F869BA">
        <w:t>This result justified the inclusion of the i</w:t>
      </w:r>
      <w:r w:rsidR="0090525C">
        <w:t>nteraction term in Model 2</w:t>
      </w:r>
      <w:r w:rsidR="008570A7" w:rsidRPr="00F869BA">
        <w:t xml:space="preserve"> so that I could determine the effects of an amicus brief advantage across a range of judicial moderation scores.</w:t>
      </w:r>
      <w:r w:rsidRPr="00F869BA">
        <w:t xml:space="preserve">  In Model 2</w:t>
      </w:r>
      <w:r w:rsidR="008570A7" w:rsidRPr="00F869BA">
        <w:t xml:space="preserve">, the MLE coefficient on </w:t>
      </w:r>
      <w:r w:rsidR="008570A7" w:rsidRPr="00F869BA">
        <w:rPr>
          <w:i/>
        </w:rPr>
        <w:t xml:space="preserve">Liberal-Conservative Amicus Briefs Difference </w:t>
      </w:r>
      <w:r w:rsidRPr="00F869BA">
        <w:t>(-.031</w:t>
      </w:r>
      <w:r w:rsidR="008570A7" w:rsidRPr="00F869BA">
        <w:t>)</w:t>
      </w:r>
      <w:r w:rsidR="008570A7" w:rsidRPr="00F869BA">
        <w:rPr>
          <w:i/>
        </w:rPr>
        <w:t xml:space="preserve"> </w:t>
      </w:r>
      <w:r w:rsidR="008570A7" w:rsidRPr="00F869BA">
        <w:t>indicates the influence of amicus briefs when the interaction term (</w:t>
      </w:r>
      <w:r w:rsidR="008570A7" w:rsidRPr="00F869BA">
        <w:rPr>
          <w:i/>
        </w:rPr>
        <w:t>Moderation x Liberal-Conservative Amicus Briefs Difference</w:t>
      </w:r>
      <w:r w:rsidR="008570A7" w:rsidRPr="00F869BA">
        <w:t xml:space="preserve">) is held at the product of the means of its constituent variables.  The odds ratio of </w:t>
      </w:r>
      <w:r w:rsidR="008570A7" w:rsidRPr="00F869BA">
        <w:rPr>
          <w:i/>
        </w:rPr>
        <w:t>Liberal-Conservative Amicus Briefs Difference</w:t>
      </w:r>
      <w:r w:rsidR="008570A7" w:rsidRPr="00F869BA">
        <w:t xml:space="preserve"> is</w:t>
      </w:r>
      <w:r>
        <w:rPr>
          <w:color w:val="0070C0"/>
        </w:rPr>
        <w:t xml:space="preserve"> </w:t>
      </w:r>
      <w:r>
        <w:t>.</w:t>
      </w:r>
      <w:r w:rsidRPr="00F869BA">
        <w:t>970</w:t>
      </w:r>
      <w:r w:rsidR="008570A7" w:rsidRPr="00F869BA">
        <w:t xml:space="preserve">, indicating that </w:t>
      </w:r>
      <w:r w:rsidRPr="00F869BA">
        <w:t xml:space="preserve">the odds of </w:t>
      </w:r>
      <w:r w:rsidR="001D1482">
        <w:t xml:space="preserve">a </w:t>
      </w:r>
      <w:r w:rsidRPr="00F869BA">
        <w:t>liberal justice</w:t>
      </w:r>
      <w:r w:rsidR="001D1482">
        <w:t xml:space="preserve"> vote</w:t>
      </w:r>
      <w:r w:rsidRPr="00F869BA">
        <w:t xml:space="preserve"> decrease in Model 2</w:t>
      </w:r>
      <w:r w:rsidR="008570A7" w:rsidRPr="00F869BA">
        <w:t xml:space="preserve"> by 1</w:t>
      </w:r>
      <w:r w:rsidRPr="00F869BA">
        <w:t>.03</w:t>
      </w:r>
      <w:r w:rsidR="008570A7" w:rsidRPr="00F869BA">
        <w:t xml:space="preserve"> times when there is a one unit increase in a liberal brief advantage.</w:t>
      </w:r>
      <w:r w:rsidR="008570A7" w:rsidRPr="008570A7">
        <w:rPr>
          <w:color w:val="0070C0"/>
        </w:rPr>
        <w:t xml:space="preserve"> </w:t>
      </w:r>
      <w:r>
        <w:rPr>
          <w:color w:val="0070C0"/>
        </w:rPr>
        <w:t xml:space="preserve"> </w:t>
      </w:r>
      <w:r w:rsidR="008570A7" w:rsidRPr="00F869BA">
        <w:t xml:space="preserve">The marginal effects of </w:t>
      </w:r>
      <w:r w:rsidR="008570A7" w:rsidRPr="00F869BA">
        <w:rPr>
          <w:i/>
        </w:rPr>
        <w:t>Liberal-Conservative Amicus Briefs Difference</w:t>
      </w:r>
      <w:r w:rsidR="008570A7" w:rsidRPr="00F869BA">
        <w:t xml:space="preserve"> reveals that a justice whose moderation score is at</w:t>
      </w:r>
      <w:r w:rsidR="008570A7" w:rsidRPr="008570A7">
        <w:rPr>
          <w:color w:val="0070C0"/>
        </w:rPr>
        <w:t xml:space="preserve"> </w:t>
      </w:r>
      <w:r w:rsidRPr="00F869BA">
        <w:t>2.42</w:t>
      </w:r>
      <w:r w:rsidR="008570A7" w:rsidRPr="00F869BA">
        <w:t xml:space="preserve"> (i.e., the mean moderate justice – closet to Justice Ginsburg’s mean moderation score of 2.51)</w:t>
      </w:r>
      <w:r w:rsidR="008570A7" w:rsidRPr="008570A7">
        <w:rPr>
          <w:color w:val="0070C0"/>
        </w:rPr>
        <w:t xml:space="preserve"> </w:t>
      </w:r>
      <w:r w:rsidR="008570A7" w:rsidRPr="00F869BA">
        <w:t xml:space="preserve">is </w:t>
      </w:r>
      <w:r w:rsidRPr="00F869BA">
        <w:t>3.8 percent</w:t>
      </w:r>
      <w:r w:rsidR="008570A7" w:rsidRPr="00F869BA">
        <w:t xml:space="preserve"> </w:t>
      </w:r>
      <w:r w:rsidRPr="00F869BA">
        <w:t xml:space="preserve">less </w:t>
      </w:r>
      <w:r w:rsidR="008570A7" w:rsidRPr="00F869BA">
        <w:t xml:space="preserve">likely to cast a liberal vote as the </w:t>
      </w:r>
      <w:r w:rsidR="008570A7" w:rsidRPr="00F869BA">
        <w:rPr>
          <w:i/>
        </w:rPr>
        <w:t xml:space="preserve">Liberal-Conservative Amicus Briefs Difference </w:t>
      </w:r>
      <w:r w:rsidR="008570A7" w:rsidRPr="00F869BA">
        <w:t>in the case increases from</w:t>
      </w:r>
      <w:r w:rsidRPr="00F869BA">
        <w:t xml:space="preserve"> 1 brief (the mean) to 6 briefs</w:t>
      </w:r>
      <w:r w:rsidR="008570A7" w:rsidRPr="00F869BA">
        <w:t xml:space="preserve"> (approximately one standard deviation above the mean).</w:t>
      </w:r>
      <w:r w:rsidR="008570A7" w:rsidRPr="008570A7">
        <w:rPr>
          <w:color w:val="0070C0"/>
        </w:rPr>
        <w:t xml:space="preserve"> </w:t>
      </w:r>
      <w:r w:rsidR="008570A7" w:rsidRPr="00F869BA">
        <w:t xml:space="preserve">Yet, as none of the observations actually involve a </w:t>
      </w:r>
      <w:r w:rsidR="008570A7" w:rsidRPr="00F869BA">
        <w:rPr>
          <w:i/>
        </w:rPr>
        <w:t xml:space="preserve">Judicial Moderation </w:t>
      </w:r>
      <w:r w:rsidR="008570A7" w:rsidRPr="00F869BA">
        <w:t>score at the mean, and as the sign or significance of the interaction term cannot be interp</w:t>
      </w:r>
      <w:r w:rsidRPr="00F869BA">
        <w:t>reted from its MLE coefficient, it is useful</w:t>
      </w:r>
      <w:r w:rsidR="008570A7" w:rsidRPr="00F869BA">
        <w:t xml:space="preserve"> to graphically illustrate the marginal effects of </w:t>
      </w:r>
      <w:r w:rsidR="008570A7" w:rsidRPr="00F869BA">
        <w:rPr>
          <w:i/>
        </w:rPr>
        <w:t>Liberal-Conservative Amicus Briefs Difference</w:t>
      </w:r>
      <w:r w:rsidR="008570A7" w:rsidRPr="00F869BA">
        <w:t xml:space="preserve"> on the ideological direction of the vote across the observed range of </w:t>
      </w:r>
      <w:r w:rsidR="008570A7" w:rsidRPr="00F869BA">
        <w:rPr>
          <w:i/>
        </w:rPr>
        <w:t>Judicial Moderation</w:t>
      </w:r>
      <w:r w:rsidR="008570A7" w:rsidRPr="00F869BA">
        <w:t xml:space="preserve"> (as shown </w:t>
      </w:r>
      <w:r>
        <w:t>in Figure 5.2.</w:t>
      </w:r>
      <w:r w:rsidR="008570A7" w:rsidRPr="00F869BA">
        <w:t>)</w:t>
      </w:r>
      <w:r>
        <w:t xml:space="preserve"> in order</w:t>
      </w:r>
      <w:r w:rsidR="008570A7" w:rsidRPr="008570A7">
        <w:rPr>
          <w:color w:val="0070C0"/>
        </w:rPr>
        <w:t xml:space="preserve"> </w:t>
      </w:r>
      <w:r w:rsidR="008570A7" w:rsidRPr="00F869BA">
        <w:t xml:space="preserve">to properly assess whether the effects of </w:t>
      </w:r>
      <w:r w:rsidR="008570A7" w:rsidRPr="00F869BA">
        <w:rPr>
          <w:i/>
        </w:rPr>
        <w:t xml:space="preserve">Liberal-Conservative Amicus Briefs Difference </w:t>
      </w:r>
      <w:r w:rsidR="008570A7" w:rsidRPr="00F869BA">
        <w:t>on justice votes rise to the le</w:t>
      </w:r>
      <w:r w:rsidR="002A69E6">
        <w:t>vel of statistical significance</w:t>
      </w:r>
    </w:p>
    <w:p w:rsidR="00451FF6" w:rsidRPr="00451FF6" w:rsidRDefault="00451FF6" w:rsidP="00E71D36">
      <w:pPr>
        <w:spacing w:line="480" w:lineRule="auto"/>
        <w:ind w:left="0" w:firstLine="0"/>
        <w:rPr>
          <w:rFonts w:cs="Times New Roman"/>
          <w:b/>
          <w:szCs w:val="24"/>
        </w:rPr>
      </w:pPr>
      <w:proofErr w:type="gramStart"/>
      <w:r>
        <w:rPr>
          <w:rFonts w:cs="Times New Roman"/>
          <w:b/>
          <w:szCs w:val="24"/>
        </w:rPr>
        <w:lastRenderedPageBreak/>
        <w:t>Figure 5.2.</w:t>
      </w:r>
      <w:proofErr w:type="gramEnd"/>
      <w:r w:rsidRPr="00DE4886">
        <w:rPr>
          <w:rFonts w:cs="Times New Roman"/>
          <w:b/>
          <w:szCs w:val="24"/>
        </w:rPr>
        <w:t xml:space="preserve"> Marginal Effect of </w:t>
      </w:r>
      <w:r w:rsidRPr="00DE4886">
        <w:rPr>
          <w:rFonts w:cs="Times New Roman"/>
          <w:b/>
          <w:i/>
          <w:szCs w:val="24"/>
        </w:rPr>
        <w:t>Liberal-Conservative Amicus Brief Difference</w:t>
      </w:r>
      <w:r w:rsidRPr="00DE4886">
        <w:rPr>
          <w:rFonts w:cs="Times New Roman"/>
          <w:b/>
          <w:szCs w:val="24"/>
        </w:rPr>
        <w:t xml:space="preserve"> on Ideological Direction of Justice Vote Across Varying</w:t>
      </w:r>
      <w:r>
        <w:rPr>
          <w:rFonts w:cs="Times New Roman"/>
          <w:b/>
          <w:szCs w:val="24"/>
        </w:rPr>
        <w:t xml:space="preserve"> Levels of Judicial Moderat</w:t>
      </w:r>
      <w:r w:rsidR="002A69E6">
        <w:rPr>
          <w:rFonts w:cs="Times New Roman"/>
          <w:b/>
          <w:szCs w:val="24"/>
        </w:rPr>
        <w:t>ion in Criminal Procedure Cases</w:t>
      </w:r>
    </w:p>
    <w:p w:rsidR="00451FF6" w:rsidRDefault="00451FF6" w:rsidP="00E71D36">
      <w:pPr>
        <w:spacing w:line="480" w:lineRule="auto"/>
        <w:ind w:left="0" w:firstLine="0"/>
        <w:rPr>
          <w:rFonts w:cs="Times New Roman"/>
          <w:szCs w:val="24"/>
        </w:rPr>
      </w:pPr>
      <w:r>
        <w:rPr>
          <w:rFonts w:cs="Times New Roman"/>
          <w:noProof/>
          <w:szCs w:val="24"/>
        </w:rPr>
        <w:drawing>
          <wp:inline distT="0" distB="0" distL="0" distR="0" wp14:anchorId="487437FC" wp14:editId="2D94ACB1">
            <wp:extent cx="5114925" cy="3743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2A69E6" w:rsidRDefault="002A69E6" w:rsidP="00F869BA">
      <w:pPr>
        <w:autoSpaceDE w:val="0"/>
        <w:autoSpaceDN w:val="0"/>
        <w:adjustRightInd w:val="0"/>
        <w:spacing w:line="480" w:lineRule="auto"/>
        <w:ind w:left="0" w:firstLine="720"/>
        <w:rPr>
          <w:rFonts w:cs="Times New Roman"/>
          <w:szCs w:val="24"/>
        </w:rPr>
      </w:pPr>
    </w:p>
    <w:p w:rsidR="002A69E6" w:rsidRDefault="002A69E6" w:rsidP="002A69E6">
      <w:pPr>
        <w:autoSpaceDE w:val="0"/>
        <w:autoSpaceDN w:val="0"/>
        <w:adjustRightInd w:val="0"/>
        <w:spacing w:line="480" w:lineRule="auto"/>
        <w:ind w:left="0" w:firstLine="0"/>
      </w:pPr>
      <w:proofErr w:type="gramStart"/>
      <w:r w:rsidRPr="00F869BA">
        <w:t>as</w:t>
      </w:r>
      <w:proofErr w:type="gramEnd"/>
      <w:r w:rsidRPr="00F869BA">
        <w:t xml:space="preserve"> they vary across a range of </w:t>
      </w:r>
      <w:r w:rsidRPr="00F869BA">
        <w:rPr>
          <w:i/>
        </w:rPr>
        <w:t>Judicial Moderation</w:t>
      </w:r>
      <w:r>
        <w:rPr>
          <w:i/>
          <w:color w:val="0070C0"/>
        </w:rPr>
        <w:t xml:space="preserve"> </w:t>
      </w:r>
      <w:r>
        <w:t>in criminal procedure cases at the Roberts Court.</w:t>
      </w:r>
    </w:p>
    <w:p w:rsidR="002A69E6" w:rsidRPr="002A69E6" w:rsidRDefault="002A69E6" w:rsidP="002A69E6">
      <w:pPr>
        <w:autoSpaceDE w:val="0"/>
        <w:autoSpaceDN w:val="0"/>
        <w:adjustRightInd w:val="0"/>
        <w:spacing w:line="480" w:lineRule="auto"/>
        <w:ind w:left="0" w:firstLine="720"/>
        <w:rPr>
          <w:rFonts w:cs="Times New Roman"/>
          <w:color w:val="0070C0"/>
          <w:szCs w:val="24"/>
        </w:rPr>
      </w:pPr>
      <w:r w:rsidRPr="00D96342">
        <w:t xml:space="preserve">As with Figure 5.1, in Figure 5.2 </w:t>
      </w:r>
      <w:r w:rsidRPr="00D96342">
        <w:rPr>
          <w:rFonts w:cs="Times New Roman"/>
          <w:szCs w:val="24"/>
        </w:rPr>
        <w:t xml:space="preserve">the solid line indicates how the marginal effects of </w:t>
      </w:r>
      <w:r w:rsidRPr="00D96342">
        <w:rPr>
          <w:rFonts w:cs="Times New Roman"/>
          <w:i/>
          <w:szCs w:val="24"/>
        </w:rPr>
        <w:t xml:space="preserve">Liberal-Conservative Amicus Brief Difference </w:t>
      </w:r>
      <w:r w:rsidRPr="00D96342">
        <w:rPr>
          <w:rFonts w:cs="Times New Roman"/>
          <w:szCs w:val="24"/>
        </w:rPr>
        <w:t xml:space="preserve">vary across a range of justice moderation scores in criminal procedure cases.  The 95 percent confidence intervals drawn around these lines indicate significance levels. </w:t>
      </w:r>
      <w:r w:rsidRPr="00F869BA">
        <w:rPr>
          <w:rFonts w:cs="Times New Roman"/>
          <w:color w:val="0070C0"/>
          <w:szCs w:val="24"/>
        </w:rPr>
        <w:t xml:space="preserve"> </w:t>
      </w:r>
      <w:r w:rsidRPr="00D96342">
        <w:rPr>
          <w:rFonts w:cs="Times New Roman"/>
          <w:szCs w:val="24"/>
        </w:rPr>
        <w:t>Figure 5.1 reveals that a justice’s moderation level does indeed mediate the influence of amicus briefs</w:t>
      </w:r>
      <w:r>
        <w:rPr>
          <w:rFonts w:cs="Times New Roman"/>
          <w:szCs w:val="24"/>
        </w:rPr>
        <w:t xml:space="preserve"> in the expected direction</w:t>
      </w:r>
      <w:r w:rsidRPr="00D96342">
        <w:rPr>
          <w:rFonts w:cs="Times New Roman"/>
          <w:szCs w:val="24"/>
        </w:rPr>
        <w:t xml:space="preserve">, </w:t>
      </w:r>
      <w:r>
        <w:rPr>
          <w:rFonts w:cs="Times New Roman"/>
          <w:szCs w:val="24"/>
        </w:rPr>
        <w:t xml:space="preserve">but this effect is only statistically significant for those justices with </w:t>
      </w:r>
      <w:r>
        <w:rPr>
          <w:rFonts w:cs="Times New Roman"/>
          <w:i/>
          <w:szCs w:val="24"/>
        </w:rPr>
        <w:t xml:space="preserve">Judicial Moderation </w:t>
      </w:r>
      <w:r>
        <w:rPr>
          <w:rFonts w:cs="Times New Roman"/>
          <w:szCs w:val="24"/>
        </w:rPr>
        <w:t xml:space="preserve">scores above 2 (which is every justice </w:t>
      </w:r>
      <w:r w:rsidRPr="00D96342">
        <w:rPr>
          <w:rFonts w:cs="Times New Roman"/>
          <w:szCs w:val="24"/>
        </w:rPr>
        <w:t xml:space="preserve">except </w:t>
      </w:r>
      <w:r>
        <w:rPr>
          <w:rFonts w:cs="Times New Roman"/>
          <w:szCs w:val="24"/>
        </w:rPr>
        <w:t xml:space="preserve">for </w:t>
      </w:r>
      <w:r>
        <w:rPr>
          <w:rFonts w:cs="Times New Roman"/>
          <w:szCs w:val="24"/>
        </w:rPr>
        <w:lastRenderedPageBreak/>
        <w:t>Justices Scalia, and Thomas, and Justice Stevens in 2008)</w:t>
      </w:r>
      <w:r w:rsidRPr="00F869BA">
        <w:rPr>
          <w:rFonts w:cs="Times New Roman"/>
          <w:color w:val="0070C0"/>
          <w:szCs w:val="24"/>
        </w:rPr>
        <w:t>.</w:t>
      </w:r>
      <w:r>
        <w:rPr>
          <w:rFonts w:cs="Times New Roman"/>
          <w:color w:val="0070C0"/>
          <w:szCs w:val="24"/>
        </w:rPr>
        <w:t xml:space="preserve">  </w:t>
      </w:r>
      <w:r>
        <w:rPr>
          <w:rFonts w:cs="Times New Roman"/>
          <w:szCs w:val="24"/>
        </w:rPr>
        <w:t>Thus, the influence of amicus briefs on justice votes in criminal procedure cases exists for 9 out of the 11 justices who have served on the Roberts Court.</w:t>
      </w:r>
      <w:r w:rsidRPr="00F869BA">
        <w:rPr>
          <w:rFonts w:cs="Times New Roman"/>
          <w:color w:val="0070C0"/>
          <w:szCs w:val="24"/>
        </w:rPr>
        <w:t xml:space="preserve">  </w:t>
      </w:r>
      <w:r w:rsidRPr="007D1F0A">
        <w:rPr>
          <w:rFonts w:cs="Times New Roman"/>
          <w:szCs w:val="24"/>
        </w:rPr>
        <w:t>As justices become more moderate, they are more susceptible to the influence of an ideological advantage of amicus briefs</w:t>
      </w:r>
      <w:r>
        <w:rPr>
          <w:rFonts w:cs="Times New Roman"/>
          <w:szCs w:val="24"/>
        </w:rPr>
        <w:t xml:space="preserve"> in criminal procedure cases</w:t>
      </w:r>
      <w:r w:rsidRPr="007D1F0A">
        <w:rPr>
          <w:rFonts w:cs="Times New Roman"/>
          <w:szCs w:val="24"/>
        </w:rPr>
        <w:t>.</w:t>
      </w:r>
      <w:r w:rsidRPr="00F869BA">
        <w:rPr>
          <w:rFonts w:cs="Times New Roman"/>
          <w:color w:val="0070C0"/>
          <w:szCs w:val="24"/>
        </w:rPr>
        <w:t xml:space="preserve"> </w:t>
      </w:r>
      <w:r>
        <w:rPr>
          <w:rFonts w:cs="Times New Roman"/>
          <w:color w:val="0070C0"/>
          <w:szCs w:val="24"/>
        </w:rPr>
        <w:t xml:space="preserve"> </w:t>
      </w:r>
      <w:r w:rsidRPr="004F7A42">
        <w:rPr>
          <w:rFonts w:cs="Times New Roman"/>
          <w:szCs w:val="24"/>
        </w:rPr>
        <w:t>The marginal effects graph shows that there is an approximately 4 percent increase in the likelihood of a liberal vote for justice with a moderation score of 2.1 (Stevens and Souter in 2007 term), and a 12 percent increase in the likelihood of a liberal vote for a justice with a moderation score of 4.02 (Kennedy) when there is an advantage of liberal briefs.</w:t>
      </w:r>
      <w:r>
        <w:rPr>
          <w:rFonts w:cs="Times New Roman"/>
          <w:color w:val="0070C0"/>
          <w:szCs w:val="24"/>
        </w:rPr>
        <w:t xml:space="preserve">  </w:t>
      </w:r>
    </w:p>
    <w:p w:rsidR="00F869BA" w:rsidRPr="00F869BA" w:rsidRDefault="004F7A42" w:rsidP="00F869BA">
      <w:pPr>
        <w:autoSpaceDE w:val="0"/>
        <w:autoSpaceDN w:val="0"/>
        <w:adjustRightInd w:val="0"/>
        <w:spacing w:line="480" w:lineRule="auto"/>
        <w:ind w:left="0" w:firstLine="720"/>
        <w:rPr>
          <w:rFonts w:cs="Times New Roman"/>
          <w:color w:val="0070C0"/>
          <w:szCs w:val="24"/>
        </w:rPr>
      </w:pPr>
      <w:r>
        <w:rPr>
          <w:rFonts w:cs="Times New Roman"/>
          <w:szCs w:val="24"/>
        </w:rPr>
        <w:t>Together, Table 5.2 and Figure 5.2</w:t>
      </w:r>
      <w:r w:rsidR="00F869BA" w:rsidRPr="004F7A42">
        <w:rPr>
          <w:rFonts w:cs="Times New Roman"/>
          <w:szCs w:val="24"/>
        </w:rPr>
        <w:t xml:space="preserve"> demonstrate tha</w:t>
      </w:r>
      <w:r w:rsidRPr="004F7A42">
        <w:rPr>
          <w:rFonts w:cs="Times New Roman"/>
          <w:szCs w:val="24"/>
        </w:rPr>
        <w:t>t amicus briefs influence the vast majority</w:t>
      </w:r>
      <w:r>
        <w:rPr>
          <w:rFonts w:cs="Times New Roman"/>
          <w:szCs w:val="24"/>
        </w:rPr>
        <w:t xml:space="preserve"> </w:t>
      </w:r>
      <w:r w:rsidR="00F869BA" w:rsidRPr="004F7A42">
        <w:rPr>
          <w:rFonts w:cs="Times New Roman"/>
          <w:szCs w:val="24"/>
        </w:rPr>
        <w:t xml:space="preserve">of the justices on the Roberts Court </w:t>
      </w:r>
      <w:r>
        <w:rPr>
          <w:rFonts w:cs="Times New Roman"/>
          <w:szCs w:val="24"/>
        </w:rPr>
        <w:t xml:space="preserve">in criminal procedure cases </w:t>
      </w:r>
      <w:r w:rsidR="00F869BA" w:rsidRPr="004F7A42">
        <w:rPr>
          <w:rFonts w:cs="Times New Roman"/>
          <w:szCs w:val="24"/>
        </w:rPr>
        <w:t xml:space="preserve">and that this influence becomes more pronounced as the justices become more moderate in their ideologies. </w:t>
      </w:r>
      <w:r w:rsidR="00F869BA" w:rsidRPr="00F869BA">
        <w:rPr>
          <w:rFonts w:cs="Times New Roman"/>
          <w:color w:val="0070C0"/>
          <w:szCs w:val="24"/>
        </w:rPr>
        <w:t xml:space="preserve"> </w:t>
      </w:r>
      <w:r w:rsidR="00F869BA" w:rsidRPr="004F7A42">
        <w:rPr>
          <w:rFonts w:cs="Times New Roman"/>
          <w:szCs w:val="24"/>
        </w:rPr>
        <w:t>These findings support my information/legal persuasion hypotheses and my median justice hypotheses regarding amicus brief influence.</w:t>
      </w:r>
      <w:r w:rsidR="00F869BA" w:rsidRPr="00F869BA">
        <w:rPr>
          <w:rFonts w:cs="Times New Roman"/>
          <w:color w:val="0070C0"/>
          <w:szCs w:val="24"/>
        </w:rPr>
        <w:t xml:space="preserve">  </w:t>
      </w:r>
    </w:p>
    <w:p w:rsidR="00F869BA" w:rsidRPr="004F7A42" w:rsidRDefault="00F869BA" w:rsidP="00F869BA">
      <w:pPr>
        <w:autoSpaceDE w:val="0"/>
        <w:autoSpaceDN w:val="0"/>
        <w:adjustRightInd w:val="0"/>
        <w:spacing w:line="480" w:lineRule="auto"/>
        <w:ind w:left="0" w:firstLine="720"/>
        <w:rPr>
          <w:rFonts w:cs="Times New Roman"/>
          <w:szCs w:val="24"/>
        </w:rPr>
      </w:pPr>
      <w:r w:rsidRPr="004F7A42">
        <w:rPr>
          <w:rFonts w:cs="Times New Roman"/>
          <w:szCs w:val="24"/>
        </w:rPr>
        <w:t>On the ot</w:t>
      </w:r>
      <w:r w:rsidR="00296D2E">
        <w:rPr>
          <w:rFonts w:cs="Times New Roman"/>
          <w:szCs w:val="24"/>
        </w:rPr>
        <w:t>her hand, the results of Model 2</w:t>
      </w:r>
      <w:r w:rsidRPr="004F7A42">
        <w:rPr>
          <w:rFonts w:cs="Times New Roman"/>
          <w:szCs w:val="24"/>
        </w:rPr>
        <w:t xml:space="preserve"> show that the number of amicus cosigners does not rise to the level of statistical significance, and is signed in an unexpected direction</w:t>
      </w:r>
      <w:r w:rsidRPr="00F869BA">
        <w:rPr>
          <w:rFonts w:cs="Times New Roman"/>
          <w:color w:val="0070C0"/>
          <w:szCs w:val="24"/>
        </w:rPr>
        <w:t xml:space="preserve">.  </w:t>
      </w:r>
      <w:r w:rsidRPr="004F7A42">
        <w:rPr>
          <w:rFonts w:cs="Times New Roman"/>
          <w:szCs w:val="24"/>
        </w:rPr>
        <w:t>This result</w:t>
      </w:r>
      <w:r w:rsidR="004F7A42">
        <w:rPr>
          <w:rFonts w:cs="Times New Roman"/>
          <w:szCs w:val="24"/>
        </w:rPr>
        <w:t xml:space="preserve"> is consis</w:t>
      </w:r>
      <w:r w:rsidR="00296D2E">
        <w:rPr>
          <w:rFonts w:cs="Times New Roman"/>
          <w:szCs w:val="24"/>
        </w:rPr>
        <w:t>tent with the results of Model 2</w:t>
      </w:r>
      <w:r w:rsidR="004F7A42">
        <w:rPr>
          <w:rFonts w:cs="Times New Roman"/>
          <w:szCs w:val="24"/>
        </w:rPr>
        <w:t xml:space="preserve"> and </w:t>
      </w:r>
      <w:r w:rsidRPr="004F7A42">
        <w:rPr>
          <w:rFonts w:cs="Times New Roman"/>
          <w:szCs w:val="24"/>
        </w:rPr>
        <w:t xml:space="preserve">confirms that it is the number of amicus briefs, not amicus cosigners, which influence the justice’s </w:t>
      </w:r>
      <w:r w:rsidR="004F7A42">
        <w:rPr>
          <w:rFonts w:cs="Times New Roman"/>
          <w:szCs w:val="24"/>
        </w:rPr>
        <w:t>votes in criminal procedure case</w:t>
      </w:r>
      <w:r w:rsidRPr="004F7A42">
        <w:rPr>
          <w:rFonts w:cs="Times New Roman"/>
          <w:szCs w:val="24"/>
        </w:rPr>
        <w:t>.</w:t>
      </w:r>
      <w:r w:rsidRPr="00F869BA">
        <w:rPr>
          <w:rFonts w:cs="Times New Roman"/>
          <w:color w:val="0070C0"/>
          <w:szCs w:val="24"/>
        </w:rPr>
        <w:t xml:space="preserve"> </w:t>
      </w:r>
      <w:r w:rsidR="004F7A42">
        <w:rPr>
          <w:rFonts w:cs="Times New Roman"/>
          <w:color w:val="0070C0"/>
          <w:szCs w:val="24"/>
        </w:rPr>
        <w:t xml:space="preserve"> </w:t>
      </w:r>
      <w:r w:rsidR="004F7A42" w:rsidRPr="004F7A42">
        <w:rPr>
          <w:rFonts w:cs="Times New Roman"/>
          <w:szCs w:val="24"/>
        </w:rPr>
        <w:t xml:space="preserve">This finding fails to provide support for my </w:t>
      </w:r>
      <w:r w:rsidR="001D1482">
        <w:rPr>
          <w:rFonts w:cs="Times New Roman"/>
          <w:szCs w:val="24"/>
        </w:rPr>
        <w:t xml:space="preserve">affected groups hypotheses and </w:t>
      </w:r>
      <w:r w:rsidR="004F7A42" w:rsidRPr="004F7A42">
        <w:rPr>
          <w:rFonts w:cs="Times New Roman"/>
          <w:szCs w:val="24"/>
        </w:rPr>
        <w:t>the interest group model of amicus influence</w:t>
      </w:r>
      <w:r w:rsidR="004F7A42">
        <w:rPr>
          <w:rFonts w:cs="Times New Roman"/>
          <w:szCs w:val="24"/>
        </w:rPr>
        <w:t>.</w:t>
      </w:r>
      <w:r w:rsidR="004F7A42" w:rsidRPr="004F7A42">
        <w:rPr>
          <w:rFonts w:cs="Times New Roman"/>
          <w:szCs w:val="24"/>
        </w:rPr>
        <w:t xml:space="preserve"> This provides further evidence that the impact of amici spring</w:t>
      </w:r>
      <w:r w:rsidRPr="004F7A42">
        <w:rPr>
          <w:rFonts w:cs="Times New Roman"/>
          <w:szCs w:val="24"/>
        </w:rPr>
        <w:t xml:space="preserve"> from the substantive information they impart, as opposed to</w:t>
      </w:r>
      <w:r w:rsidR="004F7A42" w:rsidRPr="004F7A42">
        <w:rPr>
          <w:rFonts w:cs="Times New Roman"/>
          <w:szCs w:val="24"/>
        </w:rPr>
        <w:t xml:space="preserve"> simple numerical advantage of amicus groups and individuals.</w:t>
      </w:r>
      <w:r w:rsidRPr="004F7A42">
        <w:rPr>
          <w:rFonts w:cs="Times New Roman"/>
          <w:szCs w:val="24"/>
        </w:rPr>
        <w:t xml:space="preserve"> </w:t>
      </w:r>
      <w:r w:rsidR="004F7A42" w:rsidRPr="004F7A42">
        <w:rPr>
          <w:rFonts w:cs="Times New Roman"/>
          <w:szCs w:val="24"/>
        </w:rPr>
        <w:t xml:space="preserve"> </w:t>
      </w:r>
      <w:r w:rsidRPr="004F7A42">
        <w:rPr>
          <w:rFonts w:cs="Times New Roman"/>
          <w:szCs w:val="24"/>
        </w:rPr>
        <w:t xml:space="preserve">As the MLE coefficient for </w:t>
      </w:r>
      <w:r w:rsidRPr="004F7A42">
        <w:rPr>
          <w:rFonts w:cs="Times New Roman"/>
          <w:i/>
          <w:szCs w:val="24"/>
        </w:rPr>
        <w:t xml:space="preserve">Liberal-Conservative Amicus Cosigner Difference </w:t>
      </w:r>
      <w:r w:rsidRPr="004F7A42">
        <w:rPr>
          <w:rFonts w:cs="Times New Roman"/>
          <w:szCs w:val="24"/>
        </w:rPr>
        <w:t>is not statistically significant, it is not necessary to provide an interpretation of its odds ratio or marginal effect.</w:t>
      </w:r>
    </w:p>
    <w:p w:rsidR="00F869BA" w:rsidRPr="004F349B" w:rsidRDefault="004F7A42" w:rsidP="004F349B">
      <w:pPr>
        <w:autoSpaceDE w:val="0"/>
        <w:autoSpaceDN w:val="0"/>
        <w:adjustRightInd w:val="0"/>
        <w:spacing w:line="480" w:lineRule="auto"/>
        <w:ind w:left="0" w:firstLine="720"/>
        <w:rPr>
          <w:rFonts w:cs="Times New Roman"/>
          <w:szCs w:val="24"/>
        </w:rPr>
      </w:pPr>
      <w:r w:rsidRPr="004F7A42">
        <w:rPr>
          <w:rFonts w:cs="Times New Roman"/>
          <w:szCs w:val="24"/>
        </w:rPr>
        <w:lastRenderedPageBreak/>
        <w:t xml:space="preserve">Neither is </w:t>
      </w:r>
      <w:r w:rsidR="00F869BA" w:rsidRPr="004F7A42">
        <w:rPr>
          <w:rFonts w:cs="Times New Roman"/>
          <w:i/>
          <w:szCs w:val="24"/>
        </w:rPr>
        <w:t xml:space="preserve">Prestigious Liberal-Conservative Amicus Difference </w:t>
      </w:r>
      <w:r w:rsidR="00F869BA" w:rsidRPr="004F7A42">
        <w:rPr>
          <w:rFonts w:cs="Times New Roman"/>
          <w:szCs w:val="24"/>
        </w:rPr>
        <w:t>statistically significant</w:t>
      </w:r>
      <w:r w:rsidRPr="004F7A42">
        <w:rPr>
          <w:rFonts w:cs="Times New Roman"/>
          <w:szCs w:val="24"/>
        </w:rPr>
        <w:t xml:space="preserve"> nor signed in </w:t>
      </w:r>
      <w:r w:rsidR="00F869BA" w:rsidRPr="004F7A42">
        <w:rPr>
          <w:rFonts w:cs="Times New Roman"/>
          <w:szCs w:val="24"/>
        </w:rPr>
        <w:t xml:space="preserve">the expected direction. </w:t>
      </w:r>
      <w:r w:rsidRPr="004F7A42">
        <w:rPr>
          <w:rFonts w:cs="Times New Roman"/>
          <w:szCs w:val="24"/>
        </w:rPr>
        <w:t xml:space="preserve"> Therefore, it is not necessary to provide an interpretation of its odds ratio or marginal effect</w:t>
      </w:r>
      <w:r>
        <w:rPr>
          <w:rFonts w:cs="Times New Roman"/>
          <w:szCs w:val="24"/>
        </w:rPr>
        <w:t>s</w:t>
      </w:r>
      <w:r w:rsidRPr="004F7A42">
        <w:rPr>
          <w:rFonts w:cs="Times New Roman"/>
          <w:szCs w:val="24"/>
        </w:rPr>
        <w:t>.</w:t>
      </w:r>
      <w:r>
        <w:rPr>
          <w:rFonts w:cs="Times New Roman"/>
          <w:szCs w:val="24"/>
        </w:rPr>
        <w:t xml:space="preserve">  While an ideological advantage of amicus briefs matters, an ideological advantage of prestigious amicus briefs do not seem to have an impac</w:t>
      </w:r>
      <w:r w:rsidR="004F349B">
        <w:rPr>
          <w:rFonts w:cs="Times New Roman"/>
          <w:szCs w:val="24"/>
        </w:rPr>
        <w:t xml:space="preserve">t in criminal procedure cases.  </w:t>
      </w:r>
    </w:p>
    <w:p w:rsidR="00F869BA" w:rsidRPr="002E364B" w:rsidRDefault="00D845F8" w:rsidP="00F869BA">
      <w:pPr>
        <w:autoSpaceDE w:val="0"/>
        <w:autoSpaceDN w:val="0"/>
        <w:adjustRightInd w:val="0"/>
        <w:spacing w:line="480" w:lineRule="auto"/>
        <w:ind w:left="0" w:firstLine="720"/>
      </w:pPr>
      <w:r w:rsidRPr="00D845F8">
        <w:rPr>
          <w:rFonts w:cs="Times New Roman"/>
          <w:szCs w:val="24"/>
        </w:rPr>
        <w:t xml:space="preserve">Interestingly, only two of the control variables are </w:t>
      </w:r>
      <w:r w:rsidR="00F869BA" w:rsidRPr="00D845F8">
        <w:rPr>
          <w:rFonts w:cs="Times New Roman"/>
          <w:szCs w:val="24"/>
        </w:rPr>
        <w:t>stat</w:t>
      </w:r>
      <w:r w:rsidR="004F349B" w:rsidRPr="00D845F8">
        <w:rPr>
          <w:rFonts w:cs="Times New Roman"/>
          <w:szCs w:val="24"/>
        </w:rPr>
        <w:t xml:space="preserve">istically significant in Model </w:t>
      </w:r>
      <w:r w:rsidR="00F853AF">
        <w:rPr>
          <w:rFonts w:cs="Times New Roman"/>
          <w:szCs w:val="24"/>
        </w:rPr>
        <w:t>2</w:t>
      </w:r>
      <w:r w:rsidRPr="00D845F8">
        <w:rPr>
          <w:rFonts w:cs="Times New Roman"/>
          <w:szCs w:val="24"/>
        </w:rPr>
        <w:t xml:space="preserve"> – </w:t>
      </w:r>
      <w:r w:rsidRPr="00D845F8">
        <w:rPr>
          <w:rFonts w:cs="Times New Roman"/>
          <w:i/>
          <w:szCs w:val="24"/>
        </w:rPr>
        <w:t xml:space="preserve">Ideology </w:t>
      </w:r>
      <w:r w:rsidRPr="00D845F8">
        <w:rPr>
          <w:rFonts w:cs="Times New Roman"/>
          <w:szCs w:val="24"/>
        </w:rPr>
        <w:t xml:space="preserve">and </w:t>
      </w:r>
      <w:r w:rsidRPr="00D845F8">
        <w:rPr>
          <w:rFonts w:cs="Times New Roman"/>
          <w:i/>
          <w:szCs w:val="24"/>
        </w:rPr>
        <w:t>Lower Court Direction</w:t>
      </w:r>
      <w:r w:rsidR="00F869BA" w:rsidRPr="00D845F8">
        <w:rPr>
          <w:rFonts w:cs="Times New Roman"/>
          <w:szCs w:val="24"/>
        </w:rPr>
        <w:t xml:space="preserve">.  First, </w:t>
      </w:r>
      <w:r w:rsidRPr="00D845F8">
        <w:rPr>
          <w:rFonts w:cs="Times New Roman"/>
          <w:szCs w:val="24"/>
        </w:rPr>
        <w:t>Model 2</w:t>
      </w:r>
      <w:r w:rsidR="00F869BA" w:rsidRPr="00D845F8">
        <w:rPr>
          <w:rFonts w:cs="Times New Roman"/>
          <w:szCs w:val="24"/>
        </w:rPr>
        <w:t xml:space="preserve"> confirms the strong and statistically significant role of </w:t>
      </w:r>
      <w:r w:rsidR="00F869BA" w:rsidRPr="00D845F8">
        <w:rPr>
          <w:rFonts w:cs="Times New Roman"/>
          <w:i/>
          <w:szCs w:val="24"/>
        </w:rPr>
        <w:t xml:space="preserve">Ideology </w:t>
      </w:r>
      <w:r w:rsidR="00F869BA" w:rsidRPr="00D845F8">
        <w:rPr>
          <w:rFonts w:cs="Times New Roman"/>
          <w:szCs w:val="24"/>
        </w:rPr>
        <w:t>in predicting how a justice will vote</w:t>
      </w:r>
      <w:r w:rsidRPr="00D845F8">
        <w:rPr>
          <w:rFonts w:cs="Times New Roman"/>
          <w:szCs w:val="24"/>
        </w:rPr>
        <w:t xml:space="preserve"> in criminal procedure cases</w:t>
      </w:r>
      <w:r w:rsidR="00F869BA" w:rsidRPr="00D845F8">
        <w:rPr>
          <w:rFonts w:cs="Times New Roman"/>
          <w:szCs w:val="24"/>
        </w:rPr>
        <w:t>.</w:t>
      </w:r>
      <w:r w:rsidR="00F869BA" w:rsidRPr="00F869BA">
        <w:rPr>
          <w:rFonts w:cs="Times New Roman"/>
          <w:color w:val="0070C0"/>
          <w:szCs w:val="24"/>
        </w:rPr>
        <w:t xml:space="preserve"> </w:t>
      </w:r>
      <w:r w:rsidR="00F869BA" w:rsidRPr="00D845F8">
        <w:t xml:space="preserve">The odds ratio of </w:t>
      </w:r>
      <w:r w:rsidR="00F869BA" w:rsidRPr="00D845F8">
        <w:rPr>
          <w:i/>
        </w:rPr>
        <w:t xml:space="preserve">Ideology </w:t>
      </w:r>
      <w:r w:rsidRPr="00D845F8">
        <w:t>is 11.253</w:t>
      </w:r>
      <w:r w:rsidR="00F869BA" w:rsidRPr="00D845F8">
        <w:t xml:space="preserve">, indicating that the odds of liberal justice vote increase </w:t>
      </w:r>
      <w:r w:rsidRPr="00D845F8">
        <w:t>in Model 2</w:t>
      </w:r>
      <w:r w:rsidR="00F869BA" w:rsidRPr="00D845F8">
        <w:t xml:space="preserve"> by </w:t>
      </w:r>
      <w:r w:rsidRPr="00D845F8">
        <w:t>11.253</w:t>
      </w:r>
      <w:r w:rsidR="00F869BA" w:rsidRPr="00D845F8">
        <w:t xml:space="preserve"> times when there is a one unit increase in judicial ideology. </w:t>
      </w:r>
      <w:r>
        <w:t xml:space="preserve"> </w:t>
      </w:r>
      <w:r w:rsidR="00F869BA" w:rsidRPr="00D845F8">
        <w:t xml:space="preserve">The marginal effect of </w:t>
      </w:r>
      <w:r w:rsidR="00F869BA" w:rsidRPr="00D845F8">
        <w:rPr>
          <w:i/>
        </w:rPr>
        <w:t xml:space="preserve">Ideology </w:t>
      </w:r>
      <w:r w:rsidRPr="00D845F8">
        <w:t>is 14.77</w:t>
      </w:r>
      <w:r w:rsidR="00F869BA" w:rsidRPr="00D845F8">
        <w:t xml:space="preserve"> percent, indicating that a justice whose Segal-Cover score is at</w:t>
      </w:r>
      <w:r>
        <w:rPr>
          <w:color w:val="0070C0"/>
        </w:rPr>
        <w:t xml:space="preserve"> .</w:t>
      </w:r>
      <w:r w:rsidRPr="00D845F8">
        <w:t>568</w:t>
      </w:r>
      <w:r w:rsidR="00F869BA" w:rsidRPr="00D845F8">
        <w:t xml:space="preserve"> (one standard deviation above the mean</w:t>
      </w:r>
      <w:r>
        <w:rPr>
          <w:color w:val="0070C0"/>
        </w:rPr>
        <w:t xml:space="preserve"> </w:t>
      </w:r>
      <w:r w:rsidRPr="00D845F8">
        <w:t>– located between</w:t>
      </w:r>
      <w:r w:rsidR="00F869BA" w:rsidRPr="00D845F8">
        <w:t xml:space="preserve"> Justice Gins</w:t>
      </w:r>
      <w:r w:rsidRPr="00D845F8">
        <w:t>burg at .68</w:t>
      </w:r>
      <w:r w:rsidR="00F869BA" w:rsidRPr="00D845F8">
        <w:t xml:space="preserve"> and to Justice Breyer at .475)</w:t>
      </w:r>
      <w:r>
        <w:rPr>
          <w:color w:val="0070C0"/>
        </w:rPr>
        <w:t xml:space="preserve"> </w:t>
      </w:r>
      <w:r w:rsidRPr="00D845F8">
        <w:t>is 14.77</w:t>
      </w:r>
      <w:r w:rsidR="00F869BA" w:rsidRPr="00D845F8">
        <w:t xml:space="preserve"> percent more likely to cast a liberal vote than a justice whose Segal-Cover score is at the</w:t>
      </w:r>
      <w:r>
        <w:t xml:space="preserve"> mean (.321</w:t>
      </w:r>
      <w:r w:rsidR="00F869BA" w:rsidRPr="00D845F8">
        <w:t>) (closet to Justice Souter’s score of .325, and second closest to Justice Kennedy’s at .365).</w:t>
      </w:r>
      <w:r w:rsidR="00F869BA" w:rsidRPr="00F869BA">
        <w:rPr>
          <w:color w:val="0070C0"/>
        </w:rPr>
        <w:t xml:space="preserve">   </w:t>
      </w:r>
      <w:r w:rsidR="00F869BA" w:rsidRPr="00D845F8">
        <w:t xml:space="preserve">Further, the marginal effects reveal that, compared with the most </w:t>
      </w:r>
      <w:r w:rsidR="00F869BA" w:rsidRPr="002E364B">
        <w:t>conservative justice</w:t>
      </w:r>
      <w:r w:rsidR="002E364B" w:rsidRPr="002E364B">
        <w:t xml:space="preserve"> (</w:t>
      </w:r>
      <w:r w:rsidR="00F869BA" w:rsidRPr="002E364B">
        <w:t>Justice S</w:t>
      </w:r>
      <w:r w:rsidR="002E364B" w:rsidRPr="002E364B">
        <w:t xml:space="preserve">calia, </w:t>
      </w:r>
      <w:r w:rsidR="00F869BA" w:rsidRPr="002E364B">
        <w:t>Segal-Cover score of 0)</w:t>
      </w:r>
      <w:r w:rsidR="002E364B" w:rsidRPr="002E364B">
        <w:t>), the most liberal justice (</w:t>
      </w:r>
      <w:r w:rsidR="00F869BA" w:rsidRPr="002E364B">
        <w:t>Justice Sotomayor (Segal-Cover score of .78)</w:t>
      </w:r>
      <w:r w:rsidR="002E364B" w:rsidRPr="002E364B">
        <w:t>)</w:t>
      </w:r>
      <w:r w:rsidR="00F869BA" w:rsidRPr="002E364B">
        <w:t xml:space="preserve"> </w:t>
      </w:r>
      <w:r w:rsidR="002E364B" w:rsidRPr="002E364B">
        <w:t>is 43.35</w:t>
      </w:r>
      <w:r w:rsidR="00F869BA" w:rsidRPr="002E364B">
        <w:t xml:space="preserve"> percent more likely to cast a liberal vote.</w:t>
      </w:r>
      <w:r w:rsidR="00F869BA" w:rsidRPr="00F869BA">
        <w:rPr>
          <w:color w:val="0070C0"/>
        </w:rPr>
        <w:t xml:space="preserve"> </w:t>
      </w:r>
      <w:r w:rsidR="002E364B">
        <w:rPr>
          <w:color w:val="0070C0"/>
        </w:rPr>
        <w:t xml:space="preserve"> </w:t>
      </w:r>
      <w:r w:rsidR="00F869BA" w:rsidRPr="002E364B">
        <w:t xml:space="preserve">These findings are expected and are consistent with the attitudinal model of judicial decision making.  Ideology is </w:t>
      </w:r>
      <w:r w:rsidR="002E364B">
        <w:t xml:space="preserve">a very strong </w:t>
      </w:r>
      <w:r w:rsidR="00F869BA" w:rsidRPr="002E364B">
        <w:t>predictor of how a justice will vote</w:t>
      </w:r>
      <w:r w:rsidR="002E364B">
        <w:t xml:space="preserve"> in criminal procedure cases</w:t>
      </w:r>
      <w:r w:rsidR="00F869BA" w:rsidRPr="002E364B">
        <w:t>.</w:t>
      </w:r>
    </w:p>
    <w:p w:rsidR="00F869BA" w:rsidRPr="00F869BA" w:rsidRDefault="002E364B" w:rsidP="00F869BA">
      <w:pPr>
        <w:autoSpaceDE w:val="0"/>
        <w:autoSpaceDN w:val="0"/>
        <w:adjustRightInd w:val="0"/>
        <w:spacing w:line="480" w:lineRule="auto"/>
        <w:ind w:left="0" w:firstLine="720"/>
        <w:rPr>
          <w:rFonts w:cs="Times New Roman"/>
          <w:color w:val="0070C0"/>
          <w:szCs w:val="24"/>
        </w:rPr>
      </w:pPr>
      <w:r w:rsidRPr="002E364B">
        <w:rPr>
          <w:rFonts w:cs="Times New Roman"/>
          <w:szCs w:val="24"/>
        </w:rPr>
        <w:t>Second,</w:t>
      </w:r>
      <w:r w:rsidR="00F869BA" w:rsidRPr="002E364B">
        <w:rPr>
          <w:rFonts w:cs="Times New Roman"/>
          <w:szCs w:val="24"/>
        </w:rPr>
        <w:t xml:space="preserve"> the </w:t>
      </w:r>
      <w:r w:rsidR="00F869BA" w:rsidRPr="002E364B">
        <w:rPr>
          <w:rFonts w:cs="Times New Roman"/>
          <w:i/>
          <w:szCs w:val="24"/>
        </w:rPr>
        <w:t xml:space="preserve">Lower Court Direction </w:t>
      </w:r>
      <w:r w:rsidR="00F869BA" w:rsidRPr="002E364B">
        <w:rPr>
          <w:rFonts w:cs="Times New Roman"/>
          <w:szCs w:val="24"/>
        </w:rPr>
        <w:t>variable is statistically significant and, as expected, negatively signed.</w:t>
      </w:r>
      <w:r w:rsidR="00F869BA" w:rsidRPr="00F869BA">
        <w:rPr>
          <w:rFonts w:cs="Times New Roman"/>
          <w:color w:val="0070C0"/>
          <w:szCs w:val="24"/>
        </w:rPr>
        <w:t xml:space="preserve">  </w:t>
      </w:r>
      <w:r w:rsidR="00F869BA" w:rsidRPr="002E364B">
        <w:rPr>
          <w:rFonts w:cs="Times New Roman"/>
          <w:szCs w:val="24"/>
        </w:rPr>
        <w:t xml:space="preserve">This odds ratio </w:t>
      </w:r>
      <w:r w:rsidRPr="002E364B">
        <w:rPr>
          <w:rFonts w:cs="Times New Roman"/>
          <w:szCs w:val="24"/>
        </w:rPr>
        <w:t>of .470</w:t>
      </w:r>
      <w:r w:rsidR="00F869BA" w:rsidRPr="002E364B">
        <w:rPr>
          <w:rFonts w:cs="Times New Roman"/>
          <w:szCs w:val="24"/>
        </w:rPr>
        <w:t xml:space="preserve"> indicates that when the Roberts Court is reviewing a liberal decision</w:t>
      </w:r>
      <w:r w:rsidRPr="002E364B">
        <w:rPr>
          <w:rFonts w:cs="Times New Roman"/>
          <w:szCs w:val="24"/>
        </w:rPr>
        <w:t xml:space="preserve"> in criminal procedure cases, a justice is 2.13</w:t>
      </w:r>
      <w:r w:rsidR="00F869BA" w:rsidRPr="002E364B">
        <w:rPr>
          <w:rFonts w:cs="Times New Roman"/>
          <w:szCs w:val="24"/>
        </w:rPr>
        <w:t xml:space="preserve"> times less likely to issue a liberal vote than when the Roberts Court is reviewing a conservative decision.</w:t>
      </w:r>
      <w:r w:rsidR="00F869BA" w:rsidRPr="00F869BA">
        <w:rPr>
          <w:rFonts w:cs="Times New Roman"/>
          <w:color w:val="0070C0"/>
          <w:szCs w:val="24"/>
        </w:rPr>
        <w:t xml:space="preserve">  </w:t>
      </w:r>
      <w:r w:rsidR="00F869BA" w:rsidRPr="002E364B">
        <w:rPr>
          <w:rFonts w:cs="Times New Roman"/>
          <w:szCs w:val="24"/>
        </w:rPr>
        <w:t xml:space="preserve">Similarly, the marginal </w:t>
      </w:r>
      <w:r w:rsidR="00F869BA" w:rsidRPr="002E364B">
        <w:rPr>
          <w:rFonts w:cs="Times New Roman"/>
          <w:szCs w:val="24"/>
        </w:rPr>
        <w:lastRenderedPageBreak/>
        <w:t>effects reveal that whe</w:t>
      </w:r>
      <w:r w:rsidR="0022411C">
        <w:rPr>
          <w:rFonts w:cs="Times New Roman"/>
          <w:szCs w:val="24"/>
        </w:rPr>
        <w:t xml:space="preserve">n the Roberts Court </w:t>
      </w:r>
      <w:proofErr w:type="gramStart"/>
      <w:r w:rsidR="0022411C">
        <w:rPr>
          <w:rFonts w:cs="Times New Roman"/>
          <w:szCs w:val="24"/>
        </w:rPr>
        <w:t>reviews</w:t>
      </w:r>
      <w:proofErr w:type="gramEnd"/>
      <w:r w:rsidR="00F869BA" w:rsidRPr="002E364B">
        <w:rPr>
          <w:rFonts w:cs="Times New Roman"/>
          <w:szCs w:val="24"/>
        </w:rPr>
        <w:t xml:space="preserve"> a libe</w:t>
      </w:r>
      <w:r>
        <w:rPr>
          <w:rFonts w:cs="Times New Roman"/>
          <w:szCs w:val="24"/>
        </w:rPr>
        <w:t xml:space="preserve">ral decision, a justice is 18.31 </w:t>
      </w:r>
      <w:r w:rsidR="00F869BA" w:rsidRPr="002E364B">
        <w:rPr>
          <w:rFonts w:cs="Times New Roman"/>
          <w:szCs w:val="24"/>
        </w:rPr>
        <w:t>percent less likely to issue a liberal vote.</w:t>
      </w:r>
      <w:r w:rsidR="00F869BA" w:rsidRPr="00F869BA">
        <w:rPr>
          <w:rFonts w:cs="Times New Roman"/>
          <w:color w:val="0070C0"/>
          <w:szCs w:val="24"/>
        </w:rPr>
        <w:t xml:space="preserve">  </w:t>
      </w:r>
      <w:r w:rsidR="00F869BA" w:rsidRPr="002E364B">
        <w:rPr>
          <w:rFonts w:cs="Times New Roman"/>
          <w:szCs w:val="24"/>
        </w:rPr>
        <w:t xml:space="preserve">This result </w:t>
      </w:r>
      <w:r>
        <w:rPr>
          <w:rFonts w:cs="Times New Roman"/>
          <w:szCs w:val="24"/>
        </w:rPr>
        <w:t xml:space="preserve">again </w:t>
      </w:r>
      <w:r w:rsidR="00F869BA" w:rsidRPr="002E364B">
        <w:rPr>
          <w:rFonts w:cs="Times New Roman"/>
          <w:szCs w:val="24"/>
        </w:rPr>
        <w:t>confirms the known propensity of justices to vote to overturn cases that they review.</w:t>
      </w:r>
    </w:p>
    <w:p w:rsidR="00F869BA" w:rsidRDefault="002E364B" w:rsidP="00F853AF">
      <w:pPr>
        <w:autoSpaceDE w:val="0"/>
        <w:autoSpaceDN w:val="0"/>
        <w:adjustRightInd w:val="0"/>
        <w:spacing w:line="480" w:lineRule="auto"/>
        <w:ind w:left="0" w:firstLine="720"/>
      </w:pPr>
      <w:r w:rsidRPr="00F853AF">
        <w:rPr>
          <w:rFonts w:cs="Times New Roman"/>
          <w:szCs w:val="24"/>
        </w:rPr>
        <w:t>Notably</w:t>
      </w:r>
      <w:r w:rsidR="00F869BA" w:rsidRPr="00F853AF">
        <w:rPr>
          <w:rFonts w:cs="Times New Roman"/>
          <w:szCs w:val="24"/>
        </w:rPr>
        <w:t>, the</w:t>
      </w:r>
      <w:r w:rsidRPr="00F853AF">
        <w:rPr>
          <w:rFonts w:cs="Times New Roman"/>
          <w:szCs w:val="24"/>
        </w:rPr>
        <w:t xml:space="preserve"> </w:t>
      </w:r>
      <w:r w:rsidRPr="00F853AF">
        <w:rPr>
          <w:rFonts w:cs="Times New Roman"/>
          <w:i/>
          <w:szCs w:val="24"/>
        </w:rPr>
        <w:t xml:space="preserve">SG Liberal Amicus </w:t>
      </w:r>
      <w:r w:rsidRPr="00F853AF">
        <w:rPr>
          <w:rFonts w:cs="Times New Roman"/>
          <w:szCs w:val="24"/>
        </w:rPr>
        <w:t xml:space="preserve">and </w:t>
      </w:r>
      <w:r w:rsidRPr="00F853AF">
        <w:rPr>
          <w:rFonts w:cs="Times New Roman"/>
          <w:i/>
          <w:szCs w:val="24"/>
        </w:rPr>
        <w:t xml:space="preserve">SG Conservative Amicus </w:t>
      </w:r>
      <w:r w:rsidRPr="00F853AF">
        <w:rPr>
          <w:rFonts w:cs="Times New Roman"/>
          <w:szCs w:val="24"/>
        </w:rPr>
        <w:t>variables, along with the</w:t>
      </w:r>
      <w:r w:rsidR="00F869BA" w:rsidRPr="00F853AF">
        <w:rPr>
          <w:rFonts w:cs="Times New Roman"/>
          <w:szCs w:val="24"/>
        </w:rPr>
        <w:t xml:space="preserve"> </w:t>
      </w:r>
      <w:r w:rsidR="00F869BA" w:rsidRPr="00F853AF">
        <w:rPr>
          <w:rFonts w:cs="Times New Roman"/>
          <w:i/>
          <w:szCs w:val="24"/>
        </w:rPr>
        <w:t xml:space="preserve">Liberal – Conservative Resource Difference </w:t>
      </w:r>
      <w:r w:rsidRPr="00F853AF">
        <w:rPr>
          <w:rFonts w:cs="Times New Roman"/>
          <w:szCs w:val="24"/>
        </w:rPr>
        <w:t>variable, are</w:t>
      </w:r>
      <w:r w:rsidR="00046F21" w:rsidRPr="00F853AF">
        <w:rPr>
          <w:rFonts w:cs="Times New Roman"/>
          <w:szCs w:val="24"/>
        </w:rPr>
        <w:t xml:space="preserve"> </w:t>
      </w:r>
      <w:r w:rsidRPr="00F853AF">
        <w:rPr>
          <w:rFonts w:cs="Times New Roman"/>
          <w:szCs w:val="24"/>
        </w:rPr>
        <w:t xml:space="preserve">not statistically significant, and the </w:t>
      </w:r>
      <w:r w:rsidRPr="00F853AF">
        <w:rPr>
          <w:rFonts w:cs="Times New Roman"/>
          <w:i/>
          <w:szCs w:val="24"/>
        </w:rPr>
        <w:t xml:space="preserve">SG Liberal Amicus </w:t>
      </w:r>
      <w:r w:rsidRPr="00F853AF">
        <w:rPr>
          <w:rFonts w:cs="Times New Roman"/>
          <w:szCs w:val="24"/>
        </w:rPr>
        <w:t xml:space="preserve">variable is signed in the unexpected direction. These are surprising findings, as the SG does not seem to impact the criminal procedure votes of the justices on the Roberts Court.  Further, party resources do not seem to play much of a role either.  </w:t>
      </w:r>
      <w:r w:rsidR="00046F21" w:rsidRPr="00F853AF">
        <w:rPr>
          <w:rFonts w:cs="Times New Roman"/>
          <w:szCs w:val="24"/>
        </w:rPr>
        <w:t>Typically, i</w:t>
      </w:r>
      <w:r w:rsidRPr="00F853AF">
        <w:rPr>
          <w:rFonts w:cs="Times New Roman"/>
          <w:szCs w:val="24"/>
        </w:rPr>
        <w:t>n criminal procedure cases, the party that is the accused (or the prisoner)</w:t>
      </w:r>
      <w:r w:rsidR="00046F21" w:rsidRPr="00F853AF">
        <w:rPr>
          <w:rFonts w:cs="Times New Roman"/>
          <w:szCs w:val="24"/>
        </w:rPr>
        <w:t xml:space="preserve"> is much lower on the resource continuum than the government.  Taken together, these findings indicate that the Roberts Court does not give as much deference either to the federal government as a party, or to the SG representing the federal government, or to the state governments, in criminal procedure cases</w:t>
      </w:r>
      <w:r w:rsidR="0022411C">
        <w:rPr>
          <w:rFonts w:cs="Times New Roman"/>
          <w:szCs w:val="24"/>
        </w:rPr>
        <w:t>,</w:t>
      </w:r>
      <w:r w:rsidR="00046F21" w:rsidRPr="00F853AF">
        <w:rPr>
          <w:rFonts w:cs="Times New Roman"/>
          <w:szCs w:val="24"/>
        </w:rPr>
        <w:t xml:space="preserve"> as one might expect.  This finding should provide some comfort for those who are concerned about the ability of criminal defendants to receive a fair and just outcome at the Roberts Court.   Instead, when predicting justice votes in criminal procedure cases, one should primarily look to the justice’s ideology, the direction of the lower court decision, and which side has an advantage of amicus briefs, and this should give you a fairly accurate indication of how the case will be decided. </w:t>
      </w:r>
      <w:r w:rsidR="00F853AF" w:rsidRPr="00F853AF">
        <w:rPr>
          <w:rFonts w:cs="Times New Roman"/>
          <w:szCs w:val="24"/>
        </w:rPr>
        <w:t xml:space="preserve">  In short, </w:t>
      </w:r>
      <w:r w:rsidR="00F853AF" w:rsidRPr="00F853AF">
        <w:t>w</w:t>
      </w:r>
      <w:r w:rsidR="00F869BA" w:rsidRPr="00F853AF">
        <w:t>hile attitudes are very strong predictors of justice votes</w:t>
      </w:r>
      <w:r w:rsidR="00F853AF" w:rsidRPr="00F853AF">
        <w:t xml:space="preserve"> in criminal procedure cases</w:t>
      </w:r>
      <w:r w:rsidR="00F869BA" w:rsidRPr="00F853AF">
        <w:t xml:space="preserve">, </w:t>
      </w:r>
      <w:r w:rsidR="00F853AF" w:rsidRPr="00F853AF">
        <w:t>most of the justices (except Scalia and Thomas</w:t>
      </w:r>
      <w:r w:rsidR="001541FB">
        <w:t>, and</w:t>
      </w:r>
      <w:r w:rsidR="000F0A6D">
        <w:t xml:space="preserve"> Justice Stevens during the 2008</w:t>
      </w:r>
      <w:r w:rsidR="001541FB">
        <w:t xml:space="preserve"> term</w:t>
      </w:r>
      <w:r w:rsidR="00F853AF" w:rsidRPr="00F853AF">
        <w:t xml:space="preserve">) </w:t>
      </w:r>
      <w:r w:rsidR="00F869BA" w:rsidRPr="00F853AF">
        <w:t>do respond to the persuasive arguments put forward by amici in their briefs, and this impact g</w:t>
      </w:r>
      <w:r w:rsidR="00F853AF" w:rsidRPr="00F853AF">
        <w:t>enerally becomes more evident as</w:t>
      </w:r>
      <w:r w:rsidR="00F869BA" w:rsidRPr="00F853AF">
        <w:t xml:space="preserve"> the justices become more moderate.  </w:t>
      </w:r>
    </w:p>
    <w:p w:rsidR="002A69E6" w:rsidRDefault="006B7901" w:rsidP="006B7901">
      <w:pPr>
        <w:spacing w:line="480" w:lineRule="auto"/>
        <w:ind w:left="0" w:firstLine="720"/>
      </w:pPr>
      <w:r w:rsidRPr="00B2024A">
        <w:rPr>
          <w:rFonts w:cs="Times New Roman"/>
          <w:szCs w:val="24"/>
        </w:rPr>
        <w:t xml:space="preserve">The results of my </w:t>
      </w:r>
      <w:proofErr w:type="spellStart"/>
      <w:r w:rsidRPr="00B2024A">
        <w:rPr>
          <w:rFonts w:cs="Times New Roman"/>
          <w:szCs w:val="24"/>
        </w:rPr>
        <w:t>logit</w:t>
      </w:r>
      <w:proofErr w:type="spellEnd"/>
      <w:r w:rsidRPr="00B2024A">
        <w:rPr>
          <w:rFonts w:cs="Times New Roman"/>
          <w:szCs w:val="24"/>
        </w:rPr>
        <w:t xml:space="preserve"> model considering only civil rights and liberties cases at the Roberts Court (Model 3) are reported in table 5.3.  </w:t>
      </w:r>
      <w:r w:rsidRPr="00B2024A">
        <w:t xml:space="preserve">Model 3 was estimated using the same </w:t>
      </w:r>
    </w:p>
    <w:p w:rsidR="002A69E6" w:rsidRDefault="002A69E6" w:rsidP="002A69E6">
      <w:pPr>
        <w:autoSpaceDE w:val="0"/>
        <w:autoSpaceDN w:val="0"/>
        <w:adjustRightInd w:val="0"/>
        <w:spacing w:line="480" w:lineRule="auto"/>
        <w:ind w:left="0" w:firstLine="0"/>
        <w:rPr>
          <w:rFonts w:cs="Times New Roman"/>
          <w:szCs w:val="24"/>
        </w:rPr>
      </w:pPr>
      <w:proofErr w:type="gramStart"/>
      <w:r>
        <w:rPr>
          <w:rFonts w:cs="Times New Roman"/>
          <w:b/>
          <w:szCs w:val="24"/>
        </w:rPr>
        <w:lastRenderedPageBreak/>
        <w:t>Table 5.3</w:t>
      </w:r>
      <w:r w:rsidRPr="00E8454D">
        <w:rPr>
          <w:rFonts w:cs="Times New Roman"/>
          <w:b/>
          <w:szCs w:val="24"/>
        </w:rPr>
        <w:t>.</w:t>
      </w:r>
      <w:proofErr w:type="gramEnd"/>
      <w:r>
        <w:rPr>
          <w:rFonts w:cs="Times New Roman"/>
          <w:szCs w:val="24"/>
        </w:rPr>
        <w:t xml:space="preserve">  </w:t>
      </w:r>
      <w:proofErr w:type="spellStart"/>
      <w:r>
        <w:rPr>
          <w:rFonts w:cs="Times New Roman"/>
          <w:b/>
          <w:szCs w:val="24"/>
        </w:rPr>
        <w:t>Logit</w:t>
      </w:r>
      <w:proofErr w:type="spellEnd"/>
      <w:r>
        <w:rPr>
          <w:rFonts w:cs="Times New Roman"/>
          <w:b/>
          <w:szCs w:val="24"/>
        </w:rPr>
        <w:t xml:space="preserve"> Model</w:t>
      </w:r>
      <w:r w:rsidRPr="00A02BA1">
        <w:rPr>
          <w:b/>
        </w:rPr>
        <w:t xml:space="preserve"> of</w:t>
      </w:r>
      <w:r>
        <w:rPr>
          <w:b/>
        </w:rPr>
        <w:t xml:space="preserve"> the Impact of Amici on Ideological Direction of Justice Votes at the Roberts Court, 2007 – 201</w:t>
      </w:r>
      <w:r w:rsidRPr="00A02BA1">
        <w:rPr>
          <w:b/>
        </w:rPr>
        <w:t>1 Terms</w:t>
      </w:r>
      <w:r>
        <w:rPr>
          <w:b/>
        </w:rPr>
        <w:t>: Civil Rights and Liberties Cases</w:t>
      </w:r>
    </w:p>
    <w:tbl>
      <w:tblPr>
        <w:tblW w:w="0" w:type="auto"/>
        <w:tblInd w:w="93" w:type="dxa"/>
        <w:tblBorders>
          <w:top w:val="single" w:sz="18" w:space="0" w:color="auto"/>
          <w:bottom w:val="single" w:sz="18" w:space="0" w:color="auto"/>
        </w:tblBorders>
        <w:tblLook w:val="04A0" w:firstRow="1" w:lastRow="0" w:firstColumn="1" w:lastColumn="0" w:noHBand="0" w:noVBand="1"/>
      </w:tblPr>
      <w:tblGrid>
        <w:gridCol w:w="3821"/>
        <w:gridCol w:w="2061"/>
        <w:gridCol w:w="1213"/>
        <w:gridCol w:w="1615"/>
      </w:tblGrid>
      <w:tr w:rsidR="002A69E6" w:rsidRPr="00944261" w:rsidTr="002D72FB">
        <w:trPr>
          <w:trHeight w:val="576"/>
        </w:trPr>
        <w:tc>
          <w:tcPr>
            <w:tcW w:w="0" w:type="auto"/>
            <w:tcBorders>
              <w:top w:val="single" w:sz="18" w:space="0" w:color="auto"/>
              <w:bottom w:val="single" w:sz="18" w:space="0" w:color="auto"/>
            </w:tcBorders>
            <w:shd w:val="clear" w:color="auto" w:fill="auto"/>
            <w:noWrap/>
            <w:vAlign w:val="center"/>
            <w:hideMark/>
          </w:tcPr>
          <w:p w:rsidR="002A69E6" w:rsidRPr="00944261" w:rsidRDefault="002A69E6" w:rsidP="002D72FB">
            <w:pPr>
              <w:ind w:left="0" w:firstLine="0"/>
              <w:rPr>
                <w:rFonts w:eastAsia="Times New Roman" w:cs="Times New Roman"/>
                <w:color w:val="000000"/>
                <w:sz w:val="22"/>
              </w:rPr>
            </w:pPr>
            <w:r w:rsidRPr="00944261">
              <w:rPr>
                <w:rFonts w:eastAsia="Times New Roman" w:cs="Times New Roman"/>
                <w:color w:val="000000"/>
                <w:sz w:val="22"/>
              </w:rPr>
              <w:t>Variable</w:t>
            </w:r>
          </w:p>
        </w:tc>
        <w:tc>
          <w:tcPr>
            <w:tcW w:w="0" w:type="auto"/>
            <w:tcBorders>
              <w:top w:val="single" w:sz="18" w:space="0" w:color="auto"/>
              <w:bottom w:val="single" w:sz="18" w:space="0" w:color="auto"/>
            </w:tcBorders>
            <w:shd w:val="clear" w:color="auto" w:fill="auto"/>
            <w:noWrap/>
            <w:vAlign w:val="center"/>
            <w:hideMark/>
          </w:tcPr>
          <w:p w:rsidR="002A69E6" w:rsidRPr="00944261" w:rsidRDefault="002A69E6" w:rsidP="002D72FB">
            <w:pPr>
              <w:ind w:left="0" w:firstLine="0"/>
              <w:jc w:val="center"/>
              <w:rPr>
                <w:rFonts w:eastAsia="Times New Roman" w:cs="Times New Roman"/>
                <w:color w:val="000000"/>
                <w:sz w:val="22"/>
              </w:rPr>
            </w:pPr>
            <w:r w:rsidRPr="00944261">
              <w:rPr>
                <w:rFonts w:eastAsia="Times New Roman" w:cs="Times New Roman"/>
                <w:color w:val="000000"/>
                <w:sz w:val="22"/>
              </w:rPr>
              <w:t>MLE Coefficient</w:t>
            </w:r>
          </w:p>
        </w:tc>
        <w:tc>
          <w:tcPr>
            <w:tcW w:w="0" w:type="auto"/>
            <w:tcBorders>
              <w:top w:val="single" w:sz="18" w:space="0" w:color="auto"/>
              <w:bottom w:val="single" w:sz="18" w:space="0" w:color="auto"/>
            </w:tcBorders>
            <w:shd w:val="clear" w:color="auto" w:fill="auto"/>
            <w:noWrap/>
            <w:vAlign w:val="center"/>
            <w:hideMark/>
          </w:tcPr>
          <w:p w:rsidR="002A69E6" w:rsidRPr="00944261" w:rsidRDefault="002A69E6" w:rsidP="002D72FB">
            <w:pPr>
              <w:ind w:left="0" w:firstLine="0"/>
              <w:jc w:val="center"/>
              <w:rPr>
                <w:rFonts w:eastAsia="Times New Roman" w:cs="Times New Roman"/>
                <w:color w:val="000000"/>
                <w:sz w:val="22"/>
              </w:rPr>
            </w:pPr>
            <w:r>
              <w:rPr>
                <w:rFonts w:eastAsia="Times New Roman" w:cs="Times New Roman"/>
                <w:color w:val="000000"/>
                <w:sz w:val="22"/>
              </w:rPr>
              <w:t>Odds Ratio</w:t>
            </w:r>
          </w:p>
        </w:tc>
        <w:tc>
          <w:tcPr>
            <w:tcW w:w="0" w:type="auto"/>
            <w:tcBorders>
              <w:top w:val="single" w:sz="18" w:space="0" w:color="auto"/>
              <w:bottom w:val="single" w:sz="18" w:space="0" w:color="auto"/>
            </w:tcBorders>
            <w:shd w:val="clear" w:color="auto" w:fill="auto"/>
            <w:noWrap/>
            <w:vAlign w:val="center"/>
            <w:hideMark/>
          </w:tcPr>
          <w:p w:rsidR="002A69E6" w:rsidRPr="00F324AC" w:rsidRDefault="002A69E6" w:rsidP="002D72FB">
            <w:pPr>
              <w:ind w:left="0" w:firstLine="0"/>
              <w:jc w:val="center"/>
              <w:rPr>
                <w:rFonts w:eastAsia="Times New Roman" w:cs="Times New Roman"/>
                <w:sz w:val="22"/>
              </w:rPr>
            </w:pPr>
            <w:r w:rsidRPr="00F324AC">
              <w:rPr>
                <w:rFonts w:eastAsia="Times New Roman" w:cs="Times New Roman"/>
                <w:sz w:val="22"/>
              </w:rPr>
              <w:t>Marginal Effect</w:t>
            </w:r>
          </w:p>
        </w:tc>
      </w:tr>
      <w:tr w:rsidR="002A69E6" w:rsidRPr="00944261" w:rsidTr="002D72FB">
        <w:trPr>
          <w:trHeight w:val="576"/>
        </w:trPr>
        <w:tc>
          <w:tcPr>
            <w:tcW w:w="0" w:type="auto"/>
            <w:tcBorders>
              <w:top w:val="single" w:sz="18" w:space="0" w:color="auto"/>
            </w:tcBorders>
            <w:shd w:val="clear" w:color="auto" w:fill="auto"/>
            <w:noWrap/>
            <w:vAlign w:val="center"/>
            <w:hideMark/>
          </w:tcPr>
          <w:p w:rsidR="002A69E6" w:rsidRPr="00944261" w:rsidRDefault="002A69E6" w:rsidP="002D72FB">
            <w:pPr>
              <w:ind w:left="0" w:firstLine="0"/>
              <w:rPr>
                <w:rFonts w:eastAsia="Times New Roman" w:cs="Times New Roman"/>
                <w:b/>
                <w:bCs/>
                <w:color w:val="000000"/>
                <w:sz w:val="22"/>
              </w:rPr>
            </w:pPr>
            <w:r w:rsidRPr="00944261">
              <w:rPr>
                <w:rFonts w:eastAsia="Times New Roman" w:cs="Times New Roman"/>
                <w:b/>
                <w:bCs/>
                <w:color w:val="000000"/>
                <w:sz w:val="22"/>
              </w:rPr>
              <w:t>Amicus Brief Difference</w:t>
            </w:r>
          </w:p>
        </w:tc>
        <w:tc>
          <w:tcPr>
            <w:tcW w:w="0" w:type="auto"/>
            <w:tcBorders>
              <w:top w:val="single" w:sz="18" w:space="0" w:color="auto"/>
            </w:tcBorders>
            <w:shd w:val="clear" w:color="auto" w:fill="auto"/>
            <w:noWrap/>
            <w:vAlign w:val="center"/>
            <w:hideMark/>
          </w:tcPr>
          <w:p w:rsidR="002A69E6" w:rsidRDefault="002A69E6" w:rsidP="002D72FB">
            <w:pPr>
              <w:jc w:val="center"/>
              <w:rPr>
                <w:color w:val="000000"/>
                <w:sz w:val="22"/>
              </w:rPr>
            </w:pPr>
            <w:r>
              <w:rPr>
                <w:color w:val="000000"/>
                <w:sz w:val="22"/>
              </w:rPr>
              <w:t>-0.007 (.056)</w:t>
            </w:r>
          </w:p>
        </w:tc>
        <w:tc>
          <w:tcPr>
            <w:tcW w:w="0" w:type="auto"/>
            <w:tcBorders>
              <w:top w:val="single" w:sz="18" w:space="0" w:color="auto"/>
            </w:tcBorders>
            <w:shd w:val="clear" w:color="auto" w:fill="auto"/>
            <w:noWrap/>
            <w:vAlign w:val="center"/>
            <w:hideMark/>
          </w:tcPr>
          <w:p w:rsidR="002A69E6" w:rsidRDefault="002A69E6" w:rsidP="002D72FB">
            <w:pPr>
              <w:jc w:val="center"/>
              <w:rPr>
                <w:color w:val="000000"/>
                <w:sz w:val="22"/>
              </w:rPr>
            </w:pPr>
            <w:r>
              <w:rPr>
                <w:color w:val="000000"/>
                <w:sz w:val="22"/>
              </w:rPr>
              <w:t>0.993</w:t>
            </w:r>
          </w:p>
        </w:tc>
        <w:tc>
          <w:tcPr>
            <w:tcW w:w="0" w:type="auto"/>
            <w:tcBorders>
              <w:top w:val="single" w:sz="18" w:space="0" w:color="auto"/>
            </w:tcBorders>
            <w:shd w:val="clear" w:color="auto" w:fill="auto"/>
            <w:noWrap/>
            <w:vAlign w:val="center"/>
            <w:hideMark/>
          </w:tcPr>
          <w:p w:rsidR="002A69E6" w:rsidRPr="00F324AC" w:rsidRDefault="002A69E6" w:rsidP="002D72FB">
            <w:pPr>
              <w:ind w:left="0" w:firstLine="0"/>
              <w:jc w:val="center"/>
              <w:rPr>
                <w:rFonts w:eastAsia="Times New Roman" w:cs="Times New Roman"/>
                <w:sz w:val="22"/>
              </w:rPr>
            </w:pPr>
            <w:r w:rsidRPr="00F324AC">
              <w:rPr>
                <w:rFonts w:eastAsia="Times New Roman" w:cs="Times New Roman"/>
                <w:sz w:val="22"/>
              </w:rPr>
              <w:t>-0.7%</w:t>
            </w:r>
          </w:p>
        </w:tc>
      </w:tr>
      <w:tr w:rsidR="002A69E6" w:rsidRPr="00944261" w:rsidTr="002D72FB">
        <w:trPr>
          <w:trHeight w:val="576"/>
        </w:trPr>
        <w:tc>
          <w:tcPr>
            <w:tcW w:w="0" w:type="auto"/>
            <w:shd w:val="clear" w:color="auto" w:fill="auto"/>
            <w:noWrap/>
            <w:vAlign w:val="center"/>
            <w:hideMark/>
          </w:tcPr>
          <w:p w:rsidR="002A69E6" w:rsidRPr="00944261" w:rsidRDefault="002A69E6" w:rsidP="002D72FB">
            <w:pPr>
              <w:ind w:left="0" w:firstLine="0"/>
              <w:rPr>
                <w:rFonts w:eastAsia="Times New Roman" w:cs="Times New Roman"/>
                <w:b/>
                <w:bCs/>
                <w:color w:val="000000"/>
                <w:sz w:val="22"/>
              </w:rPr>
            </w:pPr>
            <w:r w:rsidRPr="00944261">
              <w:rPr>
                <w:rFonts w:eastAsia="Times New Roman" w:cs="Times New Roman"/>
                <w:b/>
                <w:bCs/>
                <w:color w:val="000000"/>
                <w:sz w:val="22"/>
              </w:rPr>
              <w:t>Moderation</w:t>
            </w:r>
          </w:p>
        </w:tc>
        <w:tc>
          <w:tcPr>
            <w:tcW w:w="0" w:type="auto"/>
            <w:shd w:val="clear" w:color="auto" w:fill="auto"/>
            <w:noWrap/>
            <w:vAlign w:val="center"/>
            <w:hideMark/>
          </w:tcPr>
          <w:p w:rsidR="002A69E6" w:rsidRDefault="002A69E6" w:rsidP="002D72FB">
            <w:pPr>
              <w:jc w:val="center"/>
              <w:rPr>
                <w:color w:val="000000"/>
                <w:sz w:val="22"/>
              </w:rPr>
            </w:pPr>
            <w:r>
              <w:rPr>
                <w:color w:val="000000"/>
                <w:sz w:val="22"/>
              </w:rPr>
              <w:t>0.067 (.094)</w:t>
            </w:r>
          </w:p>
        </w:tc>
        <w:tc>
          <w:tcPr>
            <w:tcW w:w="0" w:type="auto"/>
            <w:shd w:val="clear" w:color="auto" w:fill="auto"/>
            <w:noWrap/>
            <w:vAlign w:val="center"/>
            <w:hideMark/>
          </w:tcPr>
          <w:p w:rsidR="002A69E6" w:rsidRDefault="002A69E6" w:rsidP="002D72FB">
            <w:pPr>
              <w:jc w:val="center"/>
              <w:rPr>
                <w:color w:val="000000"/>
                <w:sz w:val="22"/>
              </w:rPr>
            </w:pPr>
            <w:r>
              <w:rPr>
                <w:color w:val="000000"/>
                <w:sz w:val="22"/>
              </w:rPr>
              <w:t>1.069</w:t>
            </w:r>
          </w:p>
        </w:tc>
        <w:tc>
          <w:tcPr>
            <w:tcW w:w="0" w:type="auto"/>
            <w:shd w:val="clear" w:color="auto" w:fill="auto"/>
            <w:noWrap/>
            <w:vAlign w:val="center"/>
            <w:hideMark/>
          </w:tcPr>
          <w:p w:rsidR="002A69E6" w:rsidRPr="00F324AC" w:rsidRDefault="002A69E6" w:rsidP="002D72FB">
            <w:pPr>
              <w:ind w:left="0" w:firstLine="0"/>
              <w:jc w:val="center"/>
              <w:rPr>
                <w:rFonts w:eastAsia="Times New Roman" w:cs="Times New Roman"/>
                <w:sz w:val="22"/>
              </w:rPr>
            </w:pPr>
            <w:r w:rsidRPr="00F324AC">
              <w:rPr>
                <w:rFonts w:eastAsia="Times New Roman" w:cs="Times New Roman"/>
                <w:sz w:val="22"/>
              </w:rPr>
              <w:t>1.2%</w:t>
            </w:r>
          </w:p>
        </w:tc>
      </w:tr>
      <w:tr w:rsidR="002A69E6" w:rsidRPr="00944261" w:rsidTr="002D72FB">
        <w:trPr>
          <w:trHeight w:val="576"/>
        </w:trPr>
        <w:tc>
          <w:tcPr>
            <w:tcW w:w="0" w:type="auto"/>
            <w:shd w:val="clear" w:color="auto" w:fill="auto"/>
            <w:noWrap/>
            <w:vAlign w:val="center"/>
            <w:hideMark/>
          </w:tcPr>
          <w:p w:rsidR="002A69E6" w:rsidRPr="00944261" w:rsidRDefault="002A69E6" w:rsidP="002D72FB">
            <w:pPr>
              <w:ind w:left="0" w:firstLine="0"/>
              <w:rPr>
                <w:rFonts w:eastAsia="Times New Roman" w:cs="Times New Roman"/>
                <w:b/>
                <w:bCs/>
                <w:color w:val="000000"/>
                <w:sz w:val="22"/>
              </w:rPr>
            </w:pPr>
            <w:r w:rsidRPr="00944261">
              <w:rPr>
                <w:rFonts w:eastAsia="Times New Roman" w:cs="Times New Roman"/>
                <w:b/>
                <w:bCs/>
                <w:color w:val="000000"/>
                <w:sz w:val="22"/>
              </w:rPr>
              <w:t>Moderation x Amicus Brief Difference</w:t>
            </w:r>
          </w:p>
        </w:tc>
        <w:tc>
          <w:tcPr>
            <w:tcW w:w="0" w:type="auto"/>
            <w:shd w:val="clear" w:color="auto" w:fill="auto"/>
            <w:noWrap/>
            <w:vAlign w:val="center"/>
            <w:hideMark/>
          </w:tcPr>
          <w:p w:rsidR="002A69E6" w:rsidRDefault="002A69E6" w:rsidP="002D72FB">
            <w:pPr>
              <w:jc w:val="center"/>
              <w:rPr>
                <w:color w:val="000000"/>
                <w:sz w:val="22"/>
              </w:rPr>
            </w:pPr>
            <w:r>
              <w:rPr>
                <w:color w:val="000000"/>
                <w:sz w:val="22"/>
              </w:rPr>
              <w:t>0.006 (.020)</w:t>
            </w:r>
          </w:p>
        </w:tc>
        <w:tc>
          <w:tcPr>
            <w:tcW w:w="0" w:type="auto"/>
            <w:shd w:val="clear" w:color="auto" w:fill="auto"/>
            <w:noWrap/>
            <w:vAlign w:val="center"/>
            <w:hideMark/>
          </w:tcPr>
          <w:p w:rsidR="002A69E6" w:rsidRDefault="002A69E6" w:rsidP="002D72FB">
            <w:pPr>
              <w:jc w:val="center"/>
              <w:rPr>
                <w:color w:val="000000"/>
                <w:sz w:val="22"/>
              </w:rPr>
            </w:pPr>
            <w:r>
              <w:rPr>
                <w:color w:val="000000"/>
                <w:sz w:val="22"/>
              </w:rPr>
              <w:t>1.006</w:t>
            </w:r>
          </w:p>
        </w:tc>
        <w:tc>
          <w:tcPr>
            <w:tcW w:w="0" w:type="auto"/>
            <w:shd w:val="clear" w:color="auto" w:fill="auto"/>
            <w:noWrap/>
            <w:vAlign w:val="center"/>
            <w:hideMark/>
          </w:tcPr>
          <w:p w:rsidR="002A69E6" w:rsidRPr="00F324AC" w:rsidRDefault="002A69E6" w:rsidP="002D72FB">
            <w:pPr>
              <w:ind w:left="0" w:firstLine="0"/>
              <w:jc w:val="center"/>
              <w:rPr>
                <w:rFonts w:eastAsia="Times New Roman" w:cs="Times New Roman"/>
                <w:sz w:val="22"/>
              </w:rPr>
            </w:pPr>
            <w:r w:rsidRPr="00F324AC">
              <w:rPr>
                <w:rFonts w:eastAsia="Times New Roman" w:cs="Times New Roman"/>
                <w:sz w:val="22"/>
              </w:rPr>
              <w:t>See Figure 5.3</w:t>
            </w:r>
          </w:p>
        </w:tc>
      </w:tr>
      <w:tr w:rsidR="002A69E6" w:rsidRPr="00944261" w:rsidTr="002D72FB">
        <w:trPr>
          <w:trHeight w:val="576"/>
        </w:trPr>
        <w:tc>
          <w:tcPr>
            <w:tcW w:w="0" w:type="auto"/>
            <w:shd w:val="clear" w:color="auto" w:fill="auto"/>
            <w:noWrap/>
            <w:vAlign w:val="center"/>
            <w:hideMark/>
          </w:tcPr>
          <w:p w:rsidR="002A69E6" w:rsidRPr="00944261" w:rsidRDefault="002A69E6" w:rsidP="002D72FB">
            <w:pPr>
              <w:ind w:left="0" w:firstLine="0"/>
              <w:rPr>
                <w:rFonts w:eastAsia="Times New Roman" w:cs="Times New Roman"/>
                <w:b/>
                <w:bCs/>
                <w:color w:val="000000"/>
                <w:sz w:val="22"/>
              </w:rPr>
            </w:pPr>
            <w:r w:rsidRPr="00944261">
              <w:rPr>
                <w:rFonts w:eastAsia="Times New Roman" w:cs="Times New Roman"/>
                <w:b/>
                <w:bCs/>
                <w:color w:val="000000"/>
                <w:sz w:val="22"/>
              </w:rPr>
              <w:t>Ideology</w:t>
            </w:r>
          </w:p>
        </w:tc>
        <w:tc>
          <w:tcPr>
            <w:tcW w:w="0" w:type="auto"/>
            <w:shd w:val="clear" w:color="auto" w:fill="auto"/>
            <w:noWrap/>
            <w:vAlign w:val="center"/>
            <w:hideMark/>
          </w:tcPr>
          <w:p w:rsidR="002A69E6" w:rsidRDefault="002A69E6" w:rsidP="002D72FB">
            <w:pPr>
              <w:jc w:val="center"/>
              <w:rPr>
                <w:color w:val="000000"/>
                <w:sz w:val="22"/>
              </w:rPr>
            </w:pPr>
            <w:r>
              <w:rPr>
                <w:color w:val="000000"/>
                <w:sz w:val="22"/>
              </w:rPr>
              <w:t>2.793(.329)***</w:t>
            </w:r>
          </w:p>
        </w:tc>
        <w:tc>
          <w:tcPr>
            <w:tcW w:w="0" w:type="auto"/>
            <w:shd w:val="clear" w:color="auto" w:fill="auto"/>
            <w:noWrap/>
            <w:vAlign w:val="center"/>
            <w:hideMark/>
          </w:tcPr>
          <w:p w:rsidR="002A69E6" w:rsidRDefault="002A69E6" w:rsidP="002D72FB">
            <w:pPr>
              <w:jc w:val="center"/>
              <w:rPr>
                <w:color w:val="000000"/>
                <w:sz w:val="22"/>
              </w:rPr>
            </w:pPr>
            <w:r>
              <w:rPr>
                <w:color w:val="000000"/>
                <w:sz w:val="22"/>
              </w:rPr>
              <w:t>16.333</w:t>
            </w:r>
          </w:p>
        </w:tc>
        <w:tc>
          <w:tcPr>
            <w:tcW w:w="0" w:type="auto"/>
            <w:shd w:val="clear" w:color="auto" w:fill="auto"/>
            <w:noWrap/>
            <w:vAlign w:val="center"/>
            <w:hideMark/>
          </w:tcPr>
          <w:p w:rsidR="002A69E6" w:rsidRPr="00F324AC" w:rsidRDefault="002A69E6" w:rsidP="002D72FB">
            <w:pPr>
              <w:ind w:left="0" w:firstLine="0"/>
              <w:jc w:val="center"/>
              <w:rPr>
                <w:rFonts w:eastAsia="Times New Roman" w:cs="Times New Roman"/>
                <w:sz w:val="22"/>
              </w:rPr>
            </w:pPr>
            <w:r w:rsidRPr="00F324AC">
              <w:rPr>
                <w:rFonts w:eastAsia="Times New Roman" w:cs="Times New Roman"/>
                <w:sz w:val="22"/>
              </w:rPr>
              <w:t>14.5%</w:t>
            </w:r>
          </w:p>
        </w:tc>
      </w:tr>
      <w:tr w:rsidR="002A69E6" w:rsidRPr="00944261" w:rsidTr="002D72FB">
        <w:trPr>
          <w:trHeight w:val="576"/>
        </w:trPr>
        <w:tc>
          <w:tcPr>
            <w:tcW w:w="0" w:type="auto"/>
            <w:shd w:val="clear" w:color="auto" w:fill="auto"/>
            <w:noWrap/>
            <w:vAlign w:val="center"/>
            <w:hideMark/>
          </w:tcPr>
          <w:p w:rsidR="002A69E6" w:rsidRPr="00944261" w:rsidRDefault="002A69E6" w:rsidP="002D72FB">
            <w:pPr>
              <w:ind w:left="0" w:firstLine="0"/>
              <w:rPr>
                <w:rFonts w:eastAsia="Times New Roman" w:cs="Times New Roman"/>
                <w:b/>
                <w:bCs/>
                <w:color w:val="000000"/>
                <w:sz w:val="22"/>
              </w:rPr>
            </w:pPr>
            <w:r w:rsidRPr="00944261">
              <w:rPr>
                <w:rFonts w:eastAsia="Times New Roman" w:cs="Times New Roman"/>
                <w:b/>
                <w:bCs/>
                <w:color w:val="000000"/>
                <w:sz w:val="22"/>
              </w:rPr>
              <w:t>Amicus Cosigner Difference</w:t>
            </w:r>
          </w:p>
        </w:tc>
        <w:tc>
          <w:tcPr>
            <w:tcW w:w="0" w:type="auto"/>
            <w:shd w:val="clear" w:color="auto" w:fill="auto"/>
            <w:noWrap/>
            <w:vAlign w:val="center"/>
            <w:hideMark/>
          </w:tcPr>
          <w:p w:rsidR="002A69E6" w:rsidRDefault="002A69E6" w:rsidP="002D72FB">
            <w:pPr>
              <w:jc w:val="center"/>
              <w:rPr>
                <w:color w:val="000000"/>
                <w:sz w:val="22"/>
              </w:rPr>
            </w:pPr>
            <w:r>
              <w:rPr>
                <w:color w:val="000000"/>
                <w:sz w:val="22"/>
              </w:rPr>
              <w:t>0.010 (.003)***</w:t>
            </w:r>
          </w:p>
        </w:tc>
        <w:tc>
          <w:tcPr>
            <w:tcW w:w="0" w:type="auto"/>
            <w:shd w:val="clear" w:color="auto" w:fill="auto"/>
            <w:noWrap/>
            <w:vAlign w:val="center"/>
            <w:hideMark/>
          </w:tcPr>
          <w:p w:rsidR="002A69E6" w:rsidRDefault="002A69E6" w:rsidP="002D72FB">
            <w:pPr>
              <w:jc w:val="center"/>
              <w:rPr>
                <w:color w:val="000000"/>
                <w:sz w:val="22"/>
              </w:rPr>
            </w:pPr>
            <w:r>
              <w:rPr>
                <w:color w:val="000000"/>
                <w:sz w:val="22"/>
              </w:rPr>
              <w:t>1.010</w:t>
            </w:r>
          </w:p>
        </w:tc>
        <w:tc>
          <w:tcPr>
            <w:tcW w:w="0" w:type="auto"/>
            <w:shd w:val="clear" w:color="auto" w:fill="auto"/>
            <w:noWrap/>
            <w:vAlign w:val="center"/>
            <w:hideMark/>
          </w:tcPr>
          <w:p w:rsidR="002A69E6" w:rsidRPr="00F324AC" w:rsidRDefault="002A69E6" w:rsidP="002D72FB">
            <w:pPr>
              <w:ind w:left="0" w:firstLine="0"/>
              <w:jc w:val="center"/>
              <w:rPr>
                <w:rFonts w:eastAsia="Times New Roman" w:cs="Times New Roman"/>
                <w:sz w:val="22"/>
              </w:rPr>
            </w:pPr>
            <w:r w:rsidRPr="00F324AC">
              <w:rPr>
                <w:rFonts w:eastAsia="Times New Roman" w:cs="Times New Roman"/>
                <w:sz w:val="22"/>
              </w:rPr>
              <w:t>6.9%</w:t>
            </w:r>
          </w:p>
        </w:tc>
      </w:tr>
      <w:tr w:rsidR="002A69E6" w:rsidRPr="00944261" w:rsidTr="002D72FB">
        <w:trPr>
          <w:trHeight w:val="576"/>
        </w:trPr>
        <w:tc>
          <w:tcPr>
            <w:tcW w:w="0" w:type="auto"/>
            <w:shd w:val="clear" w:color="auto" w:fill="auto"/>
            <w:noWrap/>
            <w:vAlign w:val="center"/>
            <w:hideMark/>
          </w:tcPr>
          <w:p w:rsidR="002A69E6" w:rsidRPr="00944261" w:rsidRDefault="002A69E6" w:rsidP="002D72FB">
            <w:pPr>
              <w:ind w:left="0" w:firstLine="0"/>
              <w:rPr>
                <w:rFonts w:eastAsia="Times New Roman" w:cs="Times New Roman"/>
                <w:b/>
                <w:bCs/>
                <w:color w:val="000000"/>
                <w:sz w:val="22"/>
              </w:rPr>
            </w:pPr>
            <w:r w:rsidRPr="00944261">
              <w:rPr>
                <w:rFonts w:eastAsia="Times New Roman" w:cs="Times New Roman"/>
                <w:b/>
                <w:bCs/>
                <w:color w:val="000000"/>
                <w:sz w:val="22"/>
              </w:rPr>
              <w:t>SG Lib Amicus Brief</w:t>
            </w:r>
          </w:p>
        </w:tc>
        <w:tc>
          <w:tcPr>
            <w:tcW w:w="0" w:type="auto"/>
            <w:shd w:val="clear" w:color="auto" w:fill="auto"/>
            <w:noWrap/>
            <w:vAlign w:val="center"/>
            <w:hideMark/>
          </w:tcPr>
          <w:p w:rsidR="002A69E6" w:rsidRDefault="002A69E6" w:rsidP="002D72FB">
            <w:pPr>
              <w:jc w:val="center"/>
              <w:rPr>
                <w:color w:val="000000"/>
                <w:sz w:val="22"/>
              </w:rPr>
            </w:pPr>
            <w:r>
              <w:rPr>
                <w:color w:val="000000"/>
                <w:sz w:val="22"/>
              </w:rPr>
              <w:t>0.562 (.203)**</w:t>
            </w:r>
          </w:p>
        </w:tc>
        <w:tc>
          <w:tcPr>
            <w:tcW w:w="0" w:type="auto"/>
            <w:shd w:val="clear" w:color="auto" w:fill="auto"/>
            <w:noWrap/>
            <w:vAlign w:val="center"/>
            <w:hideMark/>
          </w:tcPr>
          <w:p w:rsidR="002A69E6" w:rsidRDefault="002A69E6" w:rsidP="002D72FB">
            <w:pPr>
              <w:jc w:val="center"/>
              <w:rPr>
                <w:color w:val="000000"/>
                <w:sz w:val="22"/>
              </w:rPr>
            </w:pPr>
            <w:r>
              <w:rPr>
                <w:color w:val="000000"/>
                <w:sz w:val="22"/>
              </w:rPr>
              <w:t>1.755</w:t>
            </w:r>
          </w:p>
        </w:tc>
        <w:tc>
          <w:tcPr>
            <w:tcW w:w="0" w:type="auto"/>
            <w:shd w:val="clear" w:color="auto" w:fill="auto"/>
            <w:noWrap/>
            <w:vAlign w:val="center"/>
            <w:hideMark/>
          </w:tcPr>
          <w:p w:rsidR="002A69E6" w:rsidRPr="00F324AC" w:rsidRDefault="002A69E6" w:rsidP="002D72FB">
            <w:pPr>
              <w:ind w:left="0" w:firstLine="0"/>
              <w:jc w:val="center"/>
              <w:rPr>
                <w:rFonts w:eastAsia="Times New Roman" w:cs="Times New Roman"/>
                <w:sz w:val="22"/>
              </w:rPr>
            </w:pPr>
            <w:r w:rsidRPr="00F324AC">
              <w:rPr>
                <w:rFonts w:eastAsia="Times New Roman" w:cs="Times New Roman"/>
                <w:sz w:val="22"/>
              </w:rPr>
              <w:t>12.8%</w:t>
            </w:r>
          </w:p>
        </w:tc>
      </w:tr>
      <w:tr w:rsidR="002A69E6" w:rsidRPr="00944261" w:rsidTr="002D72FB">
        <w:trPr>
          <w:trHeight w:val="576"/>
        </w:trPr>
        <w:tc>
          <w:tcPr>
            <w:tcW w:w="0" w:type="auto"/>
            <w:shd w:val="clear" w:color="auto" w:fill="auto"/>
            <w:noWrap/>
            <w:vAlign w:val="center"/>
            <w:hideMark/>
          </w:tcPr>
          <w:p w:rsidR="002A69E6" w:rsidRPr="00944261" w:rsidRDefault="002A69E6" w:rsidP="002D72FB">
            <w:pPr>
              <w:ind w:left="0" w:firstLine="0"/>
              <w:rPr>
                <w:rFonts w:eastAsia="Times New Roman" w:cs="Times New Roman"/>
                <w:b/>
                <w:bCs/>
                <w:color w:val="000000"/>
                <w:sz w:val="22"/>
              </w:rPr>
            </w:pPr>
            <w:r w:rsidRPr="00944261">
              <w:rPr>
                <w:rFonts w:eastAsia="Times New Roman" w:cs="Times New Roman"/>
                <w:b/>
                <w:bCs/>
                <w:color w:val="000000"/>
                <w:sz w:val="22"/>
              </w:rPr>
              <w:t>SG Con Amicus Brief</w:t>
            </w:r>
          </w:p>
        </w:tc>
        <w:tc>
          <w:tcPr>
            <w:tcW w:w="0" w:type="auto"/>
            <w:shd w:val="clear" w:color="auto" w:fill="auto"/>
            <w:noWrap/>
            <w:vAlign w:val="center"/>
            <w:hideMark/>
          </w:tcPr>
          <w:p w:rsidR="002A69E6" w:rsidRDefault="002A69E6" w:rsidP="002D72FB">
            <w:pPr>
              <w:jc w:val="center"/>
              <w:rPr>
                <w:color w:val="000000"/>
                <w:sz w:val="22"/>
              </w:rPr>
            </w:pPr>
            <w:r>
              <w:rPr>
                <w:color w:val="000000"/>
                <w:sz w:val="22"/>
              </w:rPr>
              <w:t>-0.934 (.237)***</w:t>
            </w:r>
          </w:p>
        </w:tc>
        <w:tc>
          <w:tcPr>
            <w:tcW w:w="0" w:type="auto"/>
            <w:shd w:val="clear" w:color="auto" w:fill="auto"/>
            <w:noWrap/>
            <w:vAlign w:val="center"/>
            <w:hideMark/>
          </w:tcPr>
          <w:p w:rsidR="002A69E6" w:rsidRDefault="002A69E6" w:rsidP="002D72FB">
            <w:pPr>
              <w:jc w:val="center"/>
              <w:rPr>
                <w:color w:val="000000"/>
                <w:sz w:val="22"/>
              </w:rPr>
            </w:pPr>
            <w:r>
              <w:rPr>
                <w:color w:val="000000"/>
                <w:sz w:val="22"/>
              </w:rPr>
              <w:t>0.393</w:t>
            </w:r>
          </w:p>
        </w:tc>
        <w:tc>
          <w:tcPr>
            <w:tcW w:w="0" w:type="auto"/>
            <w:shd w:val="clear" w:color="auto" w:fill="auto"/>
            <w:noWrap/>
            <w:vAlign w:val="center"/>
            <w:hideMark/>
          </w:tcPr>
          <w:p w:rsidR="002A69E6" w:rsidRPr="00F324AC" w:rsidRDefault="002A69E6" w:rsidP="002D72FB">
            <w:pPr>
              <w:ind w:left="0" w:firstLine="0"/>
              <w:jc w:val="center"/>
              <w:rPr>
                <w:rFonts w:eastAsia="Times New Roman" w:cs="Times New Roman"/>
                <w:sz w:val="22"/>
              </w:rPr>
            </w:pPr>
            <w:r w:rsidRPr="00F324AC">
              <w:rPr>
                <w:rFonts w:eastAsia="Times New Roman" w:cs="Times New Roman"/>
                <w:sz w:val="22"/>
              </w:rPr>
              <w:t>-15.2%</w:t>
            </w:r>
          </w:p>
        </w:tc>
      </w:tr>
      <w:tr w:rsidR="002A69E6" w:rsidRPr="00944261" w:rsidTr="002D72FB">
        <w:trPr>
          <w:trHeight w:val="576"/>
        </w:trPr>
        <w:tc>
          <w:tcPr>
            <w:tcW w:w="0" w:type="auto"/>
            <w:shd w:val="clear" w:color="auto" w:fill="auto"/>
            <w:noWrap/>
            <w:vAlign w:val="center"/>
            <w:hideMark/>
          </w:tcPr>
          <w:p w:rsidR="002A69E6" w:rsidRPr="00944261" w:rsidRDefault="002A69E6" w:rsidP="002D72FB">
            <w:pPr>
              <w:ind w:left="0" w:firstLine="0"/>
              <w:rPr>
                <w:rFonts w:eastAsia="Times New Roman" w:cs="Times New Roman"/>
                <w:b/>
                <w:bCs/>
                <w:color w:val="000000"/>
                <w:sz w:val="22"/>
              </w:rPr>
            </w:pPr>
            <w:r w:rsidRPr="00944261">
              <w:rPr>
                <w:rFonts w:eastAsia="Times New Roman" w:cs="Times New Roman"/>
                <w:b/>
                <w:bCs/>
                <w:color w:val="000000"/>
                <w:sz w:val="22"/>
              </w:rPr>
              <w:t>Prestigious Amicus Difference</w:t>
            </w:r>
          </w:p>
        </w:tc>
        <w:tc>
          <w:tcPr>
            <w:tcW w:w="0" w:type="auto"/>
            <w:shd w:val="clear" w:color="auto" w:fill="auto"/>
            <w:noWrap/>
            <w:vAlign w:val="center"/>
            <w:hideMark/>
          </w:tcPr>
          <w:p w:rsidR="002A69E6" w:rsidRDefault="002A69E6" w:rsidP="002D72FB">
            <w:pPr>
              <w:jc w:val="center"/>
              <w:rPr>
                <w:color w:val="000000"/>
                <w:sz w:val="22"/>
              </w:rPr>
            </w:pPr>
            <w:r>
              <w:rPr>
                <w:color w:val="000000"/>
                <w:sz w:val="22"/>
              </w:rPr>
              <w:t>0.242 (.063)***</w:t>
            </w:r>
          </w:p>
        </w:tc>
        <w:tc>
          <w:tcPr>
            <w:tcW w:w="0" w:type="auto"/>
            <w:shd w:val="clear" w:color="auto" w:fill="auto"/>
            <w:noWrap/>
            <w:vAlign w:val="center"/>
            <w:hideMark/>
          </w:tcPr>
          <w:p w:rsidR="002A69E6" w:rsidRDefault="002A69E6" w:rsidP="002D72FB">
            <w:pPr>
              <w:jc w:val="center"/>
              <w:rPr>
                <w:color w:val="000000"/>
                <w:sz w:val="22"/>
              </w:rPr>
            </w:pPr>
            <w:r>
              <w:rPr>
                <w:color w:val="000000"/>
                <w:sz w:val="22"/>
              </w:rPr>
              <w:t>1.274</w:t>
            </w:r>
          </w:p>
        </w:tc>
        <w:tc>
          <w:tcPr>
            <w:tcW w:w="0" w:type="auto"/>
            <w:shd w:val="clear" w:color="auto" w:fill="auto"/>
            <w:noWrap/>
            <w:vAlign w:val="center"/>
            <w:hideMark/>
          </w:tcPr>
          <w:p w:rsidR="002A69E6" w:rsidRPr="00F324AC" w:rsidRDefault="002A69E6" w:rsidP="002D72FB">
            <w:pPr>
              <w:ind w:left="0" w:firstLine="0"/>
              <w:jc w:val="center"/>
              <w:rPr>
                <w:rFonts w:eastAsia="Times New Roman" w:cs="Times New Roman"/>
                <w:sz w:val="22"/>
              </w:rPr>
            </w:pPr>
            <w:r w:rsidRPr="00F324AC">
              <w:rPr>
                <w:rFonts w:eastAsia="Times New Roman" w:cs="Times New Roman"/>
                <w:sz w:val="22"/>
              </w:rPr>
              <w:t>6.9%</w:t>
            </w:r>
          </w:p>
        </w:tc>
      </w:tr>
      <w:tr w:rsidR="002A69E6" w:rsidRPr="00944261" w:rsidTr="002D72FB">
        <w:trPr>
          <w:trHeight w:val="576"/>
        </w:trPr>
        <w:tc>
          <w:tcPr>
            <w:tcW w:w="0" w:type="auto"/>
            <w:shd w:val="clear" w:color="auto" w:fill="auto"/>
            <w:noWrap/>
            <w:vAlign w:val="center"/>
            <w:hideMark/>
          </w:tcPr>
          <w:p w:rsidR="002A69E6" w:rsidRPr="00944261" w:rsidRDefault="002A69E6" w:rsidP="002D72FB">
            <w:pPr>
              <w:ind w:left="0" w:firstLine="0"/>
              <w:rPr>
                <w:rFonts w:eastAsia="Times New Roman" w:cs="Times New Roman"/>
                <w:b/>
                <w:bCs/>
                <w:color w:val="000000"/>
                <w:sz w:val="22"/>
              </w:rPr>
            </w:pPr>
            <w:r w:rsidRPr="00944261">
              <w:rPr>
                <w:rFonts w:eastAsia="Times New Roman" w:cs="Times New Roman"/>
                <w:b/>
                <w:bCs/>
                <w:color w:val="000000"/>
                <w:sz w:val="22"/>
              </w:rPr>
              <w:t>Lower Court Direction</w:t>
            </w:r>
          </w:p>
        </w:tc>
        <w:tc>
          <w:tcPr>
            <w:tcW w:w="0" w:type="auto"/>
            <w:shd w:val="clear" w:color="auto" w:fill="auto"/>
            <w:noWrap/>
            <w:vAlign w:val="center"/>
            <w:hideMark/>
          </w:tcPr>
          <w:p w:rsidR="002A69E6" w:rsidRDefault="002A69E6" w:rsidP="002D72FB">
            <w:pPr>
              <w:jc w:val="center"/>
              <w:rPr>
                <w:color w:val="000000"/>
                <w:sz w:val="22"/>
              </w:rPr>
            </w:pPr>
            <w:r>
              <w:rPr>
                <w:color w:val="000000"/>
                <w:sz w:val="22"/>
              </w:rPr>
              <w:t>-1.644 (.153)***</w:t>
            </w:r>
          </w:p>
        </w:tc>
        <w:tc>
          <w:tcPr>
            <w:tcW w:w="0" w:type="auto"/>
            <w:shd w:val="clear" w:color="auto" w:fill="auto"/>
            <w:noWrap/>
            <w:vAlign w:val="center"/>
            <w:hideMark/>
          </w:tcPr>
          <w:p w:rsidR="002A69E6" w:rsidRDefault="002A69E6" w:rsidP="002D72FB">
            <w:pPr>
              <w:jc w:val="center"/>
              <w:rPr>
                <w:color w:val="000000"/>
                <w:sz w:val="22"/>
              </w:rPr>
            </w:pPr>
            <w:r>
              <w:rPr>
                <w:color w:val="000000"/>
                <w:sz w:val="22"/>
              </w:rPr>
              <w:t>0.193</w:t>
            </w:r>
          </w:p>
        </w:tc>
        <w:tc>
          <w:tcPr>
            <w:tcW w:w="0" w:type="auto"/>
            <w:shd w:val="clear" w:color="auto" w:fill="auto"/>
            <w:noWrap/>
            <w:vAlign w:val="center"/>
            <w:hideMark/>
          </w:tcPr>
          <w:p w:rsidR="002A69E6" w:rsidRPr="00F324AC" w:rsidRDefault="002A69E6" w:rsidP="002D72FB">
            <w:pPr>
              <w:ind w:left="0" w:firstLine="0"/>
              <w:jc w:val="center"/>
              <w:rPr>
                <w:rFonts w:eastAsia="Times New Roman" w:cs="Times New Roman"/>
                <w:sz w:val="22"/>
              </w:rPr>
            </w:pPr>
            <w:r w:rsidRPr="00F324AC">
              <w:rPr>
                <w:rFonts w:eastAsia="Times New Roman" w:cs="Times New Roman"/>
                <w:sz w:val="22"/>
              </w:rPr>
              <w:t>-38.9%</w:t>
            </w:r>
          </w:p>
        </w:tc>
      </w:tr>
      <w:tr w:rsidR="002A69E6" w:rsidRPr="00944261" w:rsidTr="002D72FB">
        <w:trPr>
          <w:trHeight w:val="576"/>
        </w:trPr>
        <w:tc>
          <w:tcPr>
            <w:tcW w:w="0" w:type="auto"/>
            <w:shd w:val="clear" w:color="auto" w:fill="auto"/>
            <w:noWrap/>
            <w:vAlign w:val="center"/>
            <w:hideMark/>
          </w:tcPr>
          <w:p w:rsidR="002A69E6" w:rsidRPr="00944261" w:rsidRDefault="002A69E6" w:rsidP="002D72FB">
            <w:pPr>
              <w:ind w:left="0" w:firstLine="0"/>
              <w:rPr>
                <w:rFonts w:eastAsia="Times New Roman" w:cs="Times New Roman"/>
                <w:b/>
                <w:bCs/>
                <w:color w:val="000000"/>
                <w:sz w:val="22"/>
              </w:rPr>
            </w:pPr>
            <w:r w:rsidRPr="00944261">
              <w:rPr>
                <w:rFonts w:eastAsia="Times New Roman" w:cs="Times New Roman"/>
                <w:b/>
                <w:bCs/>
                <w:color w:val="000000"/>
                <w:sz w:val="22"/>
              </w:rPr>
              <w:t>Resource Difference</w:t>
            </w:r>
          </w:p>
        </w:tc>
        <w:tc>
          <w:tcPr>
            <w:tcW w:w="0" w:type="auto"/>
            <w:shd w:val="clear" w:color="auto" w:fill="auto"/>
            <w:noWrap/>
            <w:vAlign w:val="center"/>
            <w:hideMark/>
          </w:tcPr>
          <w:p w:rsidR="002A69E6" w:rsidRDefault="002A69E6" w:rsidP="002D72FB">
            <w:pPr>
              <w:jc w:val="center"/>
              <w:rPr>
                <w:color w:val="000000"/>
                <w:sz w:val="22"/>
              </w:rPr>
            </w:pPr>
            <w:r>
              <w:rPr>
                <w:color w:val="000000"/>
                <w:sz w:val="22"/>
              </w:rPr>
              <w:t>0.064(.020)***</w:t>
            </w:r>
          </w:p>
        </w:tc>
        <w:tc>
          <w:tcPr>
            <w:tcW w:w="0" w:type="auto"/>
            <w:shd w:val="clear" w:color="auto" w:fill="auto"/>
            <w:noWrap/>
            <w:vAlign w:val="center"/>
            <w:hideMark/>
          </w:tcPr>
          <w:p w:rsidR="002A69E6" w:rsidRDefault="002A69E6" w:rsidP="002D72FB">
            <w:pPr>
              <w:jc w:val="center"/>
              <w:rPr>
                <w:color w:val="000000"/>
                <w:sz w:val="22"/>
              </w:rPr>
            </w:pPr>
            <w:r>
              <w:rPr>
                <w:color w:val="000000"/>
                <w:sz w:val="22"/>
              </w:rPr>
              <w:t>1.066</w:t>
            </w:r>
          </w:p>
        </w:tc>
        <w:tc>
          <w:tcPr>
            <w:tcW w:w="0" w:type="auto"/>
            <w:shd w:val="clear" w:color="auto" w:fill="auto"/>
            <w:noWrap/>
            <w:vAlign w:val="center"/>
            <w:hideMark/>
          </w:tcPr>
          <w:p w:rsidR="002A69E6" w:rsidRPr="00F324AC" w:rsidRDefault="002A69E6" w:rsidP="002D72FB">
            <w:pPr>
              <w:ind w:left="0" w:firstLine="0"/>
              <w:jc w:val="center"/>
              <w:rPr>
                <w:rFonts w:eastAsia="Times New Roman" w:cs="Times New Roman"/>
                <w:sz w:val="22"/>
              </w:rPr>
            </w:pPr>
            <w:r w:rsidRPr="00F324AC">
              <w:rPr>
                <w:rFonts w:eastAsia="Times New Roman" w:cs="Times New Roman"/>
                <w:sz w:val="22"/>
              </w:rPr>
              <w:t>5.9%</w:t>
            </w:r>
          </w:p>
        </w:tc>
      </w:tr>
      <w:tr w:rsidR="002A69E6" w:rsidRPr="00944261" w:rsidTr="002D72FB">
        <w:trPr>
          <w:trHeight w:val="576"/>
        </w:trPr>
        <w:tc>
          <w:tcPr>
            <w:tcW w:w="0" w:type="auto"/>
            <w:tcBorders>
              <w:bottom w:val="single" w:sz="18" w:space="0" w:color="auto"/>
            </w:tcBorders>
            <w:shd w:val="clear" w:color="auto" w:fill="auto"/>
            <w:noWrap/>
            <w:vAlign w:val="center"/>
            <w:hideMark/>
          </w:tcPr>
          <w:p w:rsidR="002A69E6" w:rsidRPr="00944261" w:rsidRDefault="002A69E6" w:rsidP="002D72FB">
            <w:pPr>
              <w:ind w:left="0" w:firstLine="0"/>
              <w:rPr>
                <w:rFonts w:eastAsia="Times New Roman" w:cs="Times New Roman"/>
                <w:b/>
                <w:bCs/>
                <w:color w:val="000000"/>
                <w:sz w:val="22"/>
              </w:rPr>
            </w:pPr>
            <w:r w:rsidRPr="00944261">
              <w:rPr>
                <w:rFonts w:eastAsia="Times New Roman" w:cs="Times New Roman"/>
                <w:b/>
                <w:bCs/>
                <w:color w:val="000000"/>
                <w:sz w:val="22"/>
              </w:rPr>
              <w:t>Constant</w:t>
            </w:r>
          </w:p>
        </w:tc>
        <w:tc>
          <w:tcPr>
            <w:tcW w:w="0" w:type="auto"/>
            <w:tcBorders>
              <w:bottom w:val="single" w:sz="18" w:space="0" w:color="auto"/>
            </w:tcBorders>
            <w:shd w:val="clear" w:color="auto" w:fill="auto"/>
            <w:noWrap/>
            <w:vAlign w:val="center"/>
            <w:hideMark/>
          </w:tcPr>
          <w:p w:rsidR="002A69E6" w:rsidRDefault="002A69E6" w:rsidP="002D72FB">
            <w:pPr>
              <w:jc w:val="center"/>
              <w:rPr>
                <w:color w:val="000000"/>
                <w:sz w:val="22"/>
              </w:rPr>
            </w:pPr>
            <w:r>
              <w:rPr>
                <w:color w:val="000000"/>
                <w:sz w:val="22"/>
              </w:rPr>
              <w:t>-0.234 (.398)</w:t>
            </w:r>
          </w:p>
        </w:tc>
        <w:tc>
          <w:tcPr>
            <w:tcW w:w="0" w:type="auto"/>
            <w:tcBorders>
              <w:bottom w:val="single" w:sz="18" w:space="0" w:color="auto"/>
            </w:tcBorders>
            <w:shd w:val="clear" w:color="auto" w:fill="auto"/>
            <w:noWrap/>
            <w:vAlign w:val="center"/>
            <w:hideMark/>
          </w:tcPr>
          <w:p w:rsidR="002A69E6" w:rsidRPr="007D0E6C" w:rsidRDefault="002A69E6" w:rsidP="002D72FB">
            <w:pPr>
              <w:jc w:val="center"/>
              <w:rPr>
                <w:rFonts w:cs="Times New Roman"/>
                <w:color w:val="FF0000"/>
                <w:sz w:val="22"/>
              </w:rPr>
            </w:pPr>
          </w:p>
        </w:tc>
        <w:tc>
          <w:tcPr>
            <w:tcW w:w="0" w:type="auto"/>
            <w:tcBorders>
              <w:bottom w:val="single" w:sz="18" w:space="0" w:color="auto"/>
            </w:tcBorders>
            <w:shd w:val="clear" w:color="auto" w:fill="auto"/>
            <w:noWrap/>
            <w:vAlign w:val="center"/>
            <w:hideMark/>
          </w:tcPr>
          <w:p w:rsidR="002A69E6" w:rsidRPr="00D62BD1" w:rsidRDefault="002A69E6" w:rsidP="002D72FB">
            <w:pPr>
              <w:ind w:left="0" w:firstLine="0"/>
              <w:jc w:val="center"/>
              <w:rPr>
                <w:rFonts w:eastAsia="Times New Roman" w:cs="Times New Roman"/>
                <w:color w:val="00B050"/>
                <w:sz w:val="22"/>
              </w:rPr>
            </w:pPr>
          </w:p>
        </w:tc>
      </w:tr>
      <w:tr w:rsidR="002A69E6" w:rsidRPr="00944261" w:rsidTr="002D72FB">
        <w:trPr>
          <w:trHeight w:val="576"/>
        </w:trPr>
        <w:tc>
          <w:tcPr>
            <w:tcW w:w="0" w:type="auto"/>
            <w:tcBorders>
              <w:top w:val="single" w:sz="18" w:space="0" w:color="auto"/>
              <w:bottom w:val="nil"/>
            </w:tcBorders>
            <w:shd w:val="clear" w:color="auto" w:fill="auto"/>
            <w:noWrap/>
            <w:vAlign w:val="center"/>
            <w:hideMark/>
          </w:tcPr>
          <w:p w:rsidR="002A69E6" w:rsidRPr="00944261" w:rsidRDefault="002A69E6" w:rsidP="002D72FB">
            <w:pPr>
              <w:ind w:left="0" w:firstLine="0"/>
              <w:rPr>
                <w:rFonts w:eastAsia="Times New Roman" w:cs="Times New Roman"/>
                <w:b/>
                <w:bCs/>
                <w:color w:val="000000"/>
                <w:sz w:val="22"/>
              </w:rPr>
            </w:pPr>
            <w:r w:rsidRPr="00944261">
              <w:rPr>
                <w:rFonts w:eastAsia="Times New Roman" w:cs="Times New Roman"/>
                <w:b/>
                <w:bCs/>
                <w:color w:val="000000"/>
                <w:sz w:val="22"/>
              </w:rPr>
              <w:t>N</w:t>
            </w:r>
          </w:p>
        </w:tc>
        <w:tc>
          <w:tcPr>
            <w:tcW w:w="0" w:type="auto"/>
            <w:tcBorders>
              <w:top w:val="single" w:sz="18" w:space="0" w:color="auto"/>
              <w:bottom w:val="nil"/>
            </w:tcBorders>
            <w:shd w:val="clear" w:color="auto" w:fill="auto"/>
            <w:noWrap/>
            <w:vAlign w:val="center"/>
            <w:hideMark/>
          </w:tcPr>
          <w:p w:rsidR="002A69E6" w:rsidRPr="00944261" w:rsidRDefault="002A69E6" w:rsidP="002D72FB">
            <w:pPr>
              <w:ind w:left="0" w:firstLine="0"/>
              <w:jc w:val="center"/>
              <w:rPr>
                <w:rFonts w:eastAsia="Times New Roman" w:cs="Times New Roman"/>
                <w:color w:val="000000"/>
                <w:sz w:val="22"/>
              </w:rPr>
            </w:pPr>
            <w:r>
              <w:rPr>
                <w:rFonts w:eastAsia="Times New Roman" w:cs="Times New Roman"/>
                <w:color w:val="000000"/>
                <w:sz w:val="22"/>
              </w:rPr>
              <w:t>1025</w:t>
            </w:r>
          </w:p>
        </w:tc>
        <w:tc>
          <w:tcPr>
            <w:tcW w:w="0" w:type="auto"/>
            <w:tcBorders>
              <w:top w:val="single" w:sz="18" w:space="0" w:color="auto"/>
              <w:bottom w:val="nil"/>
            </w:tcBorders>
            <w:shd w:val="clear" w:color="auto" w:fill="auto"/>
            <w:noWrap/>
            <w:vAlign w:val="center"/>
            <w:hideMark/>
          </w:tcPr>
          <w:p w:rsidR="002A69E6" w:rsidRPr="00944261" w:rsidRDefault="002A69E6" w:rsidP="002D72FB">
            <w:pPr>
              <w:ind w:left="0" w:firstLine="0"/>
              <w:jc w:val="center"/>
              <w:rPr>
                <w:rFonts w:eastAsia="Times New Roman" w:cs="Times New Roman"/>
                <w:color w:val="000000"/>
                <w:sz w:val="22"/>
              </w:rPr>
            </w:pPr>
          </w:p>
        </w:tc>
        <w:tc>
          <w:tcPr>
            <w:tcW w:w="0" w:type="auto"/>
            <w:tcBorders>
              <w:top w:val="single" w:sz="18" w:space="0" w:color="auto"/>
              <w:bottom w:val="nil"/>
            </w:tcBorders>
            <w:shd w:val="clear" w:color="auto" w:fill="auto"/>
            <w:noWrap/>
            <w:vAlign w:val="center"/>
            <w:hideMark/>
          </w:tcPr>
          <w:p w:rsidR="002A69E6" w:rsidRPr="00944261" w:rsidRDefault="002A69E6" w:rsidP="002D72FB">
            <w:pPr>
              <w:ind w:left="0" w:firstLine="0"/>
              <w:jc w:val="center"/>
              <w:rPr>
                <w:rFonts w:eastAsia="Times New Roman" w:cs="Times New Roman"/>
                <w:color w:val="000000"/>
                <w:sz w:val="22"/>
              </w:rPr>
            </w:pPr>
          </w:p>
        </w:tc>
      </w:tr>
      <w:tr w:rsidR="002A69E6" w:rsidRPr="00944261" w:rsidTr="002D72FB">
        <w:trPr>
          <w:trHeight w:val="576"/>
        </w:trPr>
        <w:tc>
          <w:tcPr>
            <w:tcW w:w="0" w:type="auto"/>
            <w:tcBorders>
              <w:top w:val="nil"/>
              <w:bottom w:val="nil"/>
            </w:tcBorders>
            <w:shd w:val="clear" w:color="auto" w:fill="auto"/>
            <w:noWrap/>
            <w:vAlign w:val="center"/>
            <w:hideMark/>
          </w:tcPr>
          <w:p w:rsidR="002A69E6" w:rsidRPr="00944261" w:rsidRDefault="002A69E6" w:rsidP="002D72FB">
            <w:pPr>
              <w:ind w:left="0" w:firstLine="0"/>
              <w:rPr>
                <w:rFonts w:eastAsia="Times New Roman" w:cs="Times New Roman"/>
                <w:b/>
                <w:bCs/>
                <w:color w:val="000000"/>
                <w:sz w:val="22"/>
              </w:rPr>
            </w:pPr>
            <w:proofErr w:type="spellStart"/>
            <w:r w:rsidRPr="00944261">
              <w:rPr>
                <w:rFonts w:eastAsia="Times New Roman" w:cs="Times New Roman"/>
                <w:b/>
                <w:bCs/>
                <w:color w:val="000000"/>
                <w:sz w:val="22"/>
              </w:rPr>
              <w:t>Prob</w:t>
            </w:r>
            <w:proofErr w:type="spellEnd"/>
            <w:r w:rsidRPr="00944261">
              <w:rPr>
                <w:rFonts w:eastAsia="Times New Roman" w:cs="Times New Roman"/>
                <w:b/>
                <w:bCs/>
                <w:color w:val="000000"/>
                <w:sz w:val="22"/>
              </w:rPr>
              <w:t xml:space="preserve"> &gt; chi2</w:t>
            </w:r>
          </w:p>
        </w:tc>
        <w:tc>
          <w:tcPr>
            <w:tcW w:w="0" w:type="auto"/>
            <w:tcBorders>
              <w:top w:val="nil"/>
              <w:bottom w:val="nil"/>
            </w:tcBorders>
            <w:shd w:val="clear" w:color="auto" w:fill="auto"/>
            <w:noWrap/>
            <w:vAlign w:val="center"/>
            <w:hideMark/>
          </w:tcPr>
          <w:p w:rsidR="002A69E6" w:rsidRPr="004F4682" w:rsidRDefault="002A69E6" w:rsidP="002D72FB">
            <w:pPr>
              <w:ind w:left="0" w:firstLine="0"/>
              <w:jc w:val="center"/>
              <w:rPr>
                <w:rFonts w:eastAsia="Times New Roman" w:cs="Times New Roman"/>
                <w:sz w:val="22"/>
              </w:rPr>
            </w:pPr>
            <w:r w:rsidRPr="004F4682">
              <w:rPr>
                <w:rFonts w:eastAsia="Times New Roman" w:cs="Times New Roman"/>
                <w:sz w:val="22"/>
              </w:rPr>
              <w:t>0</w:t>
            </w:r>
          </w:p>
        </w:tc>
        <w:tc>
          <w:tcPr>
            <w:tcW w:w="0" w:type="auto"/>
            <w:tcBorders>
              <w:top w:val="nil"/>
              <w:bottom w:val="nil"/>
            </w:tcBorders>
            <w:shd w:val="clear" w:color="auto" w:fill="auto"/>
            <w:noWrap/>
            <w:vAlign w:val="center"/>
            <w:hideMark/>
          </w:tcPr>
          <w:p w:rsidR="002A69E6" w:rsidRPr="00944261" w:rsidRDefault="002A69E6" w:rsidP="002D72FB">
            <w:pPr>
              <w:ind w:left="0" w:firstLine="0"/>
              <w:jc w:val="center"/>
              <w:rPr>
                <w:rFonts w:eastAsia="Times New Roman" w:cs="Times New Roman"/>
                <w:color w:val="000000"/>
                <w:sz w:val="22"/>
              </w:rPr>
            </w:pPr>
          </w:p>
        </w:tc>
        <w:tc>
          <w:tcPr>
            <w:tcW w:w="0" w:type="auto"/>
            <w:tcBorders>
              <w:top w:val="nil"/>
              <w:bottom w:val="nil"/>
            </w:tcBorders>
            <w:shd w:val="clear" w:color="auto" w:fill="auto"/>
            <w:noWrap/>
            <w:vAlign w:val="center"/>
            <w:hideMark/>
          </w:tcPr>
          <w:p w:rsidR="002A69E6" w:rsidRPr="00944261" w:rsidRDefault="002A69E6" w:rsidP="002D72FB">
            <w:pPr>
              <w:ind w:left="0" w:firstLine="0"/>
              <w:jc w:val="center"/>
              <w:rPr>
                <w:rFonts w:eastAsia="Times New Roman" w:cs="Times New Roman"/>
                <w:color w:val="000000"/>
                <w:sz w:val="22"/>
              </w:rPr>
            </w:pPr>
          </w:p>
        </w:tc>
      </w:tr>
      <w:tr w:rsidR="002A69E6" w:rsidRPr="00944261" w:rsidTr="002D72FB">
        <w:trPr>
          <w:trHeight w:val="576"/>
        </w:trPr>
        <w:tc>
          <w:tcPr>
            <w:tcW w:w="0" w:type="auto"/>
            <w:tcBorders>
              <w:top w:val="nil"/>
              <w:bottom w:val="nil"/>
            </w:tcBorders>
            <w:shd w:val="clear" w:color="auto" w:fill="auto"/>
            <w:noWrap/>
            <w:vAlign w:val="center"/>
            <w:hideMark/>
          </w:tcPr>
          <w:p w:rsidR="002A69E6" w:rsidRPr="00944261" w:rsidRDefault="002A69E6" w:rsidP="002D72FB">
            <w:pPr>
              <w:ind w:left="0" w:firstLine="0"/>
              <w:rPr>
                <w:rFonts w:eastAsia="Times New Roman" w:cs="Times New Roman"/>
                <w:b/>
                <w:bCs/>
                <w:color w:val="000000"/>
                <w:sz w:val="22"/>
              </w:rPr>
            </w:pPr>
            <w:r w:rsidRPr="00944261">
              <w:rPr>
                <w:rFonts w:eastAsia="Times New Roman" w:cs="Times New Roman"/>
                <w:b/>
                <w:bCs/>
                <w:color w:val="000000"/>
                <w:sz w:val="22"/>
              </w:rPr>
              <w:t>Percent Correctly Predicted</w:t>
            </w:r>
          </w:p>
        </w:tc>
        <w:tc>
          <w:tcPr>
            <w:tcW w:w="0" w:type="auto"/>
            <w:tcBorders>
              <w:top w:val="nil"/>
              <w:bottom w:val="nil"/>
            </w:tcBorders>
            <w:shd w:val="clear" w:color="auto" w:fill="auto"/>
            <w:noWrap/>
            <w:vAlign w:val="center"/>
            <w:hideMark/>
          </w:tcPr>
          <w:p w:rsidR="002A69E6" w:rsidRPr="00081217" w:rsidRDefault="002A69E6" w:rsidP="002D72FB">
            <w:pPr>
              <w:ind w:left="0" w:firstLine="0"/>
              <w:jc w:val="center"/>
              <w:rPr>
                <w:rFonts w:eastAsia="Times New Roman" w:cs="Times New Roman"/>
                <w:sz w:val="22"/>
              </w:rPr>
            </w:pPr>
            <w:r w:rsidRPr="00081217">
              <w:rPr>
                <w:rFonts w:eastAsia="Times New Roman" w:cs="Times New Roman"/>
                <w:sz w:val="22"/>
              </w:rPr>
              <w:t>73.76</w:t>
            </w:r>
          </w:p>
        </w:tc>
        <w:tc>
          <w:tcPr>
            <w:tcW w:w="0" w:type="auto"/>
            <w:tcBorders>
              <w:top w:val="nil"/>
              <w:bottom w:val="nil"/>
            </w:tcBorders>
            <w:shd w:val="clear" w:color="auto" w:fill="auto"/>
            <w:noWrap/>
            <w:vAlign w:val="center"/>
            <w:hideMark/>
          </w:tcPr>
          <w:p w:rsidR="002A69E6" w:rsidRPr="00944261" w:rsidRDefault="002A69E6" w:rsidP="002D72FB">
            <w:pPr>
              <w:ind w:left="0" w:firstLine="0"/>
              <w:jc w:val="center"/>
              <w:rPr>
                <w:rFonts w:eastAsia="Times New Roman" w:cs="Times New Roman"/>
                <w:color w:val="000000"/>
                <w:sz w:val="22"/>
              </w:rPr>
            </w:pPr>
          </w:p>
        </w:tc>
        <w:tc>
          <w:tcPr>
            <w:tcW w:w="0" w:type="auto"/>
            <w:tcBorders>
              <w:top w:val="nil"/>
              <w:bottom w:val="nil"/>
            </w:tcBorders>
            <w:shd w:val="clear" w:color="auto" w:fill="auto"/>
            <w:noWrap/>
            <w:vAlign w:val="center"/>
            <w:hideMark/>
          </w:tcPr>
          <w:p w:rsidR="002A69E6" w:rsidRPr="00944261" w:rsidRDefault="002A69E6" w:rsidP="002D72FB">
            <w:pPr>
              <w:ind w:left="0" w:firstLine="0"/>
              <w:jc w:val="center"/>
              <w:rPr>
                <w:rFonts w:eastAsia="Times New Roman" w:cs="Times New Roman"/>
                <w:color w:val="000000"/>
                <w:sz w:val="22"/>
              </w:rPr>
            </w:pPr>
          </w:p>
        </w:tc>
      </w:tr>
      <w:tr w:rsidR="002A69E6" w:rsidRPr="00944261" w:rsidTr="002D72FB">
        <w:trPr>
          <w:trHeight w:val="576"/>
        </w:trPr>
        <w:tc>
          <w:tcPr>
            <w:tcW w:w="0" w:type="auto"/>
            <w:tcBorders>
              <w:top w:val="nil"/>
              <w:bottom w:val="single" w:sz="18" w:space="0" w:color="auto"/>
            </w:tcBorders>
            <w:shd w:val="clear" w:color="auto" w:fill="auto"/>
            <w:noWrap/>
            <w:vAlign w:val="center"/>
            <w:hideMark/>
          </w:tcPr>
          <w:p w:rsidR="002A69E6" w:rsidRPr="00944261" w:rsidRDefault="002A69E6" w:rsidP="002D72FB">
            <w:pPr>
              <w:ind w:left="0" w:firstLine="0"/>
              <w:rPr>
                <w:rFonts w:eastAsia="Times New Roman" w:cs="Times New Roman"/>
                <w:b/>
                <w:bCs/>
                <w:color w:val="000000"/>
                <w:sz w:val="22"/>
              </w:rPr>
            </w:pPr>
            <w:r w:rsidRPr="00944261">
              <w:rPr>
                <w:rFonts w:eastAsia="Times New Roman" w:cs="Times New Roman"/>
                <w:b/>
                <w:bCs/>
                <w:color w:val="000000"/>
                <w:sz w:val="22"/>
              </w:rPr>
              <w:t>Percent Reduction in Error</w:t>
            </w:r>
          </w:p>
        </w:tc>
        <w:tc>
          <w:tcPr>
            <w:tcW w:w="0" w:type="auto"/>
            <w:tcBorders>
              <w:top w:val="nil"/>
              <w:bottom w:val="single" w:sz="18" w:space="0" w:color="auto"/>
            </w:tcBorders>
            <w:shd w:val="clear" w:color="auto" w:fill="auto"/>
            <w:noWrap/>
            <w:vAlign w:val="center"/>
            <w:hideMark/>
          </w:tcPr>
          <w:p w:rsidR="002A69E6" w:rsidRPr="00081217" w:rsidRDefault="002A69E6" w:rsidP="002D72FB">
            <w:pPr>
              <w:ind w:left="0" w:firstLine="0"/>
              <w:jc w:val="center"/>
              <w:rPr>
                <w:rFonts w:eastAsia="Times New Roman" w:cs="Times New Roman"/>
                <w:sz w:val="22"/>
              </w:rPr>
            </w:pPr>
            <w:r w:rsidRPr="00081217">
              <w:rPr>
                <w:rFonts w:eastAsia="Times New Roman" w:cs="Times New Roman"/>
                <w:sz w:val="22"/>
              </w:rPr>
              <w:t>44.98</w:t>
            </w:r>
          </w:p>
        </w:tc>
        <w:tc>
          <w:tcPr>
            <w:tcW w:w="0" w:type="auto"/>
            <w:tcBorders>
              <w:top w:val="nil"/>
              <w:bottom w:val="single" w:sz="18" w:space="0" w:color="auto"/>
            </w:tcBorders>
            <w:shd w:val="clear" w:color="auto" w:fill="auto"/>
            <w:noWrap/>
            <w:vAlign w:val="center"/>
            <w:hideMark/>
          </w:tcPr>
          <w:p w:rsidR="002A69E6" w:rsidRPr="00944261" w:rsidRDefault="002A69E6" w:rsidP="002D72FB">
            <w:pPr>
              <w:ind w:left="0" w:firstLine="0"/>
              <w:jc w:val="center"/>
              <w:rPr>
                <w:rFonts w:eastAsia="Times New Roman" w:cs="Times New Roman"/>
                <w:color w:val="000000"/>
                <w:sz w:val="22"/>
              </w:rPr>
            </w:pPr>
          </w:p>
        </w:tc>
        <w:tc>
          <w:tcPr>
            <w:tcW w:w="0" w:type="auto"/>
            <w:tcBorders>
              <w:top w:val="nil"/>
              <w:bottom w:val="single" w:sz="18" w:space="0" w:color="auto"/>
            </w:tcBorders>
            <w:shd w:val="clear" w:color="auto" w:fill="auto"/>
            <w:noWrap/>
            <w:vAlign w:val="center"/>
            <w:hideMark/>
          </w:tcPr>
          <w:p w:rsidR="002A69E6" w:rsidRPr="00944261" w:rsidRDefault="002A69E6" w:rsidP="002D72FB">
            <w:pPr>
              <w:ind w:left="0" w:firstLine="0"/>
              <w:jc w:val="center"/>
              <w:rPr>
                <w:rFonts w:eastAsia="Times New Roman" w:cs="Times New Roman"/>
                <w:color w:val="000000"/>
                <w:sz w:val="22"/>
              </w:rPr>
            </w:pPr>
          </w:p>
        </w:tc>
      </w:tr>
    </w:tbl>
    <w:p w:rsidR="002A69E6" w:rsidRPr="009E62D9" w:rsidRDefault="002A69E6" w:rsidP="002A69E6">
      <w:pPr>
        <w:autoSpaceDE w:val="0"/>
        <w:autoSpaceDN w:val="0"/>
        <w:adjustRightInd w:val="0"/>
        <w:ind w:left="90" w:firstLine="0"/>
        <w:rPr>
          <w:sz w:val="22"/>
        </w:rPr>
      </w:pPr>
      <w:r w:rsidRPr="009E62D9">
        <w:rPr>
          <w:sz w:val="22"/>
        </w:rPr>
        <w:t>Dependent variable indicates the ideological direction of the individual justices’ vote (1 = libe</w:t>
      </w:r>
      <w:r>
        <w:rPr>
          <w:sz w:val="22"/>
        </w:rPr>
        <w:t xml:space="preserve">ral, 0 = conservative).  Numbers in parentheses indicated standard errors. </w:t>
      </w:r>
      <w:proofErr w:type="gramStart"/>
      <w:r>
        <w:rPr>
          <w:sz w:val="22"/>
        </w:rPr>
        <w:t>*p&lt;.05, **p&lt;.01, ***p&lt;.001</w:t>
      </w:r>
      <w:r w:rsidRPr="009E62D9">
        <w:rPr>
          <w:sz w:val="22"/>
        </w:rPr>
        <w:t xml:space="preserve"> (one-tailed).</w:t>
      </w:r>
      <w:proofErr w:type="gramEnd"/>
    </w:p>
    <w:p w:rsidR="002A69E6" w:rsidRDefault="002A69E6" w:rsidP="002A69E6">
      <w:pPr>
        <w:spacing w:line="480" w:lineRule="auto"/>
        <w:ind w:left="0" w:firstLine="0"/>
        <w:rPr>
          <w:rFonts w:cs="Times New Roman"/>
          <w:b/>
          <w:szCs w:val="24"/>
        </w:rPr>
      </w:pPr>
    </w:p>
    <w:p w:rsidR="002A69E6" w:rsidRDefault="002A69E6" w:rsidP="002A69E6">
      <w:pPr>
        <w:spacing w:line="480" w:lineRule="auto"/>
        <w:ind w:left="0" w:firstLine="0"/>
      </w:pPr>
    </w:p>
    <w:p w:rsidR="006B7901" w:rsidRPr="008235C9" w:rsidRDefault="006B7901" w:rsidP="002A69E6">
      <w:pPr>
        <w:spacing w:line="480" w:lineRule="auto"/>
        <w:ind w:left="0" w:firstLine="0"/>
        <w:rPr>
          <w:rFonts w:cs="Times New Roman"/>
          <w:szCs w:val="24"/>
        </w:rPr>
      </w:pPr>
      <w:proofErr w:type="gramStart"/>
      <w:r w:rsidRPr="00B2024A">
        <w:lastRenderedPageBreak/>
        <w:t>variables</w:t>
      </w:r>
      <w:proofErr w:type="gramEnd"/>
      <w:r w:rsidRPr="00B2024A">
        <w:t xml:space="preserve"> and methodology as the prior models, and will be interpreted in the same manner.  The chi square test for the model is statistically significant, which means that all the variables considered together in the model are significantly different than zero. </w:t>
      </w:r>
      <w:r w:rsidRPr="00B2024A">
        <w:rPr>
          <w:color w:val="0070C0"/>
        </w:rPr>
        <w:t xml:space="preserve"> </w:t>
      </w:r>
      <w:r w:rsidRPr="008235C9">
        <w:t>The model correctly predicts 73.76 percent of the outcomes on the dependent variable (liberal v</w:t>
      </w:r>
      <w:r>
        <w:t xml:space="preserve">ote), which is a </w:t>
      </w:r>
      <w:r w:rsidRPr="008235C9">
        <w:t xml:space="preserve">44.98 percent reduction in error in the absence of the model (liberal votes actually occurred 47.70 percent of the time).  </w:t>
      </w:r>
    </w:p>
    <w:p w:rsidR="006B7901" w:rsidRDefault="006B7901" w:rsidP="006B7901">
      <w:pPr>
        <w:autoSpaceDE w:val="0"/>
        <w:autoSpaceDN w:val="0"/>
        <w:adjustRightInd w:val="0"/>
        <w:spacing w:line="480" w:lineRule="auto"/>
        <w:ind w:left="0" w:firstLine="720"/>
      </w:pPr>
      <w:r w:rsidRPr="00E8767B">
        <w:t xml:space="preserve">As with the prior </w:t>
      </w:r>
      <w:proofErr w:type="spellStart"/>
      <w:r w:rsidRPr="00E8767B">
        <w:t>logit</w:t>
      </w:r>
      <w:proofErr w:type="spellEnd"/>
      <w:r w:rsidRPr="00E8767B">
        <w:t xml:space="preserve"> models, the MLE coefficient for </w:t>
      </w:r>
      <w:r w:rsidRPr="00E8767B">
        <w:rPr>
          <w:i/>
        </w:rPr>
        <w:t xml:space="preserve">Liberal-Conservative Amicus Briefs Difference </w:t>
      </w:r>
      <w:r w:rsidRPr="00E8767B">
        <w:t xml:space="preserve">does not rise to the level of statistical significance in Model 3.  However, unlike the prior </w:t>
      </w:r>
      <w:proofErr w:type="spellStart"/>
      <w:r w:rsidRPr="00E8767B">
        <w:t>logit</w:t>
      </w:r>
      <w:proofErr w:type="spellEnd"/>
      <w:r w:rsidRPr="00E8767B">
        <w:t xml:space="preserve"> models, </w:t>
      </w:r>
      <w:r w:rsidRPr="00E8767B">
        <w:rPr>
          <w:i/>
        </w:rPr>
        <w:t xml:space="preserve">Liberal-Conservative Amicus Briefs Difference </w:t>
      </w:r>
      <w:r w:rsidRPr="00E8767B">
        <w:t xml:space="preserve">was not statistically significant when I estimated this same civil rights and liberties model without the interaction term.  Therefore, an ideological advantage of amicus briefs </w:t>
      </w:r>
      <w:r>
        <w:t xml:space="preserve">does </w:t>
      </w:r>
      <w:r w:rsidRPr="00E8767B">
        <w:t>not appear to influence the direction of justice votes in civil rights and liberties cases at the Roberts Court.</w:t>
      </w:r>
      <w:r>
        <w:t xml:space="preserve">  This is a significant finding, as it shows that the level of amicus brief impact on the justices varies by issue area</w:t>
      </w:r>
      <w:r w:rsidRPr="00E8767B">
        <w:t xml:space="preserve">.  </w:t>
      </w:r>
    </w:p>
    <w:p w:rsidR="00B2024A" w:rsidRPr="002A69E6" w:rsidRDefault="002A69E6" w:rsidP="002A69E6">
      <w:pPr>
        <w:autoSpaceDE w:val="0"/>
        <w:autoSpaceDN w:val="0"/>
        <w:adjustRightInd w:val="0"/>
        <w:spacing w:line="480" w:lineRule="auto"/>
        <w:ind w:left="0" w:firstLine="720"/>
        <w:rPr>
          <w:i/>
          <w:color w:val="0070C0"/>
        </w:rPr>
      </w:pPr>
      <w:r w:rsidRPr="00E8767B">
        <w:t>To confirm this conclusion, I included the same interaction term in Model 3 as in the prior models</w:t>
      </w:r>
      <w:r>
        <w:t xml:space="preserve">.  </w:t>
      </w:r>
      <w:r w:rsidRPr="00680CAA">
        <w:t xml:space="preserve">However, when I produced a graph of the marginal effects of </w:t>
      </w:r>
      <w:r w:rsidRPr="00680CAA">
        <w:rPr>
          <w:i/>
        </w:rPr>
        <w:t>Liberal-Conservative Amicus Briefs Difference</w:t>
      </w:r>
      <w:r w:rsidRPr="00680CAA">
        <w:t xml:space="preserve"> on the ideological direction of the vote across the observed range of </w:t>
      </w:r>
      <w:r w:rsidRPr="00680CAA">
        <w:rPr>
          <w:i/>
        </w:rPr>
        <w:t>Judicial Moderation</w:t>
      </w:r>
      <w:r w:rsidRPr="00680CAA">
        <w:t xml:space="preserve">, the marginal effects graph confirmed that at no level of judicial moderation was the impact of </w:t>
      </w:r>
      <w:r w:rsidRPr="00680CAA">
        <w:rPr>
          <w:i/>
        </w:rPr>
        <w:t>Liberal-Conservative Amicus Briefs Difference</w:t>
      </w:r>
      <w:r w:rsidRPr="00680CAA">
        <w:t xml:space="preserve"> statistical</w:t>
      </w:r>
      <w:r>
        <w:t>ly</w:t>
      </w:r>
      <w:r w:rsidRPr="00680CAA">
        <w:t xml:space="preserve"> s</w:t>
      </w:r>
      <w:r>
        <w:t xml:space="preserve">ignificant.  Thus, I can </w:t>
      </w:r>
      <w:r w:rsidRPr="00680CAA">
        <w:t>conclude that</w:t>
      </w:r>
      <w:r>
        <w:t xml:space="preserve"> an ideological advantage of</w:t>
      </w:r>
      <w:r w:rsidRPr="00680CAA">
        <w:t xml:space="preserve"> amicus briefs do</w:t>
      </w:r>
      <w:r>
        <w:t>es</w:t>
      </w:r>
      <w:r w:rsidRPr="00680CAA">
        <w:t xml:space="preserve"> not impact the way the </w:t>
      </w:r>
      <w:proofErr w:type="gramStart"/>
      <w:r w:rsidRPr="00680CAA">
        <w:t>justices</w:t>
      </w:r>
      <w:proofErr w:type="gramEnd"/>
      <w:r w:rsidRPr="00680CAA">
        <w:t xml:space="preserve"> vote in civil rights and liberties cases.  This finding fails to provide support for my inform</w:t>
      </w:r>
      <w:r>
        <w:t>ation/legal persuasion hypothese</w:t>
      </w:r>
      <w:r w:rsidRPr="00680CAA">
        <w:t>s in the context of civil rights and liberties cases.</w:t>
      </w:r>
      <w:r>
        <w:t xml:space="preserve">  As </w:t>
      </w:r>
      <w:r w:rsidRPr="00680CAA">
        <w:rPr>
          <w:i/>
        </w:rPr>
        <w:t>Liberal-Conservative Amicus Briefs Difference</w:t>
      </w:r>
      <w:r>
        <w:rPr>
          <w:i/>
        </w:rPr>
        <w:t xml:space="preserve"> </w:t>
      </w:r>
      <w:r>
        <w:t xml:space="preserve">is not statistically significant, </w:t>
      </w:r>
      <w:r>
        <w:lastRenderedPageBreak/>
        <w:t xml:space="preserve">it is not necessary to interpret the odds ratios or marginal effects.  Consequently, unlike the other models, I do not include a marginal effects graph for the interaction term of </w:t>
      </w:r>
      <w:r>
        <w:rPr>
          <w:i/>
        </w:rPr>
        <w:t>Judicial Moderation x Liberal-Conservative Amicus Briefs</w:t>
      </w:r>
      <w:r>
        <w:t xml:space="preserve">. </w:t>
      </w:r>
      <w:r>
        <w:rPr>
          <w:i/>
        </w:rPr>
        <w:t xml:space="preserve"> </w:t>
      </w:r>
    </w:p>
    <w:p w:rsidR="00B2024A" w:rsidRPr="00B2024A" w:rsidRDefault="00E8767B" w:rsidP="00515E79">
      <w:pPr>
        <w:autoSpaceDE w:val="0"/>
        <w:autoSpaceDN w:val="0"/>
        <w:adjustRightInd w:val="0"/>
        <w:spacing w:line="480" w:lineRule="auto"/>
        <w:ind w:left="0" w:firstLine="720"/>
        <w:jc w:val="both"/>
        <w:rPr>
          <w:color w:val="0070C0"/>
        </w:rPr>
      </w:pPr>
      <w:r w:rsidRPr="00E8767B">
        <w:t xml:space="preserve"> </w:t>
      </w:r>
      <w:r w:rsidR="00515E79">
        <w:t>Yet i</w:t>
      </w:r>
      <w:r w:rsidR="00680CAA" w:rsidRPr="00515E79">
        <w:t>mportantly</w:t>
      </w:r>
      <w:r w:rsidR="00B2024A" w:rsidRPr="00515E79">
        <w:t xml:space="preserve">, </w:t>
      </w:r>
      <w:r w:rsidR="00680CAA" w:rsidRPr="00515E79">
        <w:t xml:space="preserve">also unlike the prior </w:t>
      </w:r>
      <w:proofErr w:type="spellStart"/>
      <w:r w:rsidR="00680CAA" w:rsidRPr="00515E79">
        <w:t>logit</w:t>
      </w:r>
      <w:proofErr w:type="spellEnd"/>
      <w:r w:rsidR="00680CAA" w:rsidRPr="00515E79">
        <w:t xml:space="preserve"> models, Model 3 demonstrates</w:t>
      </w:r>
      <w:r w:rsidR="00515E79">
        <w:t xml:space="preserve"> that</w:t>
      </w:r>
      <w:r w:rsidR="00680CAA" w:rsidRPr="00515E79">
        <w:t xml:space="preserve"> </w:t>
      </w:r>
      <w:r w:rsidR="00B2024A" w:rsidRPr="00515E79">
        <w:t xml:space="preserve">the MLE coefficient on </w:t>
      </w:r>
      <w:r w:rsidR="00B2024A" w:rsidRPr="00515E79">
        <w:rPr>
          <w:i/>
        </w:rPr>
        <w:t>Li</w:t>
      </w:r>
      <w:r w:rsidR="00680CAA" w:rsidRPr="00515E79">
        <w:rPr>
          <w:i/>
        </w:rPr>
        <w:t>beral-Conservative Amicus Cosigner</w:t>
      </w:r>
      <w:r w:rsidR="00B2024A" w:rsidRPr="00515E79">
        <w:rPr>
          <w:i/>
        </w:rPr>
        <w:t xml:space="preserve"> Difference </w:t>
      </w:r>
      <w:r w:rsidR="00B2024A" w:rsidRPr="00515E79">
        <w:t>(</w:t>
      </w:r>
      <w:r w:rsidR="00680CAA" w:rsidRPr="00515E79">
        <w:t>.010</w:t>
      </w:r>
      <w:r w:rsidR="00B2024A" w:rsidRPr="00515E79">
        <w:t>)</w:t>
      </w:r>
      <w:r w:rsidR="00680CAA" w:rsidRPr="00515E79">
        <w:t xml:space="preserve"> is statistically significant and signed in the expected direction. </w:t>
      </w:r>
      <w:r w:rsidR="00B2024A" w:rsidRPr="00515E79">
        <w:rPr>
          <w:i/>
        </w:rPr>
        <w:t xml:space="preserve"> </w:t>
      </w:r>
      <w:r w:rsidR="00B2024A" w:rsidRPr="00515E79">
        <w:t xml:space="preserve">The odds ratio of </w:t>
      </w:r>
      <w:r w:rsidR="00B2024A" w:rsidRPr="00515E79">
        <w:rPr>
          <w:i/>
        </w:rPr>
        <w:t>Li</w:t>
      </w:r>
      <w:r w:rsidR="00680CAA" w:rsidRPr="00515E79">
        <w:rPr>
          <w:i/>
        </w:rPr>
        <w:t xml:space="preserve">beral-Conservative Amicus Cosigners </w:t>
      </w:r>
      <w:r w:rsidR="00B2024A" w:rsidRPr="00515E79">
        <w:rPr>
          <w:i/>
        </w:rPr>
        <w:t xml:space="preserve"> Difference</w:t>
      </w:r>
      <w:r w:rsidR="00B2024A" w:rsidRPr="00515E79">
        <w:t xml:space="preserve"> is </w:t>
      </w:r>
      <w:r w:rsidR="00680CAA" w:rsidRPr="00515E79">
        <w:t>1.010</w:t>
      </w:r>
      <w:r w:rsidR="00B2024A" w:rsidRPr="00515E79">
        <w:t>, indicating that the odds of liberal justice</w:t>
      </w:r>
      <w:r w:rsidR="00680CAA" w:rsidRPr="00515E79">
        <w:t xml:space="preserve"> vote</w:t>
      </w:r>
      <w:r w:rsidR="00B2024A" w:rsidRPr="00515E79">
        <w:t xml:space="preserve"> </w:t>
      </w:r>
      <w:r w:rsidR="00680CAA" w:rsidRPr="00515E79">
        <w:t>increase</w:t>
      </w:r>
      <w:r w:rsidR="00B2024A" w:rsidRPr="00515E79">
        <w:t xml:space="preserve"> in Model </w:t>
      </w:r>
      <w:r w:rsidR="00680CAA" w:rsidRPr="00515E79">
        <w:t>3</w:t>
      </w:r>
      <w:r w:rsidR="00B2024A" w:rsidRPr="00515E79">
        <w:t xml:space="preserve"> by 1.0</w:t>
      </w:r>
      <w:r w:rsidR="00680CAA" w:rsidRPr="00515E79">
        <w:t xml:space="preserve">10 times </w:t>
      </w:r>
      <w:r w:rsidR="00B2024A" w:rsidRPr="00515E79">
        <w:t xml:space="preserve">when there is a one </w:t>
      </w:r>
      <w:r w:rsidR="00680CAA" w:rsidRPr="00515E79">
        <w:t>unit increase in a liberal cosigner</w:t>
      </w:r>
      <w:r w:rsidR="00B2024A" w:rsidRPr="00515E79">
        <w:t xml:space="preserve"> advantage.  The marginal effects of </w:t>
      </w:r>
      <w:r w:rsidR="00B2024A" w:rsidRPr="00515E79">
        <w:rPr>
          <w:i/>
        </w:rPr>
        <w:t>Liberal-Conse</w:t>
      </w:r>
      <w:r w:rsidR="00680CAA" w:rsidRPr="00515E79">
        <w:rPr>
          <w:i/>
        </w:rPr>
        <w:t>rvative Amicus Cosigner Difference</w:t>
      </w:r>
      <w:r w:rsidR="00B2024A" w:rsidRPr="00515E79">
        <w:t xml:space="preserve"> reveals that a justice whose moderation score is at 2.4</w:t>
      </w:r>
      <w:r w:rsidR="00680CAA" w:rsidRPr="00515E79">
        <w:t>4</w:t>
      </w:r>
      <w:r w:rsidR="00B2024A" w:rsidRPr="00515E79">
        <w:t xml:space="preserve"> (the mean moderate justice</w:t>
      </w:r>
      <w:r w:rsidR="00680CAA" w:rsidRPr="00515E79">
        <w:t xml:space="preserve">) </w:t>
      </w:r>
      <w:r w:rsidR="00515E79" w:rsidRPr="00515E79">
        <w:t>is 6.9</w:t>
      </w:r>
      <w:r w:rsidR="00B2024A" w:rsidRPr="00515E79">
        <w:t xml:space="preserve"> percent </w:t>
      </w:r>
      <w:r w:rsidR="00515E79" w:rsidRPr="00515E79">
        <w:t>more</w:t>
      </w:r>
      <w:r w:rsidR="00B2024A" w:rsidRPr="00515E79">
        <w:t xml:space="preserve"> likely to cast a liberal vote as the </w:t>
      </w:r>
      <w:r w:rsidR="00B2024A" w:rsidRPr="00515E79">
        <w:rPr>
          <w:i/>
        </w:rPr>
        <w:t>Li</w:t>
      </w:r>
      <w:r w:rsidR="00515E79" w:rsidRPr="00515E79">
        <w:rPr>
          <w:i/>
        </w:rPr>
        <w:t>beral-Conservative Amicus Cosigners</w:t>
      </w:r>
      <w:r w:rsidR="00B2024A" w:rsidRPr="00515E79">
        <w:rPr>
          <w:i/>
        </w:rPr>
        <w:t xml:space="preserve"> Difference </w:t>
      </w:r>
      <w:r w:rsidR="00B2024A" w:rsidRPr="00515E79">
        <w:t xml:space="preserve">in the case increases from </w:t>
      </w:r>
      <w:r w:rsidR="00515E79" w:rsidRPr="00515E79">
        <w:t>7 cosigners</w:t>
      </w:r>
      <w:r w:rsidR="00B2024A" w:rsidRPr="00515E79">
        <w:t xml:space="preserve"> (the mean) to </w:t>
      </w:r>
      <w:r w:rsidR="00515E79" w:rsidRPr="00515E79">
        <w:t>39 cosigners</w:t>
      </w:r>
      <w:r w:rsidR="00B2024A" w:rsidRPr="00515E79">
        <w:t xml:space="preserve"> (approximately one standard deviation above the mean). </w:t>
      </w:r>
      <w:r w:rsidR="00515E79" w:rsidRPr="00515E79">
        <w:t xml:space="preserve"> As I am interested in how judicial moderation levels affect the impact of amicus cosigners on justice votes, I estimated an alternative </w:t>
      </w:r>
      <w:proofErr w:type="spellStart"/>
      <w:r w:rsidR="00515E79" w:rsidRPr="00515E79">
        <w:t>logit</w:t>
      </w:r>
      <w:proofErr w:type="spellEnd"/>
      <w:r w:rsidR="00515E79" w:rsidRPr="00515E79">
        <w:t xml:space="preserve"> model that was the same in all respects to Model 3, except that it substituted a new interaction term (</w:t>
      </w:r>
      <w:r w:rsidR="00515E79" w:rsidRPr="00515E79">
        <w:rPr>
          <w:i/>
        </w:rPr>
        <w:t>Judicial Moderation x Liberal-Conservative Amicus Cosigners Difference</w:t>
      </w:r>
      <w:r w:rsidR="00515E79" w:rsidRPr="00515E79">
        <w:t xml:space="preserve">) for the amicus brief interaction term.  I ran this alternative model so that I could </w:t>
      </w:r>
      <w:r w:rsidR="00B2024A" w:rsidRPr="00515E79">
        <w:t xml:space="preserve">graphically illustrate the marginal effects of </w:t>
      </w:r>
      <w:r w:rsidR="00B2024A" w:rsidRPr="00515E79">
        <w:rPr>
          <w:i/>
        </w:rPr>
        <w:t>Lib</w:t>
      </w:r>
      <w:r w:rsidR="00515E79" w:rsidRPr="00515E79">
        <w:rPr>
          <w:i/>
        </w:rPr>
        <w:t xml:space="preserve">eral-Conservative Amicus Cosigner </w:t>
      </w:r>
      <w:r w:rsidR="00B2024A" w:rsidRPr="00515E79">
        <w:rPr>
          <w:i/>
        </w:rPr>
        <w:t>Difference</w:t>
      </w:r>
      <w:r w:rsidR="00515E79" w:rsidRPr="00515E79">
        <w:rPr>
          <w:i/>
        </w:rPr>
        <w:t xml:space="preserve"> </w:t>
      </w:r>
      <w:r w:rsidR="00515E79" w:rsidRPr="00515E79">
        <w:t>in civil rights and liberties cases</w:t>
      </w:r>
      <w:r w:rsidR="00B2024A" w:rsidRPr="00515E79">
        <w:t xml:space="preserve"> on the ideological direction of the vote across the observed range of </w:t>
      </w:r>
      <w:r w:rsidR="00B2024A" w:rsidRPr="00515E79">
        <w:rPr>
          <w:i/>
        </w:rPr>
        <w:t>Judicial Moderation</w:t>
      </w:r>
      <w:r w:rsidR="0090525C">
        <w:t xml:space="preserve"> (</w:t>
      </w:r>
      <w:r w:rsidR="00B2024A" w:rsidRPr="00515E79">
        <w:t>shown in Figure 5.</w:t>
      </w:r>
      <w:r w:rsidR="00515E79" w:rsidRPr="00515E79">
        <w:t>3</w:t>
      </w:r>
      <w:r w:rsidR="00B2024A" w:rsidRPr="00515E79">
        <w:t xml:space="preserve">.) </w:t>
      </w:r>
    </w:p>
    <w:p w:rsidR="00B2024A" w:rsidRDefault="00B2024A" w:rsidP="00451FF6">
      <w:pPr>
        <w:spacing w:line="480" w:lineRule="auto"/>
        <w:ind w:left="0" w:firstLine="0"/>
        <w:rPr>
          <w:rFonts w:cs="Times New Roman"/>
          <w:b/>
          <w:szCs w:val="24"/>
        </w:rPr>
      </w:pPr>
    </w:p>
    <w:p w:rsidR="002A69E6" w:rsidRDefault="002A69E6" w:rsidP="00451FF6">
      <w:pPr>
        <w:spacing w:line="480" w:lineRule="auto"/>
        <w:ind w:left="0" w:firstLine="0"/>
        <w:rPr>
          <w:rFonts w:cs="Times New Roman"/>
          <w:b/>
          <w:szCs w:val="24"/>
        </w:rPr>
      </w:pPr>
    </w:p>
    <w:p w:rsidR="00451FF6" w:rsidRDefault="00451FF6" w:rsidP="00451FF6">
      <w:pPr>
        <w:spacing w:line="480" w:lineRule="auto"/>
        <w:ind w:left="0" w:firstLine="0"/>
        <w:rPr>
          <w:rFonts w:cs="Times New Roman"/>
          <w:b/>
          <w:szCs w:val="24"/>
        </w:rPr>
      </w:pPr>
      <w:proofErr w:type="gramStart"/>
      <w:r>
        <w:rPr>
          <w:rFonts w:cs="Times New Roman"/>
          <w:b/>
          <w:szCs w:val="24"/>
        </w:rPr>
        <w:lastRenderedPageBreak/>
        <w:t>Figure 5.3.</w:t>
      </w:r>
      <w:proofErr w:type="gramEnd"/>
      <w:r w:rsidRPr="00DE4886">
        <w:rPr>
          <w:rFonts w:cs="Times New Roman"/>
          <w:b/>
          <w:szCs w:val="24"/>
        </w:rPr>
        <w:t xml:space="preserve"> Marginal Effect of </w:t>
      </w:r>
      <w:r w:rsidRPr="00DE4886">
        <w:rPr>
          <w:rFonts w:cs="Times New Roman"/>
          <w:b/>
          <w:i/>
          <w:szCs w:val="24"/>
        </w:rPr>
        <w:t>L</w:t>
      </w:r>
      <w:r w:rsidR="008235C9">
        <w:rPr>
          <w:rFonts w:cs="Times New Roman"/>
          <w:b/>
          <w:i/>
          <w:szCs w:val="24"/>
        </w:rPr>
        <w:t>iberal-Conservative Amicus Cosigner</w:t>
      </w:r>
      <w:r w:rsidRPr="00DE4886">
        <w:rPr>
          <w:rFonts w:cs="Times New Roman"/>
          <w:b/>
          <w:i/>
          <w:szCs w:val="24"/>
        </w:rPr>
        <w:t xml:space="preserve"> Difference</w:t>
      </w:r>
      <w:r w:rsidRPr="00DE4886">
        <w:rPr>
          <w:rFonts w:cs="Times New Roman"/>
          <w:b/>
          <w:szCs w:val="24"/>
        </w:rPr>
        <w:t xml:space="preserve"> on Ideological Direction of Justice Vote Across Varying</w:t>
      </w:r>
      <w:r>
        <w:rPr>
          <w:rFonts w:cs="Times New Roman"/>
          <w:b/>
          <w:szCs w:val="24"/>
        </w:rPr>
        <w:t xml:space="preserve"> Levels of Judicial Moderation in Civil Rights and Liberties C</w:t>
      </w:r>
      <w:r w:rsidR="002A69E6">
        <w:rPr>
          <w:rFonts w:cs="Times New Roman"/>
          <w:b/>
          <w:szCs w:val="24"/>
        </w:rPr>
        <w:t>ases</w:t>
      </w:r>
    </w:p>
    <w:p w:rsidR="00451FF6" w:rsidRPr="00451FF6" w:rsidRDefault="008235C9" w:rsidP="00451FF6">
      <w:pPr>
        <w:spacing w:line="480" w:lineRule="auto"/>
        <w:ind w:left="0" w:firstLine="0"/>
        <w:rPr>
          <w:rFonts w:cs="Times New Roman"/>
          <w:b/>
          <w:szCs w:val="24"/>
        </w:rPr>
      </w:pPr>
      <w:r>
        <w:rPr>
          <w:rFonts w:cs="Times New Roman"/>
          <w:b/>
          <w:noProof/>
          <w:szCs w:val="24"/>
        </w:rPr>
        <w:drawing>
          <wp:inline distT="0" distB="0" distL="0" distR="0" wp14:anchorId="3BB1DC97" wp14:editId="316861FA">
            <wp:extent cx="5114925" cy="37433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6B7901" w:rsidRDefault="006B7901" w:rsidP="00355850">
      <w:pPr>
        <w:autoSpaceDE w:val="0"/>
        <w:autoSpaceDN w:val="0"/>
        <w:adjustRightInd w:val="0"/>
        <w:spacing w:line="480" w:lineRule="auto"/>
        <w:ind w:left="0" w:firstLine="0"/>
        <w:rPr>
          <w:rFonts w:cs="Times New Roman"/>
          <w:szCs w:val="24"/>
        </w:rPr>
      </w:pPr>
    </w:p>
    <w:p w:rsidR="00515E79" w:rsidRPr="00167A51" w:rsidRDefault="0053097E" w:rsidP="00515E79">
      <w:pPr>
        <w:autoSpaceDE w:val="0"/>
        <w:autoSpaceDN w:val="0"/>
        <w:adjustRightInd w:val="0"/>
        <w:spacing w:line="480" w:lineRule="auto"/>
        <w:ind w:left="0" w:firstLine="720"/>
        <w:rPr>
          <w:rFonts w:cs="Times New Roman"/>
          <w:szCs w:val="24"/>
        </w:rPr>
      </w:pPr>
      <w:r w:rsidRPr="00167A51">
        <w:rPr>
          <w:rFonts w:cs="Times New Roman"/>
          <w:szCs w:val="24"/>
        </w:rPr>
        <w:t>Figure 5.3</w:t>
      </w:r>
      <w:r w:rsidR="00515E79" w:rsidRPr="00167A51">
        <w:rPr>
          <w:rFonts w:cs="Times New Roman"/>
          <w:szCs w:val="24"/>
        </w:rPr>
        <w:t xml:space="preserve"> reveals that a justice’s moderation level mediate</w:t>
      </w:r>
      <w:r w:rsidRPr="00167A51">
        <w:rPr>
          <w:rFonts w:cs="Times New Roman"/>
          <w:szCs w:val="24"/>
        </w:rPr>
        <w:t>s</w:t>
      </w:r>
      <w:r w:rsidR="00515E79" w:rsidRPr="00167A51">
        <w:rPr>
          <w:rFonts w:cs="Times New Roman"/>
          <w:szCs w:val="24"/>
        </w:rPr>
        <w:t xml:space="preserve"> the influence of</w:t>
      </w:r>
      <w:r w:rsidRPr="00167A51">
        <w:rPr>
          <w:rFonts w:cs="Times New Roman"/>
          <w:szCs w:val="24"/>
        </w:rPr>
        <w:t xml:space="preserve"> amicus cosigners in civil rights and liberties cases</w:t>
      </w:r>
      <w:r w:rsidR="00515E79" w:rsidRPr="00167A51">
        <w:rPr>
          <w:rFonts w:cs="Times New Roman"/>
          <w:szCs w:val="24"/>
        </w:rPr>
        <w:t xml:space="preserve">, and that this effect is in the expected direction and statistically significant for all justices with a </w:t>
      </w:r>
      <w:r w:rsidR="00515E79" w:rsidRPr="00167A51">
        <w:rPr>
          <w:rFonts w:cs="Times New Roman"/>
          <w:i/>
          <w:szCs w:val="24"/>
        </w:rPr>
        <w:t xml:space="preserve">Judicial Moderation </w:t>
      </w:r>
      <w:r w:rsidR="00515E79" w:rsidRPr="00167A51">
        <w:rPr>
          <w:rFonts w:cs="Times New Roman"/>
          <w:szCs w:val="24"/>
        </w:rPr>
        <w:t>score greater than 1</w:t>
      </w:r>
      <w:r w:rsidRPr="00167A51">
        <w:rPr>
          <w:rFonts w:cs="Times New Roman"/>
          <w:szCs w:val="24"/>
        </w:rPr>
        <w:t xml:space="preserve">.6 – which is every </w:t>
      </w:r>
      <w:r w:rsidR="00515E79" w:rsidRPr="00167A51">
        <w:rPr>
          <w:rFonts w:cs="Times New Roman"/>
          <w:szCs w:val="24"/>
        </w:rPr>
        <w:t>justice</w:t>
      </w:r>
      <w:r w:rsidRPr="00167A51">
        <w:rPr>
          <w:rFonts w:cs="Times New Roman"/>
          <w:szCs w:val="24"/>
        </w:rPr>
        <w:t xml:space="preserve"> except Justice </w:t>
      </w:r>
      <w:r w:rsidR="00515E79" w:rsidRPr="00167A51">
        <w:rPr>
          <w:rFonts w:cs="Times New Roman"/>
          <w:szCs w:val="24"/>
        </w:rPr>
        <w:t>Thomas</w:t>
      </w:r>
      <w:r w:rsidR="0090525C">
        <w:rPr>
          <w:rFonts w:cs="Times New Roman"/>
          <w:szCs w:val="24"/>
        </w:rPr>
        <w:t xml:space="preserve"> </w:t>
      </w:r>
      <w:r w:rsidRPr="00167A51">
        <w:rPr>
          <w:rFonts w:cs="Times New Roman"/>
          <w:szCs w:val="24"/>
        </w:rPr>
        <w:t>and Justice Scalia in 2007</w:t>
      </w:r>
      <w:r w:rsidR="00515E79" w:rsidRPr="00167A51">
        <w:rPr>
          <w:rFonts w:cs="Times New Roman"/>
          <w:szCs w:val="24"/>
        </w:rPr>
        <w:t xml:space="preserve">.  </w:t>
      </w:r>
      <w:r w:rsidR="0090525C">
        <w:rPr>
          <w:rFonts w:cs="Times New Roman"/>
          <w:szCs w:val="24"/>
        </w:rPr>
        <w:t>The marginal effects graph shows that a</w:t>
      </w:r>
      <w:r w:rsidR="00515E79" w:rsidRPr="00167A51">
        <w:rPr>
          <w:rFonts w:cs="Times New Roman"/>
          <w:szCs w:val="24"/>
        </w:rPr>
        <w:t>s justices become more moderate, they are more influenced by a l</w:t>
      </w:r>
      <w:r w:rsidRPr="00167A51">
        <w:rPr>
          <w:rFonts w:cs="Times New Roman"/>
          <w:szCs w:val="24"/>
        </w:rPr>
        <w:t>iberal-conservative amicus cosigner</w:t>
      </w:r>
      <w:r w:rsidR="004C3037">
        <w:rPr>
          <w:rFonts w:cs="Times New Roman"/>
          <w:szCs w:val="24"/>
        </w:rPr>
        <w:t xml:space="preserve"> difference.  So, each</w:t>
      </w:r>
      <w:r w:rsidR="00515E79" w:rsidRPr="00167A51">
        <w:rPr>
          <w:rFonts w:cs="Times New Roman"/>
          <w:szCs w:val="24"/>
        </w:rPr>
        <w:t xml:space="preserve"> justice on the Roberts Court except Thomas</w:t>
      </w:r>
      <w:r w:rsidRPr="00167A51">
        <w:rPr>
          <w:rFonts w:cs="Times New Roman"/>
          <w:szCs w:val="24"/>
        </w:rPr>
        <w:t xml:space="preserve"> and Scalia during 2007</w:t>
      </w:r>
      <w:r w:rsidR="00515E79" w:rsidRPr="00167A51">
        <w:rPr>
          <w:rFonts w:cs="Times New Roman"/>
          <w:szCs w:val="24"/>
        </w:rPr>
        <w:t xml:space="preserve"> is more likely to vote in a liberal direction when there is an advantage of liberal amicus </w:t>
      </w:r>
      <w:r w:rsidRPr="00167A51">
        <w:rPr>
          <w:rFonts w:cs="Times New Roman"/>
          <w:szCs w:val="24"/>
        </w:rPr>
        <w:t>cosigners</w:t>
      </w:r>
      <w:r w:rsidR="00515E79" w:rsidRPr="00167A51">
        <w:rPr>
          <w:rFonts w:cs="Times New Roman"/>
          <w:szCs w:val="24"/>
        </w:rPr>
        <w:t xml:space="preserve"> in a case, holding all else equal.  The marginal effects graph shows </w:t>
      </w:r>
      <w:r w:rsidRPr="00167A51">
        <w:rPr>
          <w:rFonts w:cs="Times New Roman"/>
          <w:szCs w:val="24"/>
        </w:rPr>
        <w:t xml:space="preserve">that there is </w:t>
      </w:r>
      <w:r w:rsidRPr="00167A51">
        <w:rPr>
          <w:rFonts w:cs="Times New Roman"/>
          <w:szCs w:val="24"/>
        </w:rPr>
        <w:lastRenderedPageBreak/>
        <w:t>an approximately .75</w:t>
      </w:r>
      <w:r w:rsidR="00515E79" w:rsidRPr="00167A51">
        <w:rPr>
          <w:rFonts w:cs="Times New Roman"/>
          <w:szCs w:val="24"/>
        </w:rPr>
        <w:t xml:space="preserve"> percent increase in the likelihood of a liberal vote for justice with a moderatio</w:t>
      </w:r>
      <w:r w:rsidRPr="00167A51">
        <w:rPr>
          <w:rFonts w:cs="Times New Roman"/>
          <w:szCs w:val="24"/>
        </w:rPr>
        <w:t>n score of 1.6</w:t>
      </w:r>
      <w:r w:rsidR="00515E79" w:rsidRPr="00167A51">
        <w:rPr>
          <w:rFonts w:cs="Times New Roman"/>
          <w:szCs w:val="24"/>
        </w:rPr>
        <w:t xml:space="preserve"> (Scalia), and a </w:t>
      </w:r>
      <w:r w:rsidRPr="00167A51">
        <w:rPr>
          <w:rFonts w:cs="Times New Roman"/>
          <w:szCs w:val="24"/>
        </w:rPr>
        <w:t>1.75</w:t>
      </w:r>
      <w:r w:rsidR="00515E79" w:rsidRPr="00167A51">
        <w:rPr>
          <w:rFonts w:cs="Times New Roman"/>
          <w:szCs w:val="24"/>
        </w:rPr>
        <w:t xml:space="preserve"> percent increase in the likelihood of a liberal vote for a justice with a moderation score of 4.02 (Kennedy) when there i</w:t>
      </w:r>
      <w:r w:rsidRPr="00167A51">
        <w:rPr>
          <w:rFonts w:cs="Times New Roman"/>
          <w:szCs w:val="24"/>
        </w:rPr>
        <w:t xml:space="preserve">s an advantage of liberal cosigners.  While this effect is admittedly small, it is statistically significant.  </w:t>
      </w:r>
    </w:p>
    <w:p w:rsidR="00515E79" w:rsidRPr="00167A51" w:rsidRDefault="00515E79" w:rsidP="00515E79">
      <w:pPr>
        <w:autoSpaceDE w:val="0"/>
        <w:autoSpaceDN w:val="0"/>
        <w:adjustRightInd w:val="0"/>
        <w:spacing w:line="480" w:lineRule="auto"/>
        <w:ind w:left="0" w:firstLine="720"/>
        <w:rPr>
          <w:rFonts w:cs="Times New Roman"/>
          <w:szCs w:val="24"/>
        </w:rPr>
      </w:pPr>
      <w:r w:rsidRPr="00167A51">
        <w:rPr>
          <w:rFonts w:cs="Times New Roman"/>
          <w:szCs w:val="24"/>
        </w:rPr>
        <w:t>These result</w:t>
      </w:r>
      <w:r w:rsidR="0053097E" w:rsidRPr="00167A51">
        <w:rPr>
          <w:rFonts w:cs="Times New Roman"/>
          <w:szCs w:val="24"/>
        </w:rPr>
        <w:t>s demonstrate that amicus cosigners do</w:t>
      </w:r>
      <w:r w:rsidRPr="00167A51">
        <w:rPr>
          <w:rFonts w:cs="Times New Roman"/>
          <w:szCs w:val="24"/>
        </w:rPr>
        <w:t xml:space="preserve"> </w:t>
      </w:r>
      <w:r w:rsidR="0053097E" w:rsidRPr="00167A51">
        <w:rPr>
          <w:rFonts w:cs="Times New Roman"/>
          <w:szCs w:val="24"/>
        </w:rPr>
        <w:t xml:space="preserve">have a small </w:t>
      </w:r>
      <w:r w:rsidRPr="00167A51">
        <w:rPr>
          <w:rFonts w:cs="Times New Roman"/>
          <w:szCs w:val="24"/>
        </w:rPr>
        <w:t>influence</w:t>
      </w:r>
      <w:r w:rsidR="00167A51">
        <w:rPr>
          <w:rFonts w:cs="Times New Roman"/>
          <w:szCs w:val="24"/>
        </w:rPr>
        <w:t xml:space="preserve"> on</w:t>
      </w:r>
      <w:r w:rsidRPr="00167A51">
        <w:rPr>
          <w:rFonts w:cs="Times New Roman"/>
          <w:szCs w:val="24"/>
        </w:rPr>
        <w:t xml:space="preserve"> almost all of the justices on the Roberts Court</w:t>
      </w:r>
      <w:r w:rsidR="0053097E" w:rsidRPr="00167A51">
        <w:rPr>
          <w:rFonts w:cs="Times New Roman"/>
          <w:szCs w:val="24"/>
        </w:rPr>
        <w:t xml:space="preserve"> in civil rights and liberties cases</w:t>
      </w:r>
      <w:r w:rsidRPr="00167A51">
        <w:rPr>
          <w:rFonts w:cs="Times New Roman"/>
          <w:szCs w:val="24"/>
        </w:rPr>
        <w:t>, and that this influence becomes more pronounced as the justices become more moderate in their ideologies</w:t>
      </w:r>
      <w:r w:rsidR="0053097E" w:rsidRPr="00167A51">
        <w:rPr>
          <w:rFonts w:cs="Times New Roman"/>
          <w:szCs w:val="24"/>
        </w:rPr>
        <w:t xml:space="preserve">.  </w:t>
      </w:r>
      <w:r w:rsidRPr="00167A51">
        <w:rPr>
          <w:rFonts w:cs="Times New Roman"/>
          <w:szCs w:val="24"/>
        </w:rPr>
        <w:t xml:space="preserve">These findings support my </w:t>
      </w:r>
      <w:r w:rsidR="0053097E" w:rsidRPr="00167A51">
        <w:rPr>
          <w:rFonts w:cs="Times New Roman"/>
          <w:szCs w:val="24"/>
        </w:rPr>
        <w:t xml:space="preserve">affected </w:t>
      </w:r>
      <w:proofErr w:type="gramStart"/>
      <w:r w:rsidR="0053097E" w:rsidRPr="00167A51">
        <w:rPr>
          <w:rFonts w:cs="Times New Roman"/>
          <w:szCs w:val="24"/>
        </w:rPr>
        <w:t>groups</w:t>
      </w:r>
      <w:proofErr w:type="gramEnd"/>
      <w:r w:rsidRPr="00167A51">
        <w:rPr>
          <w:rFonts w:cs="Times New Roman"/>
          <w:szCs w:val="24"/>
        </w:rPr>
        <w:t xml:space="preserve"> hypotheses and my median justice h</w:t>
      </w:r>
      <w:r w:rsidR="0053097E" w:rsidRPr="00167A51">
        <w:rPr>
          <w:rFonts w:cs="Times New Roman"/>
          <w:szCs w:val="24"/>
        </w:rPr>
        <w:t>ypotheses regarding amicus cosigner</w:t>
      </w:r>
      <w:r w:rsidRPr="00167A51">
        <w:rPr>
          <w:rFonts w:cs="Times New Roman"/>
          <w:szCs w:val="24"/>
        </w:rPr>
        <w:t xml:space="preserve"> influence.  </w:t>
      </w:r>
      <w:r w:rsidR="00167A51" w:rsidRPr="00167A51">
        <w:rPr>
          <w:rFonts w:cs="Times New Roman"/>
          <w:szCs w:val="24"/>
        </w:rPr>
        <w:t xml:space="preserve">Taken together with the fact that amicus briefs do not seem to impact the justices votes, these findings suggest that amicus influence in civil rights and liberties cases does not come from the informational </w:t>
      </w:r>
      <w:r w:rsidR="0052174F">
        <w:rPr>
          <w:rFonts w:cs="Times New Roman"/>
          <w:szCs w:val="24"/>
        </w:rPr>
        <w:t>content they impar</w:t>
      </w:r>
      <w:r w:rsidR="00167A51" w:rsidRPr="00167A51">
        <w:rPr>
          <w:rFonts w:cs="Times New Roman"/>
          <w:szCs w:val="24"/>
        </w:rPr>
        <w:t xml:space="preserve">t, but from their sheer numerical advantage.   This further implies that the justices approach civil rights and liberties cases in a different manner than other cases, seemingly being more sensitive to the array of affected groups with an interest in the outcome of the litigation. At a minimum, this finding suggests the justices </w:t>
      </w:r>
      <w:r w:rsidR="00A26F8B">
        <w:rPr>
          <w:rFonts w:cs="Times New Roman"/>
          <w:szCs w:val="24"/>
        </w:rPr>
        <w:t>are more attuned</w:t>
      </w:r>
      <w:r w:rsidR="00167A51" w:rsidRPr="00167A51">
        <w:rPr>
          <w:rFonts w:cs="Times New Roman"/>
          <w:szCs w:val="24"/>
        </w:rPr>
        <w:t xml:space="preserve"> to public opinion in civil rights and liberties cases than in others. </w:t>
      </w:r>
    </w:p>
    <w:p w:rsidR="00515E79" w:rsidRPr="0052174F" w:rsidRDefault="0052174F" w:rsidP="00167A51">
      <w:pPr>
        <w:autoSpaceDE w:val="0"/>
        <w:autoSpaceDN w:val="0"/>
        <w:adjustRightInd w:val="0"/>
        <w:spacing w:line="480" w:lineRule="auto"/>
        <w:ind w:left="0" w:firstLine="720"/>
        <w:rPr>
          <w:rFonts w:cs="Times New Roman"/>
          <w:szCs w:val="24"/>
        </w:rPr>
      </w:pPr>
      <w:r w:rsidRPr="0052174F">
        <w:rPr>
          <w:rFonts w:cs="Times New Roman"/>
          <w:szCs w:val="24"/>
        </w:rPr>
        <w:t>However</w:t>
      </w:r>
      <w:r w:rsidR="00515E79" w:rsidRPr="0052174F">
        <w:rPr>
          <w:rFonts w:cs="Times New Roman"/>
          <w:szCs w:val="24"/>
        </w:rPr>
        <w:t xml:space="preserve">, </w:t>
      </w:r>
      <w:r w:rsidRPr="0052174F">
        <w:rPr>
          <w:rFonts w:cs="Times New Roman"/>
          <w:szCs w:val="24"/>
        </w:rPr>
        <w:t xml:space="preserve">the results of </w:t>
      </w:r>
      <w:r w:rsidR="00515E79" w:rsidRPr="0052174F">
        <w:rPr>
          <w:rFonts w:cs="Times New Roman"/>
          <w:i/>
          <w:szCs w:val="24"/>
        </w:rPr>
        <w:t>Prestigious Liberal-Conservative Amicus Difference</w:t>
      </w:r>
      <w:r w:rsidRPr="0052174F">
        <w:rPr>
          <w:rFonts w:cs="Times New Roman"/>
          <w:i/>
          <w:szCs w:val="24"/>
        </w:rPr>
        <w:t xml:space="preserve"> </w:t>
      </w:r>
      <w:r>
        <w:rPr>
          <w:rFonts w:cs="Times New Roman"/>
          <w:szCs w:val="24"/>
        </w:rPr>
        <w:t xml:space="preserve">provide an important </w:t>
      </w:r>
      <w:r w:rsidRPr="0052174F">
        <w:rPr>
          <w:rFonts w:cs="Times New Roman"/>
          <w:szCs w:val="24"/>
        </w:rPr>
        <w:t>caveat to the conclusion that amicus briefs do not matter in civil rights and liberties cases.</w:t>
      </w:r>
      <w:r w:rsidR="00515E79" w:rsidRPr="0052174F">
        <w:rPr>
          <w:rFonts w:cs="Times New Roman"/>
          <w:i/>
          <w:szCs w:val="24"/>
        </w:rPr>
        <w:t xml:space="preserve"> </w:t>
      </w:r>
      <w:r w:rsidRPr="0052174F">
        <w:rPr>
          <w:rFonts w:cs="Times New Roman"/>
          <w:i/>
          <w:szCs w:val="24"/>
        </w:rPr>
        <w:t xml:space="preserve">Prestigious Liberal-Conservative Amicus Difference </w:t>
      </w:r>
      <w:r w:rsidR="00515E79" w:rsidRPr="0052174F">
        <w:rPr>
          <w:rFonts w:cs="Times New Roman"/>
          <w:szCs w:val="24"/>
        </w:rPr>
        <w:t>is statistically significant and signed in the expected direction</w:t>
      </w:r>
      <w:r w:rsidR="00167A51" w:rsidRPr="0052174F">
        <w:rPr>
          <w:rFonts w:cs="Times New Roman"/>
          <w:szCs w:val="24"/>
        </w:rPr>
        <w:t xml:space="preserve"> in</w:t>
      </w:r>
      <w:r w:rsidRPr="0052174F">
        <w:rPr>
          <w:rFonts w:cs="Times New Roman"/>
          <w:szCs w:val="24"/>
        </w:rPr>
        <w:t xml:space="preserve"> Model 3</w:t>
      </w:r>
      <w:r w:rsidR="00515E79" w:rsidRPr="0052174F">
        <w:rPr>
          <w:rFonts w:cs="Times New Roman"/>
          <w:szCs w:val="24"/>
        </w:rPr>
        <w:t xml:space="preserve">. </w:t>
      </w:r>
      <w:r w:rsidRPr="0052174F">
        <w:rPr>
          <w:rFonts w:cs="Times New Roman"/>
          <w:szCs w:val="24"/>
        </w:rPr>
        <w:t xml:space="preserve"> </w:t>
      </w:r>
      <w:r w:rsidR="00515E79" w:rsidRPr="0052174F">
        <w:t xml:space="preserve">The odds ratio of </w:t>
      </w:r>
      <w:r w:rsidR="00515E79" w:rsidRPr="0052174F">
        <w:rPr>
          <w:rFonts w:cs="Times New Roman"/>
          <w:i/>
          <w:szCs w:val="24"/>
        </w:rPr>
        <w:t>Prestigious Liberal-Conservative Amicus Difference</w:t>
      </w:r>
      <w:r w:rsidR="00167A51" w:rsidRPr="0052174F">
        <w:t xml:space="preserve"> is 1.274</w:t>
      </w:r>
      <w:r w:rsidR="00515E79" w:rsidRPr="0052174F">
        <w:t xml:space="preserve">, indicating that the odds of </w:t>
      </w:r>
      <w:r w:rsidRPr="0052174F">
        <w:t xml:space="preserve">a </w:t>
      </w:r>
      <w:r w:rsidR="00515E79" w:rsidRPr="0052174F">
        <w:t xml:space="preserve">liberal </w:t>
      </w:r>
      <w:r w:rsidRPr="0052174F">
        <w:t>justice vote increase in Model 3 by 1.274</w:t>
      </w:r>
      <w:r w:rsidR="00515E79" w:rsidRPr="0052174F">
        <w:t xml:space="preserve"> times when there is a one unit increase in a prestigious liberal brief advantage.</w:t>
      </w:r>
      <w:r w:rsidR="00515E79" w:rsidRPr="00515E79">
        <w:rPr>
          <w:color w:val="0070C0"/>
        </w:rPr>
        <w:t xml:space="preserve"> </w:t>
      </w:r>
      <w:r>
        <w:rPr>
          <w:color w:val="0070C0"/>
        </w:rPr>
        <w:t xml:space="preserve"> </w:t>
      </w:r>
      <w:r w:rsidR="00515E79" w:rsidRPr="0052174F">
        <w:t xml:space="preserve">The marginal effects of </w:t>
      </w:r>
      <w:r w:rsidR="00515E79" w:rsidRPr="0052174F">
        <w:rPr>
          <w:rFonts w:cs="Times New Roman"/>
          <w:i/>
          <w:szCs w:val="24"/>
        </w:rPr>
        <w:t xml:space="preserve">Prestigious Liberal-Conservative Amicus Difference </w:t>
      </w:r>
      <w:r w:rsidR="00515E79" w:rsidRPr="0052174F">
        <w:t>reveals that a justice is</w:t>
      </w:r>
      <w:r>
        <w:rPr>
          <w:color w:val="0070C0"/>
        </w:rPr>
        <w:t xml:space="preserve"> </w:t>
      </w:r>
      <w:r w:rsidRPr="0052174F">
        <w:t xml:space="preserve">6.9 </w:t>
      </w:r>
      <w:r w:rsidR="00515E79" w:rsidRPr="0052174F">
        <w:t xml:space="preserve">percent more likely to cast a liberal vote as the </w:t>
      </w:r>
      <w:r w:rsidR="00515E79" w:rsidRPr="0052174F">
        <w:rPr>
          <w:rFonts w:cs="Times New Roman"/>
          <w:i/>
          <w:szCs w:val="24"/>
        </w:rPr>
        <w:t xml:space="preserve">Prestigious Liberal-Conservative Amicus </w:t>
      </w:r>
      <w:r w:rsidR="00515E79" w:rsidRPr="0052174F">
        <w:rPr>
          <w:rFonts w:cs="Times New Roman"/>
          <w:i/>
          <w:szCs w:val="24"/>
        </w:rPr>
        <w:lastRenderedPageBreak/>
        <w:t xml:space="preserve">Difference </w:t>
      </w:r>
      <w:r w:rsidR="00515E79" w:rsidRPr="0052174F">
        <w:t xml:space="preserve">in the case increases </w:t>
      </w:r>
      <w:r w:rsidRPr="0052174F">
        <w:t>from .38 (the mean) to 1.73</w:t>
      </w:r>
      <w:r w:rsidR="00515E79" w:rsidRPr="0052174F">
        <w:t xml:space="preserve"> (one standard deviation above the mean)</w:t>
      </w:r>
      <w:r>
        <w:rPr>
          <w:color w:val="0070C0"/>
        </w:rPr>
        <w:t xml:space="preserve">, </w:t>
      </w:r>
      <w:r w:rsidRPr="0052174F">
        <w:t>and 33</w:t>
      </w:r>
      <w:r w:rsidR="00515E79" w:rsidRPr="0052174F">
        <w:t>.</w:t>
      </w:r>
      <w:r w:rsidRPr="0052174F">
        <w:t>6</w:t>
      </w:r>
      <w:r w:rsidR="00515E79" w:rsidRPr="0052174F">
        <w:t xml:space="preserve"> percent more likely to cast a liberal vote as the </w:t>
      </w:r>
      <w:r w:rsidR="00515E79" w:rsidRPr="0052174F">
        <w:rPr>
          <w:rFonts w:cs="Times New Roman"/>
          <w:i/>
          <w:szCs w:val="24"/>
        </w:rPr>
        <w:t xml:space="preserve">Prestigious Liberal-Conservative Amicus Difference </w:t>
      </w:r>
      <w:r w:rsidR="00515E79" w:rsidRPr="0052174F">
        <w:t>in the case increases from the least liberal advantage (-5) to t</w:t>
      </w:r>
      <w:r>
        <w:t>he greatest liberal advantage (3</w:t>
      </w:r>
      <w:r w:rsidR="00515E79" w:rsidRPr="0052174F">
        <w:t>)</w:t>
      </w:r>
      <w:r w:rsidR="00515E79" w:rsidRPr="00515E79">
        <w:rPr>
          <w:color w:val="0070C0"/>
        </w:rPr>
        <w:t xml:space="preserve">.  </w:t>
      </w:r>
      <w:r w:rsidR="00515E79" w:rsidRPr="0052174F">
        <w:t>This result supports my prestigious amic</w:t>
      </w:r>
      <w:r>
        <w:t>us hypotheses, indicating that</w:t>
      </w:r>
      <w:r w:rsidR="00515E79" w:rsidRPr="0052174F">
        <w:t xml:space="preserve"> the justices respond favorably to an advantage of prestigious amic</w:t>
      </w:r>
      <w:r w:rsidR="00A26F8B">
        <w:t>us briefs, even when controlling</w:t>
      </w:r>
      <w:r w:rsidR="00515E79" w:rsidRPr="0052174F">
        <w:t xml:space="preserve"> for an ideological advantage of total briefs and cosigners in a case.</w:t>
      </w:r>
      <w:r w:rsidR="00355850">
        <w:t xml:space="preserve">  </w:t>
      </w:r>
      <w:r w:rsidR="00A26F8B">
        <w:t>This result implies</w:t>
      </w:r>
      <w:r w:rsidR="00076C47">
        <w:t xml:space="preserve"> that the justices respond to the presence of prestigious amici and that they are influenced by the informationa</w:t>
      </w:r>
      <w:r w:rsidR="00A26F8B">
        <w:t>l content</w:t>
      </w:r>
      <w:r w:rsidR="00076C47">
        <w:t xml:space="preserve"> of prestigious amicus briefs.  Thus, in civil rights and liberties cases, the justices seem to care more about who is filing briefs than the simple quantity of briefs, </w:t>
      </w:r>
      <w:r w:rsidR="00A26F8B">
        <w:t>but they also respond in a limited</w:t>
      </w:r>
      <w:r w:rsidR="00076C47">
        <w:t xml:space="preserve"> way to a numerical advantage of amicus cosigners in a case.  Taken together, the results suggest that the justices do approach civil rights and liberties cases more like a popularity contest than other cases, responding to the arguments of powerful amici over run-of-the mill amici, yet also </w:t>
      </w:r>
      <w:r w:rsidR="00A26F8B">
        <w:t xml:space="preserve">susceptible to influence </w:t>
      </w:r>
      <w:r w:rsidR="00076C47">
        <w:t>by the side with the net amici advantage.</w:t>
      </w:r>
    </w:p>
    <w:p w:rsidR="00515E79" w:rsidRPr="00446AAE" w:rsidRDefault="00512780" w:rsidP="00515E79">
      <w:pPr>
        <w:autoSpaceDE w:val="0"/>
        <w:autoSpaceDN w:val="0"/>
        <w:adjustRightInd w:val="0"/>
        <w:spacing w:line="480" w:lineRule="auto"/>
        <w:ind w:left="0" w:firstLine="720"/>
      </w:pPr>
      <w:r>
        <w:rPr>
          <w:rFonts w:cs="Times New Roman"/>
          <w:szCs w:val="24"/>
        </w:rPr>
        <w:t>Further</w:t>
      </w:r>
      <w:r w:rsidR="00515E79" w:rsidRPr="00446AAE">
        <w:rPr>
          <w:rFonts w:cs="Times New Roman"/>
          <w:szCs w:val="24"/>
        </w:rPr>
        <w:t>, all of the control variables are signed in the expected direction and stat</w:t>
      </w:r>
      <w:r w:rsidR="00446AAE" w:rsidRPr="00446AAE">
        <w:rPr>
          <w:rFonts w:cs="Times New Roman"/>
          <w:szCs w:val="24"/>
        </w:rPr>
        <w:t>istically significant in civil rights and liberties cases</w:t>
      </w:r>
      <w:r w:rsidR="00515E79" w:rsidRPr="00446AAE">
        <w:rPr>
          <w:rFonts w:cs="Times New Roman"/>
          <w:szCs w:val="24"/>
        </w:rPr>
        <w:t>.</w:t>
      </w:r>
      <w:r w:rsidR="00446AAE">
        <w:rPr>
          <w:rFonts w:cs="Times New Roman"/>
          <w:color w:val="0070C0"/>
          <w:szCs w:val="24"/>
        </w:rPr>
        <w:t xml:space="preserve">  </w:t>
      </w:r>
      <w:r w:rsidR="00446AAE" w:rsidRPr="00446AAE">
        <w:rPr>
          <w:rFonts w:cs="Times New Roman"/>
          <w:szCs w:val="24"/>
        </w:rPr>
        <w:t>First, Model 3</w:t>
      </w:r>
      <w:r w:rsidR="00515E79" w:rsidRPr="00446AAE">
        <w:rPr>
          <w:rFonts w:cs="Times New Roman"/>
          <w:szCs w:val="24"/>
        </w:rPr>
        <w:t xml:space="preserve"> confirms the strong and statistically significant role of </w:t>
      </w:r>
      <w:r w:rsidR="00515E79" w:rsidRPr="00446AAE">
        <w:rPr>
          <w:rFonts w:cs="Times New Roman"/>
          <w:i/>
          <w:szCs w:val="24"/>
        </w:rPr>
        <w:t xml:space="preserve">Ideology </w:t>
      </w:r>
      <w:r w:rsidR="00515E79" w:rsidRPr="00446AAE">
        <w:rPr>
          <w:rFonts w:cs="Times New Roman"/>
          <w:szCs w:val="24"/>
        </w:rPr>
        <w:t>in predicting how a justice will vote.</w:t>
      </w:r>
      <w:r w:rsidR="00515E79" w:rsidRPr="00515E79">
        <w:rPr>
          <w:rFonts w:cs="Times New Roman"/>
          <w:color w:val="0070C0"/>
          <w:szCs w:val="24"/>
        </w:rPr>
        <w:t xml:space="preserve"> </w:t>
      </w:r>
      <w:r w:rsidR="00446AAE">
        <w:rPr>
          <w:rFonts w:cs="Times New Roman"/>
          <w:color w:val="0070C0"/>
          <w:szCs w:val="24"/>
        </w:rPr>
        <w:t xml:space="preserve"> </w:t>
      </w:r>
      <w:r w:rsidR="00515E79" w:rsidRPr="00446AAE">
        <w:t xml:space="preserve">The odds ratio of </w:t>
      </w:r>
      <w:r w:rsidR="00515E79" w:rsidRPr="00446AAE">
        <w:rPr>
          <w:i/>
        </w:rPr>
        <w:t xml:space="preserve">Ideology </w:t>
      </w:r>
      <w:r w:rsidR="00446AAE" w:rsidRPr="00446AAE">
        <w:t>is 16.33</w:t>
      </w:r>
      <w:r w:rsidR="00515E79" w:rsidRPr="00446AAE">
        <w:t xml:space="preserve">, indicating that the odds of liberal </w:t>
      </w:r>
      <w:r w:rsidR="00446AAE" w:rsidRPr="00446AAE">
        <w:t>justice vote increase in Model 3 by 16.33</w:t>
      </w:r>
      <w:r w:rsidR="00515E79" w:rsidRPr="00446AAE">
        <w:t xml:space="preserve"> times when there is a one unit increase in judicial ideology. </w:t>
      </w:r>
      <w:r w:rsidR="00446AAE">
        <w:t xml:space="preserve"> </w:t>
      </w:r>
      <w:r w:rsidR="00515E79" w:rsidRPr="00446AAE">
        <w:t xml:space="preserve">The marginal effect of </w:t>
      </w:r>
      <w:r w:rsidR="00515E79" w:rsidRPr="00446AAE">
        <w:rPr>
          <w:i/>
        </w:rPr>
        <w:t xml:space="preserve">Ideology </w:t>
      </w:r>
      <w:r w:rsidR="00446AAE" w:rsidRPr="00446AAE">
        <w:t>is 14.5</w:t>
      </w:r>
      <w:r w:rsidR="00515E79" w:rsidRPr="00446AAE">
        <w:t xml:space="preserve"> percent, indicating that a justice whose Segal-Cover score is at</w:t>
      </w:r>
      <w:r w:rsidR="00446AAE">
        <w:rPr>
          <w:color w:val="0070C0"/>
        </w:rPr>
        <w:t xml:space="preserve"> .</w:t>
      </w:r>
      <w:r w:rsidR="00446AAE" w:rsidRPr="00446AAE">
        <w:t>584</w:t>
      </w:r>
      <w:r w:rsidR="00515E79" w:rsidRPr="00446AAE">
        <w:t xml:space="preserve"> (one st</w:t>
      </w:r>
      <w:r w:rsidR="00446AAE" w:rsidRPr="00446AAE">
        <w:t>andard deviation above the mean) is 14.5</w:t>
      </w:r>
      <w:r w:rsidR="00515E79" w:rsidRPr="00446AAE">
        <w:t xml:space="preserve"> percent more likely to cast a liberal vote than a justice whose Segal-Cover score is at the mean</w:t>
      </w:r>
      <w:r w:rsidR="00446AAE" w:rsidRPr="00446AAE">
        <w:t xml:space="preserve"> (.33). </w:t>
      </w:r>
      <w:r w:rsidR="00446AAE">
        <w:rPr>
          <w:color w:val="0070C0"/>
        </w:rPr>
        <w:t xml:space="preserve"> </w:t>
      </w:r>
      <w:r w:rsidR="00515E79" w:rsidRPr="00446AAE">
        <w:t xml:space="preserve">Further, the marginal effects reveal that, compared with the most conservative </w:t>
      </w:r>
      <w:r w:rsidR="00A26F8B">
        <w:t>justice (</w:t>
      </w:r>
      <w:r w:rsidR="00515E79" w:rsidRPr="00446AAE">
        <w:t>Justice</w:t>
      </w:r>
      <w:r w:rsidR="00446AAE" w:rsidRPr="00446AAE">
        <w:t xml:space="preserve"> Scalia</w:t>
      </w:r>
      <w:r w:rsidR="00A26F8B">
        <w:t>),</w:t>
      </w:r>
      <w:r w:rsidR="00515E79" w:rsidRPr="00446AAE">
        <w:t xml:space="preserve"> the most liberal justi</w:t>
      </w:r>
      <w:r w:rsidR="00A26F8B">
        <w:t>ce (</w:t>
      </w:r>
      <w:r w:rsidR="00446AAE" w:rsidRPr="00446AAE">
        <w:t>Justice Sotomayor</w:t>
      </w:r>
      <w:r w:rsidR="00A26F8B">
        <w:t>)</w:t>
      </w:r>
      <w:r w:rsidR="00446AAE" w:rsidRPr="00446AAE">
        <w:t xml:space="preserve"> </w:t>
      </w:r>
      <w:r w:rsidR="00446AAE">
        <w:t>– is 45.</w:t>
      </w:r>
      <w:r w:rsidR="00446AAE" w:rsidRPr="00446AAE">
        <w:t xml:space="preserve">15 </w:t>
      </w:r>
      <w:r w:rsidR="00515E79" w:rsidRPr="00446AAE">
        <w:t>percent more likely to cast a liberal vote.</w:t>
      </w:r>
      <w:r w:rsidR="00515E79" w:rsidRPr="00515E79">
        <w:rPr>
          <w:color w:val="0070C0"/>
        </w:rPr>
        <w:t xml:space="preserve"> </w:t>
      </w:r>
      <w:r w:rsidR="00515E79" w:rsidRPr="00446AAE">
        <w:t xml:space="preserve">These findings are expected and are consistent with the attitudinal model of </w:t>
      </w:r>
      <w:r w:rsidR="00515E79" w:rsidRPr="00446AAE">
        <w:lastRenderedPageBreak/>
        <w:t xml:space="preserve">judicial decision making.  Ideology is </w:t>
      </w:r>
      <w:r w:rsidR="00446AAE">
        <w:t xml:space="preserve">the strongest </w:t>
      </w:r>
      <w:r w:rsidR="00515E79" w:rsidRPr="00446AAE">
        <w:t>predictor of how a justice will vote</w:t>
      </w:r>
      <w:r w:rsidR="00446AAE">
        <w:t xml:space="preserve"> in civil rights and liberties cases</w:t>
      </w:r>
      <w:r w:rsidR="00515E79" w:rsidRPr="00446AAE">
        <w:t>.</w:t>
      </w:r>
      <w:r w:rsidR="00446AAE">
        <w:t xml:space="preserve">  This is consistent with much prior literature confirming the impact of judicial attitudes in this category of cases (e.g., </w:t>
      </w:r>
      <w:proofErr w:type="spellStart"/>
      <w:r w:rsidR="00446AAE">
        <w:t>Unah</w:t>
      </w:r>
      <w:proofErr w:type="spellEnd"/>
      <w:r w:rsidR="00446AAE">
        <w:t xml:space="preserve"> and Hancock 2006). </w:t>
      </w:r>
    </w:p>
    <w:p w:rsidR="00515E79" w:rsidRPr="00515E79" w:rsidRDefault="00A26F8B" w:rsidP="00515E79">
      <w:pPr>
        <w:autoSpaceDE w:val="0"/>
        <w:autoSpaceDN w:val="0"/>
        <w:adjustRightInd w:val="0"/>
        <w:spacing w:line="480" w:lineRule="auto"/>
        <w:ind w:left="0" w:firstLine="720"/>
        <w:rPr>
          <w:rFonts w:cs="Times New Roman"/>
          <w:color w:val="0070C0"/>
          <w:szCs w:val="24"/>
        </w:rPr>
      </w:pPr>
      <w:r w:rsidRPr="00D237D7">
        <w:t xml:space="preserve">Second, the impact </w:t>
      </w:r>
      <w:r w:rsidR="00515E79" w:rsidRPr="00D237D7">
        <w:t>of the Solicitor General as both a conservative and liberal amicus in</w:t>
      </w:r>
      <w:r w:rsidR="00D237D7" w:rsidRPr="00D237D7">
        <w:t xml:space="preserve"> civil rights and liberties</w:t>
      </w:r>
      <w:r w:rsidR="00512780">
        <w:t xml:space="preserve"> is</w:t>
      </w:r>
      <w:r w:rsidR="00515E79" w:rsidRPr="00D237D7">
        <w:t xml:space="preserve"> confirmed</w:t>
      </w:r>
      <w:r w:rsidR="00D237D7" w:rsidRPr="00D237D7">
        <w:t xml:space="preserve"> by Model 3</w:t>
      </w:r>
      <w:r w:rsidR="00515E79" w:rsidRPr="00D237D7">
        <w:t xml:space="preserve">.  The odds ratio of </w:t>
      </w:r>
      <w:r w:rsidR="00515E79" w:rsidRPr="00D237D7">
        <w:rPr>
          <w:i/>
        </w:rPr>
        <w:t xml:space="preserve">SG Liberal Amicus </w:t>
      </w:r>
      <w:r w:rsidR="00D237D7" w:rsidRPr="00D237D7">
        <w:t>is 1.755</w:t>
      </w:r>
      <w:r w:rsidR="00515E79" w:rsidRPr="00D237D7">
        <w:t>, indicating that the odds of</w:t>
      </w:r>
      <w:r w:rsidR="00D237D7" w:rsidRPr="00D237D7">
        <w:t xml:space="preserve"> a liberal justice vote is 1.755</w:t>
      </w:r>
      <w:r w:rsidR="00515E79" w:rsidRPr="00D237D7">
        <w:t xml:space="preserve"> times higher when a SG is a liberal amicus than when the SG is not.  </w:t>
      </w:r>
      <w:r w:rsidR="00515E79" w:rsidRPr="00D237D7">
        <w:rPr>
          <w:rFonts w:cs="Times New Roman"/>
          <w:szCs w:val="24"/>
        </w:rPr>
        <w:t xml:space="preserve">Further, the marginal effects reveal that the when the SG argues the liberal position, </w:t>
      </w:r>
      <w:r w:rsidR="00D237D7" w:rsidRPr="00D237D7">
        <w:t>a justice is 12.8</w:t>
      </w:r>
      <w:r w:rsidR="00515E79" w:rsidRPr="00D237D7">
        <w:t xml:space="preserve"> percent more likely to cast a liberal vote than when the SG does not advance the liberal position as an amicus.</w:t>
      </w:r>
      <w:r w:rsidR="00515E79" w:rsidRPr="00515E79">
        <w:rPr>
          <w:color w:val="0070C0"/>
        </w:rPr>
        <w:t xml:space="preserve">  </w:t>
      </w:r>
      <w:r w:rsidR="00515E79" w:rsidRPr="00D237D7">
        <w:rPr>
          <w:rFonts w:cs="Times New Roman"/>
          <w:szCs w:val="24"/>
        </w:rPr>
        <w:t xml:space="preserve">Conversely, the odds ratio of </w:t>
      </w:r>
      <w:r w:rsidR="00515E79" w:rsidRPr="00D237D7">
        <w:rPr>
          <w:rFonts w:cs="Times New Roman"/>
          <w:i/>
          <w:szCs w:val="24"/>
        </w:rPr>
        <w:t xml:space="preserve">SG Conservative Amicus </w:t>
      </w:r>
      <w:r w:rsidR="00D237D7" w:rsidRPr="00D237D7">
        <w:rPr>
          <w:rFonts w:cs="Times New Roman"/>
          <w:szCs w:val="24"/>
        </w:rPr>
        <w:t>is .393</w:t>
      </w:r>
      <w:r w:rsidR="00515E79" w:rsidRPr="00D237D7">
        <w:rPr>
          <w:rFonts w:cs="Times New Roman"/>
          <w:szCs w:val="24"/>
        </w:rPr>
        <w:t>, indicating that the odds of a liber</w:t>
      </w:r>
      <w:r w:rsidR="00D237D7" w:rsidRPr="00D237D7">
        <w:rPr>
          <w:rFonts w:cs="Times New Roman"/>
          <w:szCs w:val="24"/>
        </w:rPr>
        <w:t>al justice vote decrease by 2.54</w:t>
      </w:r>
      <w:r w:rsidR="00515E79" w:rsidRPr="00D237D7">
        <w:rPr>
          <w:rFonts w:cs="Times New Roman"/>
          <w:szCs w:val="24"/>
        </w:rPr>
        <w:t xml:space="preserve"> times when the SG advocates the conservative position as amicus than when the SG does not.</w:t>
      </w:r>
      <w:r w:rsidR="00515E79" w:rsidRPr="00515E79">
        <w:rPr>
          <w:rFonts w:cs="Times New Roman"/>
          <w:color w:val="0070C0"/>
          <w:szCs w:val="24"/>
        </w:rPr>
        <w:t xml:space="preserve">  </w:t>
      </w:r>
      <w:r w:rsidR="00515E79" w:rsidRPr="00D237D7">
        <w:rPr>
          <w:rFonts w:cs="Times New Roman"/>
          <w:szCs w:val="24"/>
        </w:rPr>
        <w:t xml:space="preserve">Likewise, the marginal effects reveal that when the SG argues the conservative position, </w:t>
      </w:r>
      <w:r w:rsidR="00515E79" w:rsidRPr="00D237D7">
        <w:t xml:space="preserve">a justice </w:t>
      </w:r>
      <w:r w:rsidR="00D237D7" w:rsidRPr="00D237D7">
        <w:rPr>
          <w:rFonts w:cs="Times New Roman"/>
          <w:szCs w:val="24"/>
        </w:rPr>
        <w:t>is 15.2</w:t>
      </w:r>
      <w:r w:rsidR="00515E79" w:rsidRPr="00D237D7">
        <w:rPr>
          <w:rFonts w:cs="Times New Roman"/>
          <w:szCs w:val="24"/>
        </w:rPr>
        <w:t xml:space="preserve"> percent less likely to cast a liberal vote, than when the SG does not advocate the conservative position as an amicus.</w:t>
      </w:r>
    </w:p>
    <w:p w:rsidR="003353B8" w:rsidRDefault="00515E79" w:rsidP="003353B8">
      <w:pPr>
        <w:autoSpaceDE w:val="0"/>
        <w:autoSpaceDN w:val="0"/>
        <w:adjustRightInd w:val="0"/>
        <w:spacing w:line="480" w:lineRule="auto"/>
        <w:ind w:left="0" w:firstLine="720"/>
        <w:rPr>
          <w:rFonts w:cs="Times New Roman"/>
          <w:szCs w:val="24"/>
        </w:rPr>
      </w:pPr>
      <w:r w:rsidRPr="00D237D7">
        <w:rPr>
          <w:rFonts w:cs="Times New Roman"/>
          <w:szCs w:val="24"/>
        </w:rPr>
        <w:t xml:space="preserve">Third, the </w:t>
      </w:r>
      <w:r w:rsidRPr="00D237D7">
        <w:rPr>
          <w:rFonts w:cs="Times New Roman"/>
          <w:i/>
          <w:szCs w:val="24"/>
        </w:rPr>
        <w:t xml:space="preserve">Lower Court Direction </w:t>
      </w:r>
      <w:r w:rsidRPr="00D237D7">
        <w:rPr>
          <w:rFonts w:cs="Times New Roman"/>
          <w:szCs w:val="24"/>
        </w:rPr>
        <w:t>variable is statistically significant and, as ex</w:t>
      </w:r>
      <w:r w:rsidR="00D237D7">
        <w:rPr>
          <w:rFonts w:cs="Times New Roman"/>
          <w:szCs w:val="24"/>
        </w:rPr>
        <w:t>pected, negatively signed.  The</w:t>
      </w:r>
      <w:r w:rsidRPr="00D237D7">
        <w:rPr>
          <w:rFonts w:cs="Times New Roman"/>
          <w:szCs w:val="24"/>
        </w:rPr>
        <w:t xml:space="preserve"> odds ratio</w:t>
      </w:r>
      <w:r w:rsidR="00D237D7">
        <w:rPr>
          <w:rFonts w:cs="Times New Roman"/>
          <w:color w:val="0070C0"/>
          <w:szCs w:val="24"/>
        </w:rPr>
        <w:t xml:space="preserve"> </w:t>
      </w:r>
      <w:r w:rsidR="00D237D7" w:rsidRPr="00D237D7">
        <w:rPr>
          <w:rFonts w:cs="Times New Roman"/>
          <w:szCs w:val="24"/>
        </w:rPr>
        <w:t>of .193</w:t>
      </w:r>
      <w:r w:rsidRPr="00D237D7">
        <w:rPr>
          <w:rFonts w:cs="Times New Roman"/>
          <w:szCs w:val="24"/>
        </w:rPr>
        <w:t xml:space="preserve"> indicates that when the Roberts Court is reviewing a lib</w:t>
      </w:r>
      <w:r w:rsidR="00D237D7" w:rsidRPr="00D237D7">
        <w:rPr>
          <w:rFonts w:cs="Times New Roman"/>
          <w:szCs w:val="24"/>
        </w:rPr>
        <w:t>eral decision, a justice is 5.18</w:t>
      </w:r>
      <w:r w:rsidRPr="00D237D7">
        <w:rPr>
          <w:rFonts w:cs="Times New Roman"/>
          <w:szCs w:val="24"/>
        </w:rPr>
        <w:t xml:space="preserve"> times less likely to issue a liberal vote than when the Roberts Court is reviewing a conservative decision.</w:t>
      </w:r>
      <w:r w:rsidRPr="00515E79">
        <w:rPr>
          <w:rFonts w:cs="Times New Roman"/>
          <w:color w:val="0070C0"/>
          <w:szCs w:val="24"/>
        </w:rPr>
        <w:t xml:space="preserve">  </w:t>
      </w:r>
      <w:r w:rsidRPr="00D237D7">
        <w:rPr>
          <w:rFonts w:cs="Times New Roman"/>
          <w:szCs w:val="24"/>
        </w:rPr>
        <w:t>Similarly, the marginal effects reveal that whe</w:t>
      </w:r>
      <w:r w:rsidR="00512780">
        <w:rPr>
          <w:rFonts w:cs="Times New Roman"/>
          <w:szCs w:val="24"/>
        </w:rPr>
        <w:t xml:space="preserve">n the Roberts Court </w:t>
      </w:r>
      <w:proofErr w:type="gramStart"/>
      <w:r w:rsidR="00512780">
        <w:rPr>
          <w:rFonts w:cs="Times New Roman"/>
          <w:szCs w:val="24"/>
        </w:rPr>
        <w:t>reviews</w:t>
      </w:r>
      <w:proofErr w:type="gramEnd"/>
      <w:r w:rsidRPr="00D237D7">
        <w:rPr>
          <w:rFonts w:cs="Times New Roman"/>
          <w:szCs w:val="24"/>
        </w:rPr>
        <w:t xml:space="preserve"> a lib</w:t>
      </w:r>
      <w:r w:rsidR="00D237D7" w:rsidRPr="00D237D7">
        <w:rPr>
          <w:rFonts w:cs="Times New Roman"/>
          <w:szCs w:val="24"/>
        </w:rPr>
        <w:t>eral decision, a justice is 38.9</w:t>
      </w:r>
      <w:r w:rsidRPr="00D237D7">
        <w:rPr>
          <w:rFonts w:cs="Times New Roman"/>
          <w:szCs w:val="24"/>
        </w:rPr>
        <w:t xml:space="preserve"> percent less likely to issue a liberal vote.  This result </w:t>
      </w:r>
      <w:r w:rsidR="00D237D7">
        <w:rPr>
          <w:rFonts w:cs="Times New Roman"/>
          <w:szCs w:val="24"/>
        </w:rPr>
        <w:t xml:space="preserve">again </w:t>
      </w:r>
      <w:r w:rsidRPr="00D237D7">
        <w:rPr>
          <w:rFonts w:cs="Times New Roman"/>
          <w:szCs w:val="24"/>
        </w:rPr>
        <w:t>confirms the known propensity of justices to vote to overturn cases that they review.</w:t>
      </w:r>
    </w:p>
    <w:p w:rsidR="00515E79" w:rsidRDefault="00D237D7" w:rsidP="003353B8">
      <w:pPr>
        <w:autoSpaceDE w:val="0"/>
        <w:autoSpaceDN w:val="0"/>
        <w:adjustRightInd w:val="0"/>
        <w:spacing w:line="480" w:lineRule="auto"/>
        <w:ind w:left="0" w:firstLine="720"/>
      </w:pPr>
      <w:r w:rsidRPr="003353B8">
        <w:rPr>
          <w:rFonts w:cs="Times New Roman"/>
          <w:szCs w:val="24"/>
        </w:rPr>
        <w:t>Fourth</w:t>
      </w:r>
      <w:r w:rsidR="003353B8">
        <w:rPr>
          <w:rFonts w:cs="Times New Roman"/>
          <w:szCs w:val="24"/>
        </w:rPr>
        <w:t xml:space="preserve"> and finally</w:t>
      </w:r>
      <w:r w:rsidR="00515E79" w:rsidRPr="003353B8">
        <w:rPr>
          <w:rFonts w:cs="Times New Roman"/>
          <w:szCs w:val="24"/>
        </w:rPr>
        <w:t xml:space="preserve">, the </w:t>
      </w:r>
      <w:r w:rsidR="00515E79" w:rsidRPr="003353B8">
        <w:rPr>
          <w:rFonts w:cs="Times New Roman"/>
          <w:i/>
          <w:szCs w:val="24"/>
        </w:rPr>
        <w:t xml:space="preserve">Liberal – Conservative Resource Difference </w:t>
      </w:r>
      <w:r w:rsidR="00515E79" w:rsidRPr="003353B8">
        <w:rPr>
          <w:rFonts w:cs="Times New Roman"/>
          <w:szCs w:val="24"/>
        </w:rPr>
        <w:t xml:space="preserve">variable is statistically significant and signed in the expected direction.  The odds ratio of </w:t>
      </w:r>
      <w:r w:rsidR="00515E79" w:rsidRPr="003353B8">
        <w:rPr>
          <w:rFonts w:cs="Times New Roman"/>
          <w:i/>
          <w:szCs w:val="24"/>
        </w:rPr>
        <w:t xml:space="preserve">Liberal – </w:t>
      </w:r>
      <w:r w:rsidR="00515E79" w:rsidRPr="003353B8">
        <w:rPr>
          <w:rFonts w:cs="Times New Roman"/>
          <w:i/>
          <w:szCs w:val="24"/>
        </w:rPr>
        <w:lastRenderedPageBreak/>
        <w:t xml:space="preserve">Conservative Resource Difference </w:t>
      </w:r>
      <w:r w:rsidR="003353B8" w:rsidRPr="003353B8">
        <w:rPr>
          <w:rFonts w:cs="Times New Roman"/>
          <w:szCs w:val="24"/>
        </w:rPr>
        <w:t>is 1.066</w:t>
      </w:r>
      <w:r w:rsidR="00515E79" w:rsidRPr="003353B8">
        <w:rPr>
          <w:rFonts w:cs="Times New Roman"/>
          <w:szCs w:val="24"/>
        </w:rPr>
        <w:t>, in</w:t>
      </w:r>
      <w:r w:rsidR="003353B8" w:rsidRPr="003353B8">
        <w:rPr>
          <w:rFonts w:cs="Times New Roman"/>
          <w:szCs w:val="24"/>
        </w:rPr>
        <w:t>dicating that a justice is 1.066</w:t>
      </w:r>
      <w:r w:rsidR="00515E79" w:rsidRPr="003353B8">
        <w:rPr>
          <w:rFonts w:cs="Times New Roman"/>
          <w:szCs w:val="24"/>
        </w:rPr>
        <w:t xml:space="preserve"> times more likely to issue a liberal ruling </w:t>
      </w:r>
      <w:r w:rsidR="003353B8" w:rsidRPr="003353B8">
        <w:t>in Model 3</w:t>
      </w:r>
      <w:r w:rsidR="00515E79" w:rsidRPr="003353B8">
        <w:t xml:space="preserve"> when there is a one unit increase in  </w:t>
      </w:r>
      <w:r w:rsidR="00515E79" w:rsidRPr="003353B8">
        <w:rPr>
          <w:rFonts w:cs="Times New Roman"/>
          <w:i/>
          <w:szCs w:val="24"/>
        </w:rPr>
        <w:t>Liberal – Conservative Resource Difference</w:t>
      </w:r>
      <w:r w:rsidR="00515E79" w:rsidRPr="003353B8">
        <w:rPr>
          <w:rFonts w:cs="Times New Roman"/>
          <w:szCs w:val="24"/>
        </w:rPr>
        <w:t xml:space="preserve">. </w:t>
      </w:r>
      <w:r w:rsidR="00515E79" w:rsidRPr="00515E79">
        <w:rPr>
          <w:rFonts w:cs="Times New Roman"/>
          <w:color w:val="0070C0"/>
          <w:szCs w:val="24"/>
        </w:rPr>
        <w:t xml:space="preserve"> </w:t>
      </w:r>
      <w:r w:rsidR="00515E79" w:rsidRPr="003353B8">
        <w:rPr>
          <w:rFonts w:cs="Times New Roman"/>
          <w:szCs w:val="24"/>
        </w:rPr>
        <w:t>The marginal effect of</w:t>
      </w:r>
      <w:r w:rsidR="00515E79" w:rsidRPr="003353B8">
        <w:rPr>
          <w:rFonts w:cs="Times New Roman"/>
          <w:i/>
          <w:szCs w:val="24"/>
        </w:rPr>
        <w:t xml:space="preserve"> Liberal – Conservative Resource Difference</w:t>
      </w:r>
      <w:r w:rsidR="00515E79" w:rsidRPr="003353B8">
        <w:rPr>
          <w:rFonts w:cs="Times New Roman"/>
          <w:szCs w:val="24"/>
        </w:rPr>
        <w:t xml:space="preserve"> </w:t>
      </w:r>
      <w:r w:rsidR="003353B8" w:rsidRPr="003353B8">
        <w:t>is 5.9</w:t>
      </w:r>
      <w:r w:rsidR="00515E79" w:rsidRPr="003353B8">
        <w:t xml:space="preserve"> percent, indicating that in a case in which the liber</w:t>
      </w:r>
      <w:r w:rsidR="003353B8">
        <w:t xml:space="preserve">al party’s resource </w:t>
      </w:r>
      <w:r w:rsidR="003353B8" w:rsidRPr="003353B8">
        <w:t>advantage is .26</w:t>
      </w:r>
      <w:r w:rsidR="00515E79" w:rsidRPr="003353B8">
        <w:t xml:space="preserve"> (one standard deviation above the mean),</w:t>
      </w:r>
      <w:r w:rsidR="003353B8" w:rsidRPr="003353B8">
        <w:t xml:space="preserve"> a justice is 5.9</w:t>
      </w:r>
      <w:r w:rsidR="00515E79" w:rsidRPr="003353B8">
        <w:t xml:space="preserve"> percent more likely to cast a liberal vote than in a case where the liberal pa</w:t>
      </w:r>
      <w:r w:rsidR="003353B8" w:rsidRPr="003353B8">
        <w:t>rty’s resource advantage is -4.15 (the mean)</w:t>
      </w:r>
      <w:r w:rsidR="00515E79" w:rsidRPr="003353B8">
        <w:t>.  Further, the marginal effect</w:t>
      </w:r>
      <w:r w:rsidR="003353B8" w:rsidRPr="003353B8">
        <w:t>s reveal that a justice is 23.99</w:t>
      </w:r>
      <w:r w:rsidR="00515E79" w:rsidRPr="003353B8">
        <w:t xml:space="preserve"> percent more likely to cast a liberal vote in a case where liberal party resource advantage is at it</w:t>
      </w:r>
      <w:r w:rsidR="003353B8" w:rsidRPr="003353B8">
        <w:rPr>
          <w:rFonts w:cs="Times New Roman"/>
          <w:szCs w:val="24"/>
        </w:rPr>
        <w:t>s highest value (8</w:t>
      </w:r>
      <w:r w:rsidR="00515E79" w:rsidRPr="003353B8">
        <w:rPr>
          <w:rFonts w:cs="Times New Roman"/>
          <w:szCs w:val="24"/>
        </w:rPr>
        <w:t xml:space="preserve">), than in a case where liberal resource advantage is at its lowest value (-9). </w:t>
      </w:r>
      <w:r w:rsidR="00515E79" w:rsidRPr="003353B8">
        <w:t xml:space="preserve"> </w:t>
      </w:r>
    </w:p>
    <w:p w:rsidR="00FE14C2" w:rsidRPr="006B7901" w:rsidRDefault="00FE14C2" w:rsidP="00FE14C2">
      <w:pPr>
        <w:spacing w:line="480" w:lineRule="auto"/>
        <w:ind w:left="0" w:firstLine="720"/>
        <w:rPr>
          <w:rFonts w:cs="Times New Roman"/>
          <w:szCs w:val="24"/>
        </w:rPr>
      </w:pPr>
      <w:r w:rsidRPr="002338A1">
        <w:rPr>
          <w:rFonts w:cs="Times New Roman"/>
          <w:szCs w:val="24"/>
        </w:rPr>
        <w:t xml:space="preserve">The results of my </w:t>
      </w:r>
      <w:proofErr w:type="spellStart"/>
      <w:r w:rsidRPr="002338A1">
        <w:rPr>
          <w:rFonts w:cs="Times New Roman"/>
          <w:szCs w:val="24"/>
        </w:rPr>
        <w:t>logit</w:t>
      </w:r>
      <w:proofErr w:type="spellEnd"/>
      <w:r w:rsidRPr="002338A1">
        <w:rPr>
          <w:rFonts w:cs="Times New Roman"/>
          <w:szCs w:val="24"/>
        </w:rPr>
        <w:t xml:space="preserve"> model considering only economics cases at the Roberts C</w:t>
      </w:r>
      <w:r>
        <w:rPr>
          <w:rFonts w:cs="Times New Roman"/>
          <w:szCs w:val="24"/>
        </w:rPr>
        <w:t>ourt (Model 4) are reported in T</w:t>
      </w:r>
      <w:r w:rsidRPr="002338A1">
        <w:rPr>
          <w:rFonts w:cs="Times New Roman"/>
          <w:szCs w:val="24"/>
        </w:rPr>
        <w:t xml:space="preserve">able 5.4.  </w:t>
      </w:r>
      <w:r w:rsidRPr="002338A1">
        <w:t xml:space="preserve">Model 4 was estimated using the same variables and methodology as the prior models, and will be interpreted in the same manner.  The chi square test for the model is statistically significant, which means that all the variables considered together in the model are significantly different than zero.  The model correctly predicts 69.45 percent of the outcomes on the dependent variable (liberal vote), which is a </w:t>
      </w:r>
      <w:r w:rsidRPr="002338A1">
        <w:rPr>
          <w:rFonts w:eastAsia="Times New Roman" w:cs="Times New Roman"/>
          <w:szCs w:val="24"/>
        </w:rPr>
        <w:t>38.67</w:t>
      </w:r>
      <w:r w:rsidRPr="002338A1">
        <w:t xml:space="preserve"> percent reduction in error in the absence of the model (liberal votes actually occurred 49.82 percent of the time).  </w:t>
      </w:r>
    </w:p>
    <w:p w:rsidR="00FE14C2" w:rsidRPr="00FE14C2" w:rsidRDefault="00FE14C2" w:rsidP="00FE14C2">
      <w:pPr>
        <w:autoSpaceDE w:val="0"/>
        <w:autoSpaceDN w:val="0"/>
        <w:adjustRightInd w:val="0"/>
        <w:spacing w:line="480" w:lineRule="auto"/>
        <w:ind w:left="0" w:firstLine="720"/>
      </w:pPr>
      <w:r w:rsidRPr="00B94222">
        <w:t>As with</w:t>
      </w:r>
      <w:r>
        <w:t xml:space="preserve"> Models 1 through 3</w:t>
      </w:r>
      <w:r w:rsidRPr="00B94222">
        <w:t xml:space="preserve">, the MLE coefficient for </w:t>
      </w:r>
      <w:r w:rsidRPr="00B94222">
        <w:rPr>
          <w:i/>
        </w:rPr>
        <w:t xml:space="preserve">Liberal-Conservative Amicus Briefs Difference </w:t>
      </w:r>
      <w:r w:rsidRPr="00B94222">
        <w:t>does not rise to the level of statistical significance in Model 4</w:t>
      </w:r>
      <w:r>
        <w:t>, even though it is signed in the expected direction</w:t>
      </w:r>
      <w:r w:rsidRPr="00B94222">
        <w:t xml:space="preserve">.   Further, </w:t>
      </w:r>
      <w:r w:rsidRPr="00B94222">
        <w:rPr>
          <w:i/>
        </w:rPr>
        <w:t xml:space="preserve">Liberal-Conservative Amicus Briefs Difference </w:t>
      </w:r>
      <w:r w:rsidRPr="00B94222">
        <w:t xml:space="preserve">is also not statistically significant when I estimate this same economics model but without the interaction term.  Therefore, an ideological advantage of amicus briefs does not appear to influence the direction of justice votes in economics cases at the Roberts Court.  </w:t>
      </w:r>
    </w:p>
    <w:p w:rsidR="00081217" w:rsidRDefault="00081217" w:rsidP="00081217">
      <w:pPr>
        <w:autoSpaceDE w:val="0"/>
        <w:autoSpaceDN w:val="0"/>
        <w:adjustRightInd w:val="0"/>
        <w:spacing w:line="480" w:lineRule="auto"/>
        <w:ind w:left="0" w:firstLine="0"/>
        <w:rPr>
          <w:rFonts w:cs="Times New Roman"/>
          <w:szCs w:val="24"/>
        </w:rPr>
      </w:pPr>
      <w:proofErr w:type="gramStart"/>
      <w:r>
        <w:rPr>
          <w:rFonts w:cs="Times New Roman"/>
          <w:b/>
          <w:szCs w:val="24"/>
        </w:rPr>
        <w:lastRenderedPageBreak/>
        <w:t>Table 5.4</w:t>
      </w:r>
      <w:r w:rsidRPr="00E8454D">
        <w:rPr>
          <w:rFonts w:cs="Times New Roman"/>
          <w:b/>
          <w:szCs w:val="24"/>
        </w:rPr>
        <w:t>.</w:t>
      </w:r>
      <w:proofErr w:type="gramEnd"/>
      <w:r>
        <w:rPr>
          <w:rFonts w:cs="Times New Roman"/>
          <w:szCs w:val="24"/>
        </w:rPr>
        <w:t xml:space="preserve"> </w:t>
      </w:r>
      <w:proofErr w:type="spellStart"/>
      <w:r>
        <w:rPr>
          <w:rFonts w:cs="Times New Roman"/>
          <w:b/>
          <w:szCs w:val="24"/>
        </w:rPr>
        <w:t>Logit</w:t>
      </w:r>
      <w:proofErr w:type="spellEnd"/>
      <w:r>
        <w:rPr>
          <w:rFonts w:cs="Times New Roman"/>
          <w:b/>
          <w:szCs w:val="24"/>
        </w:rPr>
        <w:t xml:space="preserve"> Model</w:t>
      </w:r>
      <w:r w:rsidRPr="00A02BA1">
        <w:rPr>
          <w:b/>
        </w:rPr>
        <w:t xml:space="preserve"> of</w:t>
      </w:r>
      <w:r>
        <w:rPr>
          <w:b/>
        </w:rPr>
        <w:t xml:space="preserve"> the Impact of Amici on Ideological Direction of Justice Votes at the Roberts Court, 2007 – 201</w:t>
      </w:r>
      <w:r w:rsidRPr="00A02BA1">
        <w:rPr>
          <w:b/>
        </w:rPr>
        <w:t>1 Terms</w:t>
      </w:r>
      <w:r>
        <w:rPr>
          <w:b/>
        </w:rPr>
        <w:t>: Economics Cases</w:t>
      </w:r>
    </w:p>
    <w:tbl>
      <w:tblPr>
        <w:tblW w:w="0" w:type="auto"/>
        <w:tblInd w:w="93" w:type="dxa"/>
        <w:tblBorders>
          <w:top w:val="single" w:sz="18" w:space="0" w:color="auto"/>
          <w:bottom w:val="single" w:sz="18" w:space="0" w:color="auto"/>
        </w:tblBorders>
        <w:tblLook w:val="04A0" w:firstRow="1" w:lastRow="0" w:firstColumn="1" w:lastColumn="0" w:noHBand="0" w:noVBand="1"/>
      </w:tblPr>
      <w:tblGrid>
        <w:gridCol w:w="3821"/>
        <w:gridCol w:w="1841"/>
        <w:gridCol w:w="1213"/>
        <w:gridCol w:w="1615"/>
      </w:tblGrid>
      <w:tr w:rsidR="00081217" w:rsidRPr="00944261" w:rsidTr="00831FAD">
        <w:trPr>
          <w:trHeight w:val="576"/>
        </w:trPr>
        <w:tc>
          <w:tcPr>
            <w:tcW w:w="0" w:type="auto"/>
            <w:tcBorders>
              <w:top w:val="single" w:sz="18" w:space="0" w:color="auto"/>
              <w:bottom w:val="single" w:sz="18" w:space="0" w:color="auto"/>
            </w:tcBorders>
            <w:shd w:val="clear" w:color="auto" w:fill="auto"/>
            <w:noWrap/>
            <w:vAlign w:val="center"/>
            <w:hideMark/>
          </w:tcPr>
          <w:p w:rsidR="00081217" w:rsidRPr="00944261" w:rsidRDefault="00081217" w:rsidP="00831FAD">
            <w:pPr>
              <w:ind w:left="0" w:firstLine="0"/>
              <w:rPr>
                <w:rFonts w:eastAsia="Times New Roman" w:cs="Times New Roman"/>
                <w:color w:val="000000"/>
                <w:sz w:val="22"/>
              </w:rPr>
            </w:pPr>
            <w:r w:rsidRPr="00944261">
              <w:rPr>
                <w:rFonts w:eastAsia="Times New Roman" w:cs="Times New Roman"/>
                <w:color w:val="000000"/>
                <w:sz w:val="22"/>
              </w:rPr>
              <w:t>Variable</w:t>
            </w:r>
          </w:p>
        </w:tc>
        <w:tc>
          <w:tcPr>
            <w:tcW w:w="0" w:type="auto"/>
            <w:tcBorders>
              <w:top w:val="single" w:sz="18" w:space="0" w:color="auto"/>
              <w:bottom w:val="single" w:sz="18" w:space="0" w:color="auto"/>
            </w:tcBorders>
            <w:shd w:val="clear" w:color="auto" w:fill="auto"/>
            <w:noWrap/>
            <w:vAlign w:val="center"/>
            <w:hideMark/>
          </w:tcPr>
          <w:p w:rsidR="00081217" w:rsidRPr="00944261" w:rsidRDefault="00081217" w:rsidP="00831FAD">
            <w:pPr>
              <w:ind w:left="0" w:firstLine="0"/>
              <w:jc w:val="center"/>
              <w:rPr>
                <w:rFonts w:eastAsia="Times New Roman" w:cs="Times New Roman"/>
                <w:color w:val="000000"/>
                <w:sz w:val="22"/>
              </w:rPr>
            </w:pPr>
            <w:r w:rsidRPr="00944261">
              <w:rPr>
                <w:rFonts w:eastAsia="Times New Roman" w:cs="Times New Roman"/>
                <w:color w:val="000000"/>
                <w:sz w:val="22"/>
              </w:rPr>
              <w:t>MLE Coefficient</w:t>
            </w:r>
          </w:p>
        </w:tc>
        <w:tc>
          <w:tcPr>
            <w:tcW w:w="0" w:type="auto"/>
            <w:tcBorders>
              <w:top w:val="single" w:sz="18" w:space="0" w:color="auto"/>
              <w:bottom w:val="single" w:sz="18" w:space="0" w:color="auto"/>
            </w:tcBorders>
            <w:shd w:val="clear" w:color="auto" w:fill="auto"/>
            <w:noWrap/>
            <w:vAlign w:val="center"/>
            <w:hideMark/>
          </w:tcPr>
          <w:p w:rsidR="00081217" w:rsidRPr="00944261" w:rsidRDefault="00081217" w:rsidP="00831FAD">
            <w:pPr>
              <w:ind w:left="0" w:firstLine="0"/>
              <w:jc w:val="center"/>
              <w:rPr>
                <w:rFonts w:eastAsia="Times New Roman" w:cs="Times New Roman"/>
                <w:color w:val="000000"/>
                <w:sz w:val="22"/>
              </w:rPr>
            </w:pPr>
            <w:r>
              <w:rPr>
                <w:rFonts w:eastAsia="Times New Roman" w:cs="Times New Roman"/>
                <w:color w:val="000000"/>
                <w:sz w:val="22"/>
              </w:rPr>
              <w:t>Odds Ratio</w:t>
            </w:r>
          </w:p>
        </w:tc>
        <w:tc>
          <w:tcPr>
            <w:tcW w:w="0" w:type="auto"/>
            <w:tcBorders>
              <w:top w:val="single" w:sz="18" w:space="0" w:color="auto"/>
              <w:bottom w:val="single" w:sz="18" w:space="0" w:color="auto"/>
            </w:tcBorders>
            <w:shd w:val="clear" w:color="auto" w:fill="auto"/>
            <w:noWrap/>
            <w:vAlign w:val="center"/>
            <w:hideMark/>
          </w:tcPr>
          <w:p w:rsidR="00081217" w:rsidRPr="009E0439" w:rsidRDefault="00081217" w:rsidP="00831FAD">
            <w:pPr>
              <w:ind w:left="0" w:firstLine="0"/>
              <w:jc w:val="center"/>
              <w:rPr>
                <w:rFonts w:eastAsia="Times New Roman" w:cs="Times New Roman"/>
                <w:sz w:val="22"/>
              </w:rPr>
            </w:pPr>
            <w:r w:rsidRPr="009E0439">
              <w:rPr>
                <w:rFonts w:eastAsia="Times New Roman" w:cs="Times New Roman"/>
                <w:sz w:val="22"/>
              </w:rPr>
              <w:t>Marginal Effect</w:t>
            </w:r>
          </w:p>
        </w:tc>
      </w:tr>
      <w:tr w:rsidR="00964B0E" w:rsidRPr="00944261" w:rsidTr="00964B0E">
        <w:trPr>
          <w:trHeight w:val="576"/>
        </w:trPr>
        <w:tc>
          <w:tcPr>
            <w:tcW w:w="0" w:type="auto"/>
            <w:tcBorders>
              <w:top w:val="single" w:sz="18" w:space="0" w:color="auto"/>
            </w:tcBorders>
            <w:shd w:val="clear" w:color="auto" w:fill="auto"/>
            <w:noWrap/>
            <w:vAlign w:val="center"/>
            <w:hideMark/>
          </w:tcPr>
          <w:p w:rsidR="00964B0E" w:rsidRPr="00944261" w:rsidRDefault="00964B0E" w:rsidP="00831FAD">
            <w:pPr>
              <w:ind w:left="0" w:firstLine="0"/>
              <w:rPr>
                <w:rFonts w:eastAsia="Times New Roman" w:cs="Times New Roman"/>
                <w:b/>
                <w:bCs/>
                <w:color w:val="000000"/>
                <w:sz w:val="22"/>
              </w:rPr>
            </w:pPr>
            <w:r w:rsidRPr="00944261">
              <w:rPr>
                <w:rFonts w:eastAsia="Times New Roman" w:cs="Times New Roman"/>
                <w:b/>
                <w:bCs/>
                <w:color w:val="000000"/>
                <w:sz w:val="22"/>
              </w:rPr>
              <w:t>Amicus Brief Difference</w:t>
            </w:r>
          </w:p>
        </w:tc>
        <w:tc>
          <w:tcPr>
            <w:tcW w:w="0" w:type="auto"/>
            <w:tcBorders>
              <w:top w:val="single" w:sz="18" w:space="0" w:color="auto"/>
            </w:tcBorders>
            <w:shd w:val="clear" w:color="auto" w:fill="auto"/>
            <w:noWrap/>
            <w:vAlign w:val="center"/>
            <w:hideMark/>
          </w:tcPr>
          <w:p w:rsidR="00964B0E" w:rsidRDefault="00964B0E" w:rsidP="003B5F56">
            <w:pPr>
              <w:jc w:val="center"/>
              <w:rPr>
                <w:color w:val="000000"/>
                <w:sz w:val="22"/>
              </w:rPr>
            </w:pPr>
            <w:r>
              <w:rPr>
                <w:color w:val="000000"/>
                <w:sz w:val="22"/>
              </w:rPr>
              <w:t>0.06 (.07)</w:t>
            </w:r>
          </w:p>
        </w:tc>
        <w:tc>
          <w:tcPr>
            <w:tcW w:w="0" w:type="auto"/>
            <w:tcBorders>
              <w:top w:val="single" w:sz="18" w:space="0" w:color="auto"/>
            </w:tcBorders>
            <w:shd w:val="clear" w:color="auto" w:fill="auto"/>
            <w:noWrap/>
            <w:vAlign w:val="center"/>
            <w:hideMark/>
          </w:tcPr>
          <w:p w:rsidR="00964B0E" w:rsidRDefault="00964B0E" w:rsidP="00964B0E">
            <w:pPr>
              <w:jc w:val="center"/>
              <w:rPr>
                <w:color w:val="000000"/>
                <w:sz w:val="22"/>
              </w:rPr>
            </w:pPr>
            <w:r>
              <w:rPr>
                <w:color w:val="000000"/>
                <w:sz w:val="22"/>
              </w:rPr>
              <w:t>1.061</w:t>
            </w:r>
          </w:p>
        </w:tc>
        <w:tc>
          <w:tcPr>
            <w:tcW w:w="0" w:type="auto"/>
            <w:tcBorders>
              <w:top w:val="single" w:sz="18" w:space="0" w:color="auto"/>
            </w:tcBorders>
            <w:shd w:val="clear" w:color="auto" w:fill="auto"/>
            <w:noWrap/>
            <w:vAlign w:val="center"/>
            <w:hideMark/>
          </w:tcPr>
          <w:p w:rsidR="00964B0E" w:rsidRPr="009E0439" w:rsidRDefault="009E0439" w:rsidP="00831FAD">
            <w:pPr>
              <w:ind w:left="0" w:firstLine="0"/>
              <w:jc w:val="center"/>
              <w:rPr>
                <w:rFonts w:eastAsia="Times New Roman" w:cs="Times New Roman"/>
                <w:sz w:val="22"/>
              </w:rPr>
            </w:pPr>
            <w:r w:rsidRPr="009E0439">
              <w:rPr>
                <w:rFonts w:eastAsia="Times New Roman" w:cs="Times New Roman"/>
                <w:sz w:val="22"/>
              </w:rPr>
              <w:t>6.0%</w:t>
            </w:r>
          </w:p>
        </w:tc>
      </w:tr>
      <w:tr w:rsidR="00964B0E" w:rsidRPr="00944261" w:rsidTr="00964B0E">
        <w:trPr>
          <w:trHeight w:val="576"/>
        </w:trPr>
        <w:tc>
          <w:tcPr>
            <w:tcW w:w="0" w:type="auto"/>
            <w:shd w:val="clear" w:color="auto" w:fill="auto"/>
            <w:noWrap/>
            <w:vAlign w:val="center"/>
            <w:hideMark/>
          </w:tcPr>
          <w:p w:rsidR="00964B0E" w:rsidRPr="00944261" w:rsidRDefault="00964B0E" w:rsidP="00831FAD">
            <w:pPr>
              <w:ind w:left="0" w:firstLine="0"/>
              <w:rPr>
                <w:rFonts w:eastAsia="Times New Roman" w:cs="Times New Roman"/>
                <w:b/>
                <w:bCs/>
                <w:color w:val="000000"/>
                <w:sz w:val="22"/>
              </w:rPr>
            </w:pPr>
            <w:r w:rsidRPr="00944261">
              <w:rPr>
                <w:rFonts w:eastAsia="Times New Roman" w:cs="Times New Roman"/>
                <w:b/>
                <w:bCs/>
                <w:color w:val="000000"/>
                <w:sz w:val="22"/>
              </w:rPr>
              <w:t>Moderation</w:t>
            </w:r>
          </w:p>
        </w:tc>
        <w:tc>
          <w:tcPr>
            <w:tcW w:w="0" w:type="auto"/>
            <w:shd w:val="clear" w:color="auto" w:fill="auto"/>
            <w:noWrap/>
            <w:vAlign w:val="center"/>
            <w:hideMark/>
          </w:tcPr>
          <w:p w:rsidR="00964B0E" w:rsidRDefault="00964B0E" w:rsidP="003B5F56">
            <w:pPr>
              <w:jc w:val="center"/>
              <w:rPr>
                <w:color w:val="000000"/>
                <w:sz w:val="22"/>
              </w:rPr>
            </w:pPr>
            <w:r>
              <w:rPr>
                <w:color w:val="000000"/>
                <w:sz w:val="22"/>
              </w:rPr>
              <w:t>-0.19 (.10)*</w:t>
            </w:r>
          </w:p>
        </w:tc>
        <w:tc>
          <w:tcPr>
            <w:tcW w:w="0" w:type="auto"/>
            <w:shd w:val="clear" w:color="auto" w:fill="auto"/>
            <w:noWrap/>
            <w:vAlign w:val="center"/>
            <w:hideMark/>
          </w:tcPr>
          <w:p w:rsidR="00964B0E" w:rsidRDefault="00964B0E" w:rsidP="00964B0E">
            <w:pPr>
              <w:jc w:val="center"/>
              <w:rPr>
                <w:color w:val="000000"/>
                <w:sz w:val="22"/>
              </w:rPr>
            </w:pPr>
            <w:r>
              <w:rPr>
                <w:color w:val="000000"/>
                <w:sz w:val="22"/>
              </w:rPr>
              <w:t>0.827</w:t>
            </w:r>
          </w:p>
        </w:tc>
        <w:tc>
          <w:tcPr>
            <w:tcW w:w="0" w:type="auto"/>
            <w:shd w:val="clear" w:color="auto" w:fill="auto"/>
            <w:noWrap/>
            <w:vAlign w:val="center"/>
            <w:hideMark/>
          </w:tcPr>
          <w:p w:rsidR="00964B0E" w:rsidRPr="009E0439" w:rsidRDefault="009E0439" w:rsidP="00831FAD">
            <w:pPr>
              <w:ind w:left="0" w:firstLine="0"/>
              <w:jc w:val="center"/>
              <w:rPr>
                <w:rFonts w:eastAsia="Times New Roman" w:cs="Times New Roman"/>
                <w:sz w:val="22"/>
              </w:rPr>
            </w:pPr>
            <w:r w:rsidRPr="009E0439">
              <w:rPr>
                <w:rFonts w:eastAsia="Times New Roman" w:cs="Times New Roman"/>
                <w:sz w:val="22"/>
              </w:rPr>
              <w:t>-4.2%</w:t>
            </w:r>
          </w:p>
        </w:tc>
      </w:tr>
      <w:tr w:rsidR="00964B0E" w:rsidRPr="00944261" w:rsidTr="00964B0E">
        <w:trPr>
          <w:trHeight w:val="576"/>
        </w:trPr>
        <w:tc>
          <w:tcPr>
            <w:tcW w:w="0" w:type="auto"/>
            <w:shd w:val="clear" w:color="auto" w:fill="auto"/>
            <w:noWrap/>
            <w:vAlign w:val="center"/>
            <w:hideMark/>
          </w:tcPr>
          <w:p w:rsidR="00964B0E" w:rsidRPr="00944261" w:rsidRDefault="00964B0E" w:rsidP="00831FAD">
            <w:pPr>
              <w:ind w:left="0" w:firstLine="0"/>
              <w:rPr>
                <w:rFonts w:eastAsia="Times New Roman" w:cs="Times New Roman"/>
                <w:b/>
                <w:bCs/>
                <w:color w:val="000000"/>
                <w:sz w:val="22"/>
              </w:rPr>
            </w:pPr>
            <w:r w:rsidRPr="00944261">
              <w:rPr>
                <w:rFonts w:eastAsia="Times New Roman" w:cs="Times New Roman"/>
                <w:b/>
                <w:bCs/>
                <w:color w:val="000000"/>
                <w:sz w:val="22"/>
              </w:rPr>
              <w:t>Moderation x Amicus Brief Difference</w:t>
            </w:r>
          </w:p>
        </w:tc>
        <w:tc>
          <w:tcPr>
            <w:tcW w:w="0" w:type="auto"/>
            <w:shd w:val="clear" w:color="auto" w:fill="auto"/>
            <w:noWrap/>
            <w:vAlign w:val="center"/>
            <w:hideMark/>
          </w:tcPr>
          <w:p w:rsidR="00964B0E" w:rsidRDefault="00964B0E" w:rsidP="003B5F56">
            <w:pPr>
              <w:jc w:val="center"/>
              <w:rPr>
                <w:color w:val="000000"/>
                <w:sz w:val="22"/>
              </w:rPr>
            </w:pPr>
            <w:r>
              <w:rPr>
                <w:color w:val="000000"/>
                <w:sz w:val="22"/>
              </w:rPr>
              <w:t>0.00 (.02)</w:t>
            </w:r>
          </w:p>
        </w:tc>
        <w:tc>
          <w:tcPr>
            <w:tcW w:w="0" w:type="auto"/>
            <w:shd w:val="clear" w:color="auto" w:fill="auto"/>
            <w:noWrap/>
            <w:vAlign w:val="center"/>
            <w:hideMark/>
          </w:tcPr>
          <w:p w:rsidR="00964B0E" w:rsidRDefault="00964B0E" w:rsidP="00964B0E">
            <w:pPr>
              <w:jc w:val="center"/>
              <w:rPr>
                <w:color w:val="000000"/>
                <w:sz w:val="22"/>
              </w:rPr>
            </w:pPr>
            <w:r>
              <w:rPr>
                <w:color w:val="000000"/>
                <w:sz w:val="22"/>
              </w:rPr>
              <w:t>0.995</w:t>
            </w:r>
          </w:p>
        </w:tc>
        <w:tc>
          <w:tcPr>
            <w:tcW w:w="0" w:type="auto"/>
            <w:shd w:val="clear" w:color="auto" w:fill="auto"/>
            <w:noWrap/>
            <w:vAlign w:val="center"/>
            <w:hideMark/>
          </w:tcPr>
          <w:p w:rsidR="00964B0E" w:rsidRPr="009E0439" w:rsidRDefault="00964B0E" w:rsidP="00831FAD">
            <w:pPr>
              <w:ind w:left="0" w:firstLine="0"/>
              <w:jc w:val="center"/>
              <w:rPr>
                <w:rFonts w:eastAsia="Times New Roman" w:cs="Times New Roman"/>
                <w:sz w:val="22"/>
              </w:rPr>
            </w:pPr>
            <w:r w:rsidRPr="009E0439">
              <w:rPr>
                <w:rFonts w:eastAsia="Times New Roman" w:cs="Times New Roman"/>
                <w:sz w:val="22"/>
              </w:rPr>
              <w:t>See Figure 5.4</w:t>
            </w:r>
          </w:p>
        </w:tc>
      </w:tr>
      <w:tr w:rsidR="00964B0E" w:rsidRPr="00944261" w:rsidTr="00964B0E">
        <w:trPr>
          <w:trHeight w:val="576"/>
        </w:trPr>
        <w:tc>
          <w:tcPr>
            <w:tcW w:w="0" w:type="auto"/>
            <w:shd w:val="clear" w:color="auto" w:fill="auto"/>
            <w:noWrap/>
            <w:vAlign w:val="center"/>
            <w:hideMark/>
          </w:tcPr>
          <w:p w:rsidR="00964B0E" w:rsidRPr="00944261" w:rsidRDefault="00964B0E" w:rsidP="00831FAD">
            <w:pPr>
              <w:ind w:left="0" w:firstLine="0"/>
              <w:rPr>
                <w:rFonts w:eastAsia="Times New Roman" w:cs="Times New Roman"/>
                <w:b/>
                <w:bCs/>
                <w:color w:val="000000"/>
                <w:sz w:val="22"/>
              </w:rPr>
            </w:pPr>
            <w:r w:rsidRPr="00944261">
              <w:rPr>
                <w:rFonts w:eastAsia="Times New Roman" w:cs="Times New Roman"/>
                <w:b/>
                <w:bCs/>
                <w:color w:val="000000"/>
                <w:sz w:val="22"/>
              </w:rPr>
              <w:t>Ideology</w:t>
            </w:r>
          </w:p>
        </w:tc>
        <w:tc>
          <w:tcPr>
            <w:tcW w:w="0" w:type="auto"/>
            <w:shd w:val="clear" w:color="auto" w:fill="auto"/>
            <w:noWrap/>
            <w:vAlign w:val="center"/>
            <w:hideMark/>
          </w:tcPr>
          <w:p w:rsidR="00964B0E" w:rsidRDefault="00964B0E" w:rsidP="003B5F56">
            <w:pPr>
              <w:jc w:val="center"/>
              <w:rPr>
                <w:color w:val="000000"/>
                <w:sz w:val="22"/>
              </w:rPr>
            </w:pPr>
            <w:r>
              <w:rPr>
                <w:color w:val="000000"/>
                <w:sz w:val="22"/>
              </w:rPr>
              <w:t>1.94 (.36)***</w:t>
            </w:r>
          </w:p>
        </w:tc>
        <w:tc>
          <w:tcPr>
            <w:tcW w:w="0" w:type="auto"/>
            <w:shd w:val="clear" w:color="auto" w:fill="auto"/>
            <w:noWrap/>
            <w:vAlign w:val="center"/>
            <w:hideMark/>
          </w:tcPr>
          <w:p w:rsidR="00964B0E" w:rsidRDefault="00964B0E" w:rsidP="00964B0E">
            <w:pPr>
              <w:jc w:val="center"/>
              <w:rPr>
                <w:color w:val="000000"/>
                <w:sz w:val="22"/>
              </w:rPr>
            </w:pPr>
            <w:r>
              <w:rPr>
                <w:color w:val="000000"/>
                <w:sz w:val="22"/>
              </w:rPr>
              <w:t>6.976</w:t>
            </w:r>
          </w:p>
        </w:tc>
        <w:tc>
          <w:tcPr>
            <w:tcW w:w="0" w:type="auto"/>
            <w:shd w:val="clear" w:color="auto" w:fill="auto"/>
            <w:noWrap/>
            <w:vAlign w:val="center"/>
            <w:hideMark/>
          </w:tcPr>
          <w:p w:rsidR="00964B0E" w:rsidRPr="009E0439" w:rsidRDefault="009E0439" w:rsidP="00831FAD">
            <w:pPr>
              <w:ind w:left="0" w:firstLine="0"/>
              <w:jc w:val="center"/>
              <w:rPr>
                <w:rFonts w:eastAsia="Times New Roman" w:cs="Times New Roman"/>
                <w:sz w:val="22"/>
              </w:rPr>
            </w:pPr>
            <w:r w:rsidRPr="009E0439">
              <w:rPr>
                <w:rFonts w:eastAsia="Times New Roman" w:cs="Times New Roman"/>
                <w:sz w:val="22"/>
              </w:rPr>
              <w:t>11.9%</w:t>
            </w:r>
          </w:p>
        </w:tc>
      </w:tr>
      <w:tr w:rsidR="00964B0E" w:rsidRPr="00944261" w:rsidTr="00964B0E">
        <w:trPr>
          <w:trHeight w:val="576"/>
        </w:trPr>
        <w:tc>
          <w:tcPr>
            <w:tcW w:w="0" w:type="auto"/>
            <w:shd w:val="clear" w:color="auto" w:fill="auto"/>
            <w:noWrap/>
            <w:vAlign w:val="center"/>
            <w:hideMark/>
          </w:tcPr>
          <w:p w:rsidR="00964B0E" w:rsidRPr="00944261" w:rsidRDefault="00964B0E" w:rsidP="00831FAD">
            <w:pPr>
              <w:ind w:left="0" w:firstLine="0"/>
              <w:rPr>
                <w:rFonts w:eastAsia="Times New Roman" w:cs="Times New Roman"/>
                <w:b/>
                <w:bCs/>
                <w:color w:val="000000"/>
                <w:sz w:val="22"/>
              </w:rPr>
            </w:pPr>
            <w:r w:rsidRPr="00944261">
              <w:rPr>
                <w:rFonts w:eastAsia="Times New Roman" w:cs="Times New Roman"/>
                <w:b/>
                <w:bCs/>
                <w:color w:val="000000"/>
                <w:sz w:val="22"/>
              </w:rPr>
              <w:t>Amicus Cosigner Difference</w:t>
            </w:r>
          </w:p>
        </w:tc>
        <w:tc>
          <w:tcPr>
            <w:tcW w:w="0" w:type="auto"/>
            <w:shd w:val="clear" w:color="auto" w:fill="auto"/>
            <w:noWrap/>
            <w:vAlign w:val="center"/>
            <w:hideMark/>
          </w:tcPr>
          <w:p w:rsidR="00964B0E" w:rsidRDefault="00964B0E" w:rsidP="003B5F56">
            <w:pPr>
              <w:jc w:val="center"/>
              <w:rPr>
                <w:color w:val="000000"/>
                <w:sz w:val="22"/>
              </w:rPr>
            </w:pPr>
            <w:r>
              <w:rPr>
                <w:color w:val="000000"/>
                <w:sz w:val="22"/>
              </w:rPr>
              <w:t>0.00 (.00)</w:t>
            </w:r>
          </w:p>
        </w:tc>
        <w:tc>
          <w:tcPr>
            <w:tcW w:w="0" w:type="auto"/>
            <w:shd w:val="clear" w:color="auto" w:fill="auto"/>
            <w:noWrap/>
            <w:vAlign w:val="center"/>
            <w:hideMark/>
          </w:tcPr>
          <w:p w:rsidR="00964B0E" w:rsidRDefault="00964B0E" w:rsidP="00964B0E">
            <w:pPr>
              <w:jc w:val="center"/>
              <w:rPr>
                <w:color w:val="000000"/>
                <w:sz w:val="22"/>
              </w:rPr>
            </w:pPr>
            <w:r>
              <w:rPr>
                <w:color w:val="000000"/>
                <w:sz w:val="22"/>
              </w:rPr>
              <w:t>1.000</w:t>
            </w:r>
          </w:p>
        </w:tc>
        <w:tc>
          <w:tcPr>
            <w:tcW w:w="0" w:type="auto"/>
            <w:shd w:val="clear" w:color="auto" w:fill="auto"/>
            <w:noWrap/>
            <w:vAlign w:val="center"/>
            <w:hideMark/>
          </w:tcPr>
          <w:p w:rsidR="00964B0E" w:rsidRPr="009E0439" w:rsidRDefault="009E0439" w:rsidP="00831FAD">
            <w:pPr>
              <w:ind w:left="0" w:firstLine="0"/>
              <w:jc w:val="center"/>
              <w:rPr>
                <w:rFonts w:eastAsia="Times New Roman" w:cs="Times New Roman"/>
                <w:sz w:val="22"/>
              </w:rPr>
            </w:pPr>
            <w:r w:rsidRPr="009E0439">
              <w:rPr>
                <w:rFonts w:eastAsia="Times New Roman" w:cs="Times New Roman"/>
                <w:sz w:val="22"/>
              </w:rPr>
              <w:t>0.1%</w:t>
            </w:r>
          </w:p>
        </w:tc>
      </w:tr>
      <w:tr w:rsidR="00964B0E" w:rsidRPr="00944261" w:rsidTr="00964B0E">
        <w:trPr>
          <w:trHeight w:val="576"/>
        </w:trPr>
        <w:tc>
          <w:tcPr>
            <w:tcW w:w="0" w:type="auto"/>
            <w:shd w:val="clear" w:color="auto" w:fill="auto"/>
            <w:noWrap/>
            <w:vAlign w:val="center"/>
            <w:hideMark/>
          </w:tcPr>
          <w:p w:rsidR="00964B0E" w:rsidRPr="00944261" w:rsidRDefault="00964B0E" w:rsidP="00831FAD">
            <w:pPr>
              <w:ind w:left="0" w:firstLine="0"/>
              <w:rPr>
                <w:rFonts w:eastAsia="Times New Roman" w:cs="Times New Roman"/>
                <w:b/>
                <w:bCs/>
                <w:color w:val="000000"/>
                <w:sz w:val="22"/>
              </w:rPr>
            </w:pPr>
            <w:r w:rsidRPr="00944261">
              <w:rPr>
                <w:rFonts w:eastAsia="Times New Roman" w:cs="Times New Roman"/>
                <w:b/>
                <w:bCs/>
                <w:color w:val="000000"/>
                <w:sz w:val="22"/>
              </w:rPr>
              <w:t>SG Lib Amicus Brief</w:t>
            </w:r>
          </w:p>
        </w:tc>
        <w:tc>
          <w:tcPr>
            <w:tcW w:w="0" w:type="auto"/>
            <w:shd w:val="clear" w:color="auto" w:fill="auto"/>
            <w:noWrap/>
            <w:vAlign w:val="center"/>
            <w:hideMark/>
          </w:tcPr>
          <w:p w:rsidR="00964B0E" w:rsidRDefault="00964B0E" w:rsidP="003B5F56">
            <w:pPr>
              <w:jc w:val="center"/>
              <w:rPr>
                <w:color w:val="000000"/>
                <w:sz w:val="22"/>
              </w:rPr>
            </w:pPr>
            <w:r>
              <w:rPr>
                <w:color w:val="000000"/>
                <w:sz w:val="22"/>
              </w:rPr>
              <w:t>0.67 (.19)***</w:t>
            </w:r>
          </w:p>
        </w:tc>
        <w:tc>
          <w:tcPr>
            <w:tcW w:w="0" w:type="auto"/>
            <w:shd w:val="clear" w:color="auto" w:fill="auto"/>
            <w:noWrap/>
            <w:vAlign w:val="center"/>
            <w:hideMark/>
          </w:tcPr>
          <w:p w:rsidR="00964B0E" w:rsidRDefault="00964B0E" w:rsidP="00964B0E">
            <w:pPr>
              <w:jc w:val="center"/>
              <w:rPr>
                <w:color w:val="000000"/>
                <w:sz w:val="22"/>
              </w:rPr>
            </w:pPr>
            <w:r>
              <w:rPr>
                <w:color w:val="000000"/>
                <w:sz w:val="22"/>
              </w:rPr>
              <w:t>1.961</w:t>
            </w:r>
          </w:p>
        </w:tc>
        <w:tc>
          <w:tcPr>
            <w:tcW w:w="0" w:type="auto"/>
            <w:shd w:val="clear" w:color="auto" w:fill="auto"/>
            <w:noWrap/>
            <w:vAlign w:val="center"/>
            <w:hideMark/>
          </w:tcPr>
          <w:p w:rsidR="00964B0E" w:rsidRPr="009E0439" w:rsidRDefault="009E0439" w:rsidP="00831FAD">
            <w:pPr>
              <w:ind w:left="0" w:firstLine="0"/>
              <w:jc w:val="center"/>
              <w:rPr>
                <w:rFonts w:eastAsia="Times New Roman" w:cs="Times New Roman"/>
                <w:sz w:val="22"/>
              </w:rPr>
            </w:pPr>
            <w:r w:rsidRPr="009E0439">
              <w:rPr>
                <w:rFonts w:eastAsia="Times New Roman" w:cs="Times New Roman"/>
                <w:sz w:val="22"/>
              </w:rPr>
              <w:t>15.5%</w:t>
            </w:r>
          </w:p>
        </w:tc>
      </w:tr>
      <w:tr w:rsidR="00964B0E" w:rsidRPr="00944261" w:rsidTr="00964B0E">
        <w:trPr>
          <w:trHeight w:val="576"/>
        </w:trPr>
        <w:tc>
          <w:tcPr>
            <w:tcW w:w="0" w:type="auto"/>
            <w:shd w:val="clear" w:color="auto" w:fill="auto"/>
            <w:noWrap/>
            <w:vAlign w:val="center"/>
            <w:hideMark/>
          </w:tcPr>
          <w:p w:rsidR="00964B0E" w:rsidRPr="00944261" w:rsidRDefault="00964B0E" w:rsidP="00831FAD">
            <w:pPr>
              <w:ind w:left="0" w:firstLine="0"/>
              <w:rPr>
                <w:rFonts w:eastAsia="Times New Roman" w:cs="Times New Roman"/>
                <w:b/>
                <w:bCs/>
                <w:color w:val="000000"/>
                <w:sz w:val="22"/>
              </w:rPr>
            </w:pPr>
            <w:r w:rsidRPr="00944261">
              <w:rPr>
                <w:rFonts w:eastAsia="Times New Roman" w:cs="Times New Roman"/>
                <w:b/>
                <w:bCs/>
                <w:color w:val="000000"/>
                <w:sz w:val="22"/>
              </w:rPr>
              <w:t>SG Con Amicus Brief</w:t>
            </w:r>
          </w:p>
        </w:tc>
        <w:tc>
          <w:tcPr>
            <w:tcW w:w="0" w:type="auto"/>
            <w:shd w:val="clear" w:color="auto" w:fill="auto"/>
            <w:noWrap/>
            <w:vAlign w:val="center"/>
            <w:hideMark/>
          </w:tcPr>
          <w:p w:rsidR="00964B0E" w:rsidRDefault="00964B0E" w:rsidP="003B5F56">
            <w:pPr>
              <w:jc w:val="center"/>
              <w:rPr>
                <w:color w:val="000000"/>
                <w:sz w:val="22"/>
              </w:rPr>
            </w:pPr>
            <w:r>
              <w:rPr>
                <w:color w:val="000000"/>
                <w:sz w:val="22"/>
              </w:rPr>
              <w:t>-1.52 (.26)***</w:t>
            </w:r>
          </w:p>
        </w:tc>
        <w:tc>
          <w:tcPr>
            <w:tcW w:w="0" w:type="auto"/>
            <w:shd w:val="clear" w:color="auto" w:fill="auto"/>
            <w:noWrap/>
            <w:vAlign w:val="center"/>
            <w:hideMark/>
          </w:tcPr>
          <w:p w:rsidR="00964B0E" w:rsidRDefault="00964B0E" w:rsidP="00964B0E">
            <w:pPr>
              <w:jc w:val="center"/>
              <w:rPr>
                <w:color w:val="000000"/>
                <w:sz w:val="22"/>
              </w:rPr>
            </w:pPr>
            <w:r>
              <w:rPr>
                <w:color w:val="000000"/>
                <w:sz w:val="22"/>
              </w:rPr>
              <w:t>0.219</w:t>
            </w:r>
          </w:p>
        </w:tc>
        <w:tc>
          <w:tcPr>
            <w:tcW w:w="0" w:type="auto"/>
            <w:shd w:val="clear" w:color="auto" w:fill="auto"/>
            <w:noWrap/>
            <w:vAlign w:val="center"/>
            <w:hideMark/>
          </w:tcPr>
          <w:p w:rsidR="00964B0E" w:rsidRPr="009E0439" w:rsidRDefault="009E0439" w:rsidP="00831FAD">
            <w:pPr>
              <w:ind w:left="0" w:firstLine="0"/>
              <w:jc w:val="center"/>
              <w:rPr>
                <w:rFonts w:eastAsia="Times New Roman" w:cs="Times New Roman"/>
                <w:sz w:val="22"/>
              </w:rPr>
            </w:pPr>
            <w:r w:rsidRPr="009E0439">
              <w:rPr>
                <w:rFonts w:eastAsia="Times New Roman" w:cs="Times New Roman"/>
                <w:sz w:val="22"/>
              </w:rPr>
              <w:t>-33.9%</w:t>
            </w:r>
          </w:p>
        </w:tc>
      </w:tr>
      <w:tr w:rsidR="00964B0E" w:rsidRPr="00944261" w:rsidTr="00964B0E">
        <w:trPr>
          <w:trHeight w:val="576"/>
        </w:trPr>
        <w:tc>
          <w:tcPr>
            <w:tcW w:w="0" w:type="auto"/>
            <w:shd w:val="clear" w:color="auto" w:fill="auto"/>
            <w:noWrap/>
            <w:vAlign w:val="center"/>
            <w:hideMark/>
          </w:tcPr>
          <w:p w:rsidR="00964B0E" w:rsidRPr="00944261" w:rsidRDefault="00964B0E" w:rsidP="00831FAD">
            <w:pPr>
              <w:ind w:left="0" w:firstLine="0"/>
              <w:rPr>
                <w:rFonts w:eastAsia="Times New Roman" w:cs="Times New Roman"/>
                <w:b/>
                <w:bCs/>
                <w:color w:val="000000"/>
                <w:sz w:val="22"/>
              </w:rPr>
            </w:pPr>
            <w:r w:rsidRPr="00944261">
              <w:rPr>
                <w:rFonts w:eastAsia="Times New Roman" w:cs="Times New Roman"/>
                <w:b/>
                <w:bCs/>
                <w:color w:val="000000"/>
                <w:sz w:val="22"/>
              </w:rPr>
              <w:t>Prestigious Amicus Difference</w:t>
            </w:r>
          </w:p>
        </w:tc>
        <w:tc>
          <w:tcPr>
            <w:tcW w:w="0" w:type="auto"/>
            <w:shd w:val="clear" w:color="auto" w:fill="auto"/>
            <w:noWrap/>
            <w:vAlign w:val="center"/>
            <w:hideMark/>
          </w:tcPr>
          <w:p w:rsidR="00964B0E" w:rsidRDefault="00964B0E" w:rsidP="003B5F56">
            <w:pPr>
              <w:jc w:val="center"/>
              <w:rPr>
                <w:color w:val="000000"/>
                <w:sz w:val="22"/>
              </w:rPr>
            </w:pPr>
            <w:r>
              <w:rPr>
                <w:color w:val="000000"/>
                <w:sz w:val="22"/>
              </w:rPr>
              <w:t>0.41 (.10)***</w:t>
            </w:r>
          </w:p>
        </w:tc>
        <w:tc>
          <w:tcPr>
            <w:tcW w:w="0" w:type="auto"/>
            <w:shd w:val="clear" w:color="auto" w:fill="auto"/>
            <w:noWrap/>
            <w:vAlign w:val="center"/>
            <w:hideMark/>
          </w:tcPr>
          <w:p w:rsidR="00964B0E" w:rsidRDefault="00964B0E" w:rsidP="00964B0E">
            <w:pPr>
              <w:jc w:val="center"/>
              <w:rPr>
                <w:color w:val="000000"/>
                <w:sz w:val="22"/>
              </w:rPr>
            </w:pPr>
            <w:r>
              <w:rPr>
                <w:color w:val="000000"/>
                <w:sz w:val="22"/>
              </w:rPr>
              <w:t>1.507</w:t>
            </w:r>
          </w:p>
        </w:tc>
        <w:tc>
          <w:tcPr>
            <w:tcW w:w="0" w:type="auto"/>
            <w:shd w:val="clear" w:color="auto" w:fill="auto"/>
            <w:noWrap/>
            <w:vAlign w:val="center"/>
            <w:hideMark/>
          </w:tcPr>
          <w:p w:rsidR="00964B0E" w:rsidRPr="009E0439" w:rsidRDefault="009E0439" w:rsidP="00831FAD">
            <w:pPr>
              <w:ind w:left="0" w:firstLine="0"/>
              <w:jc w:val="center"/>
              <w:rPr>
                <w:rFonts w:eastAsia="Times New Roman" w:cs="Times New Roman"/>
                <w:sz w:val="22"/>
              </w:rPr>
            </w:pPr>
            <w:r w:rsidRPr="009E0439">
              <w:rPr>
                <w:rFonts w:eastAsia="Times New Roman" w:cs="Times New Roman"/>
                <w:sz w:val="22"/>
              </w:rPr>
              <w:t>9.7%</w:t>
            </w:r>
          </w:p>
        </w:tc>
      </w:tr>
      <w:tr w:rsidR="00964B0E" w:rsidRPr="00944261" w:rsidTr="00964B0E">
        <w:trPr>
          <w:trHeight w:val="576"/>
        </w:trPr>
        <w:tc>
          <w:tcPr>
            <w:tcW w:w="0" w:type="auto"/>
            <w:shd w:val="clear" w:color="auto" w:fill="auto"/>
            <w:noWrap/>
            <w:vAlign w:val="center"/>
            <w:hideMark/>
          </w:tcPr>
          <w:p w:rsidR="00964B0E" w:rsidRPr="00944261" w:rsidRDefault="00964B0E" w:rsidP="00831FAD">
            <w:pPr>
              <w:ind w:left="0" w:firstLine="0"/>
              <w:rPr>
                <w:rFonts w:eastAsia="Times New Roman" w:cs="Times New Roman"/>
                <w:b/>
                <w:bCs/>
                <w:color w:val="000000"/>
                <w:sz w:val="22"/>
              </w:rPr>
            </w:pPr>
            <w:r w:rsidRPr="00944261">
              <w:rPr>
                <w:rFonts w:eastAsia="Times New Roman" w:cs="Times New Roman"/>
                <w:b/>
                <w:bCs/>
                <w:color w:val="000000"/>
                <w:sz w:val="22"/>
              </w:rPr>
              <w:t>Lower Court Direction</w:t>
            </w:r>
          </w:p>
        </w:tc>
        <w:tc>
          <w:tcPr>
            <w:tcW w:w="0" w:type="auto"/>
            <w:shd w:val="clear" w:color="auto" w:fill="auto"/>
            <w:noWrap/>
            <w:vAlign w:val="center"/>
            <w:hideMark/>
          </w:tcPr>
          <w:p w:rsidR="00964B0E" w:rsidRDefault="00964B0E" w:rsidP="003B5F56">
            <w:pPr>
              <w:jc w:val="center"/>
              <w:rPr>
                <w:color w:val="000000"/>
                <w:sz w:val="22"/>
              </w:rPr>
            </w:pPr>
            <w:r>
              <w:rPr>
                <w:color w:val="000000"/>
                <w:sz w:val="22"/>
              </w:rPr>
              <w:t>0.23 (.18)</w:t>
            </w:r>
          </w:p>
        </w:tc>
        <w:tc>
          <w:tcPr>
            <w:tcW w:w="0" w:type="auto"/>
            <w:shd w:val="clear" w:color="auto" w:fill="auto"/>
            <w:noWrap/>
            <w:vAlign w:val="center"/>
            <w:hideMark/>
          </w:tcPr>
          <w:p w:rsidR="00964B0E" w:rsidRDefault="00964B0E" w:rsidP="00964B0E">
            <w:pPr>
              <w:jc w:val="center"/>
              <w:rPr>
                <w:color w:val="000000"/>
                <w:sz w:val="22"/>
              </w:rPr>
            </w:pPr>
            <w:r>
              <w:rPr>
                <w:color w:val="000000"/>
                <w:sz w:val="22"/>
              </w:rPr>
              <w:t>1.256</w:t>
            </w:r>
          </w:p>
        </w:tc>
        <w:tc>
          <w:tcPr>
            <w:tcW w:w="0" w:type="auto"/>
            <w:shd w:val="clear" w:color="auto" w:fill="auto"/>
            <w:noWrap/>
            <w:vAlign w:val="center"/>
            <w:hideMark/>
          </w:tcPr>
          <w:p w:rsidR="00964B0E" w:rsidRPr="009E0439" w:rsidRDefault="009E0439" w:rsidP="00831FAD">
            <w:pPr>
              <w:ind w:left="0" w:firstLine="0"/>
              <w:jc w:val="center"/>
              <w:rPr>
                <w:rFonts w:eastAsia="Times New Roman" w:cs="Times New Roman"/>
                <w:sz w:val="22"/>
              </w:rPr>
            </w:pPr>
            <w:r w:rsidRPr="009E0439">
              <w:rPr>
                <w:rFonts w:eastAsia="Times New Roman" w:cs="Times New Roman"/>
                <w:sz w:val="22"/>
              </w:rPr>
              <w:t>5.7%</w:t>
            </w:r>
          </w:p>
        </w:tc>
      </w:tr>
      <w:tr w:rsidR="00964B0E" w:rsidRPr="00944261" w:rsidTr="00964B0E">
        <w:trPr>
          <w:trHeight w:val="576"/>
        </w:trPr>
        <w:tc>
          <w:tcPr>
            <w:tcW w:w="0" w:type="auto"/>
            <w:shd w:val="clear" w:color="auto" w:fill="auto"/>
            <w:noWrap/>
            <w:vAlign w:val="center"/>
            <w:hideMark/>
          </w:tcPr>
          <w:p w:rsidR="00964B0E" w:rsidRPr="00944261" w:rsidRDefault="00964B0E" w:rsidP="00831FAD">
            <w:pPr>
              <w:ind w:left="0" w:firstLine="0"/>
              <w:rPr>
                <w:rFonts w:eastAsia="Times New Roman" w:cs="Times New Roman"/>
                <w:b/>
                <w:bCs/>
                <w:color w:val="000000"/>
                <w:sz w:val="22"/>
              </w:rPr>
            </w:pPr>
            <w:r w:rsidRPr="00944261">
              <w:rPr>
                <w:rFonts w:eastAsia="Times New Roman" w:cs="Times New Roman"/>
                <w:b/>
                <w:bCs/>
                <w:color w:val="000000"/>
                <w:sz w:val="22"/>
              </w:rPr>
              <w:t>Resource Difference</w:t>
            </w:r>
          </w:p>
        </w:tc>
        <w:tc>
          <w:tcPr>
            <w:tcW w:w="0" w:type="auto"/>
            <w:shd w:val="clear" w:color="auto" w:fill="auto"/>
            <w:noWrap/>
            <w:vAlign w:val="center"/>
            <w:hideMark/>
          </w:tcPr>
          <w:p w:rsidR="00964B0E" w:rsidRDefault="00964B0E" w:rsidP="003B5F56">
            <w:pPr>
              <w:jc w:val="center"/>
              <w:rPr>
                <w:color w:val="000000"/>
                <w:sz w:val="22"/>
              </w:rPr>
            </w:pPr>
            <w:r>
              <w:rPr>
                <w:color w:val="000000"/>
                <w:sz w:val="22"/>
              </w:rPr>
              <w:t>0.06 (.07)***</w:t>
            </w:r>
          </w:p>
        </w:tc>
        <w:tc>
          <w:tcPr>
            <w:tcW w:w="0" w:type="auto"/>
            <w:shd w:val="clear" w:color="auto" w:fill="auto"/>
            <w:noWrap/>
            <w:vAlign w:val="center"/>
            <w:hideMark/>
          </w:tcPr>
          <w:p w:rsidR="00964B0E" w:rsidRDefault="00964B0E" w:rsidP="00964B0E">
            <w:pPr>
              <w:jc w:val="center"/>
              <w:rPr>
                <w:color w:val="000000"/>
                <w:sz w:val="22"/>
              </w:rPr>
            </w:pPr>
            <w:r>
              <w:rPr>
                <w:color w:val="000000"/>
                <w:sz w:val="22"/>
              </w:rPr>
              <w:t>1.129</w:t>
            </w:r>
          </w:p>
        </w:tc>
        <w:tc>
          <w:tcPr>
            <w:tcW w:w="0" w:type="auto"/>
            <w:shd w:val="clear" w:color="auto" w:fill="auto"/>
            <w:noWrap/>
            <w:vAlign w:val="center"/>
            <w:hideMark/>
          </w:tcPr>
          <w:p w:rsidR="00964B0E" w:rsidRPr="009E0439" w:rsidRDefault="009E0439" w:rsidP="00831FAD">
            <w:pPr>
              <w:ind w:left="0" w:firstLine="0"/>
              <w:jc w:val="center"/>
              <w:rPr>
                <w:rFonts w:eastAsia="Times New Roman" w:cs="Times New Roman"/>
                <w:sz w:val="22"/>
              </w:rPr>
            </w:pPr>
            <w:r w:rsidRPr="009E0439">
              <w:rPr>
                <w:rFonts w:eastAsia="Times New Roman" w:cs="Times New Roman"/>
                <w:sz w:val="22"/>
              </w:rPr>
              <w:t>10.9%</w:t>
            </w:r>
          </w:p>
        </w:tc>
      </w:tr>
      <w:tr w:rsidR="003B5F56" w:rsidRPr="00944261" w:rsidTr="003B5F56">
        <w:trPr>
          <w:trHeight w:val="576"/>
        </w:trPr>
        <w:tc>
          <w:tcPr>
            <w:tcW w:w="0" w:type="auto"/>
            <w:tcBorders>
              <w:bottom w:val="single" w:sz="18" w:space="0" w:color="auto"/>
            </w:tcBorders>
            <w:shd w:val="clear" w:color="auto" w:fill="auto"/>
            <w:noWrap/>
            <w:vAlign w:val="center"/>
            <w:hideMark/>
          </w:tcPr>
          <w:p w:rsidR="003B5F56" w:rsidRPr="00944261" w:rsidRDefault="003B5F56" w:rsidP="00831FAD">
            <w:pPr>
              <w:ind w:left="0" w:firstLine="0"/>
              <w:rPr>
                <w:rFonts w:eastAsia="Times New Roman" w:cs="Times New Roman"/>
                <w:b/>
                <w:bCs/>
                <w:color w:val="000000"/>
                <w:sz w:val="22"/>
              </w:rPr>
            </w:pPr>
            <w:r w:rsidRPr="00944261">
              <w:rPr>
                <w:rFonts w:eastAsia="Times New Roman" w:cs="Times New Roman"/>
                <w:b/>
                <w:bCs/>
                <w:color w:val="000000"/>
                <w:sz w:val="22"/>
              </w:rPr>
              <w:t>Constant</w:t>
            </w:r>
          </w:p>
        </w:tc>
        <w:tc>
          <w:tcPr>
            <w:tcW w:w="0" w:type="auto"/>
            <w:tcBorders>
              <w:bottom w:val="single" w:sz="18" w:space="0" w:color="auto"/>
            </w:tcBorders>
            <w:shd w:val="clear" w:color="auto" w:fill="auto"/>
            <w:noWrap/>
            <w:vAlign w:val="center"/>
            <w:hideMark/>
          </w:tcPr>
          <w:p w:rsidR="003B5F56" w:rsidRDefault="008B27A8" w:rsidP="003B5F56">
            <w:pPr>
              <w:jc w:val="center"/>
              <w:rPr>
                <w:color w:val="000000"/>
                <w:sz w:val="22"/>
              </w:rPr>
            </w:pPr>
            <w:r>
              <w:rPr>
                <w:color w:val="000000"/>
                <w:sz w:val="22"/>
              </w:rPr>
              <w:t>.04 (.90</w:t>
            </w:r>
            <w:r w:rsidR="00964B0E">
              <w:rPr>
                <w:color w:val="000000"/>
                <w:sz w:val="22"/>
              </w:rPr>
              <w:t>)</w:t>
            </w:r>
          </w:p>
        </w:tc>
        <w:tc>
          <w:tcPr>
            <w:tcW w:w="0" w:type="auto"/>
            <w:tcBorders>
              <w:bottom w:val="single" w:sz="18" w:space="0" w:color="auto"/>
            </w:tcBorders>
            <w:shd w:val="clear" w:color="auto" w:fill="auto"/>
            <w:noWrap/>
            <w:vAlign w:val="center"/>
            <w:hideMark/>
          </w:tcPr>
          <w:p w:rsidR="003B5F56" w:rsidRDefault="003B5F56" w:rsidP="003B5F56">
            <w:pPr>
              <w:jc w:val="center"/>
              <w:rPr>
                <w:color w:val="000000"/>
                <w:sz w:val="22"/>
              </w:rPr>
            </w:pPr>
          </w:p>
        </w:tc>
        <w:tc>
          <w:tcPr>
            <w:tcW w:w="0" w:type="auto"/>
            <w:tcBorders>
              <w:bottom w:val="single" w:sz="18" w:space="0" w:color="auto"/>
            </w:tcBorders>
            <w:shd w:val="clear" w:color="auto" w:fill="auto"/>
            <w:noWrap/>
            <w:vAlign w:val="center"/>
            <w:hideMark/>
          </w:tcPr>
          <w:p w:rsidR="003B5F56" w:rsidRPr="00D62BD1" w:rsidRDefault="003B5F56" w:rsidP="00831FAD">
            <w:pPr>
              <w:ind w:left="0" w:firstLine="0"/>
              <w:jc w:val="center"/>
              <w:rPr>
                <w:rFonts w:eastAsia="Times New Roman" w:cs="Times New Roman"/>
                <w:color w:val="00B050"/>
                <w:sz w:val="22"/>
              </w:rPr>
            </w:pPr>
          </w:p>
        </w:tc>
      </w:tr>
      <w:tr w:rsidR="00081217" w:rsidRPr="00944261" w:rsidTr="00831FAD">
        <w:trPr>
          <w:trHeight w:val="576"/>
        </w:trPr>
        <w:tc>
          <w:tcPr>
            <w:tcW w:w="0" w:type="auto"/>
            <w:tcBorders>
              <w:top w:val="single" w:sz="18" w:space="0" w:color="auto"/>
              <w:bottom w:val="nil"/>
            </w:tcBorders>
            <w:shd w:val="clear" w:color="auto" w:fill="auto"/>
            <w:noWrap/>
            <w:vAlign w:val="center"/>
            <w:hideMark/>
          </w:tcPr>
          <w:p w:rsidR="00081217" w:rsidRPr="00944261" w:rsidRDefault="00081217" w:rsidP="00831FAD">
            <w:pPr>
              <w:ind w:left="0" w:firstLine="0"/>
              <w:rPr>
                <w:rFonts w:eastAsia="Times New Roman" w:cs="Times New Roman"/>
                <w:b/>
                <w:bCs/>
                <w:color w:val="000000"/>
                <w:sz w:val="22"/>
              </w:rPr>
            </w:pPr>
            <w:r w:rsidRPr="00944261">
              <w:rPr>
                <w:rFonts w:eastAsia="Times New Roman" w:cs="Times New Roman"/>
                <w:b/>
                <w:bCs/>
                <w:color w:val="000000"/>
                <w:sz w:val="22"/>
              </w:rPr>
              <w:t>N</w:t>
            </w:r>
          </w:p>
        </w:tc>
        <w:tc>
          <w:tcPr>
            <w:tcW w:w="0" w:type="auto"/>
            <w:tcBorders>
              <w:top w:val="single" w:sz="18" w:space="0" w:color="auto"/>
              <w:bottom w:val="nil"/>
            </w:tcBorders>
            <w:shd w:val="clear" w:color="auto" w:fill="auto"/>
            <w:noWrap/>
            <w:vAlign w:val="center"/>
            <w:hideMark/>
          </w:tcPr>
          <w:p w:rsidR="00081217" w:rsidRPr="00944261" w:rsidRDefault="00081217" w:rsidP="00831FAD">
            <w:pPr>
              <w:ind w:left="0" w:firstLine="0"/>
              <w:jc w:val="center"/>
              <w:rPr>
                <w:rFonts w:eastAsia="Times New Roman" w:cs="Times New Roman"/>
                <w:color w:val="000000"/>
                <w:sz w:val="22"/>
              </w:rPr>
            </w:pPr>
            <w:r>
              <w:rPr>
                <w:rFonts w:eastAsia="Times New Roman" w:cs="Times New Roman"/>
                <w:color w:val="000000"/>
                <w:sz w:val="22"/>
              </w:rPr>
              <w:t>743</w:t>
            </w:r>
          </w:p>
        </w:tc>
        <w:tc>
          <w:tcPr>
            <w:tcW w:w="0" w:type="auto"/>
            <w:tcBorders>
              <w:top w:val="single" w:sz="18" w:space="0" w:color="auto"/>
              <w:bottom w:val="nil"/>
            </w:tcBorders>
            <w:shd w:val="clear" w:color="auto" w:fill="auto"/>
            <w:noWrap/>
            <w:vAlign w:val="center"/>
            <w:hideMark/>
          </w:tcPr>
          <w:p w:rsidR="00081217" w:rsidRPr="00944261" w:rsidRDefault="00081217" w:rsidP="00831FAD">
            <w:pPr>
              <w:ind w:left="0" w:firstLine="0"/>
              <w:jc w:val="center"/>
              <w:rPr>
                <w:rFonts w:eastAsia="Times New Roman" w:cs="Times New Roman"/>
                <w:color w:val="000000"/>
                <w:sz w:val="22"/>
              </w:rPr>
            </w:pPr>
          </w:p>
        </w:tc>
        <w:tc>
          <w:tcPr>
            <w:tcW w:w="0" w:type="auto"/>
            <w:tcBorders>
              <w:top w:val="single" w:sz="18" w:space="0" w:color="auto"/>
              <w:bottom w:val="nil"/>
            </w:tcBorders>
            <w:shd w:val="clear" w:color="auto" w:fill="auto"/>
            <w:noWrap/>
            <w:vAlign w:val="center"/>
            <w:hideMark/>
          </w:tcPr>
          <w:p w:rsidR="00081217" w:rsidRPr="00944261" w:rsidRDefault="00081217" w:rsidP="00831FAD">
            <w:pPr>
              <w:ind w:left="0" w:firstLine="0"/>
              <w:jc w:val="center"/>
              <w:rPr>
                <w:rFonts w:eastAsia="Times New Roman" w:cs="Times New Roman"/>
                <w:color w:val="000000"/>
                <w:sz w:val="22"/>
              </w:rPr>
            </w:pPr>
          </w:p>
        </w:tc>
      </w:tr>
      <w:tr w:rsidR="00081217" w:rsidRPr="00944261" w:rsidTr="00831FAD">
        <w:trPr>
          <w:trHeight w:val="576"/>
        </w:trPr>
        <w:tc>
          <w:tcPr>
            <w:tcW w:w="0" w:type="auto"/>
            <w:tcBorders>
              <w:top w:val="nil"/>
              <w:bottom w:val="nil"/>
            </w:tcBorders>
            <w:shd w:val="clear" w:color="auto" w:fill="auto"/>
            <w:noWrap/>
            <w:vAlign w:val="center"/>
            <w:hideMark/>
          </w:tcPr>
          <w:p w:rsidR="00081217" w:rsidRPr="00944261" w:rsidRDefault="00081217" w:rsidP="00831FAD">
            <w:pPr>
              <w:ind w:left="0" w:firstLine="0"/>
              <w:rPr>
                <w:rFonts w:eastAsia="Times New Roman" w:cs="Times New Roman"/>
                <w:b/>
                <w:bCs/>
                <w:color w:val="000000"/>
                <w:sz w:val="22"/>
              </w:rPr>
            </w:pPr>
            <w:proofErr w:type="spellStart"/>
            <w:r w:rsidRPr="00944261">
              <w:rPr>
                <w:rFonts w:eastAsia="Times New Roman" w:cs="Times New Roman"/>
                <w:b/>
                <w:bCs/>
                <w:color w:val="000000"/>
                <w:sz w:val="22"/>
              </w:rPr>
              <w:t>Prob</w:t>
            </w:r>
            <w:proofErr w:type="spellEnd"/>
            <w:r w:rsidRPr="00944261">
              <w:rPr>
                <w:rFonts w:eastAsia="Times New Roman" w:cs="Times New Roman"/>
                <w:b/>
                <w:bCs/>
                <w:color w:val="000000"/>
                <w:sz w:val="22"/>
              </w:rPr>
              <w:t xml:space="preserve"> &gt; chi2</w:t>
            </w:r>
          </w:p>
        </w:tc>
        <w:tc>
          <w:tcPr>
            <w:tcW w:w="0" w:type="auto"/>
            <w:tcBorders>
              <w:top w:val="nil"/>
              <w:bottom w:val="nil"/>
            </w:tcBorders>
            <w:shd w:val="clear" w:color="auto" w:fill="auto"/>
            <w:noWrap/>
            <w:vAlign w:val="center"/>
            <w:hideMark/>
          </w:tcPr>
          <w:p w:rsidR="00081217" w:rsidRPr="004F4682" w:rsidRDefault="00081217" w:rsidP="00831FAD">
            <w:pPr>
              <w:ind w:left="0" w:firstLine="0"/>
              <w:jc w:val="center"/>
              <w:rPr>
                <w:rFonts w:eastAsia="Times New Roman" w:cs="Times New Roman"/>
                <w:sz w:val="22"/>
              </w:rPr>
            </w:pPr>
            <w:r w:rsidRPr="004F4682">
              <w:rPr>
                <w:rFonts w:eastAsia="Times New Roman" w:cs="Times New Roman"/>
                <w:sz w:val="22"/>
              </w:rPr>
              <w:t>0</w:t>
            </w:r>
          </w:p>
        </w:tc>
        <w:tc>
          <w:tcPr>
            <w:tcW w:w="0" w:type="auto"/>
            <w:tcBorders>
              <w:top w:val="nil"/>
              <w:bottom w:val="nil"/>
            </w:tcBorders>
            <w:shd w:val="clear" w:color="auto" w:fill="auto"/>
            <w:noWrap/>
            <w:vAlign w:val="center"/>
            <w:hideMark/>
          </w:tcPr>
          <w:p w:rsidR="00081217" w:rsidRPr="00944261" w:rsidRDefault="00081217" w:rsidP="00831FAD">
            <w:pPr>
              <w:ind w:left="0" w:firstLine="0"/>
              <w:jc w:val="center"/>
              <w:rPr>
                <w:rFonts w:eastAsia="Times New Roman" w:cs="Times New Roman"/>
                <w:color w:val="000000"/>
                <w:sz w:val="22"/>
              </w:rPr>
            </w:pPr>
          </w:p>
        </w:tc>
        <w:tc>
          <w:tcPr>
            <w:tcW w:w="0" w:type="auto"/>
            <w:tcBorders>
              <w:top w:val="nil"/>
              <w:bottom w:val="nil"/>
            </w:tcBorders>
            <w:shd w:val="clear" w:color="auto" w:fill="auto"/>
            <w:noWrap/>
            <w:vAlign w:val="center"/>
            <w:hideMark/>
          </w:tcPr>
          <w:p w:rsidR="00081217" w:rsidRPr="00944261" w:rsidRDefault="00081217" w:rsidP="00831FAD">
            <w:pPr>
              <w:ind w:left="0" w:firstLine="0"/>
              <w:jc w:val="center"/>
              <w:rPr>
                <w:rFonts w:eastAsia="Times New Roman" w:cs="Times New Roman"/>
                <w:color w:val="000000"/>
                <w:sz w:val="22"/>
              </w:rPr>
            </w:pPr>
          </w:p>
        </w:tc>
      </w:tr>
      <w:tr w:rsidR="00081217" w:rsidRPr="00944261" w:rsidTr="00831FAD">
        <w:trPr>
          <w:trHeight w:val="576"/>
        </w:trPr>
        <w:tc>
          <w:tcPr>
            <w:tcW w:w="0" w:type="auto"/>
            <w:tcBorders>
              <w:top w:val="nil"/>
              <w:bottom w:val="nil"/>
            </w:tcBorders>
            <w:shd w:val="clear" w:color="auto" w:fill="auto"/>
            <w:noWrap/>
            <w:vAlign w:val="center"/>
            <w:hideMark/>
          </w:tcPr>
          <w:p w:rsidR="00081217" w:rsidRPr="00944261" w:rsidRDefault="00081217" w:rsidP="00831FAD">
            <w:pPr>
              <w:ind w:left="0" w:firstLine="0"/>
              <w:rPr>
                <w:rFonts w:eastAsia="Times New Roman" w:cs="Times New Roman"/>
                <w:b/>
                <w:bCs/>
                <w:color w:val="000000"/>
                <w:sz w:val="22"/>
              </w:rPr>
            </w:pPr>
            <w:r w:rsidRPr="00944261">
              <w:rPr>
                <w:rFonts w:eastAsia="Times New Roman" w:cs="Times New Roman"/>
                <w:b/>
                <w:bCs/>
                <w:color w:val="000000"/>
                <w:sz w:val="22"/>
              </w:rPr>
              <w:t>Percent Correctly Predicted</w:t>
            </w:r>
          </w:p>
        </w:tc>
        <w:tc>
          <w:tcPr>
            <w:tcW w:w="0" w:type="auto"/>
            <w:tcBorders>
              <w:top w:val="nil"/>
              <w:bottom w:val="nil"/>
            </w:tcBorders>
            <w:shd w:val="clear" w:color="auto" w:fill="auto"/>
            <w:noWrap/>
            <w:vAlign w:val="center"/>
            <w:hideMark/>
          </w:tcPr>
          <w:p w:rsidR="00081217" w:rsidRPr="007A57B3" w:rsidRDefault="007A57B3" w:rsidP="00831FAD">
            <w:pPr>
              <w:ind w:left="0" w:firstLine="0"/>
              <w:jc w:val="center"/>
              <w:rPr>
                <w:rFonts w:eastAsia="Times New Roman" w:cs="Times New Roman"/>
                <w:sz w:val="22"/>
              </w:rPr>
            </w:pPr>
            <w:r w:rsidRPr="007A57B3">
              <w:rPr>
                <w:rFonts w:eastAsia="Times New Roman" w:cs="Times New Roman"/>
                <w:sz w:val="22"/>
              </w:rPr>
              <w:t>69.45</w:t>
            </w:r>
          </w:p>
        </w:tc>
        <w:tc>
          <w:tcPr>
            <w:tcW w:w="0" w:type="auto"/>
            <w:tcBorders>
              <w:top w:val="nil"/>
              <w:bottom w:val="nil"/>
            </w:tcBorders>
            <w:shd w:val="clear" w:color="auto" w:fill="auto"/>
            <w:noWrap/>
            <w:vAlign w:val="center"/>
            <w:hideMark/>
          </w:tcPr>
          <w:p w:rsidR="00081217" w:rsidRPr="00944261" w:rsidRDefault="00081217" w:rsidP="00831FAD">
            <w:pPr>
              <w:ind w:left="0" w:firstLine="0"/>
              <w:jc w:val="center"/>
              <w:rPr>
                <w:rFonts w:eastAsia="Times New Roman" w:cs="Times New Roman"/>
                <w:color w:val="000000"/>
                <w:sz w:val="22"/>
              </w:rPr>
            </w:pPr>
          </w:p>
        </w:tc>
        <w:tc>
          <w:tcPr>
            <w:tcW w:w="0" w:type="auto"/>
            <w:tcBorders>
              <w:top w:val="nil"/>
              <w:bottom w:val="nil"/>
            </w:tcBorders>
            <w:shd w:val="clear" w:color="auto" w:fill="auto"/>
            <w:noWrap/>
            <w:vAlign w:val="center"/>
            <w:hideMark/>
          </w:tcPr>
          <w:p w:rsidR="00081217" w:rsidRPr="00944261" w:rsidRDefault="00081217" w:rsidP="00831FAD">
            <w:pPr>
              <w:ind w:left="0" w:firstLine="0"/>
              <w:jc w:val="center"/>
              <w:rPr>
                <w:rFonts w:eastAsia="Times New Roman" w:cs="Times New Roman"/>
                <w:color w:val="000000"/>
                <w:sz w:val="22"/>
              </w:rPr>
            </w:pPr>
          </w:p>
        </w:tc>
      </w:tr>
      <w:tr w:rsidR="00081217" w:rsidRPr="00944261" w:rsidTr="00831FAD">
        <w:trPr>
          <w:trHeight w:val="576"/>
        </w:trPr>
        <w:tc>
          <w:tcPr>
            <w:tcW w:w="0" w:type="auto"/>
            <w:tcBorders>
              <w:top w:val="nil"/>
              <w:bottom w:val="single" w:sz="18" w:space="0" w:color="auto"/>
            </w:tcBorders>
            <w:shd w:val="clear" w:color="auto" w:fill="auto"/>
            <w:noWrap/>
            <w:vAlign w:val="center"/>
            <w:hideMark/>
          </w:tcPr>
          <w:p w:rsidR="00081217" w:rsidRPr="00944261" w:rsidRDefault="00081217" w:rsidP="00831FAD">
            <w:pPr>
              <w:ind w:left="0" w:firstLine="0"/>
              <w:rPr>
                <w:rFonts w:eastAsia="Times New Roman" w:cs="Times New Roman"/>
                <w:b/>
                <w:bCs/>
                <w:color w:val="000000"/>
                <w:sz w:val="22"/>
              </w:rPr>
            </w:pPr>
            <w:r w:rsidRPr="00944261">
              <w:rPr>
                <w:rFonts w:eastAsia="Times New Roman" w:cs="Times New Roman"/>
                <w:b/>
                <w:bCs/>
                <w:color w:val="000000"/>
                <w:sz w:val="22"/>
              </w:rPr>
              <w:t>Percent Reduction in Error</w:t>
            </w:r>
          </w:p>
        </w:tc>
        <w:tc>
          <w:tcPr>
            <w:tcW w:w="0" w:type="auto"/>
            <w:tcBorders>
              <w:top w:val="nil"/>
              <w:bottom w:val="single" w:sz="18" w:space="0" w:color="auto"/>
            </w:tcBorders>
            <w:shd w:val="clear" w:color="auto" w:fill="auto"/>
            <w:noWrap/>
            <w:vAlign w:val="center"/>
            <w:hideMark/>
          </w:tcPr>
          <w:p w:rsidR="00081217" w:rsidRPr="007A57B3" w:rsidRDefault="007A57B3" w:rsidP="00831FAD">
            <w:pPr>
              <w:ind w:left="0" w:firstLine="0"/>
              <w:jc w:val="center"/>
              <w:rPr>
                <w:rFonts w:eastAsia="Times New Roman" w:cs="Times New Roman"/>
                <w:sz w:val="22"/>
              </w:rPr>
            </w:pPr>
            <w:r>
              <w:rPr>
                <w:rFonts w:eastAsia="Times New Roman" w:cs="Times New Roman"/>
                <w:sz w:val="22"/>
              </w:rPr>
              <w:t>38.67</w:t>
            </w:r>
          </w:p>
        </w:tc>
        <w:tc>
          <w:tcPr>
            <w:tcW w:w="0" w:type="auto"/>
            <w:tcBorders>
              <w:top w:val="nil"/>
              <w:bottom w:val="single" w:sz="18" w:space="0" w:color="auto"/>
            </w:tcBorders>
            <w:shd w:val="clear" w:color="auto" w:fill="auto"/>
            <w:noWrap/>
            <w:vAlign w:val="center"/>
            <w:hideMark/>
          </w:tcPr>
          <w:p w:rsidR="00081217" w:rsidRPr="00944261" w:rsidRDefault="00081217" w:rsidP="00831FAD">
            <w:pPr>
              <w:ind w:left="0" w:firstLine="0"/>
              <w:jc w:val="center"/>
              <w:rPr>
                <w:rFonts w:eastAsia="Times New Roman" w:cs="Times New Roman"/>
                <w:color w:val="000000"/>
                <w:sz w:val="22"/>
              </w:rPr>
            </w:pPr>
          </w:p>
        </w:tc>
        <w:tc>
          <w:tcPr>
            <w:tcW w:w="0" w:type="auto"/>
            <w:tcBorders>
              <w:top w:val="nil"/>
              <w:bottom w:val="single" w:sz="18" w:space="0" w:color="auto"/>
            </w:tcBorders>
            <w:shd w:val="clear" w:color="auto" w:fill="auto"/>
            <w:noWrap/>
            <w:vAlign w:val="center"/>
            <w:hideMark/>
          </w:tcPr>
          <w:p w:rsidR="00081217" w:rsidRPr="00944261" w:rsidRDefault="00081217" w:rsidP="00831FAD">
            <w:pPr>
              <w:ind w:left="0" w:firstLine="0"/>
              <w:jc w:val="center"/>
              <w:rPr>
                <w:rFonts w:eastAsia="Times New Roman" w:cs="Times New Roman"/>
                <w:color w:val="000000"/>
                <w:sz w:val="22"/>
              </w:rPr>
            </w:pPr>
          </w:p>
        </w:tc>
      </w:tr>
    </w:tbl>
    <w:p w:rsidR="00081217" w:rsidRPr="009E62D9" w:rsidRDefault="00081217" w:rsidP="00081217">
      <w:pPr>
        <w:autoSpaceDE w:val="0"/>
        <w:autoSpaceDN w:val="0"/>
        <w:adjustRightInd w:val="0"/>
        <w:ind w:left="90" w:firstLine="0"/>
        <w:rPr>
          <w:sz w:val="22"/>
        </w:rPr>
      </w:pPr>
      <w:r w:rsidRPr="009E62D9">
        <w:rPr>
          <w:sz w:val="22"/>
        </w:rPr>
        <w:t>Dependent variable indicates the ideological direction of the individual justices’ vote (1 = libe</w:t>
      </w:r>
      <w:r>
        <w:rPr>
          <w:sz w:val="22"/>
        </w:rPr>
        <w:t xml:space="preserve">ral, 0 = conservative).  </w:t>
      </w:r>
      <w:r w:rsidR="007203D8">
        <w:rPr>
          <w:sz w:val="22"/>
        </w:rPr>
        <w:t xml:space="preserve">Numbers in parentheses indicated standard errors.  </w:t>
      </w:r>
      <w:proofErr w:type="gramStart"/>
      <w:r>
        <w:rPr>
          <w:sz w:val="22"/>
        </w:rPr>
        <w:t>*p&lt;.05, **p&lt;.01, ***p&lt;.001</w:t>
      </w:r>
      <w:r w:rsidRPr="009E62D9">
        <w:rPr>
          <w:sz w:val="22"/>
        </w:rPr>
        <w:t xml:space="preserve"> (one-tailed).</w:t>
      </w:r>
      <w:proofErr w:type="gramEnd"/>
    </w:p>
    <w:p w:rsidR="007203D8" w:rsidRDefault="007203D8" w:rsidP="00451FF6">
      <w:pPr>
        <w:spacing w:line="480" w:lineRule="auto"/>
        <w:ind w:left="0" w:firstLine="0"/>
        <w:rPr>
          <w:rFonts w:cs="Times New Roman"/>
          <w:b/>
          <w:szCs w:val="24"/>
        </w:rPr>
      </w:pPr>
    </w:p>
    <w:p w:rsidR="002338A1" w:rsidRDefault="002338A1" w:rsidP="00451FF6">
      <w:pPr>
        <w:spacing w:line="480" w:lineRule="auto"/>
        <w:ind w:left="0" w:firstLine="0"/>
        <w:rPr>
          <w:rFonts w:cs="Times New Roman"/>
          <w:b/>
          <w:szCs w:val="24"/>
        </w:rPr>
      </w:pPr>
    </w:p>
    <w:p w:rsidR="002338A1" w:rsidRDefault="002338A1" w:rsidP="00451FF6">
      <w:pPr>
        <w:spacing w:line="480" w:lineRule="auto"/>
        <w:ind w:left="0" w:firstLine="0"/>
        <w:rPr>
          <w:rFonts w:cs="Times New Roman"/>
          <w:b/>
          <w:szCs w:val="24"/>
        </w:rPr>
      </w:pPr>
    </w:p>
    <w:p w:rsidR="002338A1" w:rsidRPr="00F07765" w:rsidRDefault="002338A1" w:rsidP="00F07765">
      <w:pPr>
        <w:autoSpaceDE w:val="0"/>
        <w:autoSpaceDN w:val="0"/>
        <w:adjustRightInd w:val="0"/>
        <w:spacing w:line="480" w:lineRule="auto"/>
        <w:ind w:left="0" w:firstLine="720"/>
      </w:pPr>
      <w:r w:rsidRPr="00B94222">
        <w:lastRenderedPageBreak/>
        <w:t xml:space="preserve">To confirm this conclusion, I produced a graph of the marginal effects of </w:t>
      </w:r>
      <w:r w:rsidRPr="00B94222">
        <w:rPr>
          <w:i/>
        </w:rPr>
        <w:t>Liberal-Conservative Amicus Briefs Difference</w:t>
      </w:r>
      <w:r w:rsidRPr="00B94222">
        <w:t xml:space="preserve"> on the ideological direction of the vote across the observed range of </w:t>
      </w:r>
      <w:r w:rsidRPr="00B94222">
        <w:rPr>
          <w:i/>
        </w:rPr>
        <w:t>Judicial Moderation</w:t>
      </w:r>
      <w:r w:rsidR="00B94222">
        <w:t xml:space="preserve"> for economics cases (see Figure 5.4). T</w:t>
      </w:r>
      <w:r w:rsidRPr="00B94222">
        <w:t xml:space="preserve">he </w:t>
      </w:r>
      <w:r w:rsidR="00B94222">
        <w:t>marginal effects graph confirms</w:t>
      </w:r>
      <w:r w:rsidRPr="00B94222">
        <w:t xml:space="preserve"> that at no </w:t>
      </w:r>
      <w:r w:rsidR="00B94222">
        <w:t>level of judicial moderation is</w:t>
      </w:r>
      <w:r w:rsidR="00B94222" w:rsidRPr="00B94222">
        <w:t xml:space="preserve"> the </w:t>
      </w:r>
      <w:r w:rsidRPr="00B94222">
        <w:t xml:space="preserve">impact of </w:t>
      </w:r>
      <w:r w:rsidRPr="00B94222">
        <w:rPr>
          <w:i/>
        </w:rPr>
        <w:t>Liberal-Conservative Amicus Briefs Difference</w:t>
      </w:r>
      <w:r w:rsidRPr="00B94222">
        <w:t xml:space="preserve"> </w:t>
      </w:r>
      <w:r w:rsidR="00B94222" w:rsidRPr="00B94222">
        <w:t>statistically significant</w:t>
      </w:r>
      <w:r w:rsidR="00B94222">
        <w:t xml:space="preserve"> (as the dotted lines representing the 95 percent confidence intervals are never </w:t>
      </w:r>
      <w:proofErr w:type="gramStart"/>
      <w:r w:rsidR="00B94222" w:rsidRPr="00B94222">
        <w:rPr>
          <w:i/>
        </w:rPr>
        <w:t>both</w:t>
      </w:r>
      <w:r w:rsidR="00B94222">
        <w:t xml:space="preserve"> above or</w:t>
      </w:r>
      <w:proofErr w:type="gramEnd"/>
      <w:r w:rsidR="00B94222">
        <w:t xml:space="preserve"> below zero)</w:t>
      </w:r>
      <w:r w:rsidR="00B94222" w:rsidRPr="00B94222">
        <w:t>.  As a result, just as with civil rights and liberties cases, I</w:t>
      </w:r>
      <w:r w:rsidRPr="00B94222">
        <w:t xml:space="preserve"> conclude that an ideological advantage of amicus briefs does not impact the way the justices vote in </w:t>
      </w:r>
      <w:r w:rsidR="00B94222" w:rsidRPr="00B94222">
        <w:t xml:space="preserve">economics </w:t>
      </w:r>
      <w:r w:rsidRPr="00B94222">
        <w:t>cases</w:t>
      </w:r>
      <w:r w:rsidR="00B94222" w:rsidRPr="00B94222">
        <w:t xml:space="preserve"> at the Roberts Court</w:t>
      </w:r>
      <w:r w:rsidRPr="00B94222">
        <w:t>.</w:t>
      </w:r>
      <w:r w:rsidRPr="002338A1">
        <w:rPr>
          <w:color w:val="0070C0"/>
        </w:rPr>
        <w:t xml:space="preserve">  </w:t>
      </w:r>
      <w:r w:rsidRPr="00B94222">
        <w:t xml:space="preserve">This finding fails to </w:t>
      </w:r>
      <w:r w:rsidR="00B94222" w:rsidRPr="00B94222">
        <w:t xml:space="preserve">support </w:t>
      </w:r>
      <w:r w:rsidRPr="00B94222">
        <w:t xml:space="preserve">my information/legal persuasion </w:t>
      </w:r>
      <w:r w:rsidR="00B94222" w:rsidRPr="00B94222">
        <w:t>hypothese</w:t>
      </w:r>
      <w:r w:rsidRPr="00B94222">
        <w:t xml:space="preserve">s </w:t>
      </w:r>
      <w:r w:rsidR="00F07765">
        <w:t xml:space="preserve">or my median justice hypotheses </w:t>
      </w:r>
      <w:r w:rsidRPr="00B94222">
        <w:t xml:space="preserve">in the context of </w:t>
      </w:r>
      <w:r w:rsidR="00B94222" w:rsidRPr="00B94222">
        <w:t xml:space="preserve">economics </w:t>
      </w:r>
      <w:r w:rsidRPr="00B94222">
        <w:t xml:space="preserve">cases.  As </w:t>
      </w:r>
      <w:r w:rsidRPr="00B94222">
        <w:rPr>
          <w:i/>
        </w:rPr>
        <w:t xml:space="preserve">Liberal-Conservative Amicus Briefs Difference </w:t>
      </w:r>
      <w:r w:rsidRPr="00B94222">
        <w:t xml:space="preserve">is not statistically significant, it is not necessary to interpret the odds ratios or marginal effects.  </w:t>
      </w:r>
      <w:r w:rsidR="00B94222" w:rsidRPr="00B94222">
        <w:t xml:space="preserve">This </w:t>
      </w:r>
      <w:r w:rsidR="00B94222">
        <w:t>result is notable</w:t>
      </w:r>
      <w:r w:rsidR="00F07765">
        <w:t>, as it provides further evidence</w:t>
      </w:r>
      <w:r w:rsidR="00B94222" w:rsidRPr="00B94222">
        <w:t xml:space="preserve"> that the level of amicus brief impact on the j</w:t>
      </w:r>
      <w:r w:rsidR="00F07765">
        <w:t>ustices varies by issue area.</w:t>
      </w:r>
    </w:p>
    <w:p w:rsidR="002338A1" w:rsidRDefault="00F07765" w:rsidP="002338A1">
      <w:pPr>
        <w:autoSpaceDE w:val="0"/>
        <w:autoSpaceDN w:val="0"/>
        <w:adjustRightInd w:val="0"/>
        <w:spacing w:line="480" w:lineRule="auto"/>
        <w:ind w:left="0" w:firstLine="720"/>
        <w:jc w:val="both"/>
      </w:pPr>
      <w:r w:rsidRPr="00F07765">
        <w:t xml:space="preserve">  In addition, Model 4 </w:t>
      </w:r>
      <w:r w:rsidR="002338A1" w:rsidRPr="00F07765">
        <w:t xml:space="preserve">demonstrates that </w:t>
      </w:r>
      <w:r w:rsidR="002338A1" w:rsidRPr="00F07765">
        <w:rPr>
          <w:i/>
        </w:rPr>
        <w:t xml:space="preserve">Liberal-Conservative Amicus Cosigner Difference </w:t>
      </w:r>
      <w:r w:rsidR="002338A1" w:rsidRPr="00F07765">
        <w:t>is</w:t>
      </w:r>
      <w:r w:rsidRPr="00F07765">
        <w:t xml:space="preserve"> not statistically significant, even though it is</w:t>
      </w:r>
      <w:r w:rsidR="002338A1" w:rsidRPr="00F07765">
        <w:t xml:space="preserve"> signed in the expected direction.</w:t>
      </w:r>
      <w:r w:rsidR="002338A1" w:rsidRPr="002338A1">
        <w:rPr>
          <w:color w:val="0070C0"/>
        </w:rPr>
        <w:t xml:space="preserve"> </w:t>
      </w:r>
      <w:r>
        <w:rPr>
          <w:color w:val="0070C0"/>
        </w:rPr>
        <w:t xml:space="preserve"> </w:t>
      </w:r>
      <w:r>
        <w:t xml:space="preserve">Thus, my affected </w:t>
      </w:r>
      <w:proofErr w:type="gramStart"/>
      <w:r>
        <w:t>groups</w:t>
      </w:r>
      <w:proofErr w:type="gramEnd"/>
      <w:r>
        <w:t xml:space="preserve"> hypotheses are not supported. </w:t>
      </w:r>
      <w:r w:rsidR="002338A1" w:rsidRPr="002338A1">
        <w:rPr>
          <w:i/>
          <w:color w:val="0070C0"/>
        </w:rPr>
        <w:t xml:space="preserve"> </w:t>
      </w:r>
      <w:r w:rsidRPr="00B94222">
        <w:t xml:space="preserve">As </w:t>
      </w:r>
      <w:r w:rsidRPr="00B94222">
        <w:rPr>
          <w:i/>
        </w:rPr>
        <w:t>Li</w:t>
      </w:r>
      <w:r>
        <w:rPr>
          <w:i/>
        </w:rPr>
        <w:t>beral-Conservative Amicus Cosigner</w:t>
      </w:r>
      <w:r w:rsidRPr="00B94222">
        <w:rPr>
          <w:i/>
        </w:rPr>
        <w:t xml:space="preserve"> Difference </w:t>
      </w:r>
      <w:r w:rsidRPr="00B94222">
        <w:t>is not statistically significant, it is not necessary to interpret the odds ratios or marginal effects.</w:t>
      </w:r>
      <w:r>
        <w:t xml:space="preserve">  </w:t>
      </w:r>
    </w:p>
    <w:p w:rsidR="0059577F" w:rsidRDefault="0059577F" w:rsidP="002338A1">
      <w:pPr>
        <w:autoSpaceDE w:val="0"/>
        <w:autoSpaceDN w:val="0"/>
        <w:adjustRightInd w:val="0"/>
        <w:spacing w:line="480" w:lineRule="auto"/>
        <w:ind w:left="0" w:firstLine="720"/>
        <w:jc w:val="both"/>
      </w:pPr>
    </w:p>
    <w:p w:rsidR="00AF21BE" w:rsidRDefault="00AF21BE" w:rsidP="00451FF6">
      <w:pPr>
        <w:spacing w:line="480" w:lineRule="auto"/>
        <w:ind w:left="0" w:firstLine="0"/>
        <w:rPr>
          <w:rFonts w:cs="Times New Roman"/>
          <w:b/>
          <w:szCs w:val="24"/>
        </w:rPr>
      </w:pPr>
    </w:p>
    <w:p w:rsidR="00AF21BE" w:rsidRDefault="00AF21BE" w:rsidP="00451FF6">
      <w:pPr>
        <w:spacing w:line="480" w:lineRule="auto"/>
        <w:ind w:left="0" w:firstLine="0"/>
        <w:rPr>
          <w:rFonts w:cs="Times New Roman"/>
          <w:b/>
          <w:szCs w:val="24"/>
        </w:rPr>
      </w:pPr>
    </w:p>
    <w:p w:rsidR="00AF21BE" w:rsidRDefault="00AF21BE" w:rsidP="00451FF6">
      <w:pPr>
        <w:spacing w:line="480" w:lineRule="auto"/>
        <w:ind w:left="0" w:firstLine="0"/>
        <w:rPr>
          <w:rFonts w:cs="Times New Roman"/>
          <w:b/>
          <w:szCs w:val="24"/>
        </w:rPr>
      </w:pPr>
    </w:p>
    <w:p w:rsidR="00451FF6" w:rsidRDefault="00451FF6" w:rsidP="00451FF6">
      <w:pPr>
        <w:spacing w:line="480" w:lineRule="auto"/>
        <w:ind w:left="0" w:firstLine="0"/>
        <w:rPr>
          <w:rFonts w:cs="Times New Roman"/>
          <w:b/>
          <w:szCs w:val="24"/>
        </w:rPr>
      </w:pPr>
      <w:proofErr w:type="gramStart"/>
      <w:r>
        <w:rPr>
          <w:rFonts w:cs="Times New Roman"/>
          <w:b/>
          <w:szCs w:val="24"/>
        </w:rPr>
        <w:lastRenderedPageBreak/>
        <w:t>Figure 5.4.</w:t>
      </w:r>
      <w:proofErr w:type="gramEnd"/>
      <w:r w:rsidRPr="00DE4886">
        <w:rPr>
          <w:rFonts w:cs="Times New Roman"/>
          <w:b/>
          <w:szCs w:val="24"/>
        </w:rPr>
        <w:t xml:space="preserve"> Marginal Effect of </w:t>
      </w:r>
      <w:r w:rsidRPr="00DE4886">
        <w:rPr>
          <w:rFonts w:cs="Times New Roman"/>
          <w:b/>
          <w:i/>
          <w:szCs w:val="24"/>
        </w:rPr>
        <w:t>Liberal-Conservative Amicus Brief Difference</w:t>
      </w:r>
      <w:r w:rsidRPr="00DE4886">
        <w:rPr>
          <w:rFonts w:cs="Times New Roman"/>
          <w:b/>
          <w:szCs w:val="24"/>
        </w:rPr>
        <w:t xml:space="preserve"> on Ideological Direction of Justice Vote Across </w:t>
      </w:r>
      <w:r>
        <w:rPr>
          <w:rFonts w:cs="Times New Roman"/>
          <w:b/>
          <w:szCs w:val="24"/>
        </w:rPr>
        <w:t>Levels of Judicia</w:t>
      </w:r>
      <w:r w:rsidR="00AF21BE">
        <w:rPr>
          <w:rFonts w:cs="Times New Roman"/>
          <w:b/>
          <w:szCs w:val="24"/>
        </w:rPr>
        <w:t>l Moderation in Economics Cases</w:t>
      </w:r>
    </w:p>
    <w:p w:rsidR="00451FF6" w:rsidRPr="0059577F" w:rsidRDefault="00451FF6" w:rsidP="00E71D36">
      <w:pPr>
        <w:spacing w:line="480" w:lineRule="auto"/>
        <w:ind w:left="0" w:firstLine="0"/>
        <w:rPr>
          <w:rFonts w:cs="Times New Roman"/>
          <w:b/>
          <w:szCs w:val="24"/>
        </w:rPr>
      </w:pPr>
      <w:r>
        <w:rPr>
          <w:rFonts w:cs="Times New Roman"/>
          <w:b/>
          <w:noProof/>
          <w:szCs w:val="24"/>
        </w:rPr>
        <w:drawing>
          <wp:inline distT="0" distB="0" distL="0" distR="0" wp14:anchorId="0C83747D" wp14:editId="2A188986">
            <wp:extent cx="5114925" cy="37433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F21BE" w:rsidRDefault="00AF21BE" w:rsidP="00F07765">
      <w:pPr>
        <w:autoSpaceDE w:val="0"/>
        <w:autoSpaceDN w:val="0"/>
        <w:adjustRightInd w:val="0"/>
        <w:spacing w:line="480" w:lineRule="auto"/>
        <w:ind w:left="0" w:firstLine="720"/>
        <w:rPr>
          <w:rFonts w:cs="Times New Roman"/>
          <w:szCs w:val="24"/>
        </w:rPr>
      </w:pPr>
    </w:p>
    <w:p w:rsidR="003C61B8" w:rsidRDefault="00F07765" w:rsidP="00F07765">
      <w:pPr>
        <w:autoSpaceDE w:val="0"/>
        <w:autoSpaceDN w:val="0"/>
        <w:adjustRightInd w:val="0"/>
        <w:spacing w:line="480" w:lineRule="auto"/>
        <w:ind w:left="0" w:firstLine="720"/>
        <w:rPr>
          <w:color w:val="0070C0"/>
        </w:rPr>
      </w:pPr>
      <w:r w:rsidRPr="003E792D">
        <w:rPr>
          <w:rFonts w:cs="Times New Roman"/>
          <w:szCs w:val="24"/>
        </w:rPr>
        <w:t xml:space="preserve">However, the results of </w:t>
      </w:r>
      <w:r w:rsidRPr="003E792D">
        <w:rPr>
          <w:rFonts w:cs="Times New Roman"/>
          <w:i/>
          <w:szCs w:val="24"/>
        </w:rPr>
        <w:t>Prestigious Liberal-Conservative Amicus Difference</w:t>
      </w:r>
      <w:r w:rsidRPr="003E792D">
        <w:rPr>
          <w:rFonts w:cs="Times New Roman"/>
          <w:szCs w:val="24"/>
        </w:rPr>
        <w:t xml:space="preserve"> tell a different story than </w:t>
      </w:r>
      <w:r w:rsidRPr="003E792D">
        <w:rPr>
          <w:rFonts w:cs="Times New Roman"/>
          <w:i/>
          <w:szCs w:val="24"/>
        </w:rPr>
        <w:t xml:space="preserve">Liberal-Conservative Amicus Brief Difference </w:t>
      </w:r>
      <w:r w:rsidRPr="003E792D">
        <w:rPr>
          <w:rFonts w:cs="Times New Roman"/>
          <w:szCs w:val="24"/>
        </w:rPr>
        <w:t xml:space="preserve">or </w:t>
      </w:r>
      <w:r w:rsidRPr="003E792D">
        <w:rPr>
          <w:rFonts w:cs="Times New Roman"/>
          <w:i/>
          <w:szCs w:val="24"/>
        </w:rPr>
        <w:t>Liberal-Conservative Amicus Cosigner Difference</w:t>
      </w:r>
      <w:r w:rsidR="003E792D" w:rsidRPr="003E792D">
        <w:rPr>
          <w:rFonts w:cs="Times New Roman"/>
          <w:i/>
          <w:szCs w:val="24"/>
        </w:rPr>
        <w:t xml:space="preserve"> </w:t>
      </w:r>
      <w:r w:rsidR="003E792D" w:rsidRPr="003E792D">
        <w:rPr>
          <w:rFonts w:cs="Times New Roman"/>
          <w:szCs w:val="24"/>
        </w:rPr>
        <w:t>in Model 4</w:t>
      </w:r>
      <w:r w:rsidRPr="003E792D">
        <w:rPr>
          <w:rFonts w:cs="Times New Roman"/>
          <w:szCs w:val="24"/>
        </w:rPr>
        <w:t>.</w:t>
      </w:r>
      <w:r w:rsidRPr="003E792D">
        <w:rPr>
          <w:rFonts w:cs="Times New Roman"/>
          <w:i/>
          <w:szCs w:val="24"/>
        </w:rPr>
        <w:t xml:space="preserve">  Prestigious Liberal-Conservative Amicus Difference </w:t>
      </w:r>
      <w:r w:rsidRPr="003E792D">
        <w:rPr>
          <w:rFonts w:cs="Times New Roman"/>
          <w:szCs w:val="24"/>
        </w:rPr>
        <w:t>is statistically significant and signed in the expected direction</w:t>
      </w:r>
      <w:r w:rsidR="003E792D" w:rsidRPr="003E792D">
        <w:rPr>
          <w:rFonts w:cs="Times New Roman"/>
          <w:szCs w:val="24"/>
        </w:rPr>
        <w:t xml:space="preserve"> in economics cases</w:t>
      </w:r>
      <w:r w:rsidRPr="003E792D">
        <w:rPr>
          <w:rFonts w:cs="Times New Roman"/>
          <w:szCs w:val="24"/>
        </w:rPr>
        <w:t xml:space="preserve">.  </w:t>
      </w:r>
      <w:r w:rsidRPr="003E792D">
        <w:t xml:space="preserve">The odds ratio of </w:t>
      </w:r>
      <w:r w:rsidRPr="003E792D">
        <w:rPr>
          <w:rFonts w:cs="Times New Roman"/>
          <w:i/>
          <w:szCs w:val="24"/>
        </w:rPr>
        <w:t>Prestigious Liberal-Conservative Amicus Difference</w:t>
      </w:r>
      <w:r w:rsidRPr="003E792D">
        <w:t xml:space="preserve"> is</w:t>
      </w:r>
      <w:r w:rsidR="003E792D">
        <w:rPr>
          <w:color w:val="0070C0"/>
        </w:rPr>
        <w:t xml:space="preserve"> </w:t>
      </w:r>
      <w:r w:rsidR="003E792D" w:rsidRPr="003E792D">
        <w:t>1.507</w:t>
      </w:r>
      <w:r w:rsidRPr="003E792D">
        <w:t xml:space="preserve">, indicating that the odds of a liberal </w:t>
      </w:r>
      <w:r w:rsidR="003E792D" w:rsidRPr="003E792D">
        <w:t>justice vote increase in Model 4 by 1.507</w:t>
      </w:r>
      <w:r w:rsidRPr="003E792D">
        <w:t xml:space="preserve"> times when there is a one unit increase in a prestigious liberal brief advantage.</w:t>
      </w:r>
      <w:r w:rsidRPr="00F07765">
        <w:rPr>
          <w:color w:val="0070C0"/>
        </w:rPr>
        <w:t xml:space="preserve">  </w:t>
      </w:r>
      <w:r w:rsidRPr="003E792D">
        <w:t xml:space="preserve">The marginal effects of </w:t>
      </w:r>
      <w:r w:rsidRPr="003E792D">
        <w:rPr>
          <w:rFonts w:cs="Times New Roman"/>
          <w:i/>
          <w:szCs w:val="24"/>
        </w:rPr>
        <w:t xml:space="preserve">Prestigious Liberal-Conservative Amicus Difference </w:t>
      </w:r>
      <w:r w:rsidRPr="003E792D">
        <w:t>reveals that a justice is</w:t>
      </w:r>
      <w:r w:rsidRPr="00F07765">
        <w:rPr>
          <w:color w:val="0070C0"/>
        </w:rPr>
        <w:t xml:space="preserve"> </w:t>
      </w:r>
      <w:r w:rsidR="003E792D" w:rsidRPr="003E792D">
        <w:t>9.7</w:t>
      </w:r>
      <w:r w:rsidRPr="003E792D">
        <w:t xml:space="preserve"> percent more likely to cast a liberal vote as the </w:t>
      </w:r>
      <w:r w:rsidRPr="003E792D">
        <w:rPr>
          <w:rFonts w:cs="Times New Roman"/>
          <w:i/>
          <w:szCs w:val="24"/>
        </w:rPr>
        <w:t xml:space="preserve">Prestigious Liberal-Conservative Amicus Difference </w:t>
      </w:r>
      <w:r w:rsidRPr="003E792D">
        <w:t xml:space="preserve">in the case increases </w:t>
      </w:r>
      <w:r w:rsidR="003E792D" w:rsidRPr="003E792D">
        <w:t xml:space="preserve">from -.27 (the mean) </w:t>
      </w:r>
      <w:r w:rsidR="003E792D" w:rsidRPr="003E792D">
        <w:lastRenderedPageBreak/>
        <w:t>to .66</w:t>
      </w:r>
      <w:r w:rsidRPr="003E792D">
        <w:t xml:space="preserve"> (one standard deviation above the mean),</w:t>
      </w:r>
      <w:r w:rsidRPr="00F07765">
        <w:rPr>
          <w:color w:val="0070C0"/>
        </w:rPr>
        <w:t xml:space="preserve"> </w:t>
      </w:r>
      <w:r w:rsidR="003E792D" w:rsidRPr="003E792D">
        <w:t>and 53.73</w:t>
      </w:r>
      <w:r w:rsidRPr="003E792D">
        <w:t xml:space="preserve"> percent more likely to cast a liberal vote as the </w:t>
      </w:r>
      <w:r w:rsidRPr="003E792D">
        <w:rPr>
          <w:rFonts w:cs="Times New Roman"/>
          <w:i/>
          <w:szCs w:val="24"/>
        </w:rPr>
        <w:t xml:space="preserve">Prestigious Liberal-Conservative Amicus Difference </w:t>
      </w:r>
      <w:r w:rsidRPr="003E792D">
        <w:t>in the case increases from</w:t>
      </w:r>
      <w:r w:rsidR="003E792D">
        <w:t xml:space="preserve"> the least liberal advantage (-3</w:t>
      </w:r>
      <w:r w:rsidRPr="003E792D">
        <w:t>) to the greatest liberal advantage (3).</w:t>
      </w:r>
      <w:r w:rsidRPr="00F07765">
        <w:rPr>
          <w:color w:val="0070C0"/>
        </w:rPr>
        <w:t xml:space="preserve">  </w:t>
      </w:r>
      <w:r w:rsidRPr="003E792D">
        <w:t>This result supports my prestigious amicus hypotheses, indicating that the justices respond favorably to an advantage of prestigious amic</w:t>
      </w:r>
      <w:r w:rsidR="003E792D">
        <w:t>i</w:t>
      </w:r>
      <w:r w:rsidRPr="00F07765">
        <w:rPr>
          <w:color w:val="0070C0"/>
        </w:rPr>
        <w:t xml:space="preserve">, </w:t>
      </w:r>
      <w:r w:rsidRPr="003E792D">
        <w:t>even when controlling for an ideological advantage of total</w:t>
      </w:r>
      <w:r w:rsidR="003C61B8">
        <w:t xml:space="preserve"> briefs and cosigners in a case</w:t>
      </w:r>
      <w:r w:rsidRPr="003C61B8">
        <w:t xml:space="preserve">.  Thus, in </w:t>
      </w:r>
      <w:r w:rsidR="003C61B8" w:rsidRPr="003C61B8">
        <w:t xml:space="preserve">economics cases, the justices are more persuaded by who is filing amicus briefs </w:t>
      </w:r>
      <w:r w:rsidRPr="003C61B8">
        <w:t>than the simple quantity of briefs</w:t>
      </w:r>
      <w:r w:rsidR="003C61B8" w:rsidRPr="003C61B8">
        <w:t xml:space="preserve"> or cosigners in a case</w:t>
      </w:r>
      <w:r w:rsidRPr="003C61B8">
        <w:t>.</w:t>
      </w:r>
      <w:r w:rsidR="003C61B8" w:rsidRPr="003C61B8">
        <w:t xml:space="preserve">  In economics cases, the question of “who files?” is more important than a simple count of “how many file?” or “how many sign?”  The main lesson is that an ideological advantage of prestigious amici matter in economics cases, and the justices seem to resist the persuasion attempts of amici otherwise.  These findings provide qualified support for both the legal and interest group models of amicus influence, but only insofar as they pertain to powerful groups.</w:t>
      </w:r>
      <w:r w:rsidRPr="00F07765">
        <w:rPr>
          <w:color w:val="0070C0"/>
        </w:rPr>
        <w:t xml:space="preserve">  </w:t>
      </w:r>
    </w:p>
    <w:p w:rsidR="00F07765" w:rsidRPr="00F07765" w:rsidRDefault="00512780" w:rsidP="00F07765">
      <w:pPr>
        <w:autoSpaceDE w:val="0"/>
        <w:autoSpaceDN w:val="0"/>
        <w:adjustRightInd w:val="0"/>
        <w:spacing w:line="480" w:lineRule="auto"/>
        <w:ind w:left="0" w:firstLine="720"/>
        <w:rPr>
          <w:color w:val="0070C0"/>
        </w:rPr>
      </w:pPr>
      <w:r>
        <w:rPr>
          <w:rFonts w:cs="Times New Roman"/>
          <w:szCs w:val="24"/>
        </w:rPr>
        <w:t>Further</w:t>
      </w:r>
      <w:r w:rsidR="00F07765" w:rsidRPr="003C61B8">
        <w:rPr>
          <w:rFonts w:cs="Times New Roman"/>
          <w:szCs w:val="24"/>
        </w:rPr>
        <w:t xml:space="preserve">, all of the control variables are signed in the expected direction and statistically significant </w:t>
      </w:r>
      <w:r w:rsidR="003C61B8" w:rsidRPr="003C61B8">
        <w:rPr>
          <w:rFonts w:cs="Times New Roman"/>
          <w:szCs w:val="24"/>
        </w:rPr>
        <w:t xml:space="preserve">in economics </w:t>
      </w:r>
      <w:r w:rsidR="00F07765" w:rsidRPr="003C61B8">
        <w:rPr>
          <w:rFonts w:cs="Times New Roman"/>
          <w:szCs w:val="24"/>
        </w:rPr>
        <w:t>cases</w:t>
      </w:r>
      <w:r w:rsidR="003C61B8" w:rsidRPr="003C61B8">
        <w:rPr>
          <w:rFonts w:cs="Times New Roman"/>
          <w:szCs w:val="24"/>
        </w:rPr>
        <w:t xml:space="preserve">, except </w:t>
      </w:r>
      <w:r w:rsidR="003C61B8" w:rsidRPr="003C61B8">
        <w:rPr>
          <w:rFonts w:cs="Times New Roman"/>
          <w:i/>
          <w:szCs w:val="24"/>
        </w:rPr>
        <w:t>Lower Court Direction</w:t>
      </w:r>
      <w:r w:rsidR="00F07765" w:rsidRPr="003C61B8">
        <w:rPr>
          <w:rFonts w:cs="Times New Roman"/>
          <w:szCs w:val="24"/>
        </w:rPr>
        <w:t xml:space="preserve">.  </w:t>
      </w:r>
      <w:r w:rsidR="003C61B8" w:rsidRPr="003C61B8">
        <w:rPr>
          <w:rFonts w:cs="Times New Roman"/>
          <w:szCs w:val="24"/>
        </w:rPr>
        <w:t>First, Model 4 continues to confirm</w:t>
      </w:r>
      <w:r w:rsidR="00F07765" w:rsidRPr="003C61B8">
        <w:rPr>
          <w:rFonts w:cs="Times New Roman"/>
          <w:szCs w:val="24"/>
        </w:rPr>
        <w:t xml:space="preserve"> the strong and statistically significant role of </w:t>
      </w:r>
      <w:r w:rsidR="00F07765" w:rsidRPr="003C61B8">
        <w:rPr>
          <w:rFonts w:cs="Times New Roman"/>
          <w:i/>
          <w:szCs w:val="24"/>
        </w:rPr>
        <w:t xml:space="preserve">Ideology </w:t>
      </w:r>
      <w:r w:rsidR="00F07765" w:rsidRPr="003C61B8">
        <w:rPr>
          <w:rFonts w:cs="Times New Roman"/>
          <w:szCs w:val="24"/>
        </w:rPr>
        <w:t>in predicting how a justice will vote.</w:t>
      </w:r>
      <w:r w:rsidR="00F07765" w:rsidRPr="00F07765">
        <w:rPr>
          <w:rFonts w:cs="Times New Roman"/>
          <w:color w:val="0070C0"/>
          <w:szCs w:val="24"/>
        </w:rPr>
        <w:t xml:space="preserve">  </w:t>
      </w:r>
      <w:r w:rsidR="00F07765" w:rsidRPr="003C61B8">
        <w:t xml:space="preserve">The odds ratio of </w:t>
      </w:r>
      <w:r w:rsidR="00F07765" w:rsidRPr="003C61B8">
        <w:rPr>
          <w:i/>
        </w:rPr>
        <w:t xml:space="preserve">Ideology </w:t>
      </w:r>
      <w:r w:rsidR="003C61B8" w:rsidRPr="003C61B8">
        <w:t>is 6.976</w:t>
      </w:r>
      <w:r w:rsidR="00F07765" w:rsidRPr="003C61B8">
        <w:t>, indicating that the odds of liberal justice v</w:t>
      </w:r>
      <w:r w:rsidR="003C61B8" w:rsidRPr="003C61B8">
        <w:t>ote increase in Model 4 by 6.976</w:t>
      </w:r>
      <w:r w:rsidR="00F07765" w:rsidRPr="003C61B8">
        <w:t xml:space="preserve"> times when there is a one unit increase in judicial ideology</w:t>
      </w:r>
      <w:r w:rsidR="00F07765" w:rsidRPr="0035582B">
        <w:t xml:space="preserve">.  The marginal effect of </w:t>
      </w:r>
      <w:r w:rsidR="00F07765" w:rsidRPr="0035582B">
        <w:rPr>
          <w:i/>
        </w:rPr>
        <w:t xml:space="preserve">Ideology </w:t>
      </w:r>
      <w:r w:rsidR="0035582B" w:rsidRPr="0035582B">
        <w:t>is 11.9</w:t>
      </w:r>
      <w:r w:rsidR="00F07765" w:rsidRPr="0035582B">
        <w:t xml:space="preserve"> percent, indicating that a justice whose Segal-Cover score is at .</w:t>
      </w:r>
      <w:r w:rsidR="0035582B" w:rsidRPr="0035582B">
        <w:t>579</w:t>
      </w:r>
      <w:r w:rsidR="00F07765" w:rsidRPr="0035582B">
        <w:t xml:space="preserve"> (one standard</w:t>
      </w:r>
      <w:r w:rsidR="0035582B" w:rsidRPr="0035582B">
        <w:t xml:space="preserve"> deviation above the mean) is 11.9</w:t>
      </w:r>
      <w:r w:rsidR="00F07765" w:rsidRPr="0035582B">
        <w:t xml:space="preserve"> percent more likely to cast a liberal vote than a justice whose Segal-Cover score is at the mean</w:t>
      </w:r>
      <w:r w:rsidR="0035582B" w:rsidRPr="0035582B">
        <w:t xml:space="preserve"> (.33</w:t>
      </w:r>
      <w:r w:rsidR="00F07765" w:rsidRPr="0035582B">
        <w:t>).</w:t>
      </w:r>
      <w:r w:rsidR="00F07765" w:rsidRPr="00F07765">
        <w:rPr>
          <w:color w:val="0070C0"/>
        </w:rPr>
        <w:t xml:space="preserve">  </w:t>
      </w:r>
      <w:r w:rsidR="00F07765" w:rsidRPr="0035582B">
        <w:t>Further, the marginal effects reveal that, compared with the most conservative justice (Justice Scalia), the most liberal justice (Justice Sotomayor)</w:t>
      </w:r>
      <w:r>
        <w:rPr>
          <w:color w:val="0070C0"/>
        </w:rPr>
        <w:t xml:space="preserve"> </w:t>
      </w:r>
      <w:r w:rsidR="0035582B" w:rsidRPr="0035582B">
        <w:t>is 35.27</w:t>
      </w:r>
      <w:r w:rsidR="00F07765" w:rsidRPr="0035582B">
        <w:t xml:space="preserve"> percent more likely to cast a liberal vote. These findings are expected and </w:t>
      </w:r>
      <w:r w:rsidR="00F07765" w:rsidRPr="0035582B">
        <w:lastRenderedPageBreak/>
        <w:t>are consistent with the attitudinal model of judicial decision making.</w:t>
      </w:r>
      <w:r w:rsidR="0035582B" w:rsidRPr="0035582B">
        <w:t xml:space="preserve">  As with the other issue areas, </w:t>
      </w:r>
      <w:r w:rsidR="0035582B" w:rsidRPr="0035582B">
        <w:rPr>
          <w:i/>
        </w:rPr>
        <w:t>I</w:t>
      </w:r>
      <w:r w:rsidR="00F07765" w:rsidRPr="0035582B">
        <w:rPr>
          <w:i/>
        </w:rPr>
        <w:t>deology</w:t>
      </w:r>
      <w:r w:rsidR="00F07765" w:rsidRPr="0035582B">
        <w:t xml:space="preserve"> is the strongest predictor of how a justice will vote in </w:t>
      </w:r>
      <w:r w:rsidR="0035582B" w:rsidRPr="0035582B">
        <w:t xml:space="preserve">economics </w:t>
      </w:r>
      <w:r w:rsidR="00F07765" w:rsidRPr="0035582B">
        <w:t>cases.</w:t>
      </w:r>
      <w:r w:rsidR="00F07765" w:rsidRPr="00F07765">
        <w:rPr>
          <w:color w:val="0070C0"/>
        </w:rPr>
        <w:t xml:space="preserve"> </w:t>
      </w:r>
    </w:p>
    <w:p w:rsidR="00F07765" w:rsidRPr="00F07765" w:rsidRDefault="00F07765" w:rsidP="00F07765">
      <w:pPr>
        <w:autoSpaceDE w:val="0"/>
        <w:autoSpaceDN w:val="0"/>
        <w:adjustRightInd w:val="0"/>
        <w:spacing w:line="480" w:lineRule="auto"/>
        <w:ind w:left="0" w:firstLine="720"/>
        <w:rPr>
          <w:rFonts w:cs="Times New Roman"/>
          <w:color w:val="0070C0"/>
          <w:szCs w:val="24"/>
        </w:rPr>
      </w:pPr>
      <w:r w:rsidRPr="0035582B">
        <w:t>Second, the</w:t>
      </w:r>
      <w:r w:rsidR="0035582B">
        <w:t xml:space="preserve"> powerful</w:t>
      </w:r>
      <w:r w:rsidRPr="0035582B">
        <w:t xml:space="preserve"> impact of the Solicitor General as both a conservative and liberal amicus in </w:t>
      </w:r>
      <w:r w:rsidR="0035582B" w:rsidRPr="0035582B">
        <w:t>economics cases</w:t>
      </w:r>
      <w:r w:rsidR="00512780">
        <w:t xml:space="preserve"> is</w:t>
      </w:r>
      <w:r w:rsidR="0035582B" w:rsidRPr="0035582B">
        <w:t xml:space="preserve"> </w:t>
      </w:r>
      <w:r w:rsidRPr="0035582B">
        <w:t>confirmed</w:t>
      </w:r>
      <w:r w:rsidR="0035582B" w:rsidRPr="0035582B">
        <w:t xml:space="preserve"> by Table 5.4.</w:t>
      </w:r>
      <w:r w:rsidRPr="00F07765">
        <w:rPr>
          <w:color w:val="0070C0"/>
        </w:rPr>
        <w:t xml:space="preserve">  </w:t>
      </w:r>
      <w:r w:rsidRPr="0035582B">
        <w:t xml:space="preserve">The odds ratio of </w:t>
      </w:r>
      <w:r w:rsidRPr="0035582B">
        <w:rPr>
          <w:i/>
        </w:rPr>
        <w:t xml:space="preserve">SG Liberal Amicus </w:t>
      </w:r>
      <w:r w:rsidR="0035582B" w:rsidRPr="0035582B">
        <w:t>is 1.961</w:t>
      </w:r>
      <w:r w:rsidRPr="0035582B">
        <w:t>, indicating that the odds of a libe</w:t>
      </w:r>
      <w:r w:rsidR="0035582B" w:rsidRPr="0035582B">
        <w:t>ral justice vote is 1.961 times higher when the SG participates as</w:t>
      </w:r>
      <w:r w:rsidRPr="0035582B">
        <w:t xml:space="preserve"> a li</w:t>
      </w:r>
      <w:r w:rsidR="0035582B" w:rsidRPr="0035582B">
        <w:t>beral amicus than when the SG does</w:t>
      </w:r>
      <w:r w:rsidRPr="0035582B">
        <w:t xml:space="preserve"> not.</w:t>
      </w:r>
      <w:r w:rsidRPr="00F07765">
        <w:rPr>
          <w:color w:val="0070C0"/>
        </w:rPr>
        <w:t xml:space="preserve">  </w:t>
      </w:r>
      <w:r w:rsidRPr="0035582B">
        <w:rPr>
          <w:rFonts w:cs="Times New Roman"/>
          <w:szCs w:val="24"/>
        </w:rPr>
        <w:t xml:space="preserve">Further, the marginal effects reveal that the when the SG argues the liberal position, </w:t>
      </w:r>
      <w:r w:rsidR="0035582B" w:rsidRPr="0035582B">
        <w:t>a justice is 15.5</w:t>
      </w:r>
      <w:r w:rsidRPr="0035582B">
        <w:t xml:space="preserve"> percent more likely to cast a liberal vote than when the SG does not advance the liberal position as an amicus.</w:t>
      </w:r>
      <w:r w:rsidR="0035582B">
        <w:rPr>
          <w:color w:val="0070C0"/>
        </w:rPr>
        <w:t xml:space="preserve"> </w:t>
      </w:r>
      <w:r w:rsidRPr="0035582B">
        <w:rPr>
          <w:rFonts w:cs="Times New Roman"/>
          <w:szCs w:val="24"/>
        </w:rPr>
        <w:t xml:space="preserve">Conversely, the odds ratio of </w:t>
      </w:r>
      <w:r w:rsidRPr="0035582B">
        <w:rPr>
          <w:rFonts w:cs="Times New Roman"/>
          <w:i/>
          <w:szCs w:val="24"/>
        </w:rPr>
        <w:t xml:space="preserve">SG Conservative Amicus </w:t>
      </w:r>
      <w:r w:rsidR="0035582B" w:rsidRPr="0035582B">
        <w:rPr>
          <w:rFonts w:cs="Times New Roman"/>
          <w:szCs w:val="24"/>
        </w:rPr>
        <w:t>is .219</w:t>
      </w:r>
      <w:r w:rsidRPr="0035582B">
        <w:rPr>
          <w:rFonts w:cs="Times New Roman"/>
          <w:szCs w:val="24"/>
        </w:rPr>
        <w:t>, indicating that the odds of a liber</w:t>
      </w:r>
      <w:r w:rsidR="0035582B" w:rsidRPr="0035582B">
        <w:rPr>
          <w:rFonts w:cs="Times New Roman"/>
          <w:szCs w:val="24"/>
        </w:rPr>
        <w:t>al justice vote decrease by 4.57</w:t>
      </w:r>
      <w:r w:rsidRPr="0035582B">
        <w:rPr>
          <w:rFonts w:cs="Times New Roman"/>
          <w:szCs w:val="24"/>
        </w:rPr>
        <w:t xml:space="preserve"> times when the SG advocates the conservative position as amicus than when the SG does not.</w:t>
      </w:r>
      <w:r w:rsidRPr="00F07765">
        <w:rPr>
          <w:rFonts w:cs="Times New Roman"/>
          <w:color w:val="0070C0"/>
          <w:szCs w:val="24"/>
        </w:rPr>
        <w:t xml:space="preserve">  </w:t>
      </w:r>
      <w:r w:rsidRPr="0035582B">
        <w:rPr>
          <w:rFonts w:cs="Times New Roman"/>
          <w:szCs w:val="24"/>
        </w:rPr>
        <w:t xml:space="preserve">Likewise, the marginal effects reveal that when the SG argues the conservative position, </w:t>
      </w:r>
      <w:r w:rsidRPr="0035582B">
        <w:t xml:space="preserve">a justice </w:t>
      </w:r>
      <w:r w:rsidR="0035582B" w:rsidRPr="0035582B">
        <w:rPr>
          <w:rFonts w:cs="Times New Roman"/>
          <w:szCs w:val="24"/>
        </w:rPr>
        <w:t>is 33.9</w:t>
      </w:r>
      <w:r w:rsidRPr="0035582B">
        <w:rPr>
          <w:rFonts w:cs="Times New Roman"/>
          <w:szCs w:val="24"/>
        </w:rPr>
        <w:t xml:space="preserve"> percent less likely to cast a liberal vote, than when the SG does not advocate the conservative position as an amicus.</w:t>
      </w:r>
    </w:p>
    <w:p w:rsidR="00F07765" w:rsidRPr="00154051" w:rsidRDefault="00651D4E" w:rsidP="00F07765">
      <w:pPr>
        <w:autoSpaceDE w:val="0"/>
        <w:autoSpaceDN w:val="0"/>
        <w:adjustRightInd w:val="0"/>
        <w:spacing w:line="480" w:lineRule="auto"/>
        <w:ind w:left="0" w:firstLine="720"/>
        <w:rPr>
          <w:rFonts w:cs="Times New Roman"/>
          <w:szCs w:val="24"/>
        </w:rPr>
      </w:pPr>
      <w:r w:rsidRPr="00154051">
        <w:rPr>
          <w:rFonts w:cs="Times New Roman"/>
          <w:szCs w:val="24"/>
        </w:rPr>
        <w:t>Third</w:t>
      </w:r>
      <w:r w:rsidR="00F07765" w:rsidRPr="00154051">
        <w:rPr>
          <w:rFonts w:cs="Times New Roman"/>
          <w:szCs w:val="24"/>
        </w:rPr>
        <w:t>,</w:t>
      </w:r>
      <w:r w:rsidRPr="00154051">
        <w:rPr>
          <w:rFonts w:cs="Times New Roman"/>
          <w:szCs w:val="24"/>
        </w:rPr>
        <w:t xml:space="preserve"> and interestingly,</w:t>
      </w:r>
      <w:r w:rsidR="00F07765" w:rsidRPr="00154051">
        <w:rPr>
          <w:rFonts w:cs="Times New Roman"/>
          <w:szCs w:val="24"/>
        </w:rPr>
        <w:t xml:space="preserve"> the </w:t>
      </w:r>
      <w:r w:rsidR="00F07765" w:rsidRPr="00154051">
        <w:rPr>
          <w:rFonts w:cs="Times New Roman"/>
          <w:i/>
          <w:szCs w:val="24"/>
        </w:rPr>
        <w:t xml:space="preserve">Lower Court Direction </w:t>
      </w:r>
      <w:r w:rsidR="00F07765" w:rsidRPr="00154051">
        <w:rPr>
          <w:rFonts w:cs="Times New Roman"/>
          <w:szCs w:val="24"/>
        </w:rPr>
        <w:t xml:space="preserve">variable is </w:t>
      </w:r>
      <w:r w:rsidRPr="00154051">
        <w:rPr>
          <w:rFonts w:cs="Times New Roman"/>
          <w:szCs w:val="24"/>
        </w:rPr>
        <w:t xml:space="preserve">not </w:t>
      </w:r>
      <w:r w:rsidR="00F07765" w:rsidRPr="00154051">
        <w:rPr>
          <w:rFonts w:cs="Times New Roman"/>
          <w:szCs w:val="24"/>
        </w:rPr>
        <w:t>st</w:t>
      </w:r>
      <w:r w:rsidRPr="00154051">
        <w:rPr>
          <w:rFonts w:cs="Times New Roman"/>
          <w:szCs w:val="24"/>
        </w:rPr>
        <w:t xml:space="preserve">atistically significant and is not </w:t>
      </w:r>
      <w:r w:rsidR="00F07765" w:rsidRPr="00154051">
        <w:rPr>
          <w:rFonts w:cs="Times New Roman"/>
          <w:szCs w:val="24"/>
        </w:rPr>
        <w:t>signed</w:t>
      </w:r>
      <w:r w:rsidRPr="00154051">
        <w:rPr>
          <w:rFonts w:cs="Times New Roman"/>
          <w:szCs w:val="24"/>
        </w:rPr>
        <w:t xml:space="preserve"> as expected</w:t>
      </w:r>
      <w:r w:rsidR="00F07765" w:rsidRPr="00154051">
        <w:rPr>
          <w:rFonts w:cs="Times New Roman"/>
          <w:szCs w:val="24"/>
        </w:rPr>
        <w:t xml:space="preserve">.  This result </w:t>
      </w:r>
      <w:r w:rsidRPr="00154051">
        <w:rPr>
          <w:rFonts w:cs="Times New Roman"/>
          <w:szCs w:val="24"/>
        </w:rPr>
        <w:t xml:space="preserve">goes against the typical findings that the </w:t>
      </w:r>
      <w:r w:rsidR="00154051" w:rsidRPr="00154051">
        <w:rPr>
          <w:rFonts w:cs="Times New Roman"/>
          <w:szCs w:val="24"/>
        </w:rPr>
        <w:t>USSC considers cases that they have a tendency to reverse.  It would appear that the justices on the Roberts Court are not more likely to take cases they tend to reverse in economics cases to any statistically significant degree.</w:t>
      </w:r>
    </w:p>
    <w:p w:rsidR="00F07765" w:rsidRDefault="00F07765" w:rsidP="00F07765">
      <w:pPr>
        <w:autoSpaceDE w:val="0"/>
        <w:autoSpaceDN w:val="0"/>
        <w:adjustRightInd w:val="0"/>
        <w:spacing w:line="480" w:lineRule="auto"/>
        <w:ind w:left="0" w:firstLine="720"/>
      </w:pPr>
      <w:r w:rsidRPr="00154051">
        <w:rPr>
          <w:rFonts w:cs="Times New Roman"/>
          <w:szCs w:val="24"/>
        </w:rPr>
        <w:t>Fourth</w:t>
      </w:r>
      <w:r w:rsidR="00154051" w:rsidRPr="00154051">
        <w:rPr>
          <w:rFonts w:cs="Times New Roman"/>
          <w:szCs w:val="24"/>
        </w:rPr>
        <w:t xml:space="preserve"> and lastly</w:t>
      </w:r>
      <w:r w:rsidRPr="00154051">
        <w:rPr>
          <w:rFonts w:cs="Times New Roman"/>
          <w:szCs w:val="24"/>
        </w:rPr>
        <w:t xml:space="preserve">, the </w:t>
      </w:r>
      <w:r w:rsidRPr="00154051">
        <w:rPr>
          <w:rFonts w:cs="Times New Roman"/>
          <w:i/>
          <w:szCs w:val="24"/>
        </w:rPr>
        <w:t xml:space="preserve">Liberal – Conservative Resource Difference </w:t>
      </w:r>
      <w:r w:rsidRPr="00154051">
        <w:rPr>
          <w:rFonts w:cs="Times New Roman"/>
          <w:szCs w:val="24"/>
        </w:rPr>
        <w:t xml:space="preserve">variable is statistically significant and signed in the expected direction.  The odds ratio of </w:t>
      </w:r>
      <w:r w:rsidRPr="00154051">
        <w:rPr>
          <w:rFonts w:cs="Times New Roman"/>
          <w:i/>
          <w:szCs w:val="24"/>
        </w:rPr>
        <w:t xml:space="preserve">Liberal – Conservative Resource Difference </w:t>
      </w:r>
      <w:r w:rsidR="00154051" w:rsidRPr="00154051">
        <w:rPr>
          <w:rFonts w:cs="Times New Roman"/>
          <w:szCs w:val="24"/>
        </w:rPr>
        <w:t>is 1.129</w:t>
      </w:r>
      <w:r w:rsidRPr="00154051">
        <w:rPr>
          <w:rFonts w:cs="Times New Roman"/>
          <w:szCs w:val="24"/>
        </w:rPr>
        <w:t>, in</w:t>
      </w:r>
      <w:r w:rsidR="00154051" w:rsidRPr="00154051">
        <w:rPr>
          <w:rFonts w:cs="Times New Roman"/>
          <w:szCs w:val="24"/>
        </w:rPr>
        <w:t>dicating that a justice is 1.129</w:t>
      </w:r>
      <w:r w:rsidRPr="00154051">
        <w:rPr>
          <w:rFonts w:cs="Times New Roman"/>
          <w:szCs w:val="24"/>
        </w:rPr>
        <w:t xml:space="preserve"> times more likely to issue a liberal ruling </w:t>
      </w:r>
      <w:r w:rsidR="00154051" w:rsidRPr="00154051">
        <w:t>in Model 4</w:t>
      </w:r>
      <w:r w:rsidRPr="00154051">
        <w:t xml:space="preserve"> when there is a one unit increase in  </w:t>
      </w:r>
      <w:r w:rsidRPr="00154051">
        <w:rPr>
          <w:rFonts w:cs="Times New Roman"/>
          <w:i/>
          <w:szCs w:val="24"/>
        </w:rPr>
        <w:t>Liberal – Conservative Resource Difference</w:t>
      </w:r>
      <w:r w:rsidRPr="00154051">
        <w:rPr>
          <w:rFonts w:cs="Times New Roman"/>
          <w:szCs w:val="24"/>
        </w:rPr>
        <w:t>.</w:t>
      </w:r>
      <w:r w:rsidRPr="00F07765">
        <w:rPr>
          <w:rFonts w:cs="Times New Roman"/>
          <w:color w:val="0070C0"/>
          <w:szCs w:val="24"/>
        </w:rPr>
        <w:t xml:space="preserve">  </w:t>
      </w:r>
      <w:r w:rsidRPr="00154051">
        <w:rPr>
          <w:rFonts w:cs="Times New Roman"/>
          <w:szCs w:val="24"/>
        </w:rPr>
        <w:t>The marginal effect of</w:t>
      </w:r>
      <w:r w:rsidRPr="00154051">
        <w:rPr>
          <w:rFonts w:cs="Times New Roman"/>
          <w:i/>
          <w:szCs w:val="24"/>
        </w:rPr>
        <w:t xml:space="preserve"> Liberal – Conservative Resource Difference</w:t>
      </w:r>
      <w:r w:rsidRPr="00154051">
        <w:rPr>
          <w:rFonts w:cs="Times New Roman"/>
          <w:szCs w:val="24"/>
        </w:rPr>
        <w:t xml:space="preserve"> </w:t>
      </w:r>
      <w:r w:rsidR="00154051" w:rsidRPr="00154051">
        <w:t>is 10.9</w:t>
      </w:r>
      <w:r w:rsidRPr="00154051">
        <w:t xml:space="preserve"> percent,</w:t>
      </w:r>
      <w:r w:rsidRPr="00F07765">
        <w:rPr>
          <w:color w:val="0070C0"/>
        </w:rPr>
        <w:t xml:space="preserve"> </w:t>
      </w:r>
      <w:r w:rsidRPr="00154051">
        <w:lastRenderedPageBreak/>
        <w:t>indicating that in a case in which the liberal party’s resource advantage is</w:t>
      </w:r>
      <w:r w:rsidR="00154051">
        <w:rPr>
          <w:color w:val="0070C0"/>
        </w:rPr>
        <w:t xml:space="preserve"> </w:t>
      </w:r>
      <w:r w:rsidR="00154051" w:rsidRPr="00154051">
        <w:t>2.71</w:t>
      </w:r>
      <w:r w:rsidRPr="00154051">
        <w:t xml:space="preserve"> (one standard deviation above the mean),</w:t>
      </w:r>
      <w:r w:rsidR="00154051" w:rsidRPr="00154051">
        <w:t xml:space="preserve"> a justice is 10</w:t>
      </w:r>
      <w:r w:rsidRPr="00154051">
        <w:t>.9 percent more likely to cast a liberal vote than in a case where the liberal part</w:t>
      </w:r>
      <w:r w:rsidR="00154051" w:rsidRPr="00154051">
        <w:t>y’s resource advantage is -.84</w:t>
      </w:r>
      <w:r w:rsidRPr="00154051">
        <w:t xml:space="preserve"> (the mean).</w:t>
      </w:r>
      <w:r w:rsidRPr="00F07765">
        <w:rPr>
          <w:color w:val="0070C0"/>
        </w:rPr>
        <w:t xml:space="preserve">  </w:t>
      </w:r>
      <w:r w:rsidRPr="00154051">
        <w:t>Further, the marginal effect</w:t>
      </w:r>
      <w:r w:rsidR="00154051" w:rsidRPr="00154051">
        <w:t>s reveal that a justice is 44.87</w:t>
      </w:r>
      <w:r w:rsidRPr="00154051">
        <w:t xml:space="preserve"> percent more likely to cast a liberal vote in a case where liberal party resource advantage is at it</w:t>
      </w:r>
      <w:r w:rsidR="00154051" w:rsidRPr="00154051">
        <w:rPr>
          <w:rFonts w:cs="Times New Roman"/>
          <w:szCs w:val="24"/>
        </w:rPr>
        <w:t>s highest value (7</w:t>
      </w:r>
      <w:r w:rsidRPr="00154051">
        <w:rPr>
          <w:rFonts w:cs="Times New Roman"/>
          <w:szCs w:val="24"/>
        </w:rPr>
        <w:t xml:space="preserve">), than in a case where liberal resource advantage is at its lowest value (-9). </w:t>
      </w:r>
      <w:r w:rsidRPr="00154051">
        <w:t xml:space="preserve"> </w:t>
      </w:r>
    </w:p>
    <w:p w:rsidR="00A42D64" w:rsidRDefault="00A42D64" w:rsidP="00F07765">
      <w:pPr>
        <w:autoSpaceDE w:val="0"/>
        <w:autoSpaceDN w:val="0"/>
        <w:adjustRightInd w:val="0"/>
        <w:spacing w:line="480" w:lineRule="auto"/>
        <w:ind w:left="0" w:firstLine="720"/>
      </w:pPr>
      <w:r>
        <w:t>To conclude, when it comes to economics cases before the Roberts Court, judicial ideology matter a great deal, as does the presence of the SG as either a liberal or conservative amicus.  Party resources also matter to a lesser extent.   An advantage of amicus briefs or cosigners do not seem to make a difference, but an advanta</w:t>
      </w:r>
      <w:r w:rsidR="00C711F7">
        <w:t>ge of prestigious liberal amici</w:t>
      </w:r>
      <w:r>
        <w:t xml:space="preserve"> does make a significant impact in the ideological direction of</w:t>
      </w:r>
      <w:r w:rsidR="00C711F7">
        <w:t xml:space="preserve"> the justice votes.  In short, in economics cases, prestigious amici</w:t>
      </w:r>
      <w:r>
        <w:t xml:space="preserve"> persuade the justices, others do not.</w:t>
      </w:r>
    </w:p>
    <w:p w:rsidR="00AF21BE" w:rsidRDefault="00AF21BE" w:rsidP="00AF21BE">
      <w:pPr>
        <w:spacing w:line="480" w:lineRule="auto"/>
        <w:ind w:left="0" w:firstLine="720"/>
      </w:pPr>
      <w:r w:rsidRPr="00E16E4C">
        <w:rPr>
          <w:rFonts w:cs="Times New Roman"/>
          <w:szCs w:val="24"/>
        </w:rPr>
        <w:t xml:space="preserve">The results of my </w:t>
      </w:r>
      <w:proofErr w:type="spellStart"/>
      <w:r w:rsidRPr="00E16E4C">
        <w:rPr>
          <w:rFonts w:cs="Times New Roman"/>
          <w:szCs w:val="24"/>
        </w:rPr>
        <w:t>logit</w:t>
      </w:r>
      <w:proofErr w:type="spellEnd"/>
      <w:r w:rsidRPr="00E16E4C">
        <w:rPr>
          <w:rFonts w:cs="Times New Roman"/>
          <w:szCs w:val="24"/>
        </w:rPr>
        <w:t xml:space="preserve"> model considering judicial power and federalism cases at the Roberts Court (Model 5) are reported in table 5.5.  </w:t>
      </w:r>
      <w:r w:rsidRPr="00E16E4C">
        <w:t xml:space="preserve">Model 5 was estimated using the same variables and methodology as the prior models, and will be interpreted in the same manner.  The chi square test for the model is statistically significant, which means that all the variables considered together in the model are significantly different than zero.  The model correctly predicts 68.54 percent of the outcomes on the dependent variable (liberal vote), which is a </w:t>
      </w:r>
      <w:r w:rsidRPr="00E16E4C">
        <w:rPr>
          <w:rFonts w:eastAsia="Times New Roman" w:cs="Times New Roman"/>
          <w:szCs w:val="24"/>
        </w:rPr>
        <w:t>36.25</w:t>
      </w:r>
      <w:r w:rsidRPr="00E16E4C">
        <w:t xml:space="preserve"> percent reduction in error in the absence of the model (liberal votes actually occurred 49.36 percen</w:t>
      </w:r>
      <w:r w:rsidRPr="00A82E61">
        <w:t xml:space="preserve">t of the time).  </w:t>
      </w:r>
    </w:p>
    <w:p w:rsidR="00AF21BE" w:rsidRPr="00AF21BE" w:rsidRDefault="00AF21BE" w:rsidP="00AF21BE">
      <w:pPr>
        <w:autoSpaceDE w:val="0"/>
        <w:autoSpaceDN w:val="0"/>
        <w:adjustRightInd w:val="0"/>
        <w:spacing w:line="480" w:lineRule="auto"/>
        <w:ind w:left="0" w:firstLine="720"/>
      </w:pPr>
      <w:r w:rsidRPr="00A82E61">
        <w:t>As with</w:t>
      </w:r>
      <w:r>
        <w:t xml:space="preserve"> Models 1 through 4</w:t>
      </w:r>
      <w:r w:rsidRPr="00A82E61">
        <w:t xml:space="preserve">, the MLE coefficient for </w:t>
      </w:r>
      <w:r w:rsidRPr="00A82E61">
        <w:rPr>
          <w:i/>
        </w:rPr>
        <w:t xml:space="preserve">Liberal-Conservative Amicus Briefs Difference </w:t>
      </w:r>
      <w:r w:rsidRPr="00A82E61">
        <w:t xml:space="preserve">does not rise to the level of statistical significance in Model 5, even though it is signed in the expected direction.   Moreover, </w:t>
      </w:r>
      <w:r w:rsidRPr="00A82E61">
        <w:rPr>
          <w:i/>
        </w:rPr>
        <w:t xml:space="preserve">Liberal-Conservative Amicus Briefs Difference </w:t>
      </w:r>
      <w:r>
        <w:t>is</w:t>
      </w:r>
    </w:p>
    <w:p w:rsidR="009F00C5" w:rsidRDefault="009F00C5" w:rsidP="009F00C5">
      <w:pPr>
        <w:autoSpaceDE w:val="0"/>
        <w:autoSpaceDN w:val="0"/>
        <w:adjustRightInd w:val="0"/>
        <w:spacing w:line="480" w:lineRule="auto"/>
        <w:ind w:left="0" w:firstLine="0"/>
        <w:rPr>
          <w:rFonts w:cs="Times New Roman"/>
          <w:szCs w:val="24"/>
        </w:rPr>
      </w:pPr>
      <w:proofErr w:type="gramStart"/>
      <w:r>
        <w:rPr>
          <w:rFonts w:cs="Times New Roman"/>
          <w:b/>
          <w:szCs w:val="24"/>
        </w:rPr>
        <w:lastRenderedPageBreak/>
        <w:t>Table 5.5</w:t>
      </w:r>
      <w:r w:rsidRPr="00E8454D">
        <w:rPr>
          <w:rFonts w:cs="Times New Roman"/>
          <w:b/>
          <w:szCs w:val="24"/>
        </w:rPr>
        <w:t>.</w:t>
      </w:r>
      <w:proofErr w:type="gramEnd"/>
      <w:r>
        <w:rPr>
          <w:rFonts w:cs="Times New Roman"/>
          <w:szCs w:val="24"/>
        </w:rPr>
        <w:t xml:space="preserve"> </w:t>
      </w:r>
      <w:proofErr w:type="spellStart"/>
      <w:r>
        <w:rPr>
          <w:rFonts w:cs="Times New Roman"/>
          <w:b/>
          <w:szCs w:val="24"/>
        </w:rPr>
        <w:t>Logit</w:t>
      </w:r>
      <w:proofErr w:type="spellEnd"/>
      <w:r>
        <w:rPr>
          <w:rFonts w:cs="Times New Roman"/>
          <w:b/>
          <w:szCs w:val="24"/>
        </w:rPr>
        <w:t xml:space="preserve"> Model</w:t>
      </w:r>
      <w:r w:rsidRPr="00A02BA1">
        <w:rPr>
          <w:b/>
        </w:rPr>
        <w:t xml:space="preserve"> of</w:t>
      </w:r>
      <w:r>
        <w:rPr>
          <w:b/>
        </w:rPr>
        <w:t xml:space="preserve"> the Impact of Amici on Ideological Direction of Justice Votes at the Roberts Court, 2007 – 201</w:t>
      </w:r>
      <w:r w:rsidRPr="00A02BA1">
        <w:rPr>
          <w:b/>
        </w:rPr>
        <w:t>1 Terms</w:t>
      </w:r>
      <w:r>
        <w:rPr>
          <w:b/>
        </w:rPr>
        <w:t>: Judicial Power and Federalism Cases</w:t>
      </w:r>
    </w:p>
    <w:tbl>
      <w:tblPr>
        <w:tblW w:w="0" w:type="auto"/>
        <w:tblInd w:w="93" w:type="dxa"/>
        <w:tblBorders>
          <w:top w:val="single" w:sz="18" w:space="0" w:color="auto"/>
          <w:bottom w:val="single" w:sz="18" w:space="0" w:color="auto"/>
        </w:tblBorders>
        <w:tblLook w:val="04A0" w:firstRow="1" w:lastRow="0" w:firstColumn="1" w:lastColumn="0" w:noHBand="0" w:noVBand="1"/>
      </w:tblPr>
      <w:tblGrid>
        <w:gridCol w:w="3821"/>
        <w:gridCol w:w="2061"/>
        <w:gridCol w:w="1213"/>
        <w:gridCol w:w="1615"/>
      </w:tblGrid>
      <w:tr w:rsidR="009F00C5" w:rsidRPr="00944261" w:rsidTr="00831FAD">
        <w:trPr>
          <w:trHeight w:val="576"/>
        </w:trPr>
        <w:tc>
          <w:tcPr>
            <w:tcW w:w="0" w:type="auto"/>
            <w:tcBorders>
              <w:top w:val="single" w:sz="18" w:space="0" w:color="auto"/>
              <w:bottom w:val="single" w:sz="18" w:space="0" w:color="auto"/>
            </w:tcBorders>
            <w:shd w:val="clear" w:color="auto" w:fill="auto"/>
            <w:noWrap/>
            <w:vAlign w:val="center"/>
            <w:hideMark/>
          </w:tcPr>
          <w:p w:rsidR="009F00C5" w:rsidRPr="00944261" w:rsidRDefault="009F00C5" w:rsidP="00831FAD">
            <w:pPr>
              <w:ind w:left="0" w:firstLine="0"/>
              <w:rPr>
                <w:rFonts w:eastAsia="Times New Roman" w:cs="Times New Roman"/>
                <w:color w:val="000000"/>
                <w:sz w:val="22"/>
              </w:rPr>
            </w:pPr>
            <w:r w:rsidRPr="00944261">
              <w:rPr>
                <w:rFonts w:eastAsia="Times New Roman" w:cs="Times New Roman"/>
                <w:color w:val="000000"/>
                <w:sz w:val="22"/>
              </w:rPr>
              <w:t>Variable</w:t>
            </w:r>
          </w:p>
        </w:tc>
        <w:tc>
          <w:tcPr>
            <w:tcW w:w="0" w:type="auto"/>
            <w:tcBorders>
              <w:top w:val="single" w:sz="18" w:space="0" w:color="auto"/>
              <w:bottom w:val="single" w:sz="18" w:space="0" w:color="auto"/>
            </w:tcBorders>
            <w:shd w:val="clear" w:color="auto" w:fill="auto"/>
            <w:noWrap/>
            <w:vAlign w:val="center"/>
            <w:hideMark/>
          </w:tcPr>
          <w:p w:rsidR="009F00C5" w:rsidRPr="00944261" w:rsidRDefault="009F00C5" w:rsidP="00831FAD">
            <w:pPr>
              <w:ind w:left="0" w:firstLine="0"/>
              <w:jc w:val="center"/>
              <w:rPr>
                <w:rFonts w:eastAsia="Times New Roman" w:cs="Times New Roman"/>
                <w:color w:val="000000"/>
                <w:sz w:val="22"/>
              </w:rPr>
            </w:pPr>
            <w:r w:rsidRPr="00944261">
              <w:rPr>
                <w:rFonts w:eastAsia="Times New Roman" w:cs="Times New Roman"/>
                <w:color w:val="000000"/>
                <w:sz w:val="22"/>
              </w:rPr>
              <w:t>MLE Coefficient</w:t>
            </w:r>
          </w:p>
        </w:tc>
        <w:tc>
          <w:tcPr>
            <w:tcW w:w="0" w:type="auto"/>
            <w:tcBorders>
              <w:top w:val="single" w:sz="18" w:space="0" w:color="auto"/>
              <w:bottom w:val="single" w:sz="18" w:space="0" w:color="auto"/>
            </w:tcBorders>
            <w:shd w:val="clear" w:color="auto" w:fill="auto"/>
            <w:noWrap/>
            <w:vAlign w:val="center"/>
            <w:hideMark/>
          </w:tcPr>
          <w:p w:rsidR="009F00C5" w:rsidRPr="00944261" w:rsidRDefault="009F00C5" w:rsidP="00831FAD">
            <w:pPr>
              <w:ind w:left="0" w:firstLine="0"/>
              <w:jc w:val="center"/>
              <w:rPr>
                <w:rFonts w:eastAsia="Times New Roman" w:cs="Times New Roman"/>
                <w:color w:val="000000"/>
                <w:sz w:val="22"/>
              </w:rPr>
            </w:pPr>
            <w:r>
              <w:rPr>
                <w:rFonts w:eastAsia="Times New Roman" w:cs="Times New Roman"/>
                <w:color w:val="000000"/>
                <w:sz w:val="22"/>
              </w:rPr>
              <w:t>Odds Ratio</w:t>
            </w:r>
          </w:p>
        </w:tc>
        <w:tc>
          <w:tcPr>
            <w:tcW w:w="0" w:type="auto"/>
            <w:tcBorders>
              <w:top w:val="single" w:sz="18" w:space="0" w:color="auto"/>
              <w:bottom w:val="single" w:sz="18" w:space="0" w:color="auto"/>
            </w:tcBorders>
            <w:shd w:val="clear" w:color="auto" w:fill="auto"/>
            <w:noWrap/>
            <w:vAlign w:val="center"/>
            <w:hideMark/>
          </w:tcPr>
          <w:p w:rsidR="009F00C5" w:rsidRPr="004C0D98" w:rsidRDefault="009F00C5" w:rsidP="00831FAD">
            <w:pPr>
              <w:ind w:left="0" w:firstLine="0"/>
              <w:jc w:val="center"/>
              <w:rPr>
                <w:rFonts w:eastAsia="Times New Roman" w:cs="Times New Roman"/>
                <w:sz w:val="22"/>
              </w:rPr>
            </w:pPr>
            <w:r w:rsidRPr="004C0D98">
              <w:rPr>
                <w:rFonts w:eastAsia="Times New Roman" w:cs="Times New Roman"/>
                <w:sz w:val="22"/>
              </w:rPr>
              <w:t>Marginal Effect</w:t>
            </w:r>
          </w:p>
        </w:tc>
      </w:tr>
      <w:tr w:rsidR="004E03F7" w:rsidRPr="00944261" w:rsidTr="004C0D98">
        <w:trPr>
          <w:trHeight w:val="576"/>
        </w:trPr>
        <w:tc>
          <w:tcPr>
            <w:tcW w:w="0" w:type="auto"/>
            <w:tcBorders>
              <w:top w:val="single" w:sz="18" w:space="0" w:color="auto"/>
            </w:tcBorders>
            <w:shd w:val="clear" w:color="auto" w:fill="auto"/>
            <w:noWrap/>
            <w:vAlign w:val="center"/>
            <w:hideMark/>
          </w:tcPr>
          <w:p w:rsidR="004E03F7" w:rsidRPr="00944261" w:rsidRDefault="004E03F7" w:rsidP="00831FAD">
            <w:pPr>
              <w:ind w:left="0" w:firstLine="0"/>
              <w:rPr>
                <w:rFonts w:eastAsia="Times New Roman" w:cs="Times New Roman"/>
                <w:b/>
                <w:bCs/>
                <w:color w:val="000000"/>
                <w:sz w:val="22"/>
              </w:rPr>
            </w:pPr>
            <w:r w:rsidRPr="00944261">
              <w:rPr>
                <w:rFonts w:eastAsia="Times New Roman" w:cs="Times New Roman"/>
                <w:b/>
                <w:bCs/>
                <w:color w:val="000000"/>
                <w:sz w:val="22"/>
              </w:rPr>
              <w:t>Amicus Brief Difference</w:t>
            </w:r>
          </w:p>
        </w:tc>
        <w:tc>
          <w:tcPr>
            <w:tcW w:w="0" w:type="auto"/>
            <w:tcBorders>
              <w:top w:val="single" w:sz="18" w:space="0" w:color="auto"/>
            </w:tcBorders>
            <w:shd w:val="clear" w:color="auto" w:fill="auto"/>
            <w:noWrap/>
            <w:vAlign w:val="center"/>
            <w:hideMark/>
          </w:tcPr>
          <w:p w:rsidR="004E03F7" w:rsidRDefault="004E03F7" w:rsidP="00831FAD">
            <w:pPr>
              <w:jc w:val="center"/>
              <w:rPr>
                <w:color w:val="000000"/>
                <w:sz w:val="22"/>
              </w:rPr>
            </w:pPr>
            <w:r>
              <w:rPr>
                <w:color w:val="000000"/>
                <w:sz w:val="22"/>
              </w:rPr>
              <w:t>0.069 (.060)</w:t>
            </w:r>
          </w:p>
        </w:tc>
        <w:tc>
          <w:tcPr>
            <w:tcW w:w="0" w:type="auto"/>
            <w:tcBorders>
              <w:top w:val="single" w:sz="18" w:space="0" w:color="auto"/>
            </w:tcBorders>
            <w:shd w:val="clear" w:color="auto" w:fill="auto"/>
            <w:noWrap/>
            <w:vAlign w:val="center"/>
            <w:hideMark/>
          </w:tcPr>
          <w:p w:rsidR="004E03F7" w:rsidRDefault="004E03F7" w:rsidP="004C0D98">
            <w:pPr>
              <w:jc w:val="center"/>
              <w:rPr>
                <w:color w:val="000000"/>
                <w:sz w:val="22"/>
              </w:rPr>
            </w:pPr>
            <w:r>
              <w:rPr>
                <w:color w:val="000000"/>
                <w:sz w:val="22"/>
              </w:rPr>
              <w:t>1.071</w:t>
            </w:r>
          </w:p>
        </w:tc>
        <w:tc>
          <w:tcPr>
            <w:tcW w:w="0" w:type="auto"/>
            <w:tcBorders>
              <w:top w:val="single" w:sz="18" w:space="0" w:color="auto"/>
            </w:tcBorders>
            <w:shd w:val="clear" w:color="auto" w:fill="auto"/>
            <w:noWrap/>
            <w:vAlign w:val="center"/>
            <w:hideMark/>
          </w:tcPr>
          <w:p w:rsidR="004E03F7" w:rsidRPr="004C0D98" w:rsidRDefault="004C0D98" w:rsidP="004C0D98">
            <w:pPr>
              <w:ind w:left="0" w:firstLine="0"/>
              <w:jc w:val="center"/>
              <w:rPr>
                <w:rFonts w:eastAsia="Times New Roman" w:cs="Times New Roman"/>
                <w:sz w:val="22"/>
              </w:rPr>
            </w:pPr>
            <w:r w:rsidRPr="004C0D98">
              <w:rPr>
                <w:rFonts w:eastAsia="Times New Roman" w:cs="Times New Roman"/>
                <w:sz w:val="22"/>
              </w:rPr>
              <w:t>8.9%</w:t>
            </w:r>
          </w:p>
        </w:tc>
      </w:tr>
      <w:tr w:rsidR="004E03F7" w:rsidRPr="00944261" w:rsidTr="004C0D98">
        <w:trPr>
          <w:trHeight w:val="576"/>
        </w:trPr>
        <w:tc>
          <w:tcPr>
            <w:tcW w:w="0" w:type="auto"/>
            <w:shd w:val="clear" w:color="auto" w:fill="auto"/>
            <w:noWrap/>
            <w:vAlign w:val="center"/>
            <w:hideMark/>
          </w:tcPr>
          <w:p w:rsidR="004E03F7" w:rsidRPr="00944261" w:rsidRDefault="004E03F7" w:rsidP="00831FAD">
            <w:pPr>
              <w:ind w:left="0" w:firstLine="0"/>
              <w:rPr>
                <w:rFonts w:eastAsia="Times New Roman" w:cs="Times New Roman"/>
                <w:b/>
                <w:bCs/>
                <w:color w:val="000000"/>
                <w:sz w:val="22"/>
              </w:rPr>
            </w:pPr>
            <w:r w:rsidRPr="00944261">
              <w:rPr>
                <w:rFonts w:eastAsia="Times New Roman" w:cs="Times New Roman"/>
                <w:b/>
                <w:bCs/>
                <w:color w:val="000000"/>
                <w:sz w:val="22"/>
              </w:rPr>
              <w:t>Moderation</w:t>
            </w:r>
          </w:p>
        </w:tc>
        <w:tc>
          <w:tcPr>
            <w:tcW w:w="0" w:type="auto"/>
            <w:shd w:val="clear" w:color="auto" w:fill="auto"/>
            <w:noWrap/>
            <w:vAlign w:val="center"/>
            <w:hideMark/>
          </w:tcPr>
          <w:p w:rsidR="004E03F7" w:rsidRDefault="004E03F7" w:rsidP="00831FAD">
            <w:pPr>
              <w:jc w:val="center"/>
              <w:rPr>
                <w:color w:val="000000"/>
                <w:sz w:val="22"/>
              </w:rPr>
            </w:pPr>
            <w:r>
              <w:rPr>
                <w:color w:val="000000"/>
                <w:sz w:val="22"/>
              </w:rPr>
              <w:t>-0.060 (.111)</w:t>
            </w:r>
          </w:p>
        </w:tc>
        <w:tc>
          <w:tcPr>
            <w:tcW w:w="0" w:type="auto"/>
            <w:shd w:val="clear" w:color="auto" w:fill="auto"/>
            <w:noWrap/>
            <w:vAlign w:val="center"/>
            <w:hideMark/>
          </w:tcPr>
          <w:p w:rsidR="004E03F7" w:rsidRDefault="004E03F7" w:rsidP="004C0D98">
            <w:pPr>
              <w:jc w:val="center"/>
              <w:rPr>
                <w:color w:val="000000"/>
                <w:sz w:val="22"/>
              </w:rPr>
            </w:pPr>
            <w:r>
              <w:rPr>
                <w:color w:val="000000"/>
                <w:sz w:val="22"/>
              </w:rPr>
              <w:t>0.942</w:t>
            </w:r>
          </w:p>
        </w:tc>
        <w:tc>
          <w:tcPr>
            <w:tcW w:w="0" w:type="auto"/>
            <w:shd w:val="clear" w:color="auto" w:fill="auto"/>
            <w:noWrap/>
            <w:vAlign w:val="center"/>
            <w:hideMark/>
          </w:tcPr>
          <w:p w:rsidR="004E03F7" w:rsidRPr="004C0D98" w:rsidRDefault="004C0D98" w:rsidP="004C0D98">
            <w:pPr>
              <w:ind w:left="0" w:firstLine="0"/>
              <w:jc w:val="center"/>
              <w:rPr>
                <w:rFonts w:eastAsia="Times New Roman" w:cs="Times New Roman"/>
                <w:sz w:val="22"/>
              </w:rPr>
            </w:pPr>
            <w:r w:rsidRPr="004C0D98">
              <w:rPr>
                <w:rFonts w:eastAsia="Times New Roman" w:cs="Times New Roman"/>
                <w:sz w:val="22"/>
              </w:rPr>
              <w:t>-1.3%</w:t>
            </w:r>
          </w:p>
        </w:tc>
      </w:tr>
      <w:tr w:rsidR="004E03F7" w:rsidRPr="00944261" w:rsidTr="004C0D98">
        <w:trPr>
          <w:trHeight w:val="576"/>
        </w:trPr>
        <w:tc>
          <w:tcPr>
            <w:tcW w:w="0" w:type="auto"/>
            <w:shd w:val="clear" w:color="auto" w:fill="auto"/>
            <w:noWrap/>
            <w:vAlign w:val="center"/>
            <w:hideMark/>
          </w:tcPr>
          <w:p w:rsidR="004E03F7" w:rsidRPr="00944261" w:rsidRDefault="004E03F7" w:rsidP="00831FAD">
            <w:pPr>
              <w:ind w:left="0" w:firstLine="0"/>
              <w:rPr>
                <w:rFonts w:eastAsia="Times New Roman" w:cs="Times New Roman"/>
                <w:b/>
                <w:bCs/>
                <w:color w:val="000000"/>
                <w:sz w:val="22"/>
              </w:rPr>
            </w:pPr>
            <w:r w:rsidRPr="00944261">
              <w:rPr>
                <w:rFonts w:eastAsia="Times New Roman" w:cs="Times New Roman"/>
                <w:b/>
                <w:bCs/>
                <w:color w:val="000000"/>
                <w:sz w:val="22"/>
              </w:rPr>
              <w:t>Moderation x Amicus Brief Difference</w:t>
            </w:r>
          </w:p>
        </w:tc>
        <w:tc>
          <w:tcPr>
            <w:tcW w:w="0" w:type="auto"/>
            <w:shd w:val="clear" w:color="auto" w:fill="auto"/>
            <w:noWrap/>
            <w:vAlign w:val="center"/>
            <w:hideMark/>
          </w:tcPr>
          <w:p w:rsidR="004E03F7" w:rsidRDefault="004E03F7" w:rsidP="00831FAD">
            <w:pPr>
              <w:jc w:val="center"/>
              <w:rPr>
                <w:color w:val="000000"/>
                <w:sz w:val="22"/>
              </w:rPr>
            </w:pPr>
            <w:r>
              <w:rPr>
                <w:color w:val="000000"/>
                <w:sz w:val="22"/>
              </w:rPr>
              <w:t>-0.013 (.022)</w:t>
            </w:r>
          </w:p>
        </w:tc>
        <w:tc>
          <w:tcPr>
            <w:tcW w:w="0" w:type="auto"/>
            <w:shd w:val="clear" w:color="auto" w:fill="auto"/>
            <w:noWrap/>
            <w:vAlign w:val="center"/>
            <w:hideMark/>
          </w:tcPr>
          <w:p w:rsidR="004E03F7" w:rsidRDefault="004E03F7" w:rsidP="004C0D98">
            <w:pPr>
              <w:jc w:val="center"/>
              <w:rPr>
                <w:color w:val="000000"/>
                <w:sz w:val="22"/>
              </w:rPr>
            </w:pPr>
            <w:r>
              <w:rPr>
                <w:color w:val="000000"/>
                <w:sz w:val="22"/>
              </w:rPr>
              <w:t>0.987</w:t>
            </w:r>
          </w:p>
        </w:tc>
        <w:tc>
          <w:tcPr>
            <w:tcW w:w="0" w:type="auto"/>
            <w:shd w:val="clear" w:color="auto" w:fill="auto"/>
            <w:noWrap/>
            <w:vAlign w:val="center"/>
            <w:hideMark/>
          </w:tcPr>
          <w:p w:rsidR="004E03F7" w:rsidRPr="004C0D98" w:rsidRDefault="004E03F7" w:rsidP="004C0D98">
            <w:pPr>
              <w:ind w:left="0" w:firstLine="0"/>
              <w:jc w:val="center"/>
              <w:rPr>
                <w:rFonts w:eastAsia="Times New Roman" w:cs="Times New Roman"/>
                <w:sz w:val="22"/>
              </w:rPr>
            </w:pPr>
            <w:r w:rsidRPr="004C0D98">
              <w:rPr>
                <w:rFonts w:eastAsia="Times New Roman" w:cs="Times New Roman"/>
                <w:sz w:val="22"/>
              </w:rPr>
              <w:t>See Figure 5.5</w:t>
            </w:r>
          </w:p>
        </w:tc>
      </w:tr>
      <w:tr w:rsidR="004E03F7" w:rsidRPr="00944261" w:rsidTr="004C0D98">
        <w:trPr>
          <w:trHeight w:val="576"/>
        </w:trPr>
        <w:tc>
          <w:tcPr>
            <w:tcW w:w="0" w:type="auto"/>
            <w:shd w:val="clear" w:color="auto" w:fill="auto"/>
            <w:noWrap/>
            <w:vAlign w:val="center"/>
            <w:hideMark/>
          </w:tcPr>
          <w:p w:rsidR="004E03F7" w:rsidRPr="00944261" w:rsidRDefault="004E03F7" w:rsidP="00831FAD">
            <w:pPr>
              <w:ind w:left="0" w:firstLine="0"/>
              <w:rPr>
                <w:rFonts w:eastAsia="Times New Roman" w:cs="Times New Roman"/>
                <w:b/>
                <w:bCs/>
                <w:color w:val="000000"/>
                <w:sz w:val="22"/>
              </w:rPr>
            </w:pPr>
            <w:r w:rsidRPr="00944261">
              <w:rPr>
                <w:rFonts w:eastAsia="Times New Roman" w:cs="Times New Roman"/>
                <w:b/>
                <w:bCs/>
                <w:color w:val="000000"/>
                <w:sz w:val="22"/>
              </w:rPr>
              <w:t>Ideology</w:t>
            </w:r>
          </w:p>
        </w:tc>
        <w:tc>
          <w:tcPr>
            <w:tcW w:w="0" w:type="auto"/>
            <w:shd w:val="clear" w:color="auto" w:fill="auto"/>
            <w:noWrap/>
            <w:vAlign w:val="center"/>
            <w:hideMark/>
          </w:tcPr>
          <w:p w:rsidR="004E03F7" w:rsidRDefault="004E03F7" w:rsidP="00831FAD">
            <w:pPr>
              <w:jc w:val="center"/>
              <w:rPr>
                <w:color w:val="000000"/>
                <w:sz w:val="22"/>
              </w:rPr>
            </w:pPr>
            <w:r>
              <w:rPr>
                <w:color w:val="000000"/>
                <w:sz w:val="22"/>
              </w:rPr>
              <w:t>0.849 (.388)*</w:t>
            </w:r>
          </w:p>
        </w:tc>
        <w:tc>
          <w:tcPr>
            <w:tcW w:w="0" w:type="auto"/>
            <w:shd w:val="clear" w:color="auto" w:fill="auto"/>
            <w:noWrap/>
            <w:vAlign w:val="center"/>
            <w:hideMark/>
          </w:tcPr>
          <w:p w:rsidR="004E03F7" w:rsidRDefault="004E03F7" w:rsidP="004C0D98">
            <w:pPr>
              <w:jc w:val="center"/>
              <w:rPr>
                <w:color w:val="000000"/>
                <w:sz w:val="22"/>
              </w:rPr>
            </w:pPr>
            <w:r>
              <w:rPr>
                <w:color w:val="000000"/>
                <w:sz w:val="22"/>
              </w:rPr>
              <w:t>2.338</w:t>
            </w:r>
          </w:p>
        </w:tc>
        <w:tc>
          <w:tcPr>
            <w:tcW w:w="0" w:type="auto"/>
            <w:shd w:val="clear" w:color="auto" w:fill="auto"/>
            <w:noWrap/>
            <w:vAlign w:val="center"/>
            <w:hideMark/>
          </w:tcPr>
          <w:p w:rsidR="004E03F7" w:rsidRPr="004C0D98" w:rsidRDefault="004C0D98" w:rsidP="004C0D98">
            <w:pPr>
              <w:ind w:left="0" w:firstLine="0"/>
              <w:jc w:val="center"/>
              <w:rPr>
                <w:rFonts w:eastAsia="Times New Roman" w:cs="Times New Roman"/>
                <w:sz w:val="22"/>
              </w:rPr>
            </w:pPr>
            <w:r w:rsidRPr="004C0D98">
              <w:rPr>
                <w:rFonts w:eastAsia="Times New Roman" w:cs="Times New Roman"/>
                <w:sz w:val="22"/>
              </w:rPr>
              <w:t>5.4%</w:t>
            </w:r>
          </w:p>
        </w:tc>
      </w:tr>
      <w:tr w:rsidR="004E03F7" w:rsidRPr="00944261" w:rsidTr="004C0D98">
        <w:trPr>
          <w:trHeight w:val="576"/>
        </w:trPr>
        <w:tc>
          <w:tcPr>
            <w:tcW w:w="0" w:type="auto"/>
            <w:shd w:val="clear" w:color="auto" w:fill="auto"/>
            <w:noWrap/>
            <w:vAlign w:val="center"/>
            <w:hideMark/>
          </w:tcPr>
          <w:p w:rsidR="004E03F7" w:rsidRPr="00944261" w:rsidRDefault="004E03F7" w:rsidP="00831FAD">
            <w:pPr>
              <w:ind w:left="0" w:firstLine="0"/>
              <w:rPr>
                <w:rFonts w:eastAsia="Times New Roman" w:cs="Times New Roman"/>
                <w:b/>
                <w:bCs/>
                <w:color w:val="000000"/>
                <w:sz w:val="22"/>
              </w:rPr>
            </w:pPr>
            <w:r w:rsidRPr="00944261">
              <w:rPr>
                <w:rFonts w:eastAsia="Times New Roman" w:cs="Times New Roman"/>
                <w:b/>
                <w:bCs/>
                <w:color w:val="000000"/>
                <w:sz w:val="22"/>
              </w:rPr>
              <w:t>Amicus Cosigner Difference</w:t>
            </w:r>
          </w:p>
        </w:tc>
        <w:tc>
          <w:tcPr>
            <w:tcW w:w="0" w:type="auto"/>
            <w:shd w:val="clear" w:color="auto" w:fill="auto"/>
            <w:noWrap/>
            <w:vAlign w:val="center"/>
            <w:hideMark/>
          </w:tcPr>
          <w:p w:rsidR="004E03F7" w:rsidRDefault="004E03F7" w:rsidP="00831FAD">
            <w:pPr>
              <w:jc w:val="center"/>
              <w:rPr>
                <w:color w:val="000000"/>
                <w:sz w:val="22"/>
              </w:rPr>
            </w:pPr>
            <w:r>
              <w:rPr>
                <w:color w:val="000000"/>
                <w:sz w:val="22"/>
              </w:rPr>
              <w:t>0.000 (.001)</w:t>
            </w:r>
          </w:p>
        </w:tc>
        <w:tc>
          <w:tcPr>
            <w:tcW w:w="0" w:type="auto"/>
            <w:shd w:val="clear" w:color="auto" w:fill="auto"/>
            <w:noWrap/>
            <w:vAlign w:val="center"/>
            <w:hideMark/>
          </w:tcPr>
          <w:p w:rsidR="004E03F7" w:rsidRDefault="004E03F7" w:rsidP="004C0D98">
            <w:pPr>
              <w:jc w:val="center"/>
              <w:rPr>
                <w:color w:val="000000"/>
                <w:sz w:val="22"/>
              </w:rPr>
            </w:pPr>
            <w:r>
              <w:rPr>
                <w:color w:val="000000"/>
                <w:sz w:val="22"/>
              </w:rPr>
              <w:t>1.000</w:t>
            </w:r>
          </w:p>
        </w:tc>
        <w:tc>
          <w:tcPr>
            <w:tcW w:w="0" w:type="auto"/>
            <w:shd w:val="clear" w:color="auto" w:fill="auto"/>
            <w:noWrap/>
            <w:vAlign w:val="center"/>
            <w:hideMark/>
          </w:tcPr>
          <w:p w:rsidR="004E03F7" w:rsidRPr="004C0D98" w:rsidRDefault="004C0D98" w:rsidP="004C0D98">
            <w:pPr>
              <w:ind w:left="0" w:firstLine="0"/>
              <w:jc w:val="center"/>
              <w:rPr>
                <w:rFonts w:eastAsia="Times New Roman" w:cs="Times New Roman"/>
                <w:sz w:val="22"/>
              </w:rPr>
            </w:pPr>
            <w:r w:rsidRPr="004C0D98">
              <w:rPr>
                <w:rFonts w:eastAsia="Times New Roman" w:cs="Times New Roman"/>
                <w:sz w:val="22"/>
              </w:rPr>
              <w:t>-0.2%</w:t>
            </w:r>
          </w:p>
        </w:tc>
      </w:tr>
      <w:tr w:rsidR="004E03F7" w:rsidRPr="00944261" w:rsidTr="004C0D98">
        <w:trPr>
          <w:trHeight w:val="576"/>
        </w:trPr>
        <w:tc>
          <w:tcPr>
            <w:tcW w:w="0" w:type="auto"/>
            <w:shd w:val="clear" w:color="auto" w:fill="auto"/>
            <w:noWrap/>
            <w:vAlign w:val="center"/>
            <w:hideMark/>
          </w:tcPr>
          <w:p w:rsidR="004E03F7" w:rsidRPr="00944261" w:rsidRDefault="004E03F7" w:rsidP="00831FAD">
            <w:pPr>
              <w:ind w:left="0" w:firstLine="0"/>
              <w:rPr>
                <w:rFonts w:eastAsia="Times New Roman" w:cs="Times New Roman"/>
                <w:b/>
                <w:bCs/>
                <w:color w:val="000000"/>
                <w:sz w:val="22"/>
              </w:rPr>
            </w:pPr>
            <w:r w:rsidRPr="00944261">
              <w:rPr>
                <w:rFonts w:eastAsia="Times New Roman" w:cs="Times New Roman"/>
                <w:b/>
                <w:bCs/>
                <w:color w:val="000000"/>
                <w:sz w:val="22"/>
              </w:rPr>
              <w:t>SG Lib Amicus Brief</w:t>
            </w:r>
          </w:p>
        </w:tc>
        <w:tc>
          <w:tcPr>
            <w:tcW w:w="0" w:type="auto"/>
            <w:shd w:val="clear" w:color="auto" w:fill="auto"/>
            <w:noWrap/>
            <w:vAlign w:val="center"/>
            <w:hideMark/>
          </w:tcPr>
          <w:p w:rsidR="004E03F7" w:rsidRDefault="004E03F7" w:rsidP="00831FAD">
            <w:pPr>
              <w:jc w:val="center"/>
              <w:rPr>
                <w:color w:val="000000"/>
                <w:sz w:val="22"/>
              </w:rPr>
            </w:pPr>
            <w:r>
              <w:rPr>
                <w:color w:val="000000"/>
                <w:sz w:val="22"/>
              </w:rPr>
              <w:t>1.021 (.287)***</w:t>
            </w:r>
          </w:p>
        </w:tc>
        <w:tc>
          <w:tcPr>
            <w:tcW w:w="0" w:type="auto"/>
            <w:shd w:val="clear" w:color="auto" w:fill="auto"/>
            <w:noWrap/>
            <w:vAlign w:val="center"/>
            <w:hideMark/>
          </w:tcPr>
          <w:p w:rsidR="004E03F7" w:rsidRDefault="004E03F7" w:rsidP="004C0D98">
            <w:pPr>
              <w:jc w:val="center"/>
              <w:rPr>
                <w:color w:val="000000"/>
                <w:sz w:val="22"/>
              </w:rPr>
            </w:pPr>
            <w:r>
              <w:rPr>
                <w:color w:val="000000"/>
                <w:sz w:val="22"/>
              </w:rPr>
              <w:t>2.776</w:t>
            </w:r>
          </w:p>
        </w:tc>
        <w:tc>
          <w:tcPr>
            <w:tcW w:w="0" w:type="auto"/>
            <w:shd w:val="clear" w:color="auto" w:fill="auto"/>
            <w:noWrap/>
            <w:vAlign w:val="center"/>
            <w:hideMark/>
          </w:tcPr>
          <w:p w:rsidR="004E03F7" w:rsidRPr="004C0D98" w:rsidRDefault="004C0D98" w:rsidP="004C0D98">
            <w:pPr>
              <w:ind w:left="0" w:firstLine="0"/>
              <w:jc w:val="center"/>
              <w:rPr>
                <w:rFonts w:eastAsia="Times New Roman" w:cs="Times New Roman"/>
                <w:sz w:val="22"/>
              </w:rPr>
            </w:pPr>
            <w:r w:rsidRPr="004C0D98">
              <w:rPr>
                <w:rFonts w:eastAsia="Times New Roman" w:cs="Times New Roman"/>
                <w:sz w:val="22"/>
              </w:rPr>
              <w:t>24.0%</w:t>
            </w:r>
          </w:p>
        </w:tc>
      </w:tr>
      <w:tr w:rsidR="004E03F7" w:rsidRPr="00944261" w:rsidTr="004C0D98">
        <w:trPr>
          <w:trHeight w:val="576"/>
        </w:trPr>
        <w:tc>
          <w:tcPr>
            <w:tcW w:w="0" w:type="auto"/>
            <w:shd w:val="clear" w:color="auto" w:fill="auto"/>
            <w:noWrap/>
            <w:vAlign w:val="center"/>
            <w:hideMark/>
          </w:tcPr>
          <w:p w:rsidR="004E03F7" w:rsidRPr="00944261" w:rsidRDefault="004E03F7" w:rsidP="00831FAD">
            <w:pPr>
              <w:ind w:left="0" w:firstLine="0"/>
              <w:rPr>
                <w:rFonts w:eastAsia="Times New Roman" w:cs="Times New Roman"/>
                <w:b/>
                <w:bCs/>
                <w:color w:val="000000"/>
                <w:sz w:val="22"/>
              </w:rPr>
            </w:pPr>
            <w:r w:rsidRPr="00944261">
              <w:rPr>
                <w:rFonts w:eastAsia="Times New Roman" w:cs="Times New Roman"/>
                <w:b/>
                <w:bCs/>
                <w:color w:val="000000"/>
                <w:sz w:val="22"/>
              </w:rPr>
              <w:t>SG Con Amicus Brief</w:t>
            </w:r>
          </w:p>
        </w:tc>
        <w:tc>
          <w:tcPr>
            <w:tcW w:w="0" w:type="auto"/>
            <w:shd w:val="clear" w:color="auto" w:fill="auto"/>
            <w:noWrap/>
            <w:vAlign w:val="center"/>
            <w:hideMark/>
          </w:tcPr>
          <w:p w:rsidR="004E03F7" w:rsidRDefault="004E03F7" w:rsidP="00831FAD">
            <w:pPr>
              <w:jc w:val="center"/>
              <w:rPr>
                <w:color w:val="000000"/>
                <w:sz w:val="22"/>
              </w:rPr>
            </w:pPr>
            <w:r>
              <w:rPr>
                <w:color w:val="000000"/>
                <w:sz w:val="22"/>
              </w:rPr>
              <w:t>-1.278 (.247)***</w:t>
            </w:r>
          </w:p>
        </w:tc>
        <w:tc>
          <w:tcPr>
            <w:tcW w:w="0" w:type="auto"/>
            <w:shd w:val="clear" w:color="auto" w:fill="auto"/>
            <w:noWrap/>
            <w:vAlign w:val="center"/>
            <w:hideMark/>
          </w:tcPr>
          <w:p w:rsidR="004E03F7" w:rsidRDefault="004E03F7" w:rsidP="004C0D98">
            <w:pPr>
              <w:jc w:val="center"/>
              <w:rPr>
                <w:color w:val="000000"/>
                <w:sz w:val="22"/>
              </w:rPr>
            </w:pPr>
            <w:r>
              <w:rPr>
                <w:color w:val="000000"/>
                <w:sz w:val="22"/>
              </w:rPr>
              <w:t>0.279</w:t>
            </w:r>
          </w:p>
        </w:tc>
        <w:tc>
          <w:tcPr>
            <w:tcW w:w="0" w:type="auto"/>
            <w:shd w:val="clear" w:color="auto" w:fill="auto"/>
            <w:noWrap/>
            <w:vAlign w:val="center"/>
            <w:hideMark/>
          </w:tcPr>
          <w:p w:rsidR="004E03F7" w:rsidRPr="004C0D98" w:rsidRDefault="004C0D98" w:rsidP="004C0D98">
            <w:pPr>
              <w:ind w:left="0" w:firstLine="0"/>
              <w:jc w:val="center"/>
              <w:rPr>
                <w:rFonts w:eastAsia="Times New Roman" w:cs="Times New Roman"/>
                <w:sz w:val="22"/>
              </w:rPr>
            </w:pPr>
            <w:r w:rsidRPr="004C0D98">
              <w:rPr>
                <w:rFonts w:eastAsia="Times New Roman" w:cs="Times New Roman"/>
                <w:sz w:val="22"/>
              </w:rPr>
              <w:t>-27.4%</w:t>
            </w:r>
          </w:p>
        </w:tc>
      </w:tr>
      <w:tr w:rsidR="004E03F7" w:rsidRPr="00944261" w:rsidTr="004C0D98">
        <w:trPr>
          <w:trHeight w:val="576"/>
        </w:trPr>
        <w:tc>
          <w:tcPr>
            <w:tcW w:w="0" w:type="auto"/>
            <w:shd w:val="clear" w:color="auto" w:fill="auto"/>
            <w:noWrap/>
            <w:vAlign w:val="center"/>
            <w:hideMark/>
          </w:tcPr>
          <w:p w:rsidR="004E03F7" w:rsidRPr="00944261" w:rsidRDefault="004E03F7" w:rsidP="00831FAD">
            <w:pPr>
              <w:ind w:left="0" w:firstLine="0"/>
              <w:rPr>
                <w:rFonts w:eastAsia="Times New Roman" w:cs="Times New Roman"/>
                <w:b/>
                <w:bCs/>
                <w:color w:val="000000"/>
                <w:sz w:val="22"/>
              </w:rPr>
            </w:pPr>
            <w:r w:rsidRPr="00944261">
              <w:rPr>
                <w:rFonts w:eastAsia="Times New Roman" w:cs="Times New Roman"/>
                <w:b/>
                <w:bCs/>
                <w:color w:val="000000"/>
                <w:sz w:val="22"/>
              </w:rPr>
              <w:t>Prestigious Amicus Difference</w:t>
            </w:r>
          </w:p>
        </w:tc>
        <w:tc>
          <w:tcPr>
            <w:tcW w:w="0" w:type="auto"/>
            <w:shd w:val="clear" w:color="auto" w:fill="auto"/>
            <w:noWrap/>
            <w:vAlign w:val="center"/>
            <w:hideMark/>
          </w:tcPr>
          <w:p w:rsidR="004E03F7" w:rsidRDefault="004E03F7" w:rsidP="00831FAD">
            <w:pPr>
              <w:jc w:val="center"/>
              <w:rPr>
                <w:color w:val="000000"/>
                <w:sz w:val="22"/>
              </w:rPr>
            </w:pPr>
            <w:r>
              <w:rPr>
                <w:color w:val="000000"/>
                <w:sz w:val="22"/>
              </w:rPr>
              <w:t>-0.278 (.084)***</w:t>
            </w:r>
          </w:p>
        </w:tc>
        <w:tc>
          <w:tcPr>
            <w:tcW w:w="0" w:type="auto"/>
            <w:shd w:val="clear" w:color="auto" w:fill="auto"/>
            <w:noWrap/>
            <w:vAlign w:val="center"/>
            <w:hideMark/>
          </w:tcPr>
          <w:p w:rsidR="004E03F7" w:rsidRDefault="004E03F7" w:rsidP="004C0D98">
            <w:pPr>
              <w:jc w:val="center"/>
              <w:rPr>
                <w:color w:val="000000"/>
                <w:sz w:val="22"/>
              </w:rPr>
            </w:pPr>
            <w:r>
              <w:rPr>
                <w:color w:val="000000"/>
                <w:sz w:val="22"/>
              </w:rPr>
              <w:t>0.757</w:t>
            </w:r>
          </w:p>
        </w:tc>
        <w:tc>
          <w:tcPr>
            <w:tcW w:w="0" w:type="auto"/>
            <w:shd w:val="clear" w:color="auto" w:fill="auto"/>
            <w:noWrap/>
            <w:vAlign w:val="center"/>
            <w:hideMark/>
          </w:tcPr>
          <w:p w:rsidR="004E03F7" w:rsidRPr="004C0D98" w:rsidRDefault="004C0D98" w:rsidP="004C0D98">
            <w:pPr>
              <w:ind w:left="0" w:firstLine="0"/>
              <w:jc w:val="center"/>
              <w:rPr>
                <w:rFonts w:eastAsia="Times New Roman" w:cs="Times New Roman"/>
                <w:sz w:val="22"/>
              </w:rPr>
            </w:pPr>
            <w:r w:rsidRPr="004C0D98">
              <w:rPr>
                <w:rFonts w:eastAsia="Times New Roman" w:cs="Times New Roman"/>
                <w:sz w:val="22"/>
              </w:rPr>
              <w:t>-8.1%</w:t>
            </w:r>
          </w:p>
        </w:tc>
      </w:tr>
      <w:tr w:rsidR="004E03F7" w:rsidRPr="00944261" w:rsidTr="004C0D98">
        <w:trPr>
          <w:trHeight w:val="576"/>
        </w:trPr>
        <w:tc>
          <w:tcPr>
            <w:tcW w:w="0" w:type="auto"/>
            <w:shd w:val="clear" w:color="auto" w:fill="auto"/>
            <w:noWrap/>
            <w:vAlign w:val="center"/>
            <w:hideMark/>
          </w:tcPr>
          <w:p w:rsidR="004E03F7" w:rsidRPr="00944261" w:rsidRDefault="004E03F7" w:rsidP="00831FAD">
            <w:pPr>
              <w:ind w:left="0" w:firstLine="0"/>
              <w:rPr>
                <w:rFonts w:eastAsia="Times New Roman" w:cs="Times New Roman"/>
                <w:b/>
                <w:bCs/>
                <w:color w:val="000000"/>
                <w:sz w:val="22"/>
              </w:rPr>
            </w:pPr>
            <w:r w:rsidRPr="00944261">
              <w:rPr>
                <w:rFonts w:eastAsia="Times New Roman" w:cs="Times New Roman"/>
                <w:b/>
                <w:bCs/>
                <w:color w:val="000000"/>
                <w:sz w:val="22"/>
              </w:rPr>
              <w:t>Lower Court Direction</w:t>
            </w:r>
          </w:p>
        </w:tc>
        <w:tc>
          <w:tcPr>
            <w:tcW w:w="0" w:type="auto"/>
            <w:shd w:val="clear" w:color="auto" w:fill="auto"/>
            <w:noWrap/>
            <w:vAlign w:val="center"/>
            <w:hideMark/>
          </w:tcPr>
          <w:p w:rsidR="004E03F7" w:rsidRDefault="004E03F7" w:rsidP="00831FAD">
            <w:pPr>
              <w:jc w:val="center"/>
              <w:rPr>
                <w:color w:val="000000"/>
                <w:sz w:val="22"/>
              </w:rPr>
            </w:pPr>
            <w:r>
              <w:rPr>
                <w:color w:val="000000"/>
                <w:sz w:val="22"/>
              </w:rPr>
              <w:t>-0.374 (.163)*</w:t>
            </w:r>
          </w:p>
        </w:tc>
        <w:tc>
          <w:tcPr>
            <w:tcW w:w="0" w:type="auto"/>
            <w:shd w:val="clear" w:color="auto" w:fill="auto"/>
            <w:noWrap/>
            <w:vAlign w:val="center"/>
            <w:hideMark/>
          </w:tcPr>
          <w:p w:rsidR="004E03F7" w:rsidRDefault="004E03F7" w:rsidP="004C0D98">
            <w:pPr>
              <w:jc w:val="center"/>
              <w:rPr>
                <w:color w:val="000000"/>
                <w:sz w:val="22"/>
              </w:rPr>
            </w:pPr>
            <w:r>
              <w:rPr>
                <w:color w:val="000000"/>
                <w:sz w:val="22"/>
              </w:rPr>
              <w:t>0.688</w:t>
            </w:r>
          </w:p>
        </w:tc>
        <w:tc>
          <w:tcPr>
            <w:tcW w:w="0" w:type="auto"/>
            <w:shd w:val="clear" w:color="auto" w:fill="auto"/>
            <w:noWrap/>
            <w:vAlign w:val="center"/>
            <w:hideMark/>
          </w:tcPr>
          <w:p w:rsidR="004E03F7" w:rsidRPr="004C0D98" w:rsidRDefault="004C0D98" w:rsidP="004C0D98">
            <w:pPr>
              <w:ind w:left="0" w:firstLine="0"/>
              <w:jc w:val="center"/>
              <w:rPr>
                <w:rFonts w:eastAsia="Times New Roman" w:cs="Times New Roman"/>
                <w:sz w:val="22"/>
              </w:rPr>
            </w:pPr>
            <w:r w:rsidRPr="004C0D98">
              <w:rPr>
                <w:rFonts w:eastAsia="Times New Roman" w:cs="Times New Roman"/>
                <w:sz w:val="22"/>
              </w:rPr>
              <w:t>-9.3%</w:t>
            </w:r>
          </w:p>
        </w:tc>
      </w:tr>
      <w:tr w:rsidR="004E03F7" w:rsidRPr="00944261" w:rsidTr="004C0D98">
        <w:trPr>
          <w:trHeight w:val="576"/>
        </w:trPr>
        <w:tc>
          <w:tcPr>
            <w:tcW w:w="0" w:type="auto"/>
            <w:shd w:val="clear" w:color="auto" w:fill="auto"/>
            <w:noWrap/>
            <w:vAlign w:val="center"/>
            <w:hideMark/>
          </w:tcPr>
          <w:p w:rsidR="004E03F7" w:rsidRPr="00944261" w:rsidRDefault="004E03F7" w:rsidP="00831FAD">
            <w:pPr>
              <w:ind w:left="0" w:firstLine="0"/>
              <w:rPr>
                <w:rFonts w:eastAsia="Times New Roman" w:cs="Times New Roman"/>
                <w:b/>
                <w:bCs/>
                <w:color w:val="000000"/>
                <w:sz w:val="22"/>
              </w:rPr>
            </w:pPr>
            <w:r w:rsidRPr="00944261">
              <w:rPr>
                <w:rFonts w:eastAsia="Times New Roman" w:cs="Times New Roman"/>
                <w:b/>
                <w:bCs/>
                <w:color w:val="000000"/>
                <w:sz w:val="22"/>
              </w:rPr>
              <w:t>Resource Difference</w:t>
            </w:r>
          </w:p>
        </w:tc>
        <w:tc>
          <w:tcPr>
            <w:tcW w:w="0" w:type="auto"/>
            <w:shd w:val="clear" w:color="auto" w:fill="auto"/>
            <w:noWrap/>
            <w:vAlign w:val="center"/>
            <w:hideMark/>
          </w:tcPr>
          <w:p w:rsidR="004E03F7" w:rsidRDefault="004E03F7" w:rsidP="00831FAD">
            <w:pPr>
              <w:jc w:val="center"/>
              <w:rPr>
                <w:color w:val="000000"/>
                <w:sz w:val="22"/>
              </w:rPr>
            </w:pPr>
            <w:r>
              <w:rPr>
                <w:color w:val="000000"/>
                <w:sz w:val="22"/>
              </w:rPr>
              <w:t>0.013 (.020)</w:t>
            </w:r>
          </w:p>
        </w:tc>
        <w:tc>
          <w:tcPr>
            <w:tcW w:w="0" w:type="auto"/>
            <w:shd w:val="clear" w:color="auto" w:fill="auto"/>
            <w:noWrap/>
            <w:vAlign w:val="center"/>
            <w:hideMark/>
          </w:tcPr>
          <w:p w:rsidR="004E03F7" w:rsidRDefault="004E03F7" w:rsidP="004C0D98">
            <w:pPr>
              <w:jc w:val="center"/>
              <w:rPr>
                <w:color w:val="000000"/>
                <w:sz w:val="22"/>
              </w:rPr>
            </w:pPr>
            <w:r>
              <w:rPr>
                <w:color w:val="000000"/>
                <w:sz w:val="22"/>
              </w:rPr>
              <w:t>1.013</w:t>
            </w:r>
          </w:p>
        </w:tc>
        <w:tc>
          <w:tcPr>
            <w:tcW w:w="0" w:type="auto"/>
            <w:shd w:val="clear" w:color="auto" w:fill="auto"/>
            <w:noWrap/>
            <w:vAlign w:val="center"/>
            <w:hideMark/>
          </w:tcPr>
          <w:p w:rsidR="004E03F7" w:rsidRPr="004C0D98" w:rsidRDefault="004C0D98" w:rsidP="004C0D98">
            <w:pPr>
              <w:ind w:left="0" w:firstLine="0"/>
              <w:jc w:val="center"/>
              <w:rPr>
                <w:rFonts w:eastAsia="Times New Roman" w:cs="Times New Roman"/>
                <w:sz w:val="22"/>
              </w:rPr>
            </w:pPr>
            <w:r w:rsidRPr="004C0D98">
              <w:rPr>
                <w:rFonts w:eastAsia="Times New Roman" w:cs="Times New Roman"/>
                <w:sz w:val="22"/>
              </w:rPr>
              <w:t>1.6%</w:t>
            </w:r>
          </w:p>
        </w:tc>
      </w:tr>
      <w:tr w:rsidR="00831FAD" w:rsidRPr="00944261" w:rsidTr="004C0D98">
        <w:trPr>
          <w:trHeight w:val="576"/>
        </w:trPr>
        <w:tc>
          <w:tcPr>
            <w:tcW w:w="0" w:type="auto"/>
            <w:tcBorders>
              <w:bottom w:val="single" w:sz="18" w:space="0" w:color="auto"/>
            </w:tcBorders>
            <w:shd w:val="clear" w:color="auto" w:fill="auto"/>
            <w:noWrap/>
            <w:vAlign w:val="center"/>
            <w:hideMark/>
          </w:tcPr>
          <w:p w:rsidR="00831FAD" w:rsidRPr="00944261" w:rsidRDefault="00831FAD" w:rsidP="00831FAD">
            <w:pPr>
              <w:ind w:left="0" w:firstLine="0"/>
              <w:rPr>
                <w:rFonts w:eastAsia="Times New Roman" w:cs="Times New Roman"/>
                <w:b/>
                <w:bCs/>
                <w:color w:val="000000"/>
                <w:sz w:val="22"/>
              </w:rPr>
            </w:pPr>
            <w:r w:rsidRPr="00944261">
              <w:rPr>
                <w:rFonts w:eastAsia="Times New Roman" w:cs="Times New Roman"/>
                <w:b/>
                <w:bCs/>
                <w:color w:val="000000"/>
                <w:sz w:val="22"/>
              </w:rPr>
              <w:t>Constant</w:t>
            </w:r>
          </w:p>
        </w:tc>
        <w:tc>
          <w:tcPr>
            <w:tcW w:w="0" w:type="auto"/>
            <w:tcBorders>
              <w:bottom w:val="single" w:sz="18" w:space="0" w:color="auto"/>
            </w:tcBorders>
            <w:shd w:val="clear" w:color="auto" w:fill="auto"/>
            <w:noWrap/>
            <w:vAlign w:val="center"/>
            <w:hideMark/>
          </w:tcPr>
          <w:p w:rsidR="00831FAD" w:rsidRDefault="00831FAD" w:rsidP="00831FAD">
            <w:pPr>
              <w:jc w:val="center"/>
              <w:rPr>
                <w:color w:val="000000"/>
                <w:sz w:val="22"/>
              </w:rPr>
            </w:pPr>
            <w:r>
              <w:rPr>
                <w:color w:val="000000"/>
                <w:sz w:val="22"/>
              </w:rPr>
              <w:t>0.259</w:t>
            </w:r>
            <w:r w:rsidR="004E03F7">
              <w:rPr>
                <w:color w:val="000000"/>
                <w:sz w:val="22"/>
              </w:rPr>
              <w:t xml:space="preserve"> (.296)</w:t>
            </w:r>
          </w:p>
        </w:tc>
        <w:tc>
          <w:tcPr>
            <w:tcW w:w="0" w:type="auto"/>
            <w:tcBorders>
              <w:bottom w:val="single" w:sz="18" w:space="0" w:color="auto"/>
            </w:tcBorders>
            <w:shd w:val="clear" w:color="auto" w:fill="auto"/>
            <w:noWrap/>
            <w:vAlign w:val="center"/>
            <w:hideMark/>
          </w:tcPr>
          <w:p w:rsidR="00831FAD" w:rsidRPr="004E03F7" w:rsidRDefault="00831FAD" w:rsidP="004C0D98">
            <w:pPr>
              <w:jc w:val="center"/>
              <w:rPr>
                <w:color w:val="000000"/>
                <w:sz w:val="22"/>
              </w:rPr>
            </w:pPr>
            <w:r w:rsidRPr="004E03F7">
              <w:rPr>
                <w:color w:val="000000"/>
                <w:sz w:val="22"/>
              </w:rPr>
              <w:t>0.296</w:t>
            </w:r>
          </w:p>
        </w:tc>
        <w:tc>
          <w:tcPr>
            <w:tcW w:w="0" w:type="auto"/>
            <w:tcBorders>
              <w:bottom w:val="single" w:sz="18" w:space="0" w:color="auto"/>
            </w:tcBorders>
            <w:shd w:val="clear" w:color="auto" w:fill="auto"/>
            <w:noWrap/>
            <w:vAlign w:val="center"/>
            <w:hideMark/>
          </w:tcPr>
          <w:p w:rsidR="00831FAD" w:rsidRPr="00D62BD1" w:rsidRDefault="00831FAD" w:rsidP="004C0D98">
            <w:pPr>
              <w:ind w:left="0" w:firstLine="0"/>
              <w:jc w:val="center"/>
              <w:rPr>
                <w:rFonts w:eastAsia="Times New Roman" w:cs="Times New Roman"/>
                <w:color w:val="00B050"/>
                <w:sz w:val="22"/>
              </w:rPr>
            </w:pPr>
          </w:p>
        </w:tc>
      </w:tr>
      <w:tr w:rsidR="009F00C5" w:rsidRPr="00944261" w:rsidTr="00831FAD">
        <w:trPr>
          <w:trHeight w:val="576"/>
        </w:trPr>
        <w:tc>
          <w:tcPr>
            <w:tcW w:w="0" w:type="auto"/>
            <w:tcBorders>
              <w:top w:val="single" w:sz="18" w:space="0" w:color="auto"/>
              <w:bottom w:val="nil"/>
            </w:tcBorders>
            <w:shd w:val="clear" w:color="auto" w:fill="auto"/>
            <w:noWrap/>
            <w:vAlign w:val="center"/>
            <w:hideMark/>
          </w:tcPr>
          <w:p w:rsidR="009F00C5" w:rsidRPr="00944261" w:rsidRDefault="009F00C5" w:rsidP="00831FAD">
            <w:pPr>
              <w:ind w:left="0" w:firstLine="0"/>
              <w:rPr>
                <w:rFonts w:eastAsia="Times New Roman" w:cs="Times New Roman"/>
                <w:b/>
                <w:bCs/>
                <w:color w:val="000000"/>
                <w:sz w:val="22"/>
              </w:rPr>
            </w:pPr>
            <w:r w:rsidRPr="00944261">
              <w:rPr>
                <w:rFonts w:eastAsia="Times New Roman" w:cs="Times New Roman"/>
                <w:b/>
                <w:bCs/>
                <w:color w:val="000000"/>
                <w:sz w:val="22"/>
              </w:rPr>
              <w:t>N</w:t>
            </w:r>
          </w:p>
        </w:tc>
        <w:tc>
          <w:tcPr>
            <w:tcW w:w="0" w:type="auto"/>
            <w:tcBorders>
              <w:top w:val="single" w:sz="18" w:space="0" w:color="auto"/>
              <w:bottom w:val="nil"/>
            </w:tcBorders>
            <w:shd w:val="clear" w:color="auto" w:fill="auto"/>
            <w:noWrap/>
            <w:vAlign w:val="center"/>
            <w:hideMark/>
          </w:tcPr>
          <w:p w:rsidR="009F00C5" w:rsidRPr="00831FAD" w:rsidRDefault="00831FAD" w:rsidP="00831FAD">
            <w:pPr>
              <w:ind w:left="0" w:firstLine="0"/>
              <w:jc w:val="center"/>
              <w:rPr>
                <w:rFonts w:eastAsia="Times New Roman" w:cs="Times New Roman"/>
                <w:sz w:val="22"/>
              </w:rPr>
            </w:pPr>
            <w:r>
              <w:rPr>
                <w:rFonts w:eastAsia="Times New Roman" w:cs="Times New Roman"/>
                <w:sz w:val="22"/>
              </w:rPr>
              <w:t>569</w:t>
            </w:r>
          </w:p>
        </w:tc>
        <w:tc>
          <w:tcPr>
            <w:tcW w:w="0" w:type="auto"/>
            <w:tcBorders>
              <w:top w:val="single" w:sz="18" w:space="0" w:color="auto"/>
              <w:bottom w:val="nil"/>
            </w:tcBorders>
            <w:shd w:val="clear" w:color="auto" w:fill="auto"/>
            <w:noWrap/>
            <w:vAlign w:val="center"/>
            <w:hideMark/>
          </w:tcPr>
          <w:p w:rsidR="009F00C5" w:rsidRPr="007C7497" w:rsidRDefault="009F00C5" w:rsidP="00831FAD">
            <w:pPr>
              <w:ind w:left="0" w:firstLine="0"/>
              <w:jc w:val="center"/>
              <w:rPr>
                <w:rFonts w:eastAsia="Times New Roman" w:cs="Times New Roman"/>
                <w:color w:val="FF0000"/>
                <w:sz w:val="22"/>
              </w:rPr>
            </w:pPr>
          </w:p>
        </w:tc>
        <w:tc>
          <w:tcPr>
            <w:tcW w:w="0" w:type="auto"/>
            <w:tcBorders>
              <w:top w:val="single" w:sz="18" w:space="0" w:color="auto"/>
              <w:bottom w:val="nil"/>
            </w:tcBorders>
            <w:shd w:val="clear" w:color="auto" w:fill="auto"/>
            <w:noWrap/>
            <w:vAlign w:val="center"/>
            <w:hideMark/>
          </w:tcPr>
          <w:p w:rsidR="009F00C5" w:rsidRPr="00944261" w:rsidRDefault="009F00C5" w:rsidP="00831FAD">
            <w:pPr>
              <w:ind w:left="0" w:firstLine="0"/>
              <w:jc w:val="center"/>
              <w:rPr>
                <w:rFonts w:eastAsia="Times New Roman" w:cs="Times New Roman"/>
                <w:color w:val="000000"/>
                <w:sz w:val="22"/>
              </w:rPr>
            </w:pPr>
          </w:p>
        </w:tc>
      </w:tr>
      <w:tr w:rsidR="009F00C5" w:rsidRPr="00944261" w:rsidTr="00831FAD">
        <w:trPr>
          <w:trHeight w:val="576"/>
        </w:trPr>
        <w:tc>
          <w:tcPr>
            <w:tcW w:w="0" w:type="auto"/>
            <w:tcBorders>
              <w:top w:val="nil"/>
              <w:bottom w:val="nil"/>
            </w:tcBorders>
            <w:shd w:val="clear" w:color="auto" w:fill="auto"/>
            <w:noWrap/>
            <w:vAlign w:val="center"/>
            <w:hideMark/>
          </w:tcPr>
          <w:p w:rsidR="009F00C5" w:rsidRPr="00944261" w:rsidRDefault="009F00C5" w:rsidP="00831FAD">
            <w:pPr>
              <w:ind w:left="0" w:firstLine="0"/>
              <w:rPr>
                <w:rFonts w:eastAsia="Times New Roman" w:cs="Times New Roman"/>
                <w:b/>
                <w:bCs/>
                <w:color w:val="000000"/>
                <w:sz w:val="22"/>
              </w:rPr>
            </w:pPr>
            <w:proofErr w:type="spellStart"/>
            <w:r w:rsidRPr="00944261">
              <w:rPr>
                <w:rFonts w:eastAsia="Times New Roman" w:cs="Times New Roman"/>
                <w:b/>
                <w:bCs/>
                <w:color w:val="000000"/>
                <w:sz w:val="22"/>
              </w:rPr>
              <w:t>Prob</w:t>
            </w:r>
            <w:proofErr w:type="spellEnd"/>
            <w:r w:rsidRPr="00944261">
              <w:rPr>
                <w:rFonts w:eastAsia="Times New Roman" w:cs="Times New Roman"/>
                <w:b/>
                <w:bCs/>
                <w:color w:val="000000"/>
                <w:sz w:val="22"/>
              </w:rPr>
              <w:t xml:space="preserve"> &gt; chi2</w:t>
            </w:r>
          </w:p>
        </w:tc>
        <w:tc>
          <w:tcPr>
            <w:tcW w:w="0" w:type="auto"/>
            <w:tcBorders>
              <w:top w:val="nil"/>
              <w:bottom w:val="nil"/>
            </w:tcBorders>
            <w:shd w:val="clear" w:color="auto" w:fill="auto"/>
            <w:noWrap/>
            <w:vAlign w:val="center"/>
            <w:hideMark/>
          </w:tcPr>
          <w:p w:rsidR="009F00C5" w:rsidRPr="00831FAD" w:rsidRDefault="00831FAD" w:rsidP="00831FAD">
            <w:pPr>
              <w:ind w:left="0" w:firstLine="0"/>
              <w:jc w:val="center"/>
              <w:rPr>
                <w:rFonts w:eastAsia="Times New Roman" w:cs="Times New Roman"/>
                <w:sz w:val="22"/>
              </w:rPr>
            </w:pPr>
            <w:r>
              <w:rPr>
                <w:rFonts w:eastAsia="Times New Roman" w:cs="Times New Roman"/>
                <w:sz w:val="22"/>
              </w:rPr>
              <w:t>0</w:t>
            </w:r>
          </w:p>
        </w:tc>
        <w:tc>
          <w:tcPr>
            <w:tcW w:w="0" w:type="auto"/>
            <w:tcBorders>
              <w:top w:val="nil"/>
              <w:bottom w:val="nil"/>
            </w:tcBorders>
            <w:shd w:val="clear" w:color="auto" w:fill="auto"/>
            <w:noWrap/>
            <w:vAlign w:val="center"/>
            <w:hideMark/>
          </w:tcPr>
          <w:p w:rsidR="009F00C5" w:rsidRPr="007C7497" w:rsidRDefault="009F00C5" w:rsidP="00831FAD">
            <w:pPr>
              <w:ind w:left="0" w:firstLine="0"/>
              <w:jc w:val="center"/>
              <w:rPr>
                <w:rFonts w:eastAsia="Times New Roman" w:cs="Times New Roman"/>
                <w:color w:val="FF0000"/>
                <w:sz w:val="22"/>
              </w:rPr>
            </w:pPr>
          </w:p>
        </w:tc>
        <w:tc>
          <w:tcPr>
            <w:tcW w:w="0" w:type="auto"/>
            <w:tcBorders>
              <w:top w:val="nil"/>
              <w:bottom w:val="nil"/>
            </w:tcBorders>
            <w:shd w:val="clear" w:color="auto" w:fill="auto"/>
            <w:noWrap/>
            <w:vAlign w:val="center"/>
            <w:hideMark/>
          </w:tcPr>
          <w:p w:rsidR="009F00C5" w:rsidRPr="00944261" w:rsidRDefault="009F00C5" w:rsidP="00831FAD">
            <w:pPr>
              <w:ind w:left="0" w:firstLine="0"/>
              <w:jc w:val="center"/>
              <w:rPr>
                <w:rFonts w:eastAsia="Times New Roman" w:cs="Times New Roman"/>
                <w:color w:val="000000"/>
                <w:sz w:val="22"/>
              </w:rPr>
            </w:pPr>
          </w:p>
        </w:tc>
      </w:tr>
      <w:tr w:rsidR="009F00C5" w:rsidRPr="00944261" w:rsidTr="00831FAD">
        <w:trPr>
          <w:trHeight w:val="576"/>
        </w:trPr>
        <w:tc>
          <w:tcPr>
            <w:tcW w:w="0" w:type="auto"/>
            <w:tcBorders>
              <w:top w:val="nil"/>
              <w:bottom w:val="nil"/>
            </w:tcBorders>
            <w:shd w:val="clear" w:color="auto" w:fill="auto"/>
            <w:noWrap/>
            <w:vAlign w:val="center"/>
            <w:hideMark/>
          </w:tcPr>
          <w:p w:rsidR="009F00C5" w:rsidRPr="00944261" w:rsidRDefault="009F00C5" w:rsidP="00831FAD">
            <w:pPr>
              <w:ind w:left="0" w:firstLine="0"/>
              <w:rPr>
                <w:rFonts w:eastAsia="Times New Roman" w:cs="Times New Roman"/>
                <w:b/>
                <w:bCs/>
                <w:color w:val="000000"/>
                <w:sz w:val="22"/>
              </w:rPr>
            </w:pPr>
            <w:r w:rsidRPr="00944261">
              <w:rPr>
                <w:rFonts w:eastAsia="Times New Roman" w:cs="Times New Roman"/>
                <w:b/>
                <w:bCs/>
                <w:color w:val="000000"/>
                <w:sz w:val="22"/>
              </w:rPr>
              <w:t>Percent Correctly Predicted</w:t>
            </w:r>
          </w:p>
        </w:tc>
        <w:tc>
          <w:tcPr>
            <w:tcW w:w="0" w:type="auto"/>
            <w:tcBorders>
              <w:top w:val="nil"/>
              <w:bottom w:val="nil"/>
            </w:tcBorders>
            <w:shd w:val="clear" w:color="auto" w:fill="auto"/>
            <w:noWrap/>
            <w:vAlign w:val="center"/>
            <w:hideMark/>
          </w:tcPr>
          <w:p w:rsidR="009F00C5" w:rsidRPr="0064297A" w:rsidRDefault="0064297A" w:rsidP="00831FAD">
            <w:pPr>
              <w:ind w:left="0" w:firstLine="0"/>
              <w:jc w:val="center"/>
              <w:rPr>
                <w:rFonts w:eastAsia="Times New Roman" w:cs="Times New Roman"/>
                <w:sz w:val="22"/>
              </w:rPr>
            </w:pPr>
            <w:r w:rsidRPr="0064297A">
              <w:rPr>
                <w:rFonts w:eastAsia="Times New Roman" w:cs="Times New Roman"/>
                <w:sz w:val="22"/>
              </w:rPr>
              <w:t>68.54</w:t>
            </w:r>
          </w:p>
        </w:tc>
        <w:tc>
          <w:tcPr>
            <w:tcW w:w="0" w:type="auto"/>
            <w:tcBorders>
              <w:top w:val="nil"/>
              <w:bottom w:val="nil"/>
            </w:tcBorders>
            <w:shd w:val="clear" w:color="auto" w:fill="auto"/>
            <w:noWrap/>
            <w:vAlign w:val="center"/>
            <w:hideMark/>
          </w:tcPr>
          <w:p w:rsidR="009F00C5" w:rsidRPr="007C7497" w:rsidRDefault="009F00C5" w:rsidP="00831FAD">
            <w:pPr>
              <w:ind w:left="0" w:firstLine="0"/>
              <w:jc w:val="center"/>
              <w:rPr>
                <w:rFonts w:eastAsia="Times New Roman" w:cs="Times New Roman"/>
                <w:color w:val="FF0000"/>
                <w:sz w:val="22"/>
              </w:rPr>
            </w:pPr>
          </w:p>
        </w:tc>
        <w:tc>
          <w:tcPr>
            <w:tcW w:w="0" w:type="auto"/>
            <w:tcBorders>
              <w:top w:val="nil"/>
              <w:bottom w:val="nil"/>
            </w:tcBorders>
            <w:shd w:val="clear" w:color="auto" w:fill="auto"/>
            <w:noWrap/>
            <w:vAlign w:val="center"/>
            <w:hideMark/>
          </w:tcPr>
          <w:p w:rsidR="009F00C5" w:rsidRPr="00944261" w:rsidRDefault="009F00C5" w:rsidP="00831FAD">
            <w:pPr>
              <w:ind w:left="0" w:firstLine="0"/>
              <w:jc w:val="center"/>
              <w:rPr>
                <w:rFonts w:eastAsia="Times New Roman" w:cs="Times New Roman"/>
                <w:color w:val="000000"/>
                <w:sz w:val="22"/>
              </w:rPr>
            </w:pPr>
          </w:p>
        </w:tc>
      </w:tr>
      <w:tr w:rsidR="009F00C5" w:rsidRPr="00944261" w:rsidTr="00831FAD">
        <w:trPr>
          <w:trHeight w:val="576"/>
        </w:trPr>
        <w:tc>
          <w:tcPr>
            <w:tcW w:w="0" w:type="auto"/>
            <w:tcBorders>
              <w:top w:val="nil"/>
              <w:bottom w:val="single" w:sz="18" w:space="0" w:color="auto"/>
            </w:tcBorders>
            <w:shd w:val="clear" w:color="auto" w:fill="auto"/>
            <w:noWrap/>
            <w:vAlign w:val="center"/>
            <w:hideMark/>
          </w:tcPr>
          <w:p w:rsidR="009F00C5" w:rsidRPr="00944261" w:rsidRDefault="009F00C5" w:rsidP="00831FAD">
            <w:pPr>
              <w:ind w:left="0" w:firstLine="0"/>
              <w:rPr>
                <w:rFonts w:eastAsia="Times New Roman" w:cs="Times New Roman"/>
                <w:b/>
                <w:bCs/>
                <w:color w:val="000000"/>
                <w:sz w:val="22"/>
              </w:rPr>
            </w:pPr>
            <w:r w:rsidRPr="00944261">
              <w:rPr>
                <w:rFonts w:eastAsia="Times New Roman" w:cs="Times New Roman"/>
                <w:b/>
                <w:bCs/>
                <w:color w:val="000000"/>
                <w:sz w:val="22"/>
              </w:rPr>
              <w:t>Percent Reduction in Error</w:t>
            </w:r>
          </w:p>
        </w:tc>
        <w:tc>
          <w:tcPr>
            <w:tcW w:w="0" w:type="auto"/>
            <w:tcBorders>
              <w:top w:val="nil"/>
              <w:bottom w:val="single" w:sz="18" w:space="0" w:color="auto"/>
            </w:tcBorders>
            <w:shd w:val="clear" w:color="auto" w:fill="auto"/>
            <w:noWrap/>
            <w:vAlign w:val="center"/>
            <w:hideMark/>
          </w:tcPr>
          <w:p w:rsidR="009F00C5" w:rsidRPr="0064297A" w:rsidRDefault="0064297A" w:rsidP="00831FAD">
            <w:pPr>
              <w:ind w:left="0" w:firstLine="0"/>
              <w:jc w:val="center"/>
              <w:rPr>
                <w:rFonts w:eastAsia="Times New Roman" w:cs="Times New Roman"/>
                <w:sz w:val="22"/>
              </w:rPr>
            </w:pPr>
            <w:r w:rsidRPr="0064297A">
              <w:rPr>
                <w:rFonts w:eastAsia="Times New Roman" w:cs="Times New Roman"/>
                <w:sz w:val="22"/>
              </w:rPr>
              <w:t>36.25</w:t>
            </w:r>
          </w:p>
        </w:tc>
        <w:tc>
          <w:tcPr>
            <w:tcW w:w="0" w:type="auto"/>
            <w:tcBorders>
              <w:top w:val="nil"/>
              <w:bottom w:val="single" w:sz="18" w:space="0" w:color="auto"/>
            </w:tcBorders>
            <w:shd w:val="clear" w:color="auto" w:fill="auto"/>
            <w:noWrap/>
            <w:vAlign w:val="center"/>
            <w:hideMark/>
          </w:tcPr>
          <w:p w:rsidR="009F00C5" w:rsidRPr="007C7497" w:rsidRDefault="009F00C5" w:rsidP="00831FAD">
            <w:pPr>
              <w:ind w:left="0" w:firstLine="0"/>
              <w:jc w:val="center"/>
              <w:rPr>
                <w:rFonts w:eastAsia="Times New Roman" w:cs="Times New Roman"/>
                <w:color w:val="FF0000"/>
                <w:sz w:val="22"/>
              </w:rPr>
            </w:pPr>
          </w:p>
        </w:tc>
        <w:tc>
          <w:tcPr>
            <w:tcW w:w="0" w:type="auto"/>
            <w:tcBorders>
              <w:top w:val="nil"/>
              <w:bottom w:val="single" w:sz="18" w:space="0" w:color="auto"/>
            </w:tcBorders>
            <w:shd w:val="clear" w:color="auto" w:fill="auto"/>
            <w:noWrap/>
            <w:vAlign w:val="center"/>
            <w:hideMark/>
          </w:tcPr>
          <w:p w:rsidR="009F00C5" w:rsidRPr="00944261" w:rsidRDefault="009F00C5" w:rsidP="00831FAD">
            <w:pPr>
              <w:ind w:left="0" w:firstLine="0"/>
              <w:jc w:val="center"/>
              <w:rPr>
                <w:rFonts w:eastAsia="Times New Roman" w:cs="Times New Roman"/>
                <w:color w:val="000000"/>
                <w:sz w:val="22"/>
              </w:rPr>
            </w:pPr>
          </w:p>
        </w:tc>
      </w:tr>
    </w:tbl>
    <w:p w:rsidR="009F00C5" w:rsidRPr="009E62D9" w:rsidRDefault="009F00C5" w:rsidP="009F00C5">
      <w:pPr>
        <w:autoSpaceDE w:val="0"/>
        <w:autoSpaceDN w:val="0"/>
        <w:adjustRightInd w:val="0"/>
        <w:ind w:left="90" w:firstLine="0"/>
        <w:rPr>
          <w:sz w:val="22"/>
        </w:rPr>
      </w:pPr>
      <w:r w:rsidRPr="009E62D9">
        <w:rPr>
          <w:sz w:val="22"/>
        </w:rPr>
        <w:t>Dependent variable indicates the ideological direction of the individual justices’ vote (1 = libe</w:t>
      </w:r>
      <w:r>
        <w:rPr>
          <w:sz w:val="22"/>
        </w:rPr>
        <w:t xml:space="preserve">ral, 0 = conservative).  </w:t>
      </w:r>
      <w:r w:rsidR="007203D8">
        <w:rPr>
          <w:sz w:val="22"/>
        </w:rPr>
        <w:t xml:space="preserve">Numbers in parentheses indicated standard errors.  </w:t>
      </w:r>
      <w:proofErr w:type="gramStart"/>
      <w:r>
        <w:rPr>
          <w:sz w:val="22"/>
        </w:rPr>
        <w:t>*p&lt;.05, **p&lt;.01, ***p&lt;.001</w:t>
      </w:r>
      <w:r w:rsidRPr="009E62D9">
        <w:rPr>
          <w:sz w:val="22"/>
        </w:rPr>
        <w:t xml:space="preserve"> (one-tailed).</w:t>
      </w:r>
      <w:proofErr w:type="gramEnd"/>
    </w:p>
    <w:p w:rsidR="007203D8" w:rsidRDefault="007203D8" w:rsidP="00451FF6">
      <w:pPr>
        <w:spacing w:line="480" w:lineRule="auto"/>
        <w:ind w:left="0" w:firstLine="0"/>
        <w:rPr>
          <w:rFonts w:cs="Times New Roman"/>
          <w:b/>
          <w:szCs w:val="24"/>
        </w:rPr>
      </w:pPr>
    </w:p>
    <w:p w:rsidR="00E16E4C" w:rsidRDefault="00E16E4C" w:rsidP="00451FF6">
      <w:pPr>
        <w:spacing w:line="480" w:lineRule="auto"/>
        <w:ind w:left="0" w:firstLine="0"/>
        <w:rPr>
          <w:rFonts w:cs="Times New Roman"/>
          <w:b/>
          <w:szCs w:val="24"/>
        </w:rPr>
      </w:pPr>
    </w:p>
    <w:p w:rsidR="00E16E4C" w:rsidRDefault="00E16E4C" w:rsidP="00451FF6">
      <w:pPr>
        <w:spacing w:line="480" w:lineRule="auto"/>
        <w:ind w:left="0" w:firstLine="0"/>
        <w:rPr>
          <w:rFonts w:cs="Times New Roman"/>
          <w:b/>
          <w:szCs w:val="24"/>
        </w:rPr>
      </w:pPr>
    </w:p>
    <w:p w:rsidR="00AF21BE" w:rsidRDefault="00AF21BE" w:rsidP="00AF21BE">
      <w:pPr>
        <w:autoSpaceDE w:val="0"/>
        <w:autoSpaceDN w:val="0"/>
        <w:adjustRightInd w:val="0"/>
        <w:spacing w:line="480" w:lineRule="auto"/>
        <w:ind w:left="0" w:firstLine="0"/>
      </w:pPr>
      <w:proofErr w:type="gramStart"/>
      <w:r w:rsidRPr="00A82E61">
        <w:lastRenderedPageBreak/>
        <w:t>also</w:t>
      </w:r>
      <w:proofErr w:type="gramEnd"/>
      <w:r w:rsidRPr="00A82E61">
        <w:t xml:space="preserve"> not statistically significant when I estimate this same judicial power and federalism model but without the interaction term.  Therefore, an ideological advantage of amicus briefs does not influence the direction of justice votes in judicial power and federalism cases at the Roberts Court.  </w:t>
      </w:r>
    </w:p>
    <w:p w:rsidR="00A82E61" w:rsidRDefault="00E16E4C" w:rsidP="0059577F">
      <w:pPr>
        <w:autoSpaceDE w:val="0"/>
        <w:autoSpaceDN w:val="0"/>
        <w:adjustRightInd w:val="0"/>
        <w:spacing w:line="480" w:lineRule="auto"/>
        <w:ind w:left="0" w:firstLine="720"/>
      </w:pPr>
      <w:r w:rsidRPr="00A82E61">
        <w:t xml:space="preserve">To confirm this conclusion, I produce a graph of the marginal effects of </w:t>
      </w:r>
      <w:r w:rsidRPr="00A82E61">
        <w:rPr>
          <w:i/>
        </w:rPr>
        <w:t>Liberal-Conservative Amicus Briefs Difference</w:t>
      </w:r>
      <w:r w:rsidRPr="00A82E61">
        <w:t xml:space="preserve"> on the ideological direction of the vote across the observed range of </w:t>
      </w:r>
      <w:r w:rsidRPr="00A82E61">
        <w:rPr>
          <w:i/>
        </w:rPr>
        <w:t>Judicial Moderation</w:t>
      </w:r>
      <w:r w:rsidRPr="00A82E61">
        <w:t xml:space="preserve"> for judicial power and federalism cases (see Figure 5.5). The marginal effects graph confirms that at no level of judicial moderation is the impact of </w:t>
      </w:r>
      <w:r w:rsidRPr="00A82E61">
        <w:rPr>
          <w:i/>
        </w:rPr>
        <w:t>Liberal-Conservative Amicus Briefs Difference</w:t>
      </w:r>
      <w:r w:rsidRPr="00A82E61">
        <w:t xml:space="preserve"> statistically significant (as the dotted lines representing the 95 percent confidence intervals are never </w:t>
      </w:r>
      <w:r w:rsidRPr="006D08A4">
        <w:t xml:space="preserve">both </w:t>
      </w:r>
      <w:r w:rsidRPr="00A82E61">
        <w:t>above or</w:t>
      </w:r>
      <w:r w:rsidR="006D08A4">
        <w:t xml:space="preserve"> both</w:t>
      </w:r>
      <w:r w:rsidRPr="00A82E61">
        <w:t xml:space="preserve"> below zero).  As a result, just as with civil rights and liberties</w:t>
      </w:r>
      <w:r w:rsidR="00C92337" w:rsidRPr="00A82E61">
        <w:t xml:space="preserve"> and economics</w:t>
      </w:r>
      <w:r w:rsidRPr="00A82E61">
        <w:t xml:space="preserve"> cases, I conclude that an ideological advantage of amicus briefs does not impact </w:t>
      </w:r>
      <w:r w:rsidR="00A82E61" w:rsidRPr="00A82E61">
        <w:t xml:space="preserve">in a significant manner </w:t>
      </w:r>
      <w:r w:rsidRPr="00A82E61">
        <w:t xml:space="preserve">the way the </w:t>
      </w:r>
      <w:proofErr w:type="gramStart"/>
      <w:r w:rsidRPr="00A82E61">
        <w:t>justices</w:t>
      </w:r>
      <w:proofErr w:type="gramEnd"/>
      <w:r w:rsidRPr="00A82E61">
        <w:t xml:space="preserve"> vote </w:t>
      </w:r>
      <w:r w:rsidR="00C92337" w:rsidRPr="00A82E61">
        <w:t xml:space="preserve">in judicial power and federalism </w:t>
      </w:r>
      <w:r w:rsidRPr="00A82E61">
        <w:t>cases at the Roberts Court.  This finding fails to support my information/legal persuasion hypotheses or my median justic</w:t>
      </w:r>
      <w:r w:rsidR="006D08A4">
        <w:t>e hypotheses in the context of judicial power and federalism</w:t>
      </w:r>
      <w:r w:rsidRPr="00A82E61">
        <w:t xml:space="preserve"> cases.  As </w:t>
      </w:r>
      <w:r w:rsidRPr="00A82E61">
        <w:rPr>
          <w:i/>
        </w:rPr>
        <w:t xml:space="preserve">Liberal-Conservative Amicus Briefs Difference </w:t>
      </w:r>
      <w:r w:rsidRPr="00A82E61">
        <w:t>is not statistically significant, it is not necessary to interpret the odds r</w:t>
      </w:r>
      <w:r w:rsidR="00A82E61" w:rsidRPr="00A82E61">
        <w:t xml:space="preserve">atios or marginal effects. </w:t>
      </w:r>
    </w:p>
    <w:p w:rsidR="00AF21BE" w:rsidRPr="00A82E61" w:rsidRDefault="00AF21BE" w:rsidP="00AF21BE">
      <w:pPr>
        <w:autoSpaceDE w:val="0"/>
        <w:autoSpaceDN w:val="0"/>
        <w:adjustRightInd w:val="0"/>
        <w:spacing w:line="480" w:lineRule="auto"/>
        <w:ind w:left="0" w:firstLine="720"/>
      </w:pPr>
      <w:r w:rsidRPr="00E16E4C">
        <w:rPr>
          <w:color w:val="0070C0"/>
        </w:rPr>
        <w:t xml:space="preserve">  </w:t>
      </w:r>
      <w:r>
        <w:t xml:space="preserve">In addition, Model 5 </w:t>
      </w:r>
      <w:r w:rsidRPr="00A82E61">
        <w:t xml:space="preserve">demonstrates that </w:t>
      </w:r>
      <w:r w:rsidRPr="00A82E61">
        <w:rPr>
          <w:i/>
        </w:rPr>
        <w:t xml:space="preserve">Liberal-Conservative Amicus Cosigner Difference </w:t>
      </w:r>
      <w:r w:rsidRPr="00A82E61">
        <w:t xml:space="preserve">is not statistically significant in judicial power and federalism cases.  Thus, my affected groups hypotheses are not supported either. </w:t>
      </w:r>
      <w:r w:rsidRPr="00A82E61">
        <w:rPr>
          <w:i/>
        </w:rPr>
        <w:t xml:space="preserve"> </w:t>
      </w:r>
      <w:r w:rsidRPr="00A82E61">
        <w:t xml:space="preserve">As </w:t>
      </w:r>
      <w:r w:rsidRPr="00A82E61">
        <w:rPr>
          <w:i/>
        </w:rPr>
        <w:t xml:space="preserve">Liberal-Conservative Amicus Cosigner Difference </w:t>
      </w:r>
      <w:r w:rsidRPr="00A82E61">
        <w:t xml:space="preserve">is not statistically significant, it is not necessary to interpret the odds ratios or marginal effects.  </w:t>
      </w:r>
    </w:p>
    <w:p w:rsidR="00AF21BE" w:rsidRDefault="00AF21BE" w:rsidP="00451FF6">
      <w:pPr>
        <w:spacing w:line="480" w:lineRule="auto"/>
        <w:ind w:left="0" w:firstLine="0"/>
        <w:rPr>
          <w:rFonts w:cs="Times New Roman"/>
          <w:b/>
          <w:szCs w:val="24"/>
        </w:rPr>
      </w:pPr>
    </w:p>
    <w:p w:rsidR="00451FF6" w:rsidRDefault="00451FF6" w:rsidP="00451FF6">
      <w:pPr>
        <w:spacing w:line="480" w:lineRule="auto"/>
        <w:ind w:left="0" w:firstLine="0"/>
        <w:rPr>
          <w:rFonts w:cs="Times New Roman"/>
          <w:b/>
          <w:szCs w:val="24"/>
        </w:rPr>
      </w:pPr>
      <w:proofErr w:type="gramStart"/>
      <w:r>
        <w:rPr>
          <w:rFonts w:cs="Times New Roman"/>
          <w:b/>
          <w:szCs w:val="24"/>
        </w:rPr>
        <w:lastRenderedPageBreak/>
        <w:t>Figure 5.5.</w:t>
      </w:r>
      <w:proofErr w:type="gramEnd"/>
      <w:r w:rsidRPr="00DE4886">
        <w:rPr>
          <w:rFonts w:cs="Times New Roman"/>
          <w:b/>
          <w:szCs w:val="24"/>
        </w:rPr>
        <w:t xml:space="preserve"> Marginal Effect of </w:t>
      </w:r>
      <w:r w:rsidRPr="00DE4886">
        <w:rPr>
          <w:rFonts w:cs="Times New Roman"/>
          <w:b/>
          <w:i/>
          <w:szCs w:val="24"/>
        </w:rPr>
        <w:t>Liberal-Conservative Amicus Brief Difference</w:t>
      </w:r>
      <w:r w:rsidRPr="00DE4886">
        <w:rPr>
          <w:rFonts w:cs="Times New Roman"/>
          <w:b/>
          <w:szCs w:val="24"/>
        </w:rPr>
        <w:t xml:space="preserve"> on Ideological Direction of Justice Vote Across </w:t>
      </w:r>
      <w:r w:rsidR="0059577F">
        <w:rPr>
          <w:rFonts w:cs="Times New Roman"/>
          <w:b/>
          <w:szCs w:val="24"/>
        </w:rPr>
        <w:t xml:space="preserve">Varying </w:t>
      </w:r>
      <w:r>
        <w:rPr>
          <w:rFonts w:cs="Times New Roman"/>
          <w:b/>
          <w:szCs w:val="24"/>
        </w:rPr>
        <w:t>Levels of Judicial Moderation in Judi</w:t>
      </w:r>
      <w:r w:rsidR="00AF21BE">
        <w:rPr>
          <w:rFonts w:cs="Times New Roman"/>
          <w:b/>
          <w:szCs w:val="24"/>
        </w:rPr>
        <w:t>cial Power and Federalism Cases</w:t>
      </w:r>
    </w:p>
    <w:p w:rsidR="00451FF6" w:rsidRDefault="00451FF6" w:rsidP="00451FF6">
      <w:pPr>
        <w:spacing w:line="480" w:lineRule="auto"/>
        <w:ind w:left="0" w:firstLine="0"/>
        <w:rPr>
          <w:rFonts w:cs="Times New Roman"/>
          <w:b/>
          <w:szCs w:val="24"/>
        </w:rPr>
      </w:pPr>
      <w:r>
        <w:rPr>
          <w:rFonts w:cs="Times New Roman"/>
          <w:b/>
          <w:noProof/>
          <w:szCs w:val="24"/>
        </w:rPr>
        <w:drawing>
          <wp:inline distT="0" distB="0" distL="0" distR="0" wp14:anchorId="0A60904E" wp14:editId="358CC3C6">
            <wp:extent cx="5114925" cy="37433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451FF6" w:rsidRDefault="00451FF6" w:rsidP="00E71D36">
      <w:pPr>
        <w:spacing w:line="480" w:lineRule="auto"/>
        <w:ind w:left="0" w:firstLine="0"/>
        <w:rPr>
          <w:rFonts w:cs="Times New Roman"/>
          <w:szCs w:val="24"/>
        </w:rPr>
      </w:pPr>
    </w:p>
    <w:p w:rsidR="00A82E61" w:rsidRPr="00887853" w:rsidRDefault="00A82E61" w:rsidP="00887853">
      <w:pPr>
        <w:autoSpaceDE w:val="0"/>
        <w:autoSpaceDN w:val="0"/>
        <w:adjustRightInd w:val="0"/>
        <w:spacing w:line="480" w:lineRule="auto"/>
        <w:ind w:left="0" w:firstLine="720"/>
      </w:pPr>
      <w:r w:rsidRPr="00A82E61">
        <w:rPr>
          <w:rFonts w:cs="Times New Roman"/>
          <w:szCs w:val="24"/>
        </w:rPr>
        <w:t xml:space="preserve">Perplexingly, the results of </w:t>
      </w:r>
      <w:r w:rsidRPr="00A82E61">
        <w:rPr>
          <w:rFonts w:cs="Times New Roman"/>
          <w:i/>
          <w:szCs w:val="24"/>
        </w:rPr>
        <w:t>Prestigious Liberal-Conservative Amicus Difference</w:t>
      </w:r>
      <w:r w:rsidRPr="00A82E61">
        <w:rPr>
          <w:rFonts w:cs="Times New Roman"/>
          <w:szCs w:val="24"/>
        </w:rPr>
        <w:t xml:space="preserve"> are significant in judicial power and federalism cases, but the effects are not in the expected direction.  </w:t>
      </w:r>
      <w:r w:rsidRPr="00A82E61">
        <w:t xml:space="preserve">The odds ratio of </w:t>
      </w:r>
      <w:r w:rsidRPr="00A82E61">
        <w:rPr>
          <w:rFonts w:cs="Times New Roman"/>
          <w:i/>
          <w:szCs w:val="24"/>
        </w:rPr>
        <w:t>Prestigious Liberal-Conservative Amicus Difference</w:t>
      </w:r>
      <w:r w:rsidRPr="00A82E61">
        <w:t xml:space="preserve"> is .757, indicating that the odds of a liberal justice vote decrease in Model 5 by 1.32 times when there is a one unit increase in a prestigious liberal brief advantage.  The marginal effects of </w:t>
      </w:r>
      <w:r w:rsidRPr="00A82E61">
        <w:rPr>
          <w:rFonts w:cs="Times New Roman"/>
          <w:i/>
          <w:szCs w:val="24"/>
        </w:rPr>
        <w:t xml:space="preserve">Prestigious Liberal-Conservative Amicus Difference </w:t>
      </w:r>
      <w:r w:rsidRPr="00A82E61">
        <w:t xml:space="preserve">reveals that a justice is 8.1 percent </w:t>
      </w:r>
      <w:r w:rsidRPr="00A82E61">
        <w:rPr>
          <w:i/>
        </w:rPr>
        <w:t>less</w:t>
      </w:r>
      <w:r w:rsidRPr="00A82E61">
        <w:t xml:space="preserve"> likely to cast a liberal vote as the </w:t>
      </w:r>
      <w:r w:rsidRPr="00A82E61">
        <w:rPr>
          <w:rFonts w:cs="Times New Roman"/>
          <w:i/>
          <w:szCs w:val="24"/>
        </w:rPr>
        <w:t xml:space="preserve">Prestigious Liberal-Conservative Amicus Difference </w:t>
      </w:r>
      <w:r w:rsidRPr="00A82E61">
        <w:t>in the case increases from</w:t>
      </w:r>
      <w:r w:rsidRPr="00A82E61">
        <w:rPr>
          <w:color w:val="0070C0"/>
        </w:rPr>
        <w:t xml:space="preserve"> </w:t>
      </w:r>
      <w:r w:rsidRPr="00737B4F">
        <w:t>.20 (the mean) to 1.1 (one standard deviation above the mean),</w:t>
      </w:r>
      <w:r w:rsidRPr="00A82E61">
        <w:rPr>
          <w:color w:val="0070C0"/>
        </w:rPr>
        <w:t xml:space="preserve"> </w:t>
      </w:r>
      <w:r w:rsidRPr="00737B4F">
        <w:t xml:space="preserve">and </w:t>
      </w:r>
      <w:r w:rsidR="00737B4F" w:rsidRPr="00737B4F">
        <w:t xml:space="preserve">33.20 percent </w:t>
      </w:r>
      <w:r w:rsidR="00737B4F" w:rsidRPr="00737B4F">
        <w:rPr>
          <w:i/>
        </w:rPr>
        <w:t>less</w:t>
      </w:r>
      <w:r w:rsidRPr="00737B4F">
        <w:t xml:space="preserve"> likely to </w:t>
      </w:r>
      <w:r w:rsidRPr="00737B4F">
        <w:lastRenderedPageBreak/>
        <w:t xml:space="preserve">cast a liberal vote as the </w:t>
      </w:r>
      <w:r w:rsidRPr="00737B4F">
        <w:rPr>
          <w:rFonts w:cs="Times New Roman"/>
          <w:i/>
          <w:szCs w:val="24"/>
        </w:rPr>
        <w:t xml:space="preserve">Prestigious Liberal-Conservative Amicus Difference </w:t>
      </w:r>
      <w:r w:rsidRPr="00737B4F">
        <w:t>in the case increases from the least liberal advantage (-</w:t>
      </w:r>
      <w:r w:rsidR="00737B4F" w:rsidRPr="00737B4F">
        <w:t>2</w:t>
      </w:r>
      <w:r w:rsidRPr="00737B4F">
        <w:t>) to the greatest liberal advantage (3).</w:t>
      </w:r>
      <w:r w:rsidRPr="00A82E61">
        <w:rPr>
          <w:color w:val="0070C0"/>
        </w:rPr>
        <w:t xml:space="preserve">  </w:t>
      </w:r>
      <w:r w:rsidRPr="00737B4F">
        <w:t xml:space="preserve">This result </w:t>
      </w:r>
      <w:r w:rsidR="00737B4F" w:rsidRPr="00737B4F">
        <w:t xml:space="preserve">contradicts </w:t>
      </w:r>
      <w:r w:rsidRPr="00737B4F">
        <w:t>my prestigious amicus hypotheses, indicating that</w:t>
      </w:r>
      <w:r w:rsidR="00737B4F" w:rsidRPr="00737B4F">
        <w:t xml:space="preserve"> the justices respond with some hostility</w:t>
      </w:r>
      <w:r w:rsidRPr="00737B4F">
        <w:t xml:space="preserve"> to an advantage of prestigious amici</w:t>
      </w:r>
      <w:r w:rsidR="00737B4F" w:rsidRPr="00737B4F">
        <w:t>.</w:t>
      </w:r>
      <w:r w:rsidR="00737B4F">
        <w:rPr>
          <w:color w:val="0070C0"/>
        </w:rPr>
        <w:t xml:space="preserve">  </w:t>
      </w:r>
      <w:r w:rsidR="00737B4F" w:rsidRPr="00737B4F">
        <w:t>I</w:t>
      </w:r>
      <w:r w:rsidRPr="00737B4F">
        <w:t xml:space="preserve">n </w:t>
      </w:r>
      <w:r w:rsidR="00737B4F" w:rsidRPr="00737B4F">
        <w:t>judicial power and federalism</w:t>
      </w:r>
      <w:r w:rsidRPr="00737B4F">
        <w:t xml:space="preserve"> cases, the justices </w:t>
      </w:r>
      <w:r w:rsidR="00737B4F" w:rsidRPr="00737B4F">
        <w:t>seem more persuaded to vote against the prefere</w:t>
      </w:r>
      <w:r w:rsidR="00737B4F">
        <w:t>nces of the net prestigious advantaged amici’s side.  Perhaps this result can be explained by attitudinal model of judicial decision making.  In fact, it may be the case, as suggested by Box-</w:t>
      </w:r>
      <w:proofErr w:type="spellStart"/>
      <w:r w:rsidR="00737B4F">
        <w:t>Steffensmeir</w:t>
      </w:r>
      <w:proofErr w:type="spellEnd"/>
      <w:r w:rsidR="00737B4F">
        <w:t xml:space="preserve"> et al. (2013, 12)</w:t>
      </w:r>
      <w:r w:rsidR="00EF5060">
        <w:t>,</w:t>
      </w:r>
      <w:r w:rsidR="00737B4F">
        <w:t xml:space="preserve"> that the justices in judicial power and federalism cases use the presence of </w:t>
      </w:r>
      <w:r w:rsidR="00077BE5">
        <w:t xml:space="preserve">those prestigious amici of the opposing ideological orientation </w:t>
      </w:r>
      <w:r w:rsidR="00737B4F">
        <w:t xml:space="preserve">as heuristic for identifying the policy position they disagree with, and vote accordingly. </w:t>
      </w:r>
      <w:r w:rsidR="00077BE5">
        <w:t xml:space="preserve"> Put more simply, perhaps the justices take the presence of amici that they are inclined to disagree with as a signal to vote against the ideological position they advance.  If this is so, further research should explore why the justices would respond this way in judicial power and federalism cases to the presence of prestigious amici, but not in other issue </w:t>
      </w:r>
      <w:r w:rsidR="00077BE5" w:rsidRPr="00887853">
        <w:t xml:space="preserve">areas. </w:t>
      </w:r>
      <w:r w:rsidR="00887853" w:rsidRPr="00887853">
        <w:t xml:space="preserve"> The main take-away</w:t>
      </w:r>
      <w:r w:rsidR="0033555E">
        <w:t xml:space="preserve"> here i</w:t>
      </w:r>
      <w:r w:rsidRPr="00887853">
        <w:t xml:space="preserve">s that an ideological advantage of prestigious amici </w:t>
      </w:r>
      <w:r w:rsidR="00887853" w:rsidRPr="00887853">
        <w:t xml:space="preserve">do </w:t>
      </w:r>
      <w:r w:rsidRPr="00887853">
        <w:t xml:space="preserve">matter in </w:t>
      </w:r>
      <w:r w:rsidR="00887853" w:rsidRPr="00887853">
        <w:t>judicial power and federalism</w:t>
      </w:r>
      <w:r w:rsidRPr="00887853">
        <w:t xml:space="preserve"> cases,</w:t>
      </w:r>
      <w:r w:rsidR="0033555E">
        <w:t xml:space="preserve"> but not necessarily </w:t>
      </w:r>
      <w:r w:rsidR="006D08A4">
        <w:t xml:space="preserve">in the way </w:t>
      </w:r>
      <w:r w:rsidR="0033555E">
        <w:t xml:space="preserve">one would </w:t>
      </w:r>
      <w:r w:rsidR="00887853" w:rsidRPr="00887853">
        <w:t>expect.</w:t>
      </w:r>
      <w:r w:rsidRPr="00887853">
        <w:t xml:space="preserve">  Th</w:t>
      </w:r>
      <w:r w:rsidR="00887853" w:rsidRPr="00887853">
        <w:t>is particular finding provide</w:t>
      </w:r>
      <w:r w:rsidR="00EE4A83">
        <w:t>s</w:t>
      </w:r>
      <w:r w:rsidR="00887853" w:rsidRPr="00887853">
        <w:t xml:space="preserve"> support for the attitudinal model</w:t>
      </w:r>
      <w:r w:rsidR="00D53A4F">
        <w:t xml:space="preserve"> of judicial decision-making</w:t>
      </w:r>
      <w:r w:rsidR="00887853" w:rsidRPr="00887853">
        <w:t>.</w:t>
      </w:r>
      <w:r w:rsidRPr="00887853">
        <w:t xml:space="preserve"> </w:t>
      </w:r>
    </w:p>
    <w:p w:rsidR="00A82E61" w:rsidRPr="00A82E61" w:rsidRDefault="00A82E61" w:rsidP="00A82E61">
      <w:pPr>
        <w:autoSpaceDE w:val="0"/>
        <w:autoSpaceDN w:val="0"/>
        <w:adjustRightInd w:val="0"/>
        <w:spacing w:line="480" w:lineRule="auto"/>
        <w:ind w:left="0" w:firstLine="720"/>
        <w:rPr>
          <w:color w:val="0070C0"/>
        </w:rPr>
      </w:pPr>
      <w:r w:rsidRPr="00887853">
        <w:rPr>
          <w:rFonts w:cs="Times New Roman"/>
          <w:szCs w:val="24"/>
        </w:rPr>
        <w:t>Finally, all of the control variables are signed in the expected direction an</w:t>
      </w:r>
      <w:r w:rsidR="0033555E">
        <w:rPr>
          <w:rFonts w:cs="Times New Roman"/>
          <w:szCs w:val="24"/>
        </w:rPr>
        <w:t>d statistically significant in judicial power and federalism</w:t>
      </w:r>
      <w:r w:rsidRPr="00887853">
        <w:rPr>
          <w:rFonts w:cs="Times New Roman"/>
          <w:szCs w:val="24"/>
        </w:rPr>
        <w:t xml:space="preserve"> cases, except </w:t>
      </w:r>
      <w:r w:rsidR="00887853" w:rsidRPr="00887853">
        <w:rPr>
          <w:rFonts w:cs="Times New Roman"/>
          <w:i/>
          <w:szCs w:val="24"/>
        </w:rPr>
        <w:t>Liberal-Conservative Resource Difference</w:t>
      </w:r>
      <w:r w:rsidRPr="00887853">
        <w:rPr>
          <w:rFonts w:cs="Times New Roman"/>
          <w:szCs w:val="24"/>
        </w:rPr>
        <w:t>.</w:t>
      </w:r>
      <w:r w:rsidRPr="00A82E61">
        <w:rPr>
          <w:rFonts w:cs="Times New Roman"/>
          <w:color w:val="0070C0"/>
          <w:szCs w:val="24"/>
        </w:rPr>
        <w:t xml:space="preserve">  </w:t>
      </w:r>
      <w:r w:rsidRPr="00887853">
        <w:rPr>
          <w:rFonts w:cs="Times New Roman"/>
          <w:szCs w:val="24"/>
        </w:rPr>
        <w:t xml:space="preserve">Model </w:t>
      </w:r>
      <w:r w:rsidR="00887853" w:rsidRPr="00887853">
        <w:rPr>
          <w:rFonts w:cs="Times New Roman"/>
          <w:szCs w:val="24"/>
        </w:rPr>
        <w:t xml:space="preserve">5 provides further support for the </w:t>
      </w:r>
      <w:r w:rsidRPr="00887853">
        <w:rPr>
          <w:rFonts w:cs="Times New Roman"/>
          <w:szCs w:val="24"/>
        </w:rPr>
        <w:t xml:space="preserve">statistically significant role of </w:t>
      </w:r>
      <w:r w:rsidRPr="00887853">
        <w:rPr>
          <w:rFonts w:cs="Times New Roman"/>
          <w:i/>
          <w:szCs w:val="24"/>
        </w:rPr>
        <w:t xml:space="preserve">Ideology </w:t>
      </w:r>
      <w:r w:rsidRPr="00887853">
        <w:rPr>
          <w:rFonts w:cs="Times New Roman"/>
          <w:szCs w:val="24"/>
        </w:rPr>
        <w:t xml:space="preserve">in predicting how a justice will vote.  </w:t>
      </w:r>
      <w:r w:rsidRPr="00887853">
        <w:t xml:space="preserve">The odds ratio of </w:t>
      </w:r>
      <w:r w:rsidRPr="00887853">
        <w:rPr>
          <w:i/>
        </w:rPr>
        <w:t xml:space="preserve">Ideology </w:t>
      </w:r>
      <w:r w:rsidRPr="00887853">
        <w:t xml:space="preserve">is </w:t>
      </w:r>
      <w:r w:rsidR="00887853" w:rsidRPr="00887853">
        <w:t>2.34</w:t>
      </w:r>
      <w:r w:rsidRPr="00887853">
        <w:t xml:space="preserve">, indicating that the odds of liberal justice vote increase in Model </w:t>
      </w:r>
      <w:r w:rsidR="00887853" w:rsidRPr="00887853">
        <w:t>5</w:t>
      </w:r>
      <w:r w:rsidRPr="00887853">
        <w:t xml:space="preserve"> by</w:t>
      </w:r>
      <w:r w:rsidR="00887853" w:rsidRPr="00887853">
        <w:t xml:space="preserve"> 2.34</w:t>
      </w:r>
      <w:r w:rsidRPr="00887853">
        <w:t xml:space="preserve"> times when there is a one unit increase in judicial ideology.</w:t>
      </w:r>
      <w:r w:rsidRPr="00A82E61">
        <w:rPr>
          <w:color w:val="0070C0"/>
        </w:rPr>
        <w:t xml:space="preserve">  </w:t>
      </w:r>
      <w:r w:rsidRPr="00887853">
        <w:t xml:space="preserve">The marginal effect of </w:t>
      </w:r>
      <w:r w:rsidRPr="00887853">
        <w:rPr>
          <w:i/>
        </w:rPr>
        <w:t xml:space="preserve">Ideology </w:t>
      </w:r>
      <w:r w:rsidR="00887853" w:rsidRPr="00887853">
        <w:t>is 5.4</w:t>
      </w:r>
      <w:r w:rsidRPr="00887853">
        <w:t xml:space="preserve"> percent, indicating that a justice whose Segal-Cover score is at .5</w:t>
      </w:r>
      <w:r w:rsidR="00887853" w:rsidRPr="00887853">
        <w:t>9</w:t>
      </w:r>
      <w:r w:rsidRPr="00887853">
        <w:t xml:space="preserve"> (one standard</w:t>
      </w:r>
      <w:r w:rsidR="00887853" w:rsidRPr="00887853">
        <w:t xml:space="preserve"> deviation above the mean) is 5.4</w:t>
      </w:r>
      <w:r w:rsidRPr="00887853">
        <w:t xml:space="preserve"> percent more likely to cast a </w:t>
      </w:r>
      <w:r w:rsidRPr="00887853">
        <w:lastRenderedPageBreak/>
        <w:t>liberal vote than a justice whose Segal-Cover score is at the mean (.33).</w:t>
      </w:r>
      <w:r w:rsidRPr="00A82E61">
        <w:rPr>
          <w:color w:val="0070C0"/>
        </w:rPr>
        <w:t xml:space="preserve">  </w:t>
      </w:r>
      <w:r w:rsidRPr="00887853">
        <w:t>Further, the marginal effects reveal that, compared with the most conservative justice (Justice Scalia), the most liber</w:t>
      </w:r>
      <w:r w:rsidR="0033555E">
        <w:t>al justice (Justice Sotomayor)</w:t>
      </w:r>
      <w:r w:rsidRPr="00887853">
        <w:t xml:space="preserve"> is</w:t>
      </w:r>
      <w:r w:rsidR="00887853" w:rsidRPr="00887853">
        <w:t xml:space="preserve"> 16.4</w:t>
      </w:r>
      <w:r w:rsidRPr="00887853">
        <w:t xml:space="preserve"> percent more likely to cast a liberal vote. These findings are expected and are consistent with the attitudinal model of judicial decision making</w:t>
      </w:r>
      <w:r w:rsidR="00887853">
        <w:t>, although not as strong as in the three other issue areas</w:t>
      </w:r>
      <w:r w:rsidRPr="00A82E61">
        <w:rPr>
          <w:color w:val="0070C0"/>
        </w:rPr>
        <w:t>.</w:t>
      </w:r>
      <w:r w:rsidR="00887853">
        <w:rPr>
          <w:color w:val="0070C0"/>
        </w:rPr>
        <w:t xml:space="preserve">  </w:t>
      </w:r>
      <w:r w:rsidRPr="00A82E61">
        <w:rPr>
          <w:color w:val="0070C0"/>
        </w:rPr>
        <w:t xml:space="preserve"> </w:t>
      </w:r>
    </w:p>
    <w:p w:rsidR="00A82E61" w:rsidRPr="00A82E61" w:rsidRDefault="00A82E61" w:rsidP="00A82E61">
      <w:pPr>
        <w:autoSpaceDE w:val="0"/>
        <w:autoSpaceDN w:val="0"/>
        <w:adjustRightInd w:val="0"/>
        <w:spacing w:line="480" w:lineRule="auto"/>
        <w:ind w:left="0" w:firstLine="720"/>
        <w:rPr>
          <w:rFonts w:cs="Times New Roman"/>
          <w:color w:val="0070C0"/>
          <w:szCs w:val="24"/>
        </w:rPr>
      </w:pPr>
      <w:r w:rsidRPr="0015385C">
        <w:t>Second,</w:t>
      </w:r>
      <w:r w:rsidR="0033555E">
        <w:t xml:space="preserve"> Table 5.5 confirms</w:t>
      </w:r>
      <w:r w:rsidRPr="0015385C">
        <w:t xml:space="preserve"> the powerful impact of the Solicitor General as both a conservative and liberal amicus in </w:t>
      </w:r>
      <w:r w:rsidR="0015385C" w:rsidRPr="0015385C">
        <w:t>judicial power and federalism</w:t>
      </w:r>
      <w:r w:rsidR="0033555E">
        <w:t xml:space="preserve"> cases</w:t>
      </w:r>
      <w:r w:rsidRPr="0015385C">
        <w:t xml:space="preserve">. </w:t>
      </w:r>
      <w:r w:rsidRPr="00A82E61">
        <w:rPr>
          <w:color w:val="0070C0"/>
        </w:rPr>
        <w:t xml:space="preserve"> </w:t>
      </w:r>
      <w:r w:rsidRPr="0015385C">
        <w:t xml:space="preserve">The odds ratio of </w:t>
      </w:r>
      <w:r w:rsidRPr="0015385C">
        <w:rPr>
          <w:i/>
        </w:rPr>
        <w:t xml:space="preserve">SG Liberal Amicus </w:t>
      </w:r>
      <w:r w:rsidR="0015385C" w:rsidRPr="0015385C">
        <w:t>is 2.776</w:t>
      </w:r>
      <w:r w:rsidRPr="0015385C">
        <w:t>, indicating that the odds of a libe</w:t>
      </w:r>
      <w:r w:rsidR="0015385C" w:rsidRPr="0015385C">
        <w:t>ral justice vote is 2.776</w:t>
      </w:r>
      <w:r w:rsidRPr="0015385C">
        <w:t xml:space="preserve"> times higher when the SG participates as a liberal amicus than when the SG does not.  </w:t>
      </w:r>
      <w:r w:rsidRPr="0015385C">
        <w:rPr>
          <w:rFonts w:cs="Times New Roman"/>
          <w:szCs w:val="24"/>
        </w:rPr>
        <w:t xml:space="preserve">Further, the marginal effects reveal that the when the SG argues the liberal position, </w:t>
      </w:r>
      <w:r w:rsidR="0015385C" w:rsidRPr="0015385C">
        <w:t>a justice is 24.0</w:t>
      </w:r>
      <w:r w:rsidRPr="0015385C">
        <w:t xml:space="preserve"> percent more likely to cast a liberal vote than when the SG does not advance the liberal position as an amicus.</w:t>
      </w:r>
      <w:r w:rsidRPr="00A82E61">
        <w:rPr>
          <w:color w:val="0070C0"/>
        </w:rPr>
        <w:t xml:space="preserve"> </w:t>
      </w:r>
      <w:r w:rsidRPr="0015385C">
        <w:rPr>
          <w:rFonts w:cs="Times New Roman"/>
          <w:szCs w:val="24"/>
        </w:rPr>
        <w:t xml:space="preserve">Conversely, the odds ratio of </w:t>
      </w:r>
      <w:r w:rsidRPr="0015385C">
        <w:rPr>
          <w:rFonts w:cs="Times New Roman"/>
          <w:i/>
          <w:szCs w:val="24"/>
        </w:rPr>
        <w:t xml:space="preserve">SG Conservative Amicus </w:t>
      </w:r>
      <w:r w:rsidRPr="0015385C">
        <w:rPr>
          <w:rFonts w:cs="Times New Roman"/>
          <w:szCs w:val="24"/>
        </w:rPr>
        <w:t>is .</w:t>
      </w:r>
      <w:r w:rsidR="0015385C" w:rsidRPr="0015385C">
        <w:rPr>
          <w:rFonts w:cs="Times New Roman"/>
          <w:szCs w:val="24"/>
        </w:rPr>
        <w:t xml:space="preserve">279, </w:t>
      </w:r>
      <w:r w:rsidRPr="0015385C">
        <w:rPr>
          <w:rFonts w:cs="Times New Roman"/>
          <w:szCs w:val="24"/>
        </w:rPr>
        <w:t xml:space="preserve"> indicating that the odds of a liberal justice vote decrease by </w:t>
      </w:r>
      <w:r w:rsidR="0015385C" w:rsidRPr="0015385C">
        <w:rPr>
          <w:rFonts w:cs="Times New Roman"/>
          <w:szCs w:val="24"/>
        </w:rPr>
        <w:t>3.58</w:t>
      </w:r>
      <w:r w:rsidRPr="0015385C">
        <w:rPr>
          <w:rFonts w:cs="Times New Roman"/>
          <w:szCs w:val="24"/>
        </w:rPr>
        <w:t xml:space="preserve"> times when the SG advocates the conservative position as amicus than when the SG does not.</w:t>
      </w:r>
      <w:r w:rsidRPr="00A82E61">
        <w:rPr>
          <w:rFonts w:cs="Times New Roman"/>
          <w:color w:val="0070C0"/>
          <w:szCs w:val="24"/>
        </w:rPr>
        <w:t xml:space="preserve">  </w:t>
      </w:r>
      <w:r w:rsidRPr="0015385C">
        <w:rPr>
          <w:rFonts w:cs="Times New Roman"/>
          <w:szCs w:val="24"/>
        </w:rPr>
        <w:t xml:space="preserve">Likewise, the marginal effects reveal that when the SG argues the conservative position, </w:t>
      </w:r>
      <w:r w:rsidRPr="0015385C">
        <w:t xml:space="preserve">a justice </w:t>
      </w:r>
      <w:r w:rsidRPr="0015385C">
        <w:rPr>
          <w:rFonts w:cs="Times New Roman"/>
          <w:szCs w:val="24"/>
        </w:rPr>
        <w:t xml:space="preserve">is </w:t>
      </w:r>
      <w:r w:rsidR="0015385C" w:rsidRPr="0015385C">
        <w:rPr>
          <w:rFonts w:cs="Times New Roman"/>
          <w:szCs w:val="24"/>
        </w:rPr>
        <w:t>27.4</w:t>
      </w:r>
      <w:r w:rsidRPr="0015385C">
        <w:rPr>
          <w:rFonts w:cs="Times New Roman"/>
          <w:szCs w:val="24"/>
        </w:rPr>
        <w:t xml:space="preserve"> percent less likely to cast a liberal vote, than when the SG does not advocate the conservative position as an amicus.</w:t>
      </w:r>
    </w:p>
    <w:p w:rsidR="0015385C" w:rsidRPr="0015385C" w:rsidRDefault="00A82E61" w:rsidP="0015385C">
      <w:pPr>
        <w:autoSpaceDE w:val="0"/>
        <w:autoSpaceDN w:val="0"/>
        <w:adjustRightInd w:val="0"/>
        <w:spacing w:line="480" w:lineRule="auto"/>
        <w:ind w:left="0" w:firstLine="720"/>
        <w:rPr>
          <w:rFonts w:cs="Times New Roman"/>
          <w:color w:val="0070C0"/>
          <w:szCs w:val="24"/>
        </w:rPr>
      </w:pPr>
      <w:r w:rsidRPr="0015385C">
        <w:rPr>
          <w:rFonts w:cs="Times New Roman"/>
          <w:szCs w:val="24"/>
        </w:rPr>
        <w:t xml:space="preserve">Third, the </w:t>
      </w:r>
      <w:r w:rsidRPr="0015385C">
        <w:rPr>
          <w:rFonts w:cs="Times New Roman"/>
          <w:i/>
          <w:szCs w:val="24"/>
        </w:rPr>
        <w:t xml:space="preserve">Lower Court Direction </w:t>
      </w:r>
      <w:r w:rsidR="0015385C" w:rsidRPr="0015385C">
        <w:rPr>
          <w:rFonts w:cs="Times New Roman"/>
          <w:szCs w:val="24"/>
        </w:rPr>
        <w:t>variable is</w:t>
      </w:r>
      <w:r w:rsidRPr="0015385C">
        <w:rPr>
          <w:rFonts w:cs="Times New Roman"/>
          <w:szCs w:val="24"/>
        </w:rPr>
        <w:t xml:space="preserve"> statistically significant </w:t>
      </w:r>
      <w:r w:rsidR="0015385C" w:rsidRPr="0015385C">
        <w:rPr>
          <w:rFonts w:cs="Times New Roman"/>
          <w:szCs w:val="24"/>
        </w:rPr>
        <w:t xml:space="preserve">and </w:t>
      </w:r>
      <w:r w:rsidRPr="0015385C">
        <w:rPr>
          <w:rFonts w:cs="Times New Roman"/>
          <w:szCs w:val="24"/>
        </w:rPr>
        <w:t>signed as expected.</w:t>
      </w:r>
      <w:r w:rsidRPr="00A82E61">
        <w:rPr>
          <w:rFonts w:cs="Times New Roman"/>
          <w:color w:val="0070C0"/>
          <w:szCs w:val="24"/>
        </w:rPr>
        <w:t xml:space="preserve">  </w:t>
      </w:r>
      <w:r w:rsidR="0015385C">
        <w:rPr>
          <w:rFonts w:cs="Times New Roman"/>
          <w:szCs w:val="24"/>
        </w:rPr>
        <w:t>The</w:t>
      </w:r>
      <w:r w:rsidR="0015385C" w:rsidRPr="00D237D7">
        <w:rPr>
          <w:rFonts w:cs="Times New Roman"/>
          <w:szCs w:val="24"/>
        </w:rPr>
        <w:t xml:space="preserve"> odds ratio</w:t>
      </w:r>
      <w:r w:rsidR="0015385C">
        <w:rPr>
          <w:rFonts w:cs="Times New Roman"/>
          <w:color w:val="0070C0"/>
          <w:szCs w:val="24"/>
        </w:rPr>
        <w:t xml:space="preserve"> </w:t>
      </w:r>
      <w:r w:rsidR="0015385C">
        <w:rPr>
          <w:rFonts w:cs="Times New Roman"/>
          <w:szCs w:val="24"/>
        </w:rPr>
        <w:t>of .688</w:t>
      </w:r>
      <w:r w:rsidR="0015385C" w:rsidRPr="00D237D7">
        <w:rPr>
          <w:rFonts w:cs="Times New Roman"/>
          <w:szCs w:val="24"/>
        </w:rPr>
        <w:t xml:space="preserve"> indicates that when the Roberts Court is reviewing a lib</w:t>
      </w:r>
      <w:r w:rsidR="0015385C">
        <w:rPr>
          <w:rFonts w:cs="Times New Roman"/>
          <w:szCs w:val="24"/>
        </w:rPr>
        <w:t>eral decision, a justice is 1.45</w:t>
      </w:r>
      <w:r w:rsidR="0015385C" w:rsidRPr="00D237D7">
        <w:rPr>
          <w:rFonts w:cs="Times New Roman"/>
          <w:szCs w:val="24"/>
        </w:rPr>
        <w:t xml:space="preserve"> times less likely to issue a liberal vote than when the Roberts Court is reviewing a conservative decision.</w:t>
      </w:r>
      <w:r w:rsidR="0015385C" w:rsidRPr="00515E79">
        <w:rPr>
          <w:rFonts w:cs="Times New Roman"/>
          <w:color w:val="0070C0"/>
          <w:szCs w:val="24"/>
        </w:rPr>
        <w:t xml:space="preserve">  </w:t>
      </w:r>
      <w:r w:rsidR="0015385C" w:rsidRPr="00D237D7">
        <w:rPr>
          <w:rFonts w:cs="Times New Roman"/>
          <w:szCs w:val="24"/>
        </w:rPr>
        <w:t>Similarly, the marginal effects revea</w:t>
      </w:r>
      <w:r w:rsidR="00D53A4F">
        <w:rPr>
          <w:rFonts w:cs="Times New Roman"/>
          <w:szCs w:val="24"/>
        </w:rPr>
        <w:t xml:space="preserve">l that when the Roberts Court </w:t>
      </w:r>
      <w:proofErr w:type="gramStart"/>
      <w:r w:rsidR="00D53A4F">
        <w:rPr>
          <w:rFonts w:cs="Times New Roman"/>
          <w:szCs w:val="24"/>
        </w:rPr>
        <w:t>reviews</w:t>
      </w:r>
      <w:proofErr w:type="gramEnd"/>
      <w:r w:rsidR="0015385C" w:rsidRPr="00D237D7">
        <w:rPr>
          <w:rFonts w:cs="Times New Roman"/>
          <w:szCs w:val="24"/>
        </w:rPr>
        <w:t xml:space="preserve"> a lib</w:t>
      </w:r>
      <w:r w:rsidR="0015385C">
        <w:rPr>
          <w:rFonts w:cs="Times New Roman"/>
          <w:szCs w:val="24"/>
        </w:rPr>
        <w:t>eral decision, a justice is 9.3</w:t>
      </w:r>
      <w:r w:rsidR="0015385C" w:rsidRPr="00D237D7">
        <w:rPr>
          <w:rFonts w:cs="Times New Roman"/>
          <w:szCs w:val="24"/>
        </w:rPr>
        <w:t xml:space="preserve"> percent less likely to issue a liberal vote.</w:t>
      </w:r>
      <w:r w:rsidR="0015385C">
        <w:rPr>
          <w:rFonts w:cs="Times New Roman"/>
          <w:szCs w:val="24"/>
        </w:rPr>
        <w:t xml:space="preserve"> </w:t>
      </w:r>
      <w:r w:rsidR="0015385C" w:rsidRPr="0015385C">
        <w:rPr>
          <w:rFonts w:cs="Times New Roman"/>
          <w:szCs w:val="24"/>
        </w:rPr>
        <w:t>This result indicates that in judicial power and federalism cases, the justices are more likely to vote against the ideological direction of the lower court decision.</w:t>
      </w:r>
      <w:r w:rsidR="0015385C">
        <w:rPr>
          <w:rFonts w:cs="Times New Roman"/>
          <w:color w:val="0070C0"/>
          <w:szCs w:val="24"/>
        </w:rPr>
        <w:t xml:space="preserve">  </w:t>
      </w:r>
      <w:r w:rsidR="0015385C">
        <w:rPr>
          <w:rFonts w:cs="Times New Roman"/>
          <w:szCs w:val="24"/>
        </w:rPr>
        <w:t>Lastly, a</w:t>
      </w:r>
      <w:r w:rsidR="0015385C" w:rsidRPr="0015385C">
        <w:rPr>
          <w:rFonts w:cs="Times New Roman"/>
          <w:szCs w:val="24"/>
        </w:rPr>
        <w:t xml:space="preserve">s </w:t>
      </w:r>
      <w:r w:rsidRPr="0015385C">
        <w:rPr>
          <w:rFonts w:cs="Times New Roman"/>
          <w:i/>
          <w:szCs w:val="24"/>
        </w:rPr>
        <w:t xml:space="preserve">Liberal – Conservative </w:t>
      </w:r>
      <w:r w:rsidRPr="0015385C">
        <w:rPr>
          <w:rFonts w:cs="Times New Roman"/>
          <w:i/>
          <w:szCs w:val="24"/>
        </w:rPr>
        <w:lastRenderedPageBreak/>
        <w:t>Resource Difference</w:t>
      </w:r>
      <w:r w:rsidRPr="0015385C">
        <w:rPr>
          <w:rFonts w:cs="Times New Roman"/>
          <w:szCs w:val="24"/>
        </w:rPr>
        <w:t xml:space="preserve"> is </w:t>
      </w:r>
      <w:r w:rsidR="0015385C" w:rsidRPr="0015385C">
        <w:rPr>
          <w:rFonts w:cs="Times New Roman"/>
          <w:szCs w:val="24"/>
        </w:rPr>
        <w:t>not statistically significant, it is not necessary to provide an interpretation of its odds ratio or marginal effects.</w:t>
      </w:r>
      <w:r w:rsidR="0015385C">
        <w:rPr>
          <w:rFonts w:cs="Times New Roman"/>
          <w:szCs w:val="24"/>
        </w:rPr>
        <w:t xml:space="preserve">  A party resource advantage simply does not matter in</w:t>
      </w:r>
      <w:r w:rsidR="0033555E">
        <w:rPr>
          <w:rFonts w:cs="Times New Roman"/>
          <w:szCs w:val="24"/>
        </w:rPr>
        <w:t xml:space="preserve"> most</w:t>
      </w:r>
      <w:r w:rsidR="0015385C">
        <w:rPr>
          <w:rFonts w:cs="Times New Roman"/>
          <w:szCs w:val="24"/>
        </w:rPr>
        <w:t xml:space="preserve"> judicial power and federalism case</w:t>
      </w:r>
      <w:r w:rsidR="0033555E">
        <w:rPr>
          <w:rFonts w:cs="Times New Roman"/>
          <w:szCs w:val="24"/>
        </w:rPr>
        <w:t>s</w:t>
      </w:r>
      <w:r w:rsidR="0015385C">
        <w:rPr>
          <w:rFonts w:cs="Times New Roman"/>
          <w:szCs w:val="24"/>
        </w:rPr>
        <w:t xml:space="preserve">. </w:t>
      </w:r>
    </w:p>
    <w:p w:rsidR="00A82E61" w:rsidRDefault="0015385C" w:rsidP="00A82E61">
      <w:pPr>
        <w:autoSpaceDE w:val="0"/>
        <w:autoSpaceDN w:val="0"/>
        <w:adjustRightInd w:val="0"/>
        <w:spacing w:line="480" w:lineRule="auto"/>
        <w:ind w:left="0" w:firstLine="720"/>
      </w:pPr>
      <w:r w:rsidRPr="00A82E61">
        <w:rPr>
          <w:color w:val="0070C0"/>
        </w:rPr>
        <w:t xml:space="preserve"> </w:t>
      </w:r>
      <w:proofErr w:type="gramStart"/>
      <w:r w:rsidR="00A82E61" w:rsidRPr="006A30A9">
        <w:t xml:space="preserve">To conclude, when it comes to </w:t>
      </w:r>
      <w:r w:rsidRPr="006A30A9">
        <w:t>judicial power and federalism</w:t>
      </w:r>
      <w:r w:rsidR="00A82E61" w:rsidRPr="006A30A9">
        <w:t xml:space="preserve"> cases before the Roberts Court, judicial ideology</w:t>
      </w:r>
      <w:r w:rsidRPr="006A30A9">
        <w:t xml:space="preserve"> matters</w:t>
      </w:r>
      <w:r w:rsidR="00A82E61" w:rsidRPr="006A30A9">
        <w:t>, as does the</w:t>
      </w:r>
      <w:r w:rsidR="006A30A9" w:rsidRPr="006A30A9">
        <w:t xml:space="preserve"> direction of the l</w:t>
      </w:r>
      <w:r w:rsidR="004055E6">
        <w:t>ower court decision.</w:t>
      </w:r>
      <w:proofErr w:type="gramEnd"/>
      <w:r w:rsidR="004055E6">
        <w:t xml:space="preserve">  Further, </w:t>
      </w:r>
      <w:r w:rsidR="006A30A9" w:rsidRPr="006A30A9">
        <w:t xml:space="preserve">the </w:t>
      </w:r>
      <w:r w:rsidR="00A82E61" w:rsidRPr="006A30A9">
        <w:t>presence of the SG as either a liberal or conservative amicus</w:t>
      </w:r>
      <w:r w:rsidR="0033555E">
        <w:t xml:space="preserve"> is a significant</w:t>
      </w:r>
      <w:r w:rsidR="006A30A9" w:rsidRPr="006A30A9">
        <w:t xml:space="preserve"> predictor of how the justices will vote</w:t>
      </w:r>
      <w:r w:rsidR="00A82E61" w:rsidRPr="006A30A9">
        <w:t xml:space="preserve">.  </w:t>
      </w:r>
      <w:r w:rsidR="006A30A9" w:rsidRPr="006A30A9">
        <w:t xml:space="preserve"> However, a</w:t>
      </w:r>
      <w:r w:rsidR="00A82E61" w:rsidRPr="006A30A9">
        <w:t xml:space="preserve">n advantage of amicus briefs or cosigners do not make a </w:t>
      </w:r>
      <w:r w:rsidR="006A30A9" w:rsidRPr="006A30A9">
        <w:t>stat</w:t>
      </w:r>
      <w:r w:rsidR="0033555E">
        <w:t>istically significant impact on how the justices vote</w:t>
      </w:r>
      <w:r w:rsidR="006A30A9" w:rsidRPr="006A30A9">
        <w:t>, and</w:t>
      </w:r>
      <w:r w:rsidR="006A30A9">
        <w:t xml:space="preserve"> an </w:t>
      </w:r>
      <w:r w:rsidR="00A82E61" w:rsidRPr="006A30A9">
        <w:t>advantage of prestigious</w:t>
      </w:r>
      <w:r w:rsidR="006A30A9" w:rsidRPr="006A30A9">
        <w:t xml:space="preserve"> liberal amici actually make</w:t>
      </w:r>
      <w:r w:rsidR="006A30A9">
        <w:t>s</w:t>
      </w:r>
      <w:r w:rsidR="006A30A9" w:rsidRPr="006A30A9">
        <w:t xml:space="preserve"> it less likely for justices to respond positively to the arguments advanced by the prestigious amici.</w:t>
      </w:r>
      <w:r w:rsidR="00A82E61" w:rsidRPr="006A30A9">
        <w:t xml:space="preserve"> </w:t>
      </w:r>
      <w:r w:rsidR="006A30A9" w:rsidRPr="006A30A9">
        <w:t xml:space="preserve"> </w:t>
      </w:r>
      <w:r w:rsidR="0033555E">
        <w:t xml:space="preserve">In short, </w:t>
      </w:r>
      <w:r w:rsidR="006A30A9" w:rsidRPr="006A30A9">
        <w:t>it appears that amici matter less in judicial power and federalism cases than in every other issue area.</w:t>
      </w:r>
    </w:p>
    <w:p w:rsidR="00AF21BE" w:rsidRDefault="00AF21BE" w:rsidP="00AF21BE">
      <w:pPr>
        <w:spacing w:line="480" w:lineRule="auto"/>
        <w:ind w:left="0" w:firstLine="720"/>
      </w:pPr>
      <w:r w:rsidRPr="002338A1">
        <w:rPr>
          <w:rFonts w:cs="Times New Roman"/>
          <w:szCs w:val="24"/>
        </w:rPr>
        <w:t xml:space="preserve">The results of </w:t>
      </w:r>
      <w:r>
        <w:rPr>
          <w:rFonts w:cs="Times New Roman"/>
          <w:szCs w:val="24"/>
        </w:rPr>
        <w:t xml:space="preserve">my </w:t>
      </w:r>
      <w:proofErr w:type="spellStart"/>
      <w:r>
        <w:rPr>
          <w:rFonts w:cs="Times New Roman"/>
          <w:szCs w:val="24"/>
        </w:rPr>
        <w:t>logit</w:t>
      </w:r>
      <w:proofErr w:type="spellEnd"/>
      <w:r>
        <w:rPr>
          <w:rFonts w:cs="Times New Roman"/>
          <w:szCs w:val="24"/>
        </w:rPr>
        <w:t xml:space="preserve"> model considering salient</w:t>
      </w:r>
      <w:r w:rsidRPr="002338A1">
        <w:rPr>
          <w:rFonts w:cs="Times New Roman"/>
          <w:szCs w:val="24"/>
        </w:rPr>
        <w:t xml:space="preserve"> cas</w:t>
      </w:r>
      <w:r>
        <w:rPr>
          <w:rFonts w:cs="Times New Roman"/>
          <w:szCs w:val="24"/>
        </w:rPr>
        <w:t>es at the Roberts Court (Model 6) are reported in table 5.6</w:t>
      </w:r>
      <w:r w:rsidRPr="002338A1">
        <w:rPr>
          <w:rFonts w:cs="Times New Roman"/>
          <w:szCs w:val="24"/>
        </w:rPr>
        <w:t xml:space="preserve">.  </w:t>
      </w:r>
      <w:r>
        <w:t>Model 6</w:t>
      </w:r>
      <w:r w:rsidRPr="002338A1">
        <w:t xml:space="preserve"> was estimated using the same variables and methodology as the prior models, and will be interpreted in the same manner.  The chi square test for the model is statistically significant, which means that all the variables considered together in the model are significantly different than zero.  The model correctly pred</w:t>
      </w:r>
      <w:r>
        <w:t>icts 72.44</w:t>
      </w:r>
      <w:r w:rsidRPr="002338A1">
        <w:t xml:space="preserve"> percent of the outcomes on the dependent variable (liberal vote), which is a </w:t>
      </w:r>
      <w:r>
        <w:rPr>
          <w:rFonts w:eastAsia="Times New Roman" w:cs="Times New Roman"/>
          <w:szCs w:val="24"/>
        </w:rPr>
        <w:t>40.40</w:t>
      </w:r>
      <w:r w:rsidRPr="002338A1">
        <w:t xml:space="preserve"> percent reduction in error in the absence of the model (liber</w:t>
      </w:r>
      <w:r>
        <w:t>al votes actually occurred 53.76</w:t>
      </w:r>
      <w:r w:rsidRPr="002338A1">
        <w:t xml:space="preserve"> percent of the time).  </w:t>
      </w:r>
    </w:p>
    <w:p w:rsidR="00AF21BE" w:rsidRPr="00AF21BE" w:rsidRDefault="00AF21BE" w:rsidP="00AF21BE">
      <w:pPr>
        <w:autoSpaceDE w:val="0"/>
        <w:autoSpaceDN w:val="0"/>
        <w:adjustRightInd w:val="0"/>
        <w:spacing w:line="480" w:lineRule="auto"/>
        <w:ind w:left="0" w:firstLine="720"/>
      </w:pPr>
      <w:r>
        <w:t>T</w:t>
      </w:r>
      <w:r w:rsidRPr="00B94222">
        <w:t xml:space="preserve">he MLE coefficient for </w:t>
      </w:r>
      <w:r w:rsidRPr="00B94222">
        <w:rPr>
          <w:i/>
        </w:rPr>
        <w:t xml:space="preserve">Liberal-Conservative Amicus Briefs Difference </w:t>
      </w:r>
      <w:r w:rsidRPr="00B94222">
        <w:t>does not rise to the level of statistical s</w:t>
      </w:r>
      <w:r>
        <w:t>ignificance in Model 6, and is negatively signed</w:t>
      </w:r>
      <w:r w:rsidRPr="00B94222">
        <w:t xml:space="preserve">.   </w:t>
      </w:r>
      <w:r>
        <w:t>However</w:t>
      </w:r>
      <w:r w:rsidRPr="00B94222">
        <w:t xml:space="preserve">, </w:t>
      </w:r>
      <w:r w:rsidRPr="00B94222">
        <w:rPr>
          <w:i/>
        </w:rPr>
        <w:t xml:space="preserve">Liberal-Conservative Amicus Briefs Difference </w:t>
      </w:r>
      <w:r w:rsidRPr="00B94222">
        <w:t>is</w:t>
      </w:r>
      <w:r>
        <w:t xml:space="preserve"> </w:t>
      </w:r>
      <w:r w:rsidRPr="00B94222">
        <w:t xml:space="preserve">statistically significant </w:t>
      </w:r>
      <w:r>
        <w:t xml:space="preserve">and signed in the positive (expected) direction </w:t>
      </w:r>
      <w:r w:rsidRPr="00B94222">
        <w:t xml:space="preserve">when I estimate this same </w:t>
      </w:r>
      <w:r>
        <w:t>salience</w:t>
      </w:r>
      <w:r w:rsidRPr="00B94222">
        <w:t xml:space="preserve"> model but without the interaction term.  Therefore, an ideological advantage of amicus briefs </w:t>
      </w:r>
      <w:r>
        <w:t xml:space="preserve">does </w:t>
      </w:r>
      <w:r w:rsidRPr="00B94222">
        <w:t xml:space="preserve">appear to influence the direction of </w:t>
      </w:r>
    </w:p>
    <w:p w:rsidR="00AA5014" w:rsidRDefault="00AA5014" w:rsidP="00AA5014">
      <w:pPr>
        <w:autoSpaceDE w:val="0"/>
        <w:autoSpaceDN w:val="0"/>
        <w:adjustRightInd w:val="0"/>
        <w:spacing w:line="480" w:lineRule="auto"/>
        <w:ind w:left="0" w:firstLine="0"/>
        <w:rPr>
          <w:rFonts w:cs="Times New Roman"/>
          <w:szCs w:val="24"/>
        </w:rPr>
      </w:pPr>
      <w:proofErr w:type="gramStart"/>
      <w:r>
        <w:rPr>
          <w:rFonts w:cs="Times New Roman"/>
          <w:b/>
          <w:szCs w:val="24"/>
        </w:rPr>
        <w:lastRenderedPageBreak/>
        <w:t>Table 5.6</w:t>
      </w:r>
      <w:r w:rsidRPr="00E8454D">
        <w:rPr>
          <w:rFonts w:cs="Times New Roman"/>
          <w:b/>
          <w:szCs w:val="24"/>
        </w:rPr>
        <w:t>.</w:t>
      </w:r>
      <w:proofErr w:type="gramEnd"/>
      <w:r>
        <w:rPr>
          <w:rFonts w:cs="Times New Roman"/>
          <w:szCs w:val="24"/>
        </w:rPr>
        <w:t xml:space="preserve"> </w:t>
      </w:r>
      <w:proofErr w:type="spellStart"/>
      <w:r>
        <w:rPr>
          <w:rFonts w:cs="Times New Roman"/>
          <w:b/>
          <w:szCs w:val="24"/>
        </w:rPr>
        <w:t>Logit</w:t>
      </w:r>
      <w:proofErr w:type="spellEnd"/>
      <w:r>
        <w:rPr>
          <w:rFonts w:cs="Times New Roman"/>
          <w:b/>
          <w:szCs w:val="24"/>
        </w:rPr>
        <w:t xml:space="preserve"> Model</w:t>
      </w:r>
      <w:r w:rsidRPr="00A02BA1">
        <w:rPr>
          <w:b/>
        </w:rPr>
        <w:t xml:space="preserve"> of</w:t>
      </w:r>
      <w:r>
        <w:rPr>
          <w:b/>
        </w:rPr>
        <w:t xml:space="preserve"> the Impact of Amici on Ideological Direction of Justice Votes at the Roberts Court, 2007 – 201</w:t>
      </w:r>
      <w:r w:rsidRPr="00A02BA1">
        <w:rPr>
          <w:b/>
        </w:rPr>
        <w:t>1 Terms</w:t>
      </w:r>
      <w:r>
        <w:rPr>
          <w:b/>
        </w:rPr>
        <w:t>: Salient Cases</w:t>
      </w:r>
    </w:p>
    <w:tbl>
      <w:tblPr>
        <w:tblW w:w="0" w:type="auto"/>
        <w:tblInd w:w="93" w:type="dxa"/>
        <w:tblBorders>
          <w:top w:val="single" w:sz="18" w:space="0" w:color="auto"/>
          <w:bottom w:val="single" w:sz="18" w:space="0" w:color="auto"/>
        </w:tblBorders>
        <w:tblLook w:val="04A0" w:firstRow="1" w:lastRow="0" w:firstColumn="1" w:lastColumn="0" w:noHBand="0" w:noVBand="1"/>
      </w:tblPr>
      <w:tblGrid>
        <w:gridCol w:w="3821"/>
        <w:gridCol w:w="2061"/>
        <w:gridCol w:w="1291"/>
        <w:gridCol w:w="1615"/>
      </w:tblGrid>
      <w:tr w:rsidR="00AA5014" w:rsidRPr="00944261" w:rsidTr="00430EC4">
        <w:trPr>
          <w:trHeight w:val="576"/>
        </w:trPr>
        <w:tc>
          <w:tcPr>
            <w:tcW w:w="0" w:type="auto"/>
            <w:tcBorders>
              <w:top w:val="single" w:sz="18" w:space="0" w:color="auto"/>
              <w:bottom w:val="single" w:sz="18" w:space="0" w:color="auto"/>
            </w:tcBorders>
            <w:shd w:val="clear" w:color="auto" w:fill="auto"/>
            <w:noWrap/>
            <w:vAlign w:val="center"/>
            <w:hideMark/>
          </w:tcPr>
          <w:p w:rsidR="00AA5014" w:rsidRPr="00944261" w:rsidRDefault="00AA5014" w:rsidP="00430EC4">
            <w:pPr>
              <w:ind w:left="0" w:firstLine="0"/>
              <w:rPr>
                <w:rFonts w:eastAsia="Times New Roman" w:cs="Times New Roman"/>
                <w:color w:val="000000"/>
                <w:sz w:val="22"/>
              </w:rPr>
            </w:pPr>
            <w:r w:rsidRPr="00944261">
              <w:rPr>
                <w:rFonts w:eastAsia="Times New Roman" w:cs="Times New Roman"/>
                <w:color w:val="000000"/>
                <w:sz w:val="22"/>
              </w:rPr>
              <w:t>Variable</w:t>
            </w:r>
          </w:p>
        </w:tc>
        <w:tc>
          <w:tcPr>
            <w:tcW w:w="0" w:type="auto"/>
            <w:tcBorders>
              <w:top w:val="single" w:sz="18" w:space="0" w:color="auto"/>
              <w:bottom w:val="single" w:sz="18" w:space="0" w:color="auto"/>
            </w:tcBorders>
            <w:shd w:val="clear" w:color="auto" w:fill="auto"/>
            <w:noWrap/>
            <w:vAlign w:val="center"/>
            <w:hideMark/>
          </w:tcPr>
          <w:p w:rsidR="00AA5014" w:rsidRPr="00944261" w:rsidRDefault="00AA5014" w:rsidP="00430EC4">
            <w:pPr>
              <w:ind w:left="0" w:firstLine="0"/>
              <w:jc w:val="center"/>
              <w:rPr>
                <w:rFonts w:eastAsia="Times New Roman" w:cs="Times New Roman"/>
                <w:color w:val="000000"/>
                <w:sz w:val="22"/>
              </w:rPr>
            </w:pPr>
            <w:r w:rsidRPr="00944261">
              <w:rPr>
                <w:rFonts w:eastAsia="Times New Roman" w:cs="Times New Roman"/>
                <w:color w:val="000000"/>
                <w:sz w:val="22"/>
              </w:rPr>
              <w:t>MLE Coefficient</w:t>
            </w:r>
          </w:p>
        </w:tc>
        <w:tc>
          <w:tcPr>
            <w:tcW w:w="0" w:type="auto"/>
            <w:tcBorders>
              <w:top w:val="single" w:sz="18" w:space="0" w:color="auto"/>
              <w:bottom w:val="single" w:sz="18" w:space="0" w:color="auto"/>
            </w:tcBorders>
            <w:shd w:val="clear" w:color="auto" w:fill="auto"/>
            <w:noWrap/>
            <w:vAlign w:val="center"/>
            <w:hideMark/>
          </w:tcPr>
          <w:p w:rsidR="00AA5014" w:rsidRPr="00944261" w:rsidRDefault="00AA5014" w:rsidP="00430EC4">
            <w:pPr>
              <w:ind w:left="0" w:firstLine="0"/>
              <w:jc w:val="center"/>
              <w:rPr>
                <w:rFonts w:eastAsia="Times New Roman" w:cs="Times New Roman"/>
                <w:color w:val="000000"/>
                <w:sz w:val="22"/>
              </w:rPr>
            </w:pPr>
            <w:r>
              <w:rPr>
                <w:rFonts w:eastAsia="Times New Roman" w:cs="Times New Roman"/>
                <w:color w:val="000000"/>
                <w:sz w:val="22"/>
              </w:rPr>
              <w:t>Odds Ratio</w:t>
            </w:r>
          </w:p>
        </w:tc>
        <w:tc>
          <w:tcPr>
            <w:tcW w:w="0" w:type="auto"/>
            <w:tcBorders>
              <w:top w:val="single" w:sz="18" w:space="0" w:color="auto"/>
              <w:bottom w:val="single" w:sz="18" w:space="0" w:color="auto"/>
            </w:tcBorders>
            <w:shd w:val="clear" w:color="auto" w:fill="auto"/>
            <w:noWrap/>
            <w:vAlign w:val="center"/>
            <w:hideMark/>
          </w:tcPr>
          <w:p w:rsidR="00AA5014" w:rsidRPr="00AE6DA1" w:rsidRDefault="00AA5014" w:rsidP="00430EC4">
            <w:pPr>
              <w:ind w:left="0" w:firstLine="0"/>
              <w:jc w:val="center"/>
              <w:rPr>
                <w:rFonts w:eastAsia="Times New Roman" w:cs="Times New Roman"/>
                <w:sz w:val="22"/>
              </w:rPr>
            </w:pPr>
            <w:r w:rsidRPr="00AE6DA1">
              <w:rPr>
                <w:rFonts w:eastAsia="Times New Roman" w:cs="Times New Roman"/>
                <w:sz w:val="22"/>
              </w:rPr>
              <w:t>Marginal Effect</w:t>
            </w:r>
          </w:p>
        </w:tc>
      </w:tr>
      <w:tr w:rsidR="00373139" w:rsidRPr="00944261" w:rsidTr="00373139">
        <w:trPr>
          <w:trHeight w:val="576"/>
        </w:trPr>
        <w:tc>
          <w:tcPr>
            <w:tcW w:w="0" w:type="auto"/>
            <w:tcBorders>
              <w:top w:val="single" w:sz="18" w:space="0" w:color="auto"/>
            </w:tcBorders>
            <w:shd w:val="clear" w:color="auto" w:fill="auto"/>
            <w:noWrap/>
            <w:vAlign w:val="center"/>
            <w:hideMark/>
          </w:tcPr>
          <w:p w:rsidR="00373139" w:rsidRPr="00944261" w:rsidRDefault="00373139" w:rsidP="00430EC4">
            <w:pPr>
              <w:ind w:left="0" w:firstLine="0"/>
              <w:rPr>
                <w:rFonts w:eastAsia="Times New Roman" w:cs="Times New Roman"/>
                <w:b/>
                <w:bCs/>
                <w:color w:val="000000"/>
                <w:sz w:val="22"/>
              </w:rPr>
            </w:pPr>
            <w:r w:rsidRPr="00944261">
              <w:rPr>
                <w:rFonts w:eastAsia="Times New Roman" w:cs="Times New Roman"/>
                <w:b/>
                <w:bCs/>
                <w:color w:val="000000"/>
                <w:sz w:val="22"/>
              </w:rPr>
              <w:t>Amicus Brief Difference</w:t>
            </w:r>
          </w:p>
        </w:tc>
        <w:tc>
          <w:tcPr>
            <w:tcW w:w="0" w:type="auto"/>
            <w:tcBorders>
              <w:top w:val="single" w:sz="18" w:space="0" w:color="auto"/>
            </w:tcBorders>
            <w:shd w:val="clear" w:color="auto" w:fill="auto"/>
            <w:noWrap/>
            <w:vAlign w:val="center"/>
            <w:hideMark/>
          </w:tcPr>
          <w:p w:rsidR="00373139" w:rsidRDefault="00373139" w:rsidP="00373139">
            <w:pPr>
              <w:jc w:val="center"/>
              <w:rPr>
                <w:color w:val="000000"/>
                <w:sz w:val="22"/>
              </w:rPr>
            </w:pPr>
            <w:r>
              <w:rPr>
                <w:color w:val="000000"/>
                <w:sz w:val="22"/>
              </w:rPr>
              <w:t>-0.009 (.033)</w:t>
            </w:r>
          </w:p>
        </w:tc>
        <w:tc>
          <w:tcPr>
            <w:tcW w:w="0" w:type="auto"/>
            <w:tcBorders>
              <w:top w:val="single" w:sz="18" w:space="0" w:color="auto"/>
            </w:tcBorders>
            <w:shd w:val="clear" w:color="auto" w:fill="auto"/>
            <w:noWrap/>
            <w:vAlign w:val="center"/>
            <w:hideMark/>
          </w:tcPr>
          <w:p w:rsidR="00373139" w:rsidRDefault="00373139" w:rsidP="00373139">
            <w:pPr>
              <w:jc w:val="center"/>
              <w:rPr>
                <w:color w:val="000000"/>
                <w:sz w:val="22"/>
              </w:rPr>
            </w:pPr>
            <w:r>
              <w:rPr>
                <w:color w:val="000000"/>
                <w:sz w:val="22"/>
              </w:rPr>
              <w:t>0.991</w:t>
            </w:r>
          </w:p>
        </w:tc>
        <w:tc>
          <w:tcPr>
            <w:tcW w:w="0" w:type="auto"/>
            <w:tcBorders>
              <w:top w:val="single" w:sz="18" w:space="0" w:color="auto"/>
            </w:tcBorders>
            <w:shd w:val="clear" w:color="auto" w:fill="auto"/>
            <w:noWrap/>
            <w:vAlign w:val="center"/>
            <w:hideMark/>
          </w:tcPr>
          <w:p w:rsidR="00373139" w:rsidRPr="00AE6DA1" w:rsidRDefault="004C0D98" w:rsidP="00430EC4">
            <w:pPr>
              <w:ind w:left="0" w:firstLine="0"/>
              <w:jc w:val="center"/>
              <w:rPr>
                <w:rFonts w:eastAsia="Times New Roman" w:cs="Times New Roman"/>
                <w:sz w:val="22"/>
              </w:rPr>
            </w:pPr>
            <w:r w:rsidRPr="00AE6DA1">
              <w:rPr>
                <w:rFonts w:eastAsia="Times New Roman" w:cs="Times New Roman"/>
                <w:sz w:val="22"/>
              </w:rPr>
              <w:t>-2.0%</w:t>
            </w:r>
          </w:p>
        </w:tc>
      </w:tr>
      <w:tr w:rsidR="00373139" w:rsidRPr="00944261" w:rsidTr="00373139">
        <w:trPr>
          <w:trHeight w:val="576"/>
        </w:trPr>
        <w:tc>
          <w:tcPr>
            <w:tcW w:w="0" w:type="auto"/>
            <w:shd w:val="clear" w:color="auto" w:fill="auto"/>
            <w:noWrap/>
            <w:vAlign w:val="center"/>
            <w:hideMark/>
          </w:tcPr>
          <w:p w:rsidR="00373139" w:rsidRPr="00944261" w:rsidRDefault="00373139" w:rsidP="00430EC4">
            <w:pPr>
              <w:ind w:left="0" w:firstLine="0"/>
              <w:rPr>
                <w:rFonts w:eastAsia="Times New Roman" w:cs="Times New Roman"/>
                <w:b/>
                <w:bCs/>
                <w:color w:val="000000"/>
                <w:sz w:val="22"/>
              </w:rPr>
            </w:pPr>
            <w:r w:rsidRPr="00944261">
              <w:rPr>
                <w:rFonts w:eastAsia="Times New Roman" w:cs="Times New Roman"/>
                <w:b/>
                <w:bCs/>
                <w:color w:val="000000"/>
                <w:sz w:val="22"/>
              </w:rPr>
              <w:t>Moderation</w:t>
            </w:r>
          </w:p>
        </w:tc>
        <w:tc>
          <w:tcPr>
            <w:tcW w:w="0" w:type="auto"/>
            <w:shd w:val="clear" w:color="auto" w:fill="auto"/>
            <w:noWrap/>
            <w:vAlign w:val="center"/>
            <w:hideMark/>
          </w:tcPr>
          <w:p w:rsidR="00373139" w:rsidRDefault="00373139" w:rsidP="00373139">
            <w:pPr>
              <w:jc w:val="center"/>
              <w:rPr>
                <w:color w:val="000000"/>
                <w:sz w:val="22"/>
              </w:rPr>
            </w:pPr>
            <w:r>
              <w:rPr>
                <w:color w:val="000000"/>
                <w:sz w:val="22"/>
              </w:rPr>
              <w:t>-0.046 (.120)</w:t>
            </w:r>
          </w:p>
        </w:tc>
        <w:tc>
          <w:tcPr>
            <w:tcW w:w="0" w:type="auto"/>
            <w:shd w:val="clear" w:color="auto" w:fill="auto"/>
            <w:noWrap/>
            <w:vAlign w:val="center"/>
            <w:hideMark/>
          </w:tcPr>
          <w:p w:rsidR="00373139" w:rsidRDefault="00373139" w:rsidP="00373139">
            <w:pPr>
              <w:jc w:val="center"/>
              <w:rPr>
                <w:color w:val="000000"/>
                <w:sz w:val="22"/>
              </w:rPr>
            </w:pPr>
            <w:r>
              <w:rPr>
                <w:color w:val="000000"/>
                <w:sz w:val="22"/>
              </w:rPr>
              <w:t>0.955</w:t>
            </w:r>
          </w:p>
        </w:tc>
        <w:tc>
          <w:tcPr>
            <w:tcW w:w="0" w:type="auto"/>
            <w:shd w:val="clear" w:color="auto" w:fill="auto"/>
            <w:noWrap/>
            <w:vAlign w:val="center"/>
            <w:hideMark/>
          </w:tcPr>
          <w:p w:rsidR="00373139" w:rsidRPr="00AE6DA1" w:rsidRDefault="004C0D98" w:rsidP="00430EC4">
            <w:pPr>
              <w:ind w:left="0" w:firstLine="0"/>
              <w:jc w:val="center"/>
              <w:rPr>
                <w:rFonts w:eastAsia="Times New Roman" w:cs="Times New Roman"/>
                <w:sz w:val="22"/>
              </w:rPr>
            </w:pPr>
            <w:r w:rsidRPr="00AE6DA1">
              <w:rPr>
                <w:rFonts w:eastAsia="Times New Roman" w:cs="Times New Roman"/>
                <w:sz w:val="22"/>
              </w:rPr>
              <w:t>-0.9</w:t>
            </w:r>
          </w:p>
        </w:tc>
      </w:tr>
      <w:tr w:rsidR="00373139" w:rsidRPr="00944261" w:rsidTr="00373139">
        <w:trPr>
          <w:trHeight w:val="576"/>
        </w:trPr>
        <w:tc>
          <w:tcPr>
            <w:tcW w:w="0" w:type="auto"/>
            <w:shd w:val="clear" w:color="auto" w:fill="auto"/>
            <w:noWrap/>
            <w:vAlign w:val="center"/>
            <w:hideMark/>
          </w:tcPr>
          <w:p w:rsidR="00373139" w:rsidRPr="00944261" w:rsidRDefault="00373139" w:rsidP="00430EC4">
            <w:pPr>
              <w:ind w:left="0" w:firstLine="0"/>
              <w:rPr>
                <w:rFonts w:eastAsia="Times New Roman" w:cs="Times New Roman"/>
                <w:b/>
                <w:bCs/>
                <w:color w:val="000000"/>
                <w:sz w:val="22"/>
              </w:rPr>
            </w:pPr>
            <w:r w:rsidRPr="00944261">
              <w:rPr>
                <w:rFonts w:eastAsia="Times New Roman" w:cs="Times New Roman"/>
                <w:b/>
                <w:bCs/>
                <w:color w:val="000000"/>
                <w:sz w:val="22"/>
              </w:rPr>
              <w:t>Moderation x Amicus Brief Difference</w:t>
            </w:r>
          </w:p>
        </w:tc>
        <w:tc>
          <w:tcPr>
            <w:tcW w:w="0" w:type="auto"/>
            <w:shd w:val="clear" w:color="auto" w:fill="auto"/>
            <w:noWrap/>
            <w:vAlign w:val="center"/>
            <w:hideMark/>
          </w:tcPr>
          <w:p w:rsidR="00373139" w:rsidRDefault="00373139" w:rsidP="00373139">
            <w:pPr>
              <w:jc w:val="center"/>
              <w:rPr>
                <w:color w:val="000000"/>
                <w:sz w:val="22"/>
              </w:rPr>
            </w:pPr>
            <w:r>
              <w:rPr>
                <w:color w:val="000000"/>
                <w:sz w:val="22"/>
              </w:rPr>
              <w:t>0.020 (.012)</w:t>
            </w:r>
          </w:p>
        </w:tc>
        <w:tc>
          <w:tcPr>
            <w:tcW w:w="0" w:type="auto"/>
            <w:shd w:val="clear" w:color="auto" w:fill="auto"/>
            <w:noWrap/>
            <w:vAlign w:val="center"/>
            <w:hideMark/>
          </w:tcPr>
          <w:p w:rsidR="00373139" w:rsidRDefault="00373139" w:rsidP="00373139">
            <w:pPr>
              <w:jc w:val="center"/>
              <w:rPr>
                <w:color w:val="000000"/>
                <w:sz w:val="22"/>
              </w:rPr>
            </w:pPr>
            <w:r>
              <w:rPr>
                <w:color w:val="000000"/>
                <w:sz w:val="22"/>
              </w:rPr>
              <w:t>1.020</w:t>
            </w:r>
          </w:p>
        </w:tc>
        <w:tc>
          <w:tcPr>
            <w:tcW w:w="0" w:type="auto"/>
            <w:shd w:val="clear" w:color="auto" w:fill="auto"/>
            <w:noWrap/>
            <w:vAlign w:val="center"/>
            <w:hideMark/>
          </w:tcPr>
          <w:p w:rsidR="00373139" w:rsidRPr="00AE6DA1" w:rsidRDefault="00373139" w:rsidP="00430EC4">
            <w:pPr>
              <w:ind w:left="0" w:firstLine="0"/>
              <w:jc w:val="center"/>
              <w:rPr>
                <w:rFonts w:eastAsia="Times New Roman" w:cs="Times New Roman"/>
                <w:sz w:val="22"/>
              </w:rPr>
            </w:pPr>
            <w:r w:rsidRPr="00AE6DA1">
              <w:rPr>
                <w:rFonts w:eastAsia="Times New Roman" w:cs="Times New Roman"/>
                <w:sz w:val="22"/>
              </w:rPr>
              <w:t>See Figure 5.6</w:t>
            </w:r>
          </w:p>
        </w:tc>
      </w:tr>
      <w:tr w:rsidR="00373139" w:rsidRPr="00944261" w:rsidTr="00373139">
        <w:trPr>
          <w:trHeight w:val="576"/>
        </w:trPr>
        <w:tc>
          <w:tcPr>
            <w:tcW w:w="0" w:type="auto"/>
            <w:shd w:val="clear" w:color="auto" w:fill="auto"/>
            <w:noWrap/>
            <w:vAlign w:val="center"/>
            <w:hideMark/>
          </w:tcPr>
          <w:p w:rsidR="00373139" w:rsidRPr="00944261" w:rsidRDefault="00373139" w:rsidP="00430EC4">
            <w:pPr>
              <w:ind w:left="0" w:firstLine="0"/>
              <w:rPr>
                <w:rFonts w:eastAsia="Times New Roman" w:cs="Times New Roman"/>
                <w:b/>
                <w:bCs/>
                <w:color w:val="000000"/>
                <w:sz w:val="22"/>
              </w:rPr>
            </w:pPr>
            <w:r w:rsidRPr="00944261">
              <w:rPr>
                <w:rFonts w:eastAsia="Times New Roman" w:cs="Times New Roman"/>
                <w:b/>
                <w:bCs/>
                <w:color w:val="000000"/>
                <w:sz w:val="22"/>
              </w:rPr>
              <w:t>Ideology</w:t>
            </w:r>
          </w:p>
        </w:tc>
        <w:tc>
          <w:tcPr>
            <w:tcW w:w="0" w:type="auto"/>
            <w:shd w:val="clear" w:color="auto" w:fill="auto"/>
            <w:noWrap/>
            <w:vAlign w:val="center"/>
            <w:hideMark/>
          </w:tcPr>
          <w:p w:rsidR="00373139" w:rsidRDefault="00373139" w:rsidP="00373139">
            <w:pPr>
              <w:jc w:val="center"/>
              <w:rPr>
                <w:color w:val="000000"/>
                <w:sz w:val="22"/>
              </w:rPr>
            </w:pPr>
            <w:r>
              <w:rPr>
                <w:color w:val="000000"/>
                <w:sz w:val="22"/>
              </w:rPr>
              <w:t>4.782 (.521)</w:t>
            </w:r>
            <w:r w:rsidR="00F00D37">
              <w:rPr>
                <w:color w:val="000000"/>
                <w:sz w:val="22"/>
              </w:rPr>
              <w:t>***</w:t>
            </w:r>
          </w:p>
        </w:tc>
        <w:tc>
          <w:tcPr>
            <w:tcW w:w="0" w:type="auto"/>
            <w:shd w:val="clear" w:color="auto" w:fill="auto"/>
            <w:noWrap/>
            <w:vAlign w:val="center"/>
            <w:hideMark/>
          </w:tcPr>
          <w:p w:rsidR="00373139" w:rsidRDefault="00373139" w:rsidP="00373139">
            <w:pPr>
              <w:jc w:val="center"/>
              <w:rPr>
                <w:color w:val="000000"/>
                <w:sz w:val="22"/>
              </w:rPr>
            </w:pPr>
            <w:r>
              <w:rPr>
                <w:color w:val="000000"/>
                <w:sz w:val="22"/>
              </w:rPr>
              <w:t>119.396</w:t>
            </w:r>
          </w:p>
        </w:tc>
        <w:tc>
          <w:tcPr>
            <w:tcW w:w="0" w:type="auto"/>
            <w:shd w:val="clear" w:color="auto" w:fill="auto"/>
            <w:noWrap/>
            <w:vAlign w:val="center"/>
            <w:hideMark/>
          </w:tcPr>
          <w:p w:rsidR="00373139" w:rsidRPr="00AE6DA1" w:rsidRDefault="004C0D98" w:rsidP="00430EC4">
            <w:pPr>
              <w:ind w:left="0" w:firstLine="0"/>
              <w:jc w:val="center"/>
              <w:rPr>
                <w:rFonts w:eastAsia="Times New Roman" w:cs="Times New Roman"/>
                <w:sz w:val="22"/>
              </w:rPr>
            </w:pPr>
            <w:r w:rsidRPr="00AE6DA1">
              <w:rPr>
                <w:rFonts w:eastAsia="Times New Roman" w:cs="Times New Roman"/>
                <w:sz w:val="22"/>
              </w:rPr>
              <w:t>28.9%</w:t>
            </w:r>
          </w:p>
        </w:tc>
      </w:tr>
      <w:tr w:rsidR="00373139" w:rsidRPr="00944261" w:rsidTr="00373139">
        <w:trPr>
          <w:trHeight w:val="576"/>
        </w:trPr>
        <w:tc>
          <w:tcPr>
            <w:tcW w:w="0" w:type="auto"/>
            <w:shd w:val="clear" w:color="auto" w:fill="auto"/>
            <w:noWrap/>
            <w:vAlign w:val="center"/>
            <w:hideMark/>
          </w:tcPr>
          <w:p w:rsidR="00373139" w:rsidRPr="00944261" w:rsidRDefault="00373139" w:rsidP="00430EC4">
            <w:pPr>
              <w:ind w:left="0" w:firstLine="0"/>
              <w:rPr>
                <w:rFonts w:eastAsia="Times New Roman" w:cs="Times New Roman"/>
                <w:b/>
                <w:bCs/>
                <w:color w:val="000000"/>
                <w:sz w:val="22"/>
              </w:rPr>
            </w:pPr>
            <w:r w:rsidRPr="00944261">
              <w:rPr>
                <w:rFonts w:eastAsia="Times New Roman" w:cs="Times New Roman"/>
                <w:b/>
                <w:bCs/>
                <w:color w:val="000000"/>
                <w:sz w:val="22"/>
              </w:rPr>
              <w:t>Amicus Cosigner Difference</w:t>
            </w:r>
          </w:p>
        </w:tc>
        <w:tc>
          <w:tcPr>
            <w:tcW w:w="0" w:type="auto"/>
            <w:shd w:val="clear" w:color="auto" w:fill="auto"/>
            <w:noWrap/>
            <w:vAlign w:val="center"/>
            <w:hideMark/>
          </w:tcPr>
          <w:p w:rsidR="00373139" w:rsidRDefault="00373139" w:rsidP="00373139">
            <w:pPr>
              <w:jc w:val="center"/>
              <w:rPr>
                <w:color w:val="000000"/>
                <w:sz w:val="22"/>
              </w:rPr>
            </w:pPr>
            <w:r>
              <w:rPr>
                <w:color w:val="000000"/>
                <w:sz w:val="22"/>
              </w:rPr>
              <w:t>-0.001 (.001)</w:t>
            </w:r>
          </w:p>
        </w:tc>
        <w:tc>
          <w:tcPr>
            <w:tcW w:w="0" w:type="auto"/>
            <w:shd w:val="clear" w:color="auto" w:fill="auto"/>
            <w:noWrap/>
            <w:vAlign w:val="center"/>
            <w:hideMark/>
          </w:tcPr>
          <w:p w:rsidR="00373139" w:rsidRDefault="00373139" w:rsidP="00373139">
            <w:pPr>
              <w:jc w:val="center"/>
              <w:rPr>
                <w:color w:val="000000"/>
                <w:sz w:val="22"/>
              </w:rPr>
            </w:pPr>
            <w:r>
              <w:rPr>
                <w:color w:val="000000"/>
                <w:sz w:val="22"/>
              </w:rPr>
              <w:t>0.999</w:t>
            </w:r>
          </w:p>
        </w:tc>
        <w:tc>
          <w:tcPr>
            <w:tcW w:w="0" w:type="auto"/>
            <w:shd w:val="clear" w:color="auto" w:fill="auto"/>
            <w:noWrap/>
            <w:vAlign w:val="center"/>
            <w:hideMark/>
          </w:tcPr>
          <w:p w:rsidR="00373139" w:rsidRPr="00AE6DA1" w:rsidRDefault="004C0D98" w:rsidP="00430EC4">
            <w:pPr>
              <w:ind w:left="0" w:firstLine="0"/>
              <w:jc w:val="center"/>
              <w:rPr>
                <w:rFonts w:eastAsia="Times New Roman" w:cs="Times New Roman"/>
                <w:sz w:val="22"/>
              </w:rPr>
            </w:pPr>
            <w:r w:rsidRPr="00AE6DA1">
              <w:rPr>
                <w:rFonts w:eastAsia="Times New Roman" w:cs="Times New Roman"/>
                <w:sz w:val="22"/>
              </w:rPr>
              <w:t>-5.1%</w:t>
            </w:r>
          </w:p>
        </w:tc>
      </w:tr>
      <w:tr w:rsidR="00373139" w:rsidRPr="00944261" w:rsidTr="00373139">
        <w:trPr>
          <w:trHeight w:val="576"/>
        </w:trPr>
        <w:tc>
          <w:tcPr>
            <w:tcW w:w="0" w:type="auto"/>
            <w:shd w:val="clear" w:color="auto" w:fill="auto"/>
            <w:noWrap/>
            <w:vAlign w:val="center"/>
            <w:hideMark/>
          </w:tcPr>
          <w:p w:rsidR="00373139" w:rsidRPr="00944261" w:rsidRDefault="00373139" w:rsidP="00430EC4">
            <w:pPr>
              <w:ind w:left="0" w:firstLine="0"/>
              <w:rPr>
                <w:rFonts w:eastAsia="Times New Roman" w:cs="Times New Roman"/>
                <w:b/>
                <w:bCs/>
                <w:color w:val="000000"/>
                <w:sz w:val="22"/>
              </w:rPr>
            </w:pPr>
            <w:r w:rsidRPr="00944261">
              <w:rPr>
                <w:rFonts w:eastAsia="Times New Roman" w:cs="Times New Roman"/>
                <w:b/>
                <w:bCs/>
                <w:color w:val="000000"/>
                <w:sz w:val="22"/>
              </w:rPr>
              <w:t>SG Lib Amicus Brief</w:t>
            </w:r>
          </w:p>
        </w:tc>
        <w:tc>
          <w:tcPr>
            <w:tcW w:w="0" w:type="auto"/>
            <w:shd w:val="clear" w:color="auto" w:fill="auto"/>
            <w:noWrap/>
            <w:vAlign w:val="center"/>
            <w:hideMark/>
          </w:tcPr>
          <w:p w:rsidR="00373139" w:rsidRDefault="00373139" w:rsidP="00373139">
            <w:pPr>
              <w:jc w:val="center"/>
              <w:rPr>
                <w:color w:val="000000"/>
                <w:sz w:val="22"/>
              </w:rPr>
            </w:pPr>
            <w:r>
              <w:rPr>
                <w:color w:val="000000"/>
                <w:sz w:val="22"/>
              </w:rPr>
              <w:t>-0.673 (.386)</w:t>
            </w:r>
          </w:p>
        </w:tc>
        <w:tc>
          <w:tcPr>
            <w:tcW w:w="0" w:type="auto"/>
            <w:shd w:val="clear" w:color="auto" w:fill="auto"/>
            <w:noWrap/>
            <w:vAlign w:val="center"/>
            <w:hideMark/>
          </w:tcPr>
          <w:p w:rsidR="00373139" w:rsidRDefault="00373139" w:rsidP="00373139">
            <w:pPr>
              <w:jc w:val="center"/>
              <w:rPr>
                <w:color w:val="000000"/>
                <w:sz w:val="22"/>
              </w:rPr>
            </w:pPr>
            <w:r>
              <w:rPr>
                <w:color w:val="000000"/>
                <w:sz w:val="22"/>
              </w:rPr>
              <w:t>0.510</w:t>
            </w:r>
          </w:p>
        </w:tc>
        <w:tc>
          <w:tcPr>
            <w:tcW w:w="0" w:type="auto"/>
            <w:shd w:val="clear" w:color="auto" w:fill="auto"/>
            <w:noWrap/>
            <w:vAlign w:val="center"/>
            <w:hideMark/>
          </w:tcPr>
          <w:p w:rsidR="00373139" w:rsidRPr="00AE6DA1" w:rsidRDefault="004C0D98" w:rsidP="00430EC4">
            <w:pPr>
              <w:ind w:left="0" w:firstLine="0"/>
              <w:jc w:val="center"/>
              <w:rPr>
                <w:rFonts w:eastAsia="Times New Roman" w:cs="Times New Roman"/>
                <w:sz w:val="22"/>
              </w:rPr>
            </w:pPr>
            <w:r w:rsidRPr="00AE6DA1">
              <w:rPr>
                <w:rFonts w:eastAsia="Times New Roman" w:cs="Times New Roman"/>
                <w:sz w:val="22"/>
              </w:rPr>
              <w:t>-16.7%</w:t>
            </w:r>
          </w:p>
        </w:tc>
      </w:tr>
      <w:tr w:rsidR="00373139" w:rsidRPr="00944261" w:rsidTr="00373139">
        <w:trPr>
          <w:trHeight w:val="576"/>
        </w:trPr>
        <w:tc>
          <w:tcPr>
            <w:tcW w:w="0" w:type="auto"/>
            <w:shd w:val="clear" w:color="auto" w:fill="auto"/>
            <w:noWrap/>
            <w:vAlign w:val="center"/>
            <w:hideMark/>
          </w:tcPr>
          <w:p w:rsidR="00373139" w:rsidRPr="00944261" w:rsidRDefault="00373139" w:rsidP="00430EC4">
            <w:pPr>
              <w:ind w:left="0" w:firstLine="0"/>
              <w:rPr>
                <w:rFonts w:eastAsia="Times New Roman" w:cs="Times New Roman"/>
                <w:b/>
                <w:bCs/>
                <w:color w:val="000000"/>
                <w:sz w:val="22"/>
              </w:rPr>
            </w:pPr>
            <w:r w:rsidRPr="00944261">
              <w:rPr>
                <w:rFonts w:eastAsia="Times New Roman" w:cs="Times New Roman"/>
                <w:b/>
                <w:bCs/>
                <w:color w:val="000000"/>
                <w:sz w:val="22"/>
              </w:rPr>
              <w:t>SG Con Amicus Brief</w:t>
            </w:r>
          </w:p>
        </w:tc>
        <w:tc>
          <w:tcPr>
            <w:tcW w:w="0" w:type="auto"/>
            <w:shd w:val="clear" w:color="auto" w:fill="auto"/>
            <w:noWrap/>
            <w:vAlign w:val="center"/>
            <w:hideMark/>
          </w:tcPr>
          <w:p w:rsidR="00373139" w:rsidRDefault="00373139" w:rsidP="00373139">
            <w:pPr>
              <w:jc w:val="center"/>
              <w:rPr>
                <w:color w:val="000000"/>
                <w:sz w:val="22"/>
              </w:rPr>
            </w:pPr>
            <w:r>
              <w:rPr>
                <w:color w:val="000000"/>
                <w:sz w:val="22"/>
              </w:rPr>
              <w:t>-0.845 (.265)</w:t>
            </w:r>
            <w:r w:rsidR="00F00D37">
              <w:rPr>
                <w:color w:val="000000"/>
                <w:sz w:val="22"/>
              </w:rPr>
              <w:t>***</w:t>
            </w:r>
          </w:p>
        </w:tc>
        <w:tc>
          <w:tcPr>
            <w:tcW w:w="0" w:type="auto"/>
            <w:shd w:val="clear" w:color="auto" w:fill="auto"/>
            <w:noWrap/>
            <w:vAlign w:val="center"/>
            <w:hideMark/>
          </w:tcPr>
          <w:p w:rsidR="00373139" w:rsidRDefault="00373139" w:rsidP="00373139">
            <w:pPr>
              <w:jc w:val="center"/>
              <w:rPr>
                <w:color w:val="000000"/>
                <w:sz w:val="22"/>
              </w:rPr>
            </w:pPr>
            <w:r>
              <w:rPr>
                <w:color w:val="000000"/>
                <w:sz w:val="22"/>
              </w:rPr>
              <w:t>0.429</w:t>
            </w:r>
          </w:p>
        </w:tc>
        <w:tc>
          <w:tcPr>
            <w:tcW w:w="0" w:type="auto"/>
            <w:shd w:val="clear" w:color="auto" w:fill="auto"/>
            <w:noWrap/>
            <w:vAlign w:val="center"/>
            <w:hideMark/>
          </w:tcPr>
          <w:p w:rsidR="00373139" w:rsidRPr="00AE6DA1" w:rsidRDefault="004C0D98" w:rsidP="00430EC4">
            <w:pPr>
              <w:ind w:left="0" w:firstLine="0"/>
              <w:jc w:val="center"/>
              <w:rPr>
                <w:rFonts w:eastAsia="Times New Roman" w:cs="Times New Roman"/>
                <w:sz w:val="22"/>
              </w:rPr>
            </w:pPr>
            <w:r w:rsidRPr="00AE6DA1">
              <w:rPr>
                <w:rFonts w:eastAsia="Times New Roman" w:cs="Times New Roman"/>
                <w:sz w:val="22"/>
              </w:rPr>
              <w:t>-20.8%</w:t>
            </w:r>
          </w:p>
        </w:tc>
      </w:tr>
      <w:tr w:rsidR="00373139" w:rsidRPr="00944261" w:rsidTr="00373139">
        <w:trPr>
          <w:trHeight w:val="576"/>
        </w:trPr>
        <w:tc>
          <w:tcPr>
            <w:tcW w:w="0" w:type="auto"/>
            <w:shd w:val="clear" w:color="auto" w:fill="auto"/>
            <w:noWrap/>
            <w:vAlign w:val="center"/>
            <w:hideMark/>
          </w:tcPr>
          <w:p w:rsidR="00373139" w:rsidRPr="00944261" w:rsidRDefault="00373139" w:rsidP="00430EC4">
            <w:pPr>
              <w:ind w:left="0" w:firstLine="0"/>
              <w:rPr>
                <w:rFonts w:eastAsia="Times New Roman" w:cs="Times New Roman"/>
                <w:b/>
                <w:bCs/>
                <w:color w:val="000000"/>
                <w:sz w:val="22"/>
              </w:rPr>
            </w:pPr>
            <w:r w:rsidRPr="00944261">
              <w:rPr>
                <w:rFonts w:eastAsia="Times New Roman" w:cs="Times New Roman"/>
                <w:b/>
                <w:bCs/>
                <w:color w:val="000000"/>
                <w:sz w:val="22"/>
              </w:rPr>
              <w:t>Prestigious Amicus Difference</w:t>
            </w:r>
          </w:p>
        </w:tc>
        <w:tc>
          <w:tcPr>
            <w:tcW w:w="0" w:type="auto"/>
            <w:shd w:val="clear" w:color="auto" w:fill="auto"/>
            <w:noWrap/>
            <w:vAlign w:val="center"/>
            <w:hideMark/>
          </w:tcPr>
          <w:p w:rsidR="00373139" w:rsidRDefault="00373139" w:rsidP="00373139">
            <w:pPr>
              <w:jc w:val="center"/>
              <w:rPr>
                <w:color w:val="000000"/>
                <w:sz w:val="22"/>
              </w:rPr>
            </w:pPr>
            <w:r>
              <w:rPr>
                <w:color w:val="000000"/>
                <w:sz w:val="22"/>
              </w:rPr>
              <w:t>0.207 (.068)</w:t>
            </w:r>
            <w:r w:rsidR="00F00D37">
              <w:rPr>
                <w:color w:val="000000"/>
                <w:sz w:val="22"/>
              </w:rPr>
              <w:t>**</w:t>
            </w:r>
          </w:p>
        </w:tc>
        <w:tc>
          <w:tcPr>
            <w:tcW w:w="0" w:type="auto"/>
            <w:shd w:val="clear" w:color="auto" w:fill="auto"/>
            <w:noWrap/>
            <w:vAlign w:val="center"/>
            <w:hideMark/>
          </w:tcPr>
          <w:p w:rsidR="00373139" w:rsidRDefault="00373139" w:rsidP="00373139">
            <w:pPr>
              <w:jc w:val="center"/>
              <w:rPr>
                <w:color w:val="000000"/>
                <w:sz w:val="22"/>
              </w:rPr>
            </w:pPr>
            <w:r>
              <w:rPr>
                <w:color w:val="000000"/>
                <w:sz w:val="22"/>
              </w:rPr>
              <w:t>1.230</w:t>
            </w:r>
          </w:p>
        </w:tc>
        <w:tc>
          <w:tcPr>
            <w:tcW w:w="0" w:type="auto"/>
            <w:shd w:val="clear" w:color="auto" w:fill="auto"/>
            <w:noWrap/>
            <w:vAlign w:val="center"/>
            <w:hideMark/>
          </w:tcPr>
          <w:p w:rsidR="00373139" w:rsidRPr="00AE6DA1" w:rsidRDefault="004C0D98" w:rsidP="00430EC4">
            <w:pPr>
              <w:ind w:left="0" w:firstLine="0"/>
              <w:jc w:val="center"/>
              <w:rPr>
                <w:rFonts w:eastAsia="Times New Roman" w:cs="Times New Roman"/>
                <w:sz w:val="22"/>
              </w:rPr>
            </w:pPr>
            <w:r w:rsidRPr="00AE6DA1">
              <w:rPr>
                <w:rFonts w:eastAsia="Times New Roman" w:cs="Times New Roman"/>
                <w:sz w:val="22"/>
              </w:rPr>
              <w:t>8.6%</w:t>
            </w:r>
          </w:p>
        </w:tc>
      </w:tr>
      <w:tr w:rsidR="00373139" w:rsidRPr="00944261" w:rsidTr="00373139">
        <w:trPr>
          <w:trHeight w:val="576"/>
        </w:trPr>
        <w:tc>
          <w:tcPr>
            <w:tcW w:w="0" w:type="auto"/>
            <w:shd w:val="clear" w:color="auto" w:fill="auto"/>
            <w:noWrap/>
            <w:vAlign w:val="center"/>
            <w:hideMark/>
          </w:tcPr>
          <w:p w:rsidR="00373139" w:rsidRPr="00944261" w:rsidRDefault="00373139" w:rsidP="00430EC4">
            <w:pPr>
              <w:ind w:left="0" w:firstLine="0"/>
              <w:rPr>
                <w:rFonts w:eastAsia="Times New Roman" w:cs="Times New Roman"/>
                <w:b/>
                <w:bCs/>
                <w:color w:val="000000"/>
                <w:sz w:val="22"/>
              </w:rPr>
            </w:pPr>
            <w:r w:rsidRPr="00944261">
              <w:rPr>
                <w:rFonts w:eastAsia="Times New Roman" w:cs="Times New Roman"/>
                <w:b/>
                <w:bCs/>
                <w:color w:val="000000"/>
                <w:sz w:val="22"/>
              </w:rPr>
              <w:t>Lower Court Direction</w:t>
            </w:r>
          </w:p>
        </w:tc>
        <w:tc>
          <w:tcPr>
            <w:tcW w:w="0" w:type="auto"/>
            <w:shd w:val="clear" w:color="auto" w:fill="auto"/>
            <w:noWrap/>
            <w:vAlign w:val="center"/>
            <w:hideMark/>
          </w:tcPr>
          <w:p w:rsidR="00373139" w:rsidRDefault="00373139" w:rsidP="00373139">
            <w:pPr>
              <w:jc w:val="center"/>
              <w:rPr>
                <w:color w:val="000000"/>
                <w:sz w:val="22"/>
              </w:rPr>
            </w:pPr>
            <w:r>
              <w:rPr>
                <w:color w:val="000000"/>
                <w:sz w:val="22"/>
              </w:rPr>
              <w:t>-0.171 (.182)</w:t>
            </w:r>
          </w:p>
        </w:tc>
        <w:tc>
          <w:tcPr>
            <w:tcW w:w="0" w:type="auto"/>
            <w:shd w:val="clear" w:color="auto" w:fill="auto"/>
            <w:noWrap/>
            <w:vAlign w:val="center"/>
            <w:hideMark/>
          </w:tcPr>
          <w:p w:rsidR="00373139" w:rsidRDefault="00373139" w:rsidP="00373139">
            <w:pPr>
              <w:jc w:val="center"/>
              <w:rPr>
                <w:color w:val="000000"/>
                <w:sz w:val="22"/>
              </w:rPr>
            </w:pPr>
            <w:r>
              <w:rPr>
                <w:color w:val="000000"/>
                <w:sz w:val="22"/>
              </w:rPr>
              <w:t>0.843</w:t>
            </w:r>
          </w:p>
        </w:tc>
        <w:tc>
          <w:tcPr>
            <w:tcW w:w="0" w:type="auto"/>
            <w:shd w:val="clear" w:color="auto" w:fill="auto"/>
            <w:noWrap/>
            <w:vAlign w:val="center"/>
            <w:hideMark/>
          </w:tcPr>
          <w:p w:rsidR="00373139" w:rsidRPr="00AE6DA1" w:rsidRDefault="004C0D98" w:rsidP="00430EC4">
            <w:pPr>
              <w:ind w:left="0" w:firstLine="0"/>
              <w:jc w:val="center"/>
              <w:rPr>
                <w:rFonts w:eastAsia="Times New Roman" w:cs="Times New Roman"/>
                <w:sz w:val="22"/>
              </w:rPr>
            </w:pPr>
            <w:r w:rsidRPr="00AE6DA1">
              <w:rPr>
                <w:rFonts w:eastAsia="Times New Roman" w:cs="Times New Roman"/>
                <w:sz w:val="22"/>
              </w:rPr>
              <w:t>-4.1%</w:t>
            </w:r>
          </w:p>
        </w:tc>
      </w:tr>
      <w:tr w:rsidR="00373139" w:rsidRPr="00944261" w:rsidTr="00373139">
        <w:trPr>
          <w:trHeight w:val="576"/>
        </w:trPr>
        <w:tc>
          <w:tcPr>
            <w:tcW w:w="0" w:type="auto"/>
            <w:shd w:val="clear" w:color="auto" w:fill="auto"/>
            <w:noWrap/>
            <w:vAlign w:val="center"/>
            <w:hideMark/>
          </w:tcPr>
          <w:p w:rsidR="00373139" w:rsidRPr="00944261" w:rsidRDefault="00373139" w:rsidP="00430EC4">
            <w:pPr>
              <w:ind w:left="0" w:firstLine="0"/>
              <w:rPr>
                <w:rFonts w:eastAsia="Times New Roman" w:cs="Times New Roman"/>
                <w:b/>
                <w:bCs/>
                <w:color w:val="000000"/>
                <w:sz w:val="22"/>
              </w:rPr>
            </w:pPr>
            <w:r w:rsidRPr="00944261">
              <w:rPr>
                <w:rFonts w:eastAsia="Times New Roman" w:cs="Times New Roman"/>
                <w:b/>
                <w:bCs/>
                <w:color w:val="000000"/>
                <w:sz w:val="22"/>
              </w:rPr>
              <w:t>Resource Difference</w:t>
            </w:r>
          </w:p>
        </w:tc>
        <w:tc>
          <w:tcPr>
            <w:tcW w:w="0" w:type="auto"/>
            <w:shd w:val="clear" w:color="auto" w:fill="auto"/>
            <w:noWrap/>
            <w:vAlign w:val="center"/>
            <w:hideMark/>
          </w:tcPr>
          <w:p w:rsidR="00373139" w:rsidRDefault="00373139" w:rsidP="00373139">
            <w:pPr>
              <w:jc w:val="center"/>
              <w:rPr>
                <w:color w:val="000000"/>
                <w:sz w:val="22"/>
              </w:rPr>
            </w:pPr>
            <w:r>
              <w:rPr>
                <w:color w:val="000000"/>
                <w:sz w:val="22"/>
              </w:rPr>
              <w:t>0.010 (.024)</w:t>
            </w:r>
          </w:p>
        </w:tc>
        <w:tc>
          <w:tcPr>
            <w:tcW w:w="0" w:type="auto"/>
            <w:shd w:val="clear" w:color="auto" w:fill="auto"/>
            <w:noWrap/>
            <w:vAlign w:val="center"/>
            <w:hideMark/>
          </w:tcPr>
          <w:p w:rsidR="00373139" w:rsidRDefault="00373139" w:rsidP="00373139">
            <w:pPr>
              <w:jc w:val="center"/>
              <w:rPr>
                <w:color w:val="000000"/>
                <w:sz w:val="22"/>
              </w:rPr>
            </w:pPr>
            <w:r>
              <w:rPr>
                <w:color w:val="000000"/>
                <w:sz w:val="22"/>
              </w:rPr>
              <w:t>1.011</w:t>
            </w:r>
          </w:p>
        </w:tc>
        <w:tc>
          <w:tcPr>
            <w:tcW w:w="0" w:type="auto"/>
            <w:shd w:val="clear" w:color="auto" w:fill="auto"/>
            <w:noWrap/>
            <w:vAlign w:val="center"/>
            <w:hideMark/>
          </w:tcPr>
          <w:p w:rsidR="00373139" w:rsidRPr="00AE6DA1" w:rsidRDefault="004C0D98" w:rsidP="00430EC4">
            <w:pPr>
              <w:ind w:left="0" w:firstLine="0"/>
              <w:jc w:val="center"/>
              <w:rPr>
                <w:rFonts w:eastAsia="Times New Roman" w:cs="Times New Roman"/>
                <w:sz w:val="22"/>
              </w:rPr>
            </w:pPr>
            <w:r w:rsidRPr="00AE6DA1">
              <w:rPr>
                <w:rFonts w:eastAsia="Times New Roman" w:cs="Times New Roman"/>
                <w:sz w:val="22"/>
              </w:rPr>
              <w:t>1.4%</w:t>
            </w:r>
          </w:p>
        </w:tc>
      </w:tr>
      <w:tr w:rsidR="00373139" w:rsidRPr="00944261" w:rsidTr="00373139">
        <w:trPr>
          <w:trHeight w:val="576"/>
        </w:trPr>
        <w:tc>
          <w:tcPr>
            <w:tcW w:w="0" w:type="auto"/>
            <w:tcBorders>
              <w:bottom w:val="single" w:sz="18" w:space="0" w:color="auto"/>
            </w:tcBorders>
            <w:shd w:val="clear" w:color="auto" w:fill="auto"/>
            <w:noWrap/>
            <w:vAlign w:val="center"/>
            <w:hideMark/>
          </w:tcPr>
          <w:p w:rsidR="00373139" w:rsidRPr="00944261" w:rsidRDefault="00373139" w:rsidP="00430EC4">
            <w:pPr>
              <w:ind w:left="0" w:firstLine="0"/>
              <w:rPr>
                <w:rFonts w:eastAsia="Times New Roman" w:cs="Times New Roman"/>
                <w:b/>
                <w:bCs/>
                <w:color w:val="000000"/>
                <w:sz w:val="22"/>
              </w:rPr>
            </w:pPr>
            <w:r w:rsidRPr="00944261">
              <w:rPr>
                <w:rFonts w:eastAsia="Times New Roman" w:cs="Times New Roman"/>
                <w:b/>
                <w:bCs/>
                <w:color w:val="000000"/>
                <w:sz w:val="22"/>
              </w:rPr>
              <w:t>Constant</w:t>
            </w:r>
          </w:p>
        </w:tc>
        <w:tc>
          <w:tcPr>
            <w:tcW w:w="0" w:type="auto"/>
            <w:tcBorders>
              <w:bottom w:val="single" w:sz="18" w:space="0" w:color="auto"/>
            </w:tcBorders>
            <w:shd w:val="clear" w:color="auto" w:fill="auto"/>
            <w:noWrap/>
            <w:vAlign w:val="center"/>
            <w:hideMark/>
          </w:tcPr>
          <w:p w:rsidR="00373139" w:rsidRDefault="00373139" w:rsidP="00373139">
            <w:pPr>
              <w:jc w:val="center"/>
              <w:rPr>
                <w:color w:val="000000"/>
                <w:sz w:val="22"/>
              </w:rPr>
            </w:pPr>
            <w:r>
              <w:rPr>
                <w:color w:val="000000"/>
                <w:sz w:val="22"/>
              </w:rPr>
              <w:t>-1.018 (.335)</w:t>
            </w:r>
          </w:p>
        </w:tc>
        <w:tc>
          <w:tcPr>
            <w:tcW w:w="0" w:type="auto"/>
            <w:tcBorders>
              <w:bottom w:val="single" w:sz="18" w:space="0" w:color="auto"/>
            </w:tcBorders>
            <w:shd w:val="clear" w:color="auto" w:fill="auto"/>
            <w:noWrap/>
            <w:vAlign w:val="center"/>
            <w:hideMark/>
          </w:tcPr>
          <w:p w:rsidR="00373139" w:rsidRDefault="00373139" w:rsidP="00373139">
            <w:pPr>
              <w:jc w:val="center"/>
              <w:rPr>
                <w:color w:val="000000"/>
                <w:sz w:val="22"/>
              </w:rPr>
            </w:pPr>
          </w:p>
        </w:tc>
        <w:tc>
          <w:tcPr>
            <w:tcW w:w="0" w:type="auto"/>
            <w:tcBorders>
              <w:bottom w:val="single" w:sz="18" w:space="0" w:color="auto"/>
            </w:tcBorders>
            <w:shd w:val="clear" w:color="auto" w:fill="auto"/>
            <w:noWrap/>
            <w:vAlign w:val="center"/>
            <w:hideMark/>
          </w:tcPr>
          <w:p w:rsidR="00373139" w:rsidRPr="00D62BD1" w:rsidRDefault="00373139" w:rsidP="00430EC4">
            <w:pPr>
              <w:ind w:left="0" w:firstLine="0"/>
              <w:jc w:val="center"/>
              <w:rPr>
                <w:rFonts w:eastAsia="Times New Roman" w:cs="Times New Roman"/>
                <w:color w:val="00B050"/>
                <w:sz w:val="22"/>
              </w:rPr>
            </w:pPr>
          </w:p>
        </w:tc>
      </w:tr>
      <w:tr w:rsidR="00AA5014" w:rsidRPr="00944261" w:rsidTr="00430EC4">
        <w:trPr>
          <w:trHeight w:val="576"/>
        </w:trPr>
        <w:tc>
          <w:tcPr>
            <w:tcW w:w="0" w:type="auto"/>
            <w:tcBorders>
              <w:top w:val="single" w:sz="18" w:space="0" w:color="auto"/>
              <w:bottom w:val="nil"/>
            </w:tcBorders>
            <w:shd w:val="clear" w:color="auto" w:fill="auto"/>
            <w:noWrap/>
            <w:vAlign w:val="center"/>
            <w:hideMark/>
          </w:tcPr>
          <w:p w:rsidR="00AA5014" w:rsidRPr="00944261" w:rsidRDefault="00AA5014" w:rsidP="00430EC4">
            <w:pPr>
              <w:ind w:left="0" w:firstLine="0"/>
              <w:rPr>
                <w:rFonts w:eastAsia="Times New Roman" w:cs="Times New Roman"/>
                <w:b/>
                <w:bCs/>
                <w:color w:val="000000"/>
                <w:sz w:val="22"/>
              </w:rPr>
            </w:pPr>
            <w:r w:rsidRPr="00944261">
              <w:rPr>
                <w:rFonts w:eastAsia="Times New Roman" w:cs="Times New Roman"/>
                <w:b/>
                <w:bCs/>
                <w:color w:val="000000"/>
                <w:sz w:val="22"/>
              </w:rPr>
              <w:t>N</w:t>
            </w:r>
          </w:p>
        </w:tc>
        <w:tc>
          <w:tcPr>
            <w:tcW w:w="0" w:type="auto"/>
            <w:tcBorders>
              <w:top w:val="single" w:sz="18" w:space="0" w:color="auto"/>
              <w:bottom w:val="nil"/>
            </w:tcBorders>
            <w:shd w:val="clear" w:color="auto" w:fill="auto"/>
            <w:noWrap/>
            <w:vAlign w:val="center"/>
            <w:hideMark/>
          </w:tcPr>
          <w:p w:rsidR="00AA5014" w:rsidRPr="00831FAD" w:rsidRDefault="00AA5014" w:rsidP="00430EC4">
            <w:pPr>
              <w:ind w:left="0" w:firstLine="0"/>
              <w:jc w:val="center"/>
              <w:rPr>
                <w:rFonts w:eastAsia="Times New Roman" w:cs="Times New Roman"/>
                <w:sz w:val="22"/>
              </w:rPr>
            </w:pPr>
            <w:r>
              <w:rPr>
                <w:rFonts w:eastAsia="Times New Roman" w:cs="Times New Roman"/>
                <w:sz w:val="22"/>
              </w:rPr>
              <w:t>508</w:t>
            </w:r>
          </w:p>
        </w:tc>
        <w:tc>
          <w:tcPr>
            <w:tcW w:w="0" w:type="auto"/>
            <w:tcBorders>
              <w:top w:val="single" w:sz="18" w:space="0" w:color="auto"/>
              <w:bottom w:val="nil"/>
            </w:tcBorders>
            <w:shd w:val="clear" w:color="auto" w:fill="auto"/>
            <w:noWrap/>
            <w:vAlign w:val="center"/>
            <w:hideMark/>
          </w:tcPr>
          <w:p w:rsidR="00AA5014" w:rsidRPr="007C7497" w:rsidRDefault="00AA5014" w:rsidP="00430EC4">
            <w:pPr>
              <w:ind w:left="0" w:firstLine="0"/>
              <w:jc w:val="center"/>
              <w:rPr>
                <w:rFonts w:eastAsia="Times New Roman" w:cs="Times New Roman"/>
                <w:color w:val="FF0000"/>
                <w:sz w:val="22"/>
              </w:rPr>
            </w:pPr>
          </w:p>
        </w:tc>
        <w:tc>
          <w:tcPr>
            <w:tcW w:w="0" w:type="auto"/>
            <w:tcBorders>
              <w:top w:val="single" w:sz="18" w:space="0" w:color="auto"/>
              <w:bottom w:val="nil"/>
            </w:tcBorders>
            <w:shd w:val="clear" w:color="auto" w:fill="auto"/>
            <w:noWrap/>
            <w:vAlign w:val="center"/>
            <w:hideMark/>
          </w:tcPr>
          <w:p w:rsidR="00AA5014" w:rsidRPr="00944261" w:rsidRDefault="00AA5014" w:rsidP="00430EC4">
            <w:pPr>
              <w:ind w:left="0" w:firstLine="0"/>
              <w:jc w:val="center"/>
              <w:rPr>
                <w:rFonts w:eastAsia="Times New Roman" w:cs="Times New Roman"/>
                <w:color w:val="000000"/>
                <w:sz w:val="22"/>
              </w:rPr>
            </w:pPr>
          </w:p>
        </w:tc>
      </w:tr>
      <w:tr w:rsidR="00AA5014" w:rsidRPr="00944261" w:rsidTr="00430EC4">
        <w:trPr>
          <w:trHeight w:val="576"/>
        </w:trPr>
        <w:tc>
          <w:tcPr>
            <w:tcW w:w="0" w:type="auto"/>
            <w:tcBorders>
              <w:top w:val="nil"/>
              <w:bottom w:val="nil"/>
            </w:tcBorders>
            <w:shd w:val="clear" w:color="auto" w:fill="auto"/>
            <w:noWrap/>
            <w:vAlign w:val="center"/>
            <w:hideMark/>
          </w:tcPr>
          <w:p w:rsidR="00AA5014" w:rsidRPr="00944261" w:rsidRDefault="00AA5014" w:rsidP="00430EC4">
            <w:pPr>
              <w:ind w:left="0" w:firstLine="0"/>
              <w:rPr>
                <w:rFonts w:eastAsia="Times New Roman" w:cs="Times New Roman"/>
                <w:b/>
                <w:bCs/>
                <w:color w:val="000000"/>
                <w:sz w:val="22"/>
              </w:rPr>
            </w:pPr>
            <w:proofErr w:type="spellStart"/>
            <w:r w:rsidRPr="00944261">
              <w:rPr>
                <w:rFonts w:eastAsia="Times New Roman" w:cs="Times New Roman"/>
                <w:b/>
                <w:bCs/>
                <w:color w:val="000000"/>
                <w:sz w:val="22"/>
              </w:rPr>
              <w:t>Prob</w:t>
            </w:r>
            <w:proofErr w:type="spellEnd"/>
            <w:r w:rsidRPr="00944261">
              <w:rPr>
                <w:rFonts w:eastAsia="Times New Roman" w:cs="Times New Roman"/>
                <w:b/>
                <w:bCs/>
                <w:color w:val="000000"/>
                <w:sz w:val="22"/>
              </w:rPr>
              <w:t xml:space="preserve"> &gt; chi2</w:t>
            </w:r>
          </w:p>
        </w:tc>
        <w:tc>
          <w:tcPr>
            <w:tcW w:w="0" w:type="auto"/>
            <w:tcBorders>
              <w:top w:val="nil"/>
              <w:bottom w:val="nil"/>
            </w:tcBorders>
            <w:shd w:val="clear" w:color="auto" w:fill="auto"/>
            <w:noWrap/>
            <w:vAlign w:val="center"/>
            <w:hideMark/>
          </w:tcPr>
          <w:p w:rsidR="00AA5014" w:rsidRPr="00831FAD" w:rsidRDefault="002C2D01" w:rsidP="00430EC4">
            <w:pPr>
              <w:ind w:left="0" w:firstLine="0"/>
              <w:jc w:val="center"/>
              <w:rPr>
                <w:rFonts w:eastAsia="Times New Roman" w:cs="Times New Roman"/>
                <w:sz w:val="22"/>
              </w:rPr>
            </w:pPr>
            <w:r>
              <w:rPr>
                <w:rFonts w:eastAsia="Times New Roman" w:cs="Times New Roman"/>
                <w:sz w:val="22"/>
              </w:rPr>
              <w:t>0</w:t>
            </w:r>
          </w:p>
        </w:tc>
        <w:tc>
          <w:tcPr>
            <w:tcW w:w="0" w:type="auto"/>
            <w:tcBorders>
              <w:top w:val="nil"/>
              <w:bottom w:val="nil"/>
            </w:tcBorders>
            <w:shd w:val="clear" w:color="auto" w:fill="auto"/>
            <w:noWrap/>
            <w:vAlign w:val="center"/>
            <w:hideMark/>
          </w:tcPr>
          <w:p w:rsidR="00AA5014" w:rsidRPr="007C7497" w:rsidRDefault="00AA5014" w:rsidP="00430EC4">
            <w:pPr>
              <w:ind w:left="0" w:firstLine="0"/>
              <w:jc w:val="center"/>
              <w:rPr>
                <w:rFonts w:eastAsia="Times New Roman" w:cs="Times New Roman"/>
                <w:color w:val="FF0000"/>
                <w:sz w:val="22"/>
              </w:rPr>
            </w:pPr>
          </w:p>
        </w:tc>
        <w:tc>
          <w:tcPr>
            <w:tcW w:w="0" w:type="auto"/>
            <w:tcBorders>
              <w:top w:val="nil"/>
              <w:bottom w:val="nil"/>
            </w:tcBorders>
            <w:shd w:val="clear" w:color="auto" w:fill="auto"/>
            <w:noWrap/>
            <w:vAlign w:val="center"/>
            <w:hideMark/>
          </w:tcPr>
          <w:p w:rsidR="00AA5014" w:rsidRPr="00944261" w:rsidRDefault="00AA5014" w:rsidP="00430EC4">
            <w:pPr>
              <w:ind w:left="0" w:firstLine="0"/>
              <w:jc w:val="center"/>
              <w:rPr>
                <w:rFonts w:eastAsia="Times New Roman" w:cs="Times New Roman"/>
                <w:color w:val="000000"/>
                <w:sz w:val="22"/>
              </w:rPr>
            </w:pPr>
          </w:p>
        </w:tc>
      </w:tr>
      <w:tr w:rsidR="00AA5014" w:rsidRPr="00944261" w:rsidTr="00430EC4">
        <w:trPr>
          <w:trHeight w:val="576"/>
        </w:trPr>
        <w:tc>
          <w:tcPr>
            <w:tcW w:w="0" w:type="auto"/>
            <w:tcBorders>
              <w:top w:val="nil"/>
              <w:bottom w:val="nil"/>
            </w:tcBorders>
            <w:shd w:val="clear" w:color="auto" w:fill="auto"/>
            <w:noWrap/>
            <w:vAlign w:val="center"/>
            <w:hideMark/>
          </w:tcPr>
          <w:p w:rsidR="00AA5014" w:rsidRPr="00944261" w:rsidRDefault="00AA5014" w:rsidP="00430EC4">
            <w:pPr>
              <w:ind w:left="0" w:firstLine="0"/>
              <w:rPr>
                <w:rFonts w:eastAsia="Times New Roman" w:cs="Times New Roman"/>
                <w:b/>
                <w:bCs/>
                <w:color w:val="000000"/>
                <w:sz w:val="22"/>
              </w:rPr>
            </w:pPr>
            <w:r w:rsidRPr="00944261">
              <w:rPr>
                <w:rFonts w:eastAsia="Times New Roman" w:cs="Times New Roman"/>
                <w:b/>
                <w:bCs/>
                <w:color w:val="000000"/>
                <w:sz w:val="22"/>
              </w:rPr>
              <w:t>Percent Correctly Predicted</w:t>
            </w:r>
          </w:p>
        </w:tc>
        <w:tc>
          <w:tcPr>
            <w:tcW w:w="0" w:type="auto"/>
            <w:tcBorders>
              <w:top w:val="nil"/>
              <w:bottom w:val="nil"/>
            </w:tcBorders>
            <w:shd w:val="clear" w:color="auto" w:fill="auto"/>
            <w:noWrap/>
            <w:vAlign w:val="center"/>
            <w:hideMark/>
          </w:tcPr>
          <w:p w:rsidR="00AA5014" w:rsidRPr="0064297A" w:rsidRDefault="002C2D01" w:rsidP="00430EC4">
            <w:pPr>
              <w:ind w:left="0" w:firstLine="0"/>
              <w:jc w:val="center"/>
              <w:rPr>
                <w:rFonts w:eastAsia="Times New Roman" w:cs="Times New Roman"/>
                <w:sz w:val="22"/>
              </w:rPr>
            </w:pPr>
            <w:r>
              <w:rPr>
                <w:rFonts w:eastAsia="Times New Roman" w:cs="Times New Roman"/>
                <w:sz w:val="22"/>
              </w:rPr>
              <w:t>72.44</w:t>
            </w:r>
          </w:p>
        </w:tc>
        <w:tc>
          <w:tcPr>
            <w:tcW w:w="0" w:type="auto"/>
            <w:tcBorders>
              <w:top w:val="nil"/>
              <w:bottom w:val="nil"/>
            </w:tcBorders>
            <w:shd w:val="clear" w:color="auto" w:fill="auto"/>
            <w:noWrap/>
            <w:vAlign w:val="center"/>
            <w:hideMark/>
          </w:tcPr>
          <w:p w:rsidR="00AA5014" w:rsidRPr="007C7497" w:rsidRDefault="00AA5014" w:rsidP="00430EC4">
            <w:pPr>
              <w:ind w:left="0" w:firstLine="0"/>
              <w:jc w:val="center"/>
              <w:rPr>
                <w:rFonts w:eastAsia="Times New Roman" w:cs="Times New Roman"/>
                <w:color w:val="FF0000"/>
                <w:sz w:val="22"/>
              </w:rPr>
            </w:pPr>
          </w:p>
        </w:tc>
        <w:tc>
          <w:tcPr>
            <w:tcW w:w="0" w:type="auto"/>
            <w:tcBorders>
              <w:top w:val="nil"/>
              <w:bottom w:val="nil"/>
            </w:tcBorders>
            <w:shd w:val="clear" w:color="auto" w:fill="auto"/>
            <w:noWrap/>
            <w:vAlign w:val="center"/>
            <w:hideMark/>
          </w:tcPr>
          <w:p w:rsidR="00AA5014" w:rsidRPr="00944261" w:rsidRDefault="00AA5014" w:rsidP="00430EC4">
            <w:pPr>
              <w:ind w:left="0" w:firstLine="0"/>
              <w:jc w:val="center"/>
              <w:rPr>
                <w:rFonts w:eastAsia="Times New Roman" w:cs="Times New Roman"/>
                <w:color w:val="000000"/>
                <w:sz w:val="22"/>
              </w:rPr>
            </w:pPr>
          </w:p>
        </w:tc>
      </w:tr>
      <w:tr w:rsidR="00AA5014" w:rsidRPr="00944261" w:rsidTr="00430EC4">
        <w:trPr>
          <w:trHeight w:val="576"/>
        </w:trPr>
        <w:tc>
          <w:tcPr>
            <w:tcW w:w="0" w:type="auto"/>
            <w:tcBorders>
              <w:top w:val="nil"/>
              <w:bottom w:val="single" w:sz="18" w:space="0" w:color="auto"/>
            </w:tcBorders>
            <w:shd w:val="clear" w:color="auto" w:fill="auto"/>
            <w:noWrap/>
            <w:vAlign w:val="center"/>
            <w:hideMark/>
          </w:tcPr>
          <w:p w:rsidR="00AA5014" w:rsidRPr="00944261" w:rsidRDefault="00AA5014" w:rsidP="00430EC4">
            <w:pPr>
              <w:ind w:left="0" w:firstLine="0"/>
              <w:rPr>
                <w:rFonts w:eastAsia="Times New Roman" w:cs="Times New Roman"/>
                <w:b/>
                <w:bCs/>
                <w:color w:val="000000"/>
                <w:sz w:val="22"/>
              </w:rPr>
            </w:pPr>
            <w:r w:rsidRPr="00944261">
              <w:rPr>
                <w:rFonts w:eastAsia="Times New Roman" w:cs="Times New Roman"/>
                <w:b/>
                <w:bCs/>
                <w:color w:val="000000"/>
                <w:sz w:val="22"/>
              </w:rPr>
              <w:t>Percent Reduction in Error</w:t>
            </w:r>
          </w:p>
        </w:tc>
        <w:tc>
          <w:tcPr>
            <w:tcW w:w="0" w:type="auto"/>
            <w:tcBorders>
              <w:top w:val="nil"/>
              <w:bottom w:val="single" w:sz="18" w:space="0" w:color="auto"/>
            </w:tcBorders>
            <w:shd w:val="clear" w:color="auto" w:fill="auto"/>
            <w:noWrap/>
            <w:vAlign w:val="center"/>
            <w:hideMark/>
          </w:tcPr>
          <w:p w:rsidR="00AA5014" w:rsidRPr="0064297A" w:rsidRDefault="002C2D01" w:rsidP="00430EC4">
            <w:pPr>
              <w:ind w:left="0" w:firstLine="0"/>
              <w:jc w:val="center"/>
              <w:rPr>
                <w:rFonts w:eastAsia="Times New Roman" w:cs="Times New Roman"/>
                <w:sz w:val="22"/>
              </w:rPr>
            </w:pPr>
            <w:r>
              <w:rPr>
                <w:rFonts w:eastAsia="Times New Roman" w:cs="Times New Roman"/>
                <w:sz w:val="22"/>
              </w:rPr>
              <w:t>40.40</w:t>
            </w:r>
          </w:p>
        </w:tc>
        <w:tc>
          <w:tcPr>
            <w:tcW w:w="0" w:type="auto"/>
            <w:tcBorders>
              <w:top w:val="nil"/>
              <w:bottom w:val="single" w:sz="18" w:space="0" w:color="auto"/>
            </w:tcBorders>
            <w:shd w:val="clear" w:color="auto" w:fill="auto"/>
            <w:noWrap/>
            <w:vAlign w:val="center"/>
            <w:hideMark/>
          </w:tcPr>
          <w:p w:rsidR="00AA5014" w:rsidRPr="007C7497" w:rsidRDefault="00AA5014" w:rsidP="00430EC4">
            <w:pPr>
              <w:ind w:left="0" w:firstLine="0"/>
              <w:jc w:val="center"/>
              <w:rPr>
                <w:rFonts w:eastAsia="Times New Roman" w:cs="Times New Roman"/>
                <w:color w:val="FF0000"/>
                <w:sz w:val="22"/>
              </w:rPr>
            </w:pPr>
          </w:p>
        </w:tc>
        <w:tc>
          <w:tcPr>
            <w:tcW w:w="0" w:type="auto"/>
            <w:tcBorders>
              <w:top w:val="nil"/>
              <w:bottom w:val="single" w:sz="18" w:space="0" w:color="auto"/>
            </w:tcBorders>
            <w:shd w:val="clear" w:color="auto" w:fill="auto"/>
            <w:noWrap/>
            <w:vAlign w:val="center"/>
            <w:hideMark/>
          </w:tcPr>
          <w:p w:rsidR="00AA5014" w:rsidRPr="00944261" w:rsidRDefault="00AA5014" w:rsidP="00430EC4">
            <w:pPr>
              <w:ind w:left="0" w:firstLine="0"/>
              <w:jc w:val="center"/>
              <w:rPr>
                <w:rFonts w:eastAsia="Times New Roman" w:cs="Times New Roman"/>
                <w:color w:val="000000"/>
                <w:sz w:val="22"/>
              </w:rPr>
            </w:pPr>
          </w:p>
        </w:tc>
      </w:tr>
    </w:tbl>
    <w:p w:rsidR="00AA5014" w:rsidRPr="009E62D9" w:rsidRDefault="00AA5014" w:rsidP="00AA5014">
      <w:pPr>
        <w:autoSpaceDE w:val="0"/>
        <w:autoSpaceDN w:val="0"/>
        <w:adjustRightInd w:val="0"/>
        <w:ind w:left="90" w:firstLine="0"/>
        <w:rPr>
          <w:sz w:val="22"/>
        </w:rPr>
      </w:pPr>
      <w:r w:rsidRPr="009E62D9">
        <w:rPr>
          <w:sz w:val="22"/>
        </w:rPr>
        <w:t>Dependent variable indicates the ideological direction of the individual justices’ vote (1 = libe</w:t>
      </w:r>
      <w:r>
        <w:rPr>
          <w:sz w:val="22"/>
        </w:rPr>
        <w:t xml:space="preserve">ral, 0 = conservative).  </w:t>
      </w:r>
      <w:r w:rsidR="007203D8">
        <w:rPr>
          <w:sz w:val="22"/>
        </w:rPr>
        <w:t xml:space="preserve">Numbers in parentheses indicated standard errors.  </w:t>
      </w:r>
      <w:proofErr w:type="gramStart"/>
      <w:r>
        <w:rPr>
          <w:sz w:val="22"/>
        </w:rPr>
        <w:t>*p&lt;.05, **p&lt;.01, ***p&lt;.001</w:t>
      </w:r>
      <w:r w:rsidRPr="009E62D9">
        <w:rPr>
          <w:sz w:val="22"/>
        </w:rPr>
        <w:t xml:space="preserve"> (one-tailed).</w:t>
      </w:r>
      <w:proofErr w:type="gramEnd"/>
    </w:p>
    <w:p w:rsidR="00AA5014" w:rsidRDefault="00AA5014" w:rsidP="00451FF6">
      <w:pPr>
        <w:spacing w:line="480" w:lineRule="auto"/>
        <w:ind w:left="0" w:firstLine="0"/>
        <w:rPr>
          <w:rFonts w:cs="Times New Roman"/>
          <w:b/>
          <w:szCs w:val="24"/>
        </w:rPr>
      </w:pPr>
    </w:p>
    <w:p w:rsidR="00296D2E" w:rsidRDefault="00296D2E" w:rsidP="00451FF6">
      <w:pPr>
        <w:spacing w:line="480" w:lineRule="auto"/>
        <w:ind w:left="0" w:firstLine="0"/>
        <w:rPr>
          <w:rFonts w:cs="Times New Roman"/>
          <w:b/>
          <w:szCs w:val="24"/>
        </w:rPr>
      </w:pPr>
    </w:p>
    <w:p w:rsidR="0059577F" w:rsidRPr="00333B02" w:rsidRDefault="0059577F" w:rsidP="00AF21BE">
      <w:pPr>
        <w:autoSpaceDE w:val="0"/>
        <w:autoSpaceDN w:val="0"/>
        <w:adjustRightInd w:val="0"/>
        <w:spacing w:line="480" w:lineRule="auto"/>
        <w:ind w:left="0" w:firstLine="0"/>
      </w:pPr>
    </w:p>
    <w:p w:rsidR="00333B02" w:rsidRPr="00080B67" w:rsidRDefault="00AF21BE" w:rsidP="00080B67">
      <w:pPr>
        <w:spacing w:line="480" w:lineRule="auto"/>
        <w:ind w:left="0" w:firstLine="0"/>
      </w:pPr>
      <w:proofErr w:type="gramStart"/>
      <w:r w:rsidRPr="00B94222">
        <w:lastRenderedPageBreak/>
        <w:t>justice</w:t>
      </w:r>
      <w:proofErr w:type="gramEnd"/>
      <w:r w:rsidRPr="00B94222">
        <w:t xml:space="preserve"> vot</w:t>
      </w:r>
      <w:r>
        <w:t xml:space="preserve">es in salient cases at the Roberts Court, but it is necessary to produce a marginal effects chart to depict the influence of </w:t>
      </w:r>
      <w:r w:rsidRPr="00B94222">
        <w:rPr>
          <w:i/>
        </w:rPr>
        <w:t>Liberal-Conservative Amicus Briefs Difference</w:t>
      </w:r>
      <w:r>
        <w:rPr>
          <w:i/>
        </w:rPr>
        <w:t xml:space="preserve"> </w:t>
      </w:r>
      <w:r>
        <w:t xml:space="preserve">across a range of </w:t>
      </w:r>
      <w:r>
        <w:rPr>
          <w:i/>
        </w:rPr>
        <w:t>Judicial Moderation</w:t>
      </w:r>
      <w:r>
        <w:t xml:space="preserve"> values (see Figure 5.6).</w:t>
      </w:r>
      <w:r w:rsidR="00080B67">
        <w:t xml:space="preserve">  </w:t>
      </w:r>
      <w:r w:rsidRPr="006B7781">
        <w:t xml:space="preserve">In Figure 5.6 </w:t>
      </w:r>
      <w:r w:rsidRPr="006B7781">
        <w:rPr>
          <w:rFonts w:cs="Times New Roman"/>
          <w:szCs w:val="24"/>
        </w:rPr>
        <w:t xml:space="preserve">the solid line indicates how the marginal effects of </w:t>
      </w:r>
      <w:r w:rsidRPr="006B7781">
        <w:rPr>
          <w:rFonts w:cs="Times New Roman"/>
          <w:i/>
          <w:szCs w:val="24"/>
        </w:rPr>
        <w:t xml:space="preserve">Liberal-Conservative Amicus Brief Difference </w:t>
      </w:r>
      <w:r w:rsidRPr="006B7781">
        <w:rPr>
          <w:rFonts w:cs="Times New Roman"/>
          <w:szCs w:val="24"/>
        </w:rPr>
        <w:t xml:space="preserve">vary across a range of justice moderation scores in salient cases.  The 95 percent confidence intervals drawn around these lines indicate significance levels.  </w:t>
      </w:r>
    </w:p>
    <w:p w:rsidR="00080B67" w:rsidRPr="00AF21BE" w:rsidRDefault="00080B67" w:rsidP="00AF21BE">
      <w:pPr>
        <w:spacing w:line="480" w:lineRule="auto"/>
        <w:ind w:left="0" w:firstLine="720"/>
        <w:rPr>
          <w:rFonts w:cs="Times New Roman"/>
          <w:szCs w:val="24"/>
        </w:rPr>
      </w:pPr>
    </w:p>
    <w:p w:rsidR="00451FF6" w:rsidRDefault="00451FF6" w:rsidP="00451FF6">
      <w:pPr>
        <w:spacing w:line="480" w:lineRule="auto"/>
        <w:ind w:left="0" w:firstLine="0"/>
        <w:rPr>
          <w:rFonts w:cs="Times New Roman"/>
          <w:b/>
          <w:szCs w:val="24"/>
        </w:rPr>
      </w:pPr>
      <w:proofErr w:type="gramStart"/>
      <w:r>
        <w:rPr>
          <w:rFonts w:cs="Times New Roman"/>
          <w:b/>
          <w:szCs w:val="24"/>
        </w:rPr>
        <w:t>Figure 5.6.</w:t>
      </w:r>
      <w:proofErr w:type="gramEnd"/>
      <w:r w:rsidRPr="00DE4886">
        <w:rPr>
          <w:rFonts w:cs="Times New Roman"/>
          <w:b/>
          <w:szCs w:val="24"/>
        </w:rPr>
        <w:t xml:space="preserve"> Marginal Effect of </w:t>
      </w:r>
      <w:r w:rsidRPr="00DE4886">
        <w:rPr>
          <w:rFonts w:cs="Times New Roman"/>
          <w:b/>
          <w:i/>
          <w:szCs w:val="24"/>
        </w:rPr>
        <w:t>Liberal-Conservative Amicus Brief Difference</w:t>
      </w:r>
      <w:r w:rsidRPr="00DE4886">
        <w:rPr>
          <w:rFonts w:cs="Times New Roman"/>
          <w:b/>
          <w:szCs w:val="24"/>
        </w:rPr>
        <w:t xml:space="preserve"> on Ideological Direction of Justice Vote Across Varying</w:t>
      </w:r>
      <w:r>
        <w:rPr>
          <w:rFonts w:cs="Times New Roman"/>
          <w:b/>
          <w:szCs w:val="24"/>
        </w:rPr>
        <w:t xml:space="preserve"> Levels of Judic</w:t>
      </w:r>
      <w:r w:rsidR="00080B67">
        <w:rPr>
          <w:rFonts w:cs="Times New Roman"/>
          <w:b/>
          <w:szCs w:val="24"/>
        </w:rPr>
        <w:t>ial Moderation in Salient Cases</w:t>
      </w:r>
    </w:p>
    <w:p w:rsidR="00451FF6" w:rsidRDefault="00711744" w:rsidP="00E71D36">
      <w:pPr>
        <w:spacing w:line="480" w:lineRule="auto"/>
        <w:ind w:left="0" w:firstLine="0"/>
        <w:rPr>
          <w:rFonts w:cs="Times New Roman"/>
          <w:szCs w:val="24"/>
        </w:rPr>
      </w:pPr>
      <w:r>
        <w:rPr>
          <w:rFonts w:cs="Times New Roman"/>
          <w:noProof/>
          <w:szCs w:val="24"/>
        </w:rPr>
        <w:drawing>
          <wp:inline distT="0" distB="0" distL="0" distR="0" wp14:anchorId="743F48AF" wp14:editId="3AD465E6">
            <wp:extent cx="5114925" cy="37433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080B67" w:rsidRDefault="00080B67" w:rsidP="00080B67">
      <w:pPr>
        <w:spacing w:line="480" w:lineRule="auto"/>
        <w:ind w:left="0" w:firstLine="0"/>
        <w:rPr>
          <w:rFonts w:cs="Times New Roman"/>
          <w:szCs w:val="24"/>
        </w:rPr>
      </w:pPr>
    </w:p>
    <w:p w:rsidR="00080B67" w:rsidRDefault="00080B67" w:rsidP="00080B67">
      <w:pPr>
        <w:spacing w:line="480" w:lineRule="auto"/>
        <w:ind w:left="0" w:firstLine="0"/>
        <w:rPr>
          <w:rFonts w:cs="Times New Roman"/>
          <w:szCs w:val="24"/>
        </w:rPr>
      </w:pPr>
    </w:p>
    <w:p w:rsidR="00080B67" w:rsidRDefault="00080B67" w:rsidP="00080B67">
      <w:pPr>
        <w:spacing w:line="480" w:lineRule="auto"/>
        <w:ind w:left="0" w:firstLine="0"/>
        <w:rPr>
          <w:rFonts w:cs="Times New Roman"/>
          <w:szCs w:val="24"/>
        </w:rPr>
      </w:pPr>
    </w:p>
    <w:p w:rsidR="00AF21BE" w:rsidRPr="00080B67" w:rsidRDefault="00080B67" w:rsidP="00080B67">
      <w:pPr>
        <w:spacing w:line="480" w:lineRule="auto"/>
        <w:ind w:left="0" w:firstLine="720"/>
        <w:rPr>
          <w:rFonts w:cs="Times New Roman"/>
          <w:szCs w:val="24"/>
        </w:rPr>
      </w:pPr>
      <w:r w:rsidRPr="006B7781">
        <w:rPr>
          <w:rFonts w:cs="Times New Roman"/>
          <w:szCs w:val="24"/>
        </w:rPr>
        <w:lastRenderedPageBreak/>
        <w:t xml:space="preserve">Similar to the findings in criminal procedure cases at the Roberts Court, Figure 5.6 reveals that a justice’s moderation level does indeed mediate the influence of amicus briefs in the expected direction for those justices with </w:t>
      </w:r>
      <w:r w:rsidRPr="006B7781">
        <w:rPr>
          <w:rFonts w:cs="Times New Roman"/>
          <w:i/>
          <w:szCs w:val="24"/>
        </w:rPr>
        <w:t xml:space="preserve">Judicial Moderation </w:t>
      </w:r>
      <w:r w:rsidRPr="006B7781">
        <w:rPr>
          <w:rFonts w:cs="Times New Roman"/>
          <w:szCs w:val="24"/>
        </w:rPr>
        <w:t>scores above 2 (which is every just</w:t>
      </w:r>
      <w:r>
        <w:rPr>
          <w:rFonts w:cs="Times New Roman"/>
          <w:szCs w:val="24"/>
        </w:rPr>
        <w:t xml:space="preserve">ice except for Justices Scalia </w:t>
      </w:r>
      <w:r w:rsidRPr="006B7781">
        <w:rPr>
          <w:rFonts w:cs="Times New Roman"/>
          <w:szCs w:val="24"/>
        </w:rPr>
        <w:t xml:space="preserve">and Thomas, and Justice Stevens in 2008).  </w:t>
      </w:r>
      <w:r w:rsidR="00AF21BE" w:rsidRPr="006B7781">
        <w:rPr>
          <w:rFonts w:cs="Times New Roman"/>
          <w:szCs w:val="24"/>
        </w:rPr>
        <w:t xml:space="preserve">Thus, the influence of amicus briefs on justice votes in salient cases exists for 9 out of the 11 justices who have served on the Roberts Court.  As justices become more moderate, they are more susceptible to the influence of an ideological advantage of amicus briefs in salient cases.  </w:t>
      </w:r>
    </w:p>
    <w:p w:rsidR="00333B02" w:rsidRPr="006B7781" w:rsidRDefault="00333B02" w:rsidP="00FA57D1">
      <w:pPr>
        <w:autoSpaceDE w:val="0"/>
        <w:autoSpaceDN w:val="0"/>
        <w:adjustRightInd w:val="0"/>
        <w:spacing w:line="480" w:lineRule="auto"/>
        <w:ind w:left="0" w:firstLine="720"/>
        <w:rPr>
          <w:rFonts w:cs="Times New Roman"/>
          <w:szCs w:val="24"/>
        </w:rPr>
      </w:pPr>
      <w:r w:rsidRPr="006B7781">
        <w:rPr>
          <w:rFonts w:cs="Times New Roman"/>
          <w:szCs w:val="24"/>
        </w:rPr>
        <w:t xml:space="preserve">The marginal effects graph shows that there is an approximately 3 percent increase in the likelihood of a liberal vote for justice with a moderation score of 2.1 (Stevens and Souter in 2007 term), and a 7 percent increase in the likelihood of a liberal vote for a justice with a moderation score of 4.02 (Kennedy) when there is an advantage of liberal briefs.  </w:t>
      </w:r>
    </w:p>
    <w:p w:rsidR="00AF210D" w:rsidRDefault="00333B02" w:rsidP="00FA57D1">
      <w:pPr>
        <w:autoSpaceDE w:val="0"/>
        <w:autoSpaceDN w:val="0"/>
        <w:adjustRightInd w:val="0"/>
        <w:spacing w:line="480" w:lineRule="auto"/>
        <w:ind w:left="0" w:firstLine="720"/>
      </w:pPr>
      <w:r w:rsidRPr="006B7781">
        <w:rPr>
          <w:rFonts w:cs="Times New Roman"/>
          <w:szCs w:val="24"/>
        </w:rPr>
        <w:t xml:space="preserve">Figure 5.6 demonstrates that an ideological advantage of amicus briefs influences the vast majority of the justices in salient cases before the Roberts Court and that this influence becomes more pronounced as the justices become more moderate in their ideologies.  </w:t>
      </w:r>
      <w:r w:rsidR="006B7781" w:rsidRPr="006B7781">
        <w:rPr>
          <w:rFonts w:cs="Times New Roman"/>
          <w:szCs w:val="24"/>
        </w:rPr>
        <w:t>While these</w:t>
      </w:r>
      <w:r w:rsidRPr="006B7781">
        <w:rPr>
          <w:rFonts w:cs="Times New Roman"/>
          <w:szCs w:val="24"/>
        </w:rPr>
        <w:t xml:space="preserve"> findings </w:t>
      </w:r>
      <w:r w:rsidR="006B7781" w:rsidRPr="006B7781">
        <w:rPr>
          <w:rFonts w:cs="Times New Roman"/>
          <w:szCs w:val="24"/>
        </w:rPr>
        <w:t xml:space="preserve">do </w:t>
      </w:r>
      <w:r w:rsidR="004055E6">
        <w:rPr>
          <w:rFonts w:cs="Times New Roman"/>
          <w:szCs w:val="24"/>
        </w:rPr>
        <w:t xml:space="preserve">support my </w:t>
      </w:r>
      <w:r w:rsidRPr="006B7781">
        <w:rPr>
          <w:rFonts w:cs="Times New Roman"/>
          <w:szCs w:val="24"/>
        </w:rPr>
        <w:t>information/legal persuasion hypotheses and my median justice hypotheses regarding amicus brief influ</w:t>
      </w:r>
      <w:r w:rsidR="006B7781" w:rsidRPr="006B7781">
        <w:rPr>
          <w:rFonts w:cs="Times New Roman"/>
          <w:szCs w:val="24"/>
        </w:rPr>
        <w:t>ence</w:t>
      </w:r>
      <w:r w:rsidR="00AF210D">
        <w:rPr>
          <w:rFonts w:cs="Times New Roman"/>
          <w:szCs w:val="24"/>
        </w:rPr>
        <w:t xml:space="preserve">, I did not expect this in result in salient cases.  Figure 5.6 fails to support my political salience attitudinal hypotheses H11 and H12.  </w:t>
      </w:r>
      <w:r w:rsidR="006B7781" w:rsidRPr="006B7781">
        <w:t xml:space="preserve">This is because </w:t>
      </w:r>
      <w:r w:rsidR="00AF210D">
        <w:rPr>
          <w:rFonts w:cs="Times New Roman"/>
          <w:szCs w:val="24"/>
        </w:rPr>
        <w:t xml:space="preserve">H11 and H12 </w:t>
      </w:r>
      <w:r w:rsidR="006B7781" w:rsidRPr="006B7781">
        <w:rPr>
          <w:rFonts w:cs="Times New Roman"/>
          <w:szCs w:val="24"/>
        </w:rPr>
        <w:t xml:space="preserve">stated that amicus influence would be less in salient cases, as only </w:t>
      </w:r>
      <w:r w:rsidR="00AF210D">
        <w:rPr>
          <w:rFonts w:cs="Times New Roman"/>
          <w:szCs w:val="24"/>
        </w:rPr>
        <w:t xml:space="preserve">justices </w:t>
      </w:r>
      <w:r w:rsidR="006B7781" w:rsidRPr="006B7781">
        <w:rPr>
          <w:rFonts w:cs="Times New Roman"/>
          <w:szCs w:val="24"/>
        </w:rPr>
        <w:t>that were on the same ideological side as the amicus brief advantage would succumb to amicus influence</w:t>
      </w:r>
      <w:r w:rsidR="006B7781" w:rsidRPr="006B7781">
        <w:t xml:space="preserve">.  Yet this does not appear to be the case, as conservative justices Roberts, Alito, and Kennedy each have judicial moderation scores above 2.1, and Figure 5.6 evidences liberal amicus brief </w:t>
      </w:r>
      <w:r w:rsidR="00AF210D">
        <w:t xml:space="preserve">influence </w:t>
      </w:r>
      <w:r w:rsidR="006B7781" w:rsidRPr="006B7781">
        <w:t>over these</w:t>
      </w:r>
      <w:r w:rsidR="00EC5513">
        <w:t xml:space="preserve"> conservative</w:t>
      </w:r>
      <w:r w:rsidR="006B7781" w:rsidRPr="006B7781">
        <w:t xml:space="preserve"> justices. Further, each of the liberal </w:t>
      </w:r>
      <w:proofErr w:type="gramStart"/>
      <w:r w:rsidR="006B7781" w:rsidRPr="006B7781">
        <w:t>justices</w:t>
      </w:r>
      <w:proofErr w:type="gramEnd"/>
      <w:r w:rsidR="006B7781" w:rsidRPr="006B7781">
        <w:t xml:space="preserve"> score above 2.1 on the judicial moderation scale, and </w:t>
      </w:r>
      <w:r w:rsidR="00AF210D">
        <w:t xml:space="preserve">each of these justices </w:t>
      </w:r>
      <w:r w:rsidR="006B7781" w:rsidRPr="006B7781">
        <w:t>evidence</w:t>
      </w:r>
      <w:r w:rsidR="00AF210D">
        <w:t>s</w:t>
      </w:r>
      <w:r w:rsidR="006B7781" w:rsidRPr="006B7781">
        <w:t xml:space="preserve"> conservative amicus brief </w:t>
      </w:r>
      <w:r w:rsidR="006B7781" w:rsidRPr="006B7781">
        <w:lastRenderedPageBreak/>
        <w:t>influence.</w:t>
      </w:r>
      <w:r w:rsidR="00AF210D">
        <w:t xml:space="preserve">   Thus, contrary to my expectations, an ideological advantage of amicus briefs in salient cases does make all of the justices (except Justices Thomas and Scalia)</w:t>
      </w:r>
      <w:r w:rsidR="0018031D">
        <w:t xml:space="preserve"> </w:t>
      </w:r>
      <w:r w:rsidR="00AF210D">
        <w:t>more likely to vote in the direction supported by the most amicus briefs, and this effect crosses ideological lines, becoming more pronounced as the justices become more moderate.  This is a very important finding, as it indicates that amicus briefs impact the way the justices vote in the cases that matter the most at the Ro</w:t>
      </w:r>
      <w:r w:rsidR="00EC5513">
        <w:t xml:space="preserve">berts Court.  The vast </w:t>
      </w:r>
      <w:proofErr w:type="gramStart"/>
      <w:r w:rsidR="00EC5513">
        <w:t xml:space="preserve">majority </w:t>
      </w:r>
      <w:r w:rsidR="00AF210D">
        <w:t>of the justices do</w:t>
      </w:r>
      <w:proofErr w:type="gramEnd"/>
      <w:r w:rsidR="00AF210D">
        <w:t xml:space="preserve"> not simply vote their ideological preferences in salient cases, but are open to the persuasive attempts of </w:t>
      </w:r>
      <w:r w:rsidR="00EC5513">
        <w:t>amicus briefs</w:t>
      </w:r>
      <w:r w:rsidR="00AF210D">
        <w:t>.  Therefore, the legal persuasion model doe</w:t>
      </w:r>
      <w:r w:rsidR="00A930B8">
        <w:t>s describe</w:t>
      </w:r>
      <w:r w:rsidR="00AF210D">
        <w:t xml:space="preserve"> amicus brief influence in salient cases.</w:t>
      </w:r>
    </w:p>
    <w:p w:rsidR="007F4985" w:rsidRPr="007F4985" w:rsidRDefault="007F4985" w:rsidP="007F4985">
      <w:pPr>
        <w:autoSpaceDE w:val="0"/>
        <w:autoSpaceDN w:val="0"/>
        <w:adjustRightInd w:val="0"/>
        <w:spacing w:line="480" w:lineRule="auto"/>
        <w:ind w:left="0" w:firstLine="720"/>
        <w:rPr>
          <w:rFonts w:cs="Times New Roman"/>
          <w:szCs w:val="24"/>
        </w:rPr>
      </w:pPr>
      <w:r w:rsidRPr="007F4985">
        <w:rPr>
          <w:rFonts w:cs="Times New Roman"/>
          <w:szCs w:val="24"/>
        </w:rPr>
        <w:t>Although Table 5.6 and Figure 5.6 show there is a statistically significant influence of amicus brief advantage for all justices with mod</w:t>
      </w:r>
      <w:r w:rsidR="00080B67">
        <w:rPr>
          <w:rFonts w:cs="Times New Roman"/>
          <w:szCs w:val="24"/>
        </w:rPr>
        <w:t xml:space="preserve">eration scores above 2.0 (all but </w:t>
      </w:r>
      <w:r w:rsidRPr="007F4985">
        <w:rPr>
          <w:rFonts w:cs="Times New Roman"/>
          <w:szCs w:val="24"/>
        </w:rPr>
        <w:t xml:space="preserve">two the justices) in salient cases, the above information is limited in that it does not adequately depict how the impact of amicus briefs in a salient case changes as both the numerical advantage of amicus briefs increases or decreases across a range of values and as judicial moderation scores vary.   Therefore, Table A.5, located in the Appendix, provides predicted probabilities of observing a liberal justice vote in salient cases at varying levels of amicus brief advantage and judicial moderation, holding all other variables at their mean or </w:t>
      </w:r>
      <w:proofErr w:type="spellStart"/>
      <w:r w:rsidRPr="007F4985">
        <w:rPr>
          <w:rFonts w:cs="Times New Roman"/>
          <w:szCs w:val="24"/>
        </w:rPr>
        <w:t>modal</w:t>
      </w:r>
      <w:proofErr w:type="spellEnd"/>
      <w:r w:rsidRPr="007F4985">
        <w:rPr>
          <w:rFonts w:cs="Times New Roman"/>
          <w:szCs w:val="24"/>
        </w:rPr>
        <w:t xml:space="preserve"> values. </w:t>
      </w:r>
      <w:r>
        <w:rPr>
          <w:rFonts w:cs="Times New Roman"/>
          <w:szCs w:val="24"/>
        </w:rPr>
        <w:t>As with Table A.4, f</w:t>
      </w:r>
      <w:r w:rsidRPr="007F4985">
        <w:rPr>
          <w:rFonts w:cs="Times New Roman"/>
          <w:szCs w:val="24"/>
        </w:rPr>
        <w:t xml:space="preserve">or purposes of Table A.5, the mean moderate justice is classified as having a judicial moderation score at the mean (2.43), the less moderate justice is classified as having a judicial moderation score at the 25th percentile (2.0), the more moderate justice is classified as having a moderation score at the 75th percentile (2.84), the least moderate justice has a moderation score of 0, and the most moderate justice has a moderation score of 4.02.    </w:t>
      </w:r>
    </w:p>
    <w:p w:rsidR="007F4985" w:rsidRPr="007F4985" w:rsidRDefault="00361C22" w:rsidP="006B5F49">
      <w:pPr>
        <w:autoSpaceDE w:val="0"/>
        <w:autoSpaceDN w:val="0"/>
        <w:adjustRightInd w:val="0"/>
        <w:spacing w:line="480" w:lineRule="auto"/>
        <w:ind w:left="0" w:firstLine="720"/>
        <w:rPr>
          <w:rFonts w:cs="Times New Roman"/>
          <w:color w:val="FF0000"/>
          <w:szCs w:val="24"/>
        </w:rPr>
      </w:pPr>
      <w:r w:rsidRPr="00361C22">
        <w:rPr>
          <w:rFonts w:cs="Times New Roman"/>
          <w:szCs w:val="24"/>
        </w:rPr>
        <w:lastRenderedPageBreak/>
        <w:t>Table A.5 demonstrates</w:t>
      </w:r>
      <w:r>
        <w:rPr>
          <w:rFonts w:cs="Times New Roman"/>
          <w:szCs w:val="24"/>
        </w:rPr>
        <w:t xml:space="preserve"> the</w:t>
      </w:r>
      <w:r w:rsidRPr="00361C22">
        <w:rPr>
          <w:rFonts w:cs="Times New Roman"/>
          <w:szCs w:val="24"/>
        </w:rPr>
        <w:t xml:space="preserve"> same </w:t>
      </w:r>
      <w:r w:rsidR="007F4985" w:rsidRPr="00361C22">
        <w:rPr>
          <w:rFonts w:cs="Times New Roman"/>
          <w:szCs w:val="24"/>
        </w:rPr>
        <w:t>two</w:t>
      </w:r>
      <w:r>
        <w:rPr>
          <w:rFonts w:cs="Times New Roman"/>
          <w:szCs w:val="24"/>
        </w:rPr>
        <w:t xml:space="preserve"> basic but</w:t>
      </w:r>
      <w:r w:rsidR="007F4985" w:rsidRPr="00361C22">
        <w:rPr>
          <w:rFonts w:cs="Times New Roman"/>
          <w:szCs w:val="24"/>
        </w:rPr>
        <w:t xml:space="preserve"> significant pieces of information regarding amicus brief influence</w:t>
      </w:r>
      <w:r w:rsidRPr="00361C22">
        <w:rPr>
          <w:rFonts w:cs="Times New Roman"/>
          <w:szCs w:val="24"/>
        </w:rPr>
        <w:t xml:space="preserve"> that Table A.4 </w:t>
      </w:r>
      <w:r w:rsidR="006B5F49">
        <w:rPr>
          <w:rFonts w:cs="Times New Roman"/>
          <w:szCs w:val="24"/>
        </w:rPr>
        <w:t xml:space="preserve">also </w:t>
      </w:r>
      <w:r w:rsidRPr="00361C22">
        <w:rPr>
          <w:rFonts w:cs="Times New Roman"/>
          <w:szCs w:val="24"/>
        </w:rPr>
        <w:t>demonstrated</w:t>
      </w:r>
      <w:r w:rsidR="007F4985" w:rsidRPr="00361C22">
        <w:rPr>
          <w:rFonts w:cs="Times New Roman"/>
          <w:szCs w:val="24"/>
        </w:rPr>
        <w:t>.</w:t>
      </w:r>
      <w:r>
        <w:rPr>
          <w:rFonts w:cs="Times New Roman"/>
          <w:color w:val="FF0000"/>
          <w:szCs w:val="24"/>
        </w:rPr>
        <w:t xml:space="preserve"> </w:t>
      </w:r>
      <w:r w:rsidR="007F4985" w:rsidRPr="007F4985">
        <w:rPr>
          <w:rFonts w:cs="Times New Roman"/>
          <w:color w:val="FF0000"/>
          <w:szCs w:val="24"/>
        </w:rPr>
        <w:t xml:space="preserve"> </w:t>
      </w:r>
      <w:r w:rsidR="007F4985" w:rsidRPr="00361C22">
        <w:rPr>
          <w:rFonts w:cs="Times New Roman"/>
          <w:szCs w:val="24"/>
        </w:rPr>
        <w:t xml:space="preserve">First, </w:t>
      </w:r>
      <w:r w:rsidRPr="00361C22">
        <w:rPr>
          <w:rFonts w:cs="Times New Roman"/>
          <w:szCs w:val="24"/>
        </w:rPr>
        <w:t xml:space="preserve">Table A.5 </w:t>
      </w:r>
      <w:r w:rsidR="007F4985" w:rsidRPr="00361C22">
        <w:rPr>
          <w:rFonts w:cs="Times New Roman"/>
          <w:szCs w:val="24"/>
        </w:rPr>
        <w:t>shows that when the justices encounter an increasing ideological advantage of briefs</w:t>
      </w:r>
      <w:r w:rsidRPr="00361C22">
        <w:rPr>
          <w:rFonts w:cs="Times New Roman"/>
          <w:szCs w:val="24"/>
        </w:rPr>
        <w:t xml:space="preserve"> in salient cases</w:t>
      </w:r>
      <w:r w:rsidR="007F4985" w:rsidRPr="00361C22">
        <w:rPr>
          <w:rFonts w:cs="Times New Roman"/>
          <w:szCs w:val="24"/>
        </w:rPr>
        <w:t>, the influence of those briefs increases, as the justices become more likely to vote in the direction of amicus brief advantage as the advantage becomes more pronounced</w:t>
      </w:r>
      <w:r w:rsidR="006B5F49">
        <w:rPr>
          <w:rFonts w:cs="Times New Roman"/>
          <w:szCs w:val="24"/>
        </w:rPr>
        <w:t>, regardless of judicial ideology</w:t>
      </w:r>
      <w:r w:rsidR="007F4985" w:rsidRPr="00361C22">
        <w:rPr>
          <w:rFonts w:cs="Times New Roman"/>
          <w:szCs w:val="24"/>
        </w:rPr>
        <w:t>.  This effect holds true for justices across varying moderation levels</w:t>
      </w:r>
      <w:r w:rsidR="006B5F49">
        <w:rPr>
          <w:rFonts w:cs="Times New Roman"/>
          <w:szCs w:val="24"/>
        </w:rPr>
        <w:t>, except for the least moderate justice – Justice Thomas</w:t>
      </w:r>
      <w:r w:rsidR="007F4985" w:rsidRPr="00361C22">
        <w:rPr>
          <w:rFonts w:cs="Times New Roman"/>
          <w:szCs w:val="24"/>
        </w:rPr>
        <w:t>.</w:t>
      </w:r>
      <w:r w:rsidR="006B5F49">
        <w:rPr>
          <w:rStyle w:val="FootnoteReference"/>
          <w:rFonts w:cs="Times New Roman"/>
          <w:szCs w:val="24"/>
        </w:rPr>
        <w:footnoteReference w:id="85"/>
      </w:r>
      <w:r w:rsidR="007F4985" w:rsidRPr="007F4985">
        <w:rPr>
          <w:rFonts w:cs="Times New Roman"/>
          <w:color w:val="FF0000"/>
          <w:szCs w:val="24"/>
        </w:rPr>
        <w:t xml:space="preserve"> </w:t>
      </w:r>
      <w:r w:rsidR="006B5F49">
        <w:rPr>
          <w:rFonts w:cs="Times New Roman"/>
          <w:color w:val="FF0000"/>
          <w:szCs w:val="24"/>
        </w:rPr>
        <w:t xml:space="preserve"> </w:t>
      </w:r>
      <w:r w:rsidR="007F4985" w:rsidRPr="006B5F49">
        <w:rPr>
          <w:rFonts w:cs="Times New Roman"/>
          <w:szCs w:val="24"/>
        </w:rPr>
        <w:t>Second,</w:t>
      </w:r>
      <w:r w:rsidR="006B5F49" w:rsidRPr="006B5F49">
        <w:rPr>
          <w:rFonts w:cs="Times New Roman"/>
          <w:szCs w:val="24"/>
        </w:rPr>
        <w:t xml:space="preserve"> Table A.5</w:t>
      </w:r>
      <w:r w:rsidR="007F4985" w:rsidRPr="006B5F49">
        <w:rPr>
          <w:rFonts w:cs="Times New Roman"/>
          <w:szCs w:val="24"/>
        </w:rPr>
        <w:t xml:space="preserve"> shows that as the justices become more moderate, they are more susceptible to amicus impact</w:t>
      </w:r>
      <w:r w:rsidR="006B5F49">
        <w:rPr>
          <w:rFonts w:cs="Times New Roman"/>
          <w:szCs w:val="24"/>
        </w:rPr>
        <w:t xml:space="preserve"> in salient cases</w:t>
      </w:r>
      <w:r w:rsidR="007F4985" w:rsidRPr="006B5F49">
        <w:rPr>
          <w:rFonts w:cs="Times New Roman"/>
          <w:szCs w:val="24"/>
        </w:rPr>
        <w:t>, as they typically become even more likely to vote in the direction of the amicus brief advantage as their moderation levels increase.</w:t>
      </w:r>
      <w:r w:rsidR="007F4985" w:rsidRPr="007F4985">
        <w:rPr>
          <w:rFonts w:cs="Times New Roman"/>
          <w:color w:val="FF0000"/>
          <w:szCs w:val="24"/>
        </w:rPr>
        <w:t xml:space="preserve">  </w:t>
      </w:r>
    </w:p>
    <w:p w:rsidR="007F4985" w:rsidRDefault="007F4985" w:rsidP="007F4985">
      <w:pPr>
        <w:autoSpaceDE w:val="0"/>
        <w:autoSpaceDN w:val="0"/>
        <w:adjustRightInd w:val="0"/>
        <w:spacing w:line="480" w:lineRule="auto"/>
        <w:ind w:left="0" w:firstLine="720"/>
        <w:rPr>
          <w:rFonts w:cs="Times New Roman"/>
          <w:szCs w:val="24"/>
        </w:rPr>
      </w:pPr>
      <w:r w:rsidRPr="006B5F49">
        <w:rPr>
          <w:rFonts w:cs="Times New Roman"/>
          <w:szCs w:val="24"/>
        </w:rPr>
        <w:t>For example, compared to a case in which there is an 1 brief conservative advantage, in a case in which there is a</w:t>
      </w:r>
      <w:r w:rsidR="006B5F49" w:rsidRPr="006B5F49">
        <w:rPr>
          <w:rFonts w:cs="Times New Roman"/>
          <w:szCs w:val="24"/>
        </w:rPr>
        <w:t xml:space="preserve">n 1 brief liberal advantage, the less moderate justice is 1.5 </w:t>
      </w:r>
      <w:r w:rsidRPr="006B5F49">
        <w:rPr>
          <w:rFonts w:cs="Times New Roman"/>
          <w:szCs w:val="24"/>
        </w:rPr>
        <w:t xml:space="preserve">percent more likely to vote liberally, </w:t>
      </w:r>
      <w:r w:rsidR="006B5F49" w:rsidRPr="006B5F49">
        <w:rPr>
          <w:rFonts w:cs="Times New Roman"/>
          <w:szCs w:val="24"/>
        </w:rPr>
        <w:t>the mean moderate justice is 2</w:t>
      </w:r>
      <w:r w:rsidRPr="006B5F49">
        <w:rPr>
          <w:rFonts w:cs="Times New Roman"/>
          <w:szCs w:val="24"/>
        </w:rPr>
        <w:t xml:space="preserve"> percent more likely to vote liberally, the more moderate justice is 3</w:t>
      </w:r>
      <w:r w:rsidR="006B5F49" w:rsidRPr="006B5F49">
        <w:rPr>
          <w:rFonts w:cs="Times New Roman"/>
          <w:szCs w:val="24"/>
        </w:rPr>
        <w:t>.3</w:t>
      </w:r>
      <w:r w:rsidRPr="006B5F49">
        <w:rPr>
          <w:rFonts w:cs="Times New Roman"/>
          <w:szCs w:val="24"/>
        </w:rPr>
        <w:t xml:space="preserve"> percent more likely to vote liberally, and </w:t>
      </w:r>
      <w:r w:rsidR="006B5F49" w:rsidRPr="006B5F49">
        <w:rPr>
          <w:rFonts w:cs="Times New Roman"/>
          <w:szCs w:val="24"/>
        </w:rPr>
        <w:t>the most moderate justice (Kennedy) is 3.5</w:t>
      </w:r>
      <w:r w:rsidRPr="006B5F49">
        <w:rPr>
          <w:rFonts w:cs="Times New Roman"/>
          <w:szCs w:val="24"/>
        </w:rPr>
        <w:t xml:space="preserve"> percent more likely to vote liberally</w:t>
      </w:r>
      <w:r w:rsidR="006B5F49">
        <w:rPr>
          <w:rFonts w:cs="Times New Roman"/>
          <w:szCs w:val="24"/>
        </w:rPr>
        <w:t xml:space="preserve"> in salient cases</w:t>
      </w:r>
      <w:r w:rsidRPr="006B5F49">
        <w:rPr>
          <w:rFonts w:cs="Times New Roman"/>
          <w:szCs w:val="24"/>
        </w:rPr>
        <w:t>.</w:t>
      </w:r>
      <w:r w:rsidRPr="007F4985">
        <w:rPr>
          <w:rFonts w:cs="Times New Roman"/>
          <w:color w:val="FF0000"/>
          <w:szCs w:val="24"/>
        </w:rPr>
        <w:t xml:space="preserve">  </w:t>
      </w:r>
      <w:r w:rsidRPr="006B5F49">
        <w:rPr>
          <w:rFonts w:cs="Times New Roman"/>
          <w:szCs w:val="24"/>
        </w:rPr>
        <w:t>Compared with a case in which there is a 3 brief conservative advantage, in a case in which there is a</w:t>
      </w:r>
      <w:r w:rsidR="006B5F49" w:rsidRPr="006B5F49">
        <w:rPr>
          <w:rFonts w:cs="Times New Roman"/>
          <w:szCs w:val="24"/>
        </w:rPr>
        <w:t xml:space="preserve"> 3 brief liberal advantage, the less moderate justice is 4.5</w:t>
      </w:r>
      <w:r w:rsidRPr="006B5F49">
        <w:rPr>
          <w:rFonts w:cs="Times New Roman"/>
          <w:szCs w:val="24"/>
        </w:rPr>
        <w:t xml:space="preserve"> percent more likely to vote liberally, the mean moderate justice is</w:t>
      </w:r>
      <w:r w:rsidR="006B5F49" w:rsidRPr="006B5F49">
        <w:rPr>
          <w:rFonts w:cs="Times New Roman"/>
          <w:szCs w:val="24"/>
        </w:rPr>
        <w:t xml:space="preserve"> about</w:t>
      </w:r>
      <w:r w:rsidRPr="006B5F49">
        <w:rPr>
          <w:rFonts w:cs="Times New Roman"/>
          <w:szCs w:val="24"/>
        </w:rPr>
        <w:t xml:space="preserve"> 6 percent more likely to vote liberally, the more moderate justice is 7 percent more likely to vote liberally, and the most moderate justice is</w:t>
      </w:r>
      <w:r w:rsidR="006B5F49" w:rsidRPr="006B5F49">
        <w:rPr>
          <w:rFonts w:cs="Times New Roman"/>
          <w:szCs w:val="24"/>
        </w:rPr>
        <w:t xml:space="preserve"> over</w:t>
      </w:r>
      <w:r w:rsidRPr="006B5F49">
        <w:rPr>
          <w:rFonts w:cs="Times New Roman"/>
          <w:szCs w:val="24"/>
        </w:rPr>
        <w:t xml:space="preserve"> 10 percent more likely to vote liberally</w:t>
      </w:r>
      <w:r w:rsidR="00966139">
        <w:rPr>
          <w:rFonts w:cs="Times New Roman"/>
          <w:szCs w:val="24"/>
        </w:rPr>
        <w:t>.</w:t>
      </w:r>
      <w:r w:rsidRPr="007F4985">
        <w:rPr>
          <w:rFonts w:cs="Times New Roman"/>
          <w:color w:val="FF0000"/>
          <w:szCs w:val="24"/>
        </w:rPr>
        <w:t xml:space="preserve"> </w:t>
      </w:r>
      <w:r w:rsidRPr="00966139">
        <w:rPr>
          <w:rFonts w:cs="Times New Roman"/>
          <w:szCs w:val="24"/>
        </w:rPr>
        <w:t>Also, compared with a case in which there is a 10 brief conservative advantage, in a case in which there is a 10 brief liberal advantage</w:t>
      </w:r>
      <w:r w:rsidR="00966139" w:rsidRPr="00966139">
        <w:rPr>
          <w:rFonts w:cs="Times New Roman"/>
          <w:szCs w:val="24"/>
        </w:rPr>
        <w:t>, the less moderate justice is 15</w:t>
      </w:r>
      <w:r w:rsidRPr="00966139">
        <w:rPr>
          <w:rFonts w:cs="Times New Roman"/>
          <w:szCs w:val="24"/>
        </w:rPr>
        <w:t xml:space="preserve"> </w:t>
      </w:r>
      <w:r w:rsidRPr="00966139">
        <w:rPr>
          <w:rFonts w:cs="Times New Roman"/>
          <w:szCs w:val="24"/>
        </w:rPr>
        <w:lastRenderedPageBreak/>
        <w:t>percent more likely to vote liberally, the mean moderate justice i</w:t>
      </w:r>
      <w:r w:rsidR="00966139" w:rsidRPr="00966139">
        <w:rPr>
          <w:rFonts w:cs="Times New Roman"/>
          <w:szCs w:val="24"/>
        </w:rPr>
        <w:t>s 19</w:t>
      </w:r>
      <w:r w:rsidRPr="00966139">
        <w:rPr>
          <w:rFonts w:cs="Times New Roman"/>
          <w:szCs w:val="24"/>
        </w:rPr>
        <w:t xml:space="preserve"> percent more likely to vote liberally,</w:t>
      </w:r>
      <w:r w:rsidR="00966139" w:rsidRPr="00966139">
        <w:rPr>
          <w:rFonts w:cs="Times New Roman"/>
          <w:szCs w:val="24"/>
        </w:rPr>
        <w:t xml:space="preserve"> the more moderate justice is 22</w:t>
      </w:r>
      <w:r w:rsidRPr="00966139">
        <w:rPr>
          <w:rFonts w:cs="Times New Roman"/>
          <w:szCs w:val="24"/>
        </w:rPr>
        <w:t xml:space="preserve"> percent more likely to vote liberally, and the most moderate justice is 33</w:t>
      </w:r>
      <w:r w:rsidR="00966139" w:rsidRPr="00966139">
        <w:rPr>
          <w:rFonts w:cs="Times New Roman"/>
          <w:szCs w:val="24"/>
        </w:rPr>
        <w:t>.5</w:t>
      </w:r>
      <w:r w:rsidRPr="00966139">
        <w:rPr>
          <w:rFonts w:cs="Times New Roman"/>
          <w:szCs w:val="24"/>
        </w:rPr>
        <w:t xml:space="preserve"> percent more likely to vote liberally.</w:t>
      </w:r>
      <w:r w:rsidR="00966139">
        <w:rPr>
          <w:rFonts w:cs="Times New Roman"/>
          <w:szCs w:val="24"/>
        </w:rPr>
        <w:t xml:space="preserve"> </w:t>
      </w:r>
      <w:r w:rsidR="00966139" w:rsidRPr="00966139">
        <w:rPr>
          <w:rFonts w:cs="Times New Roman"/>
          <w:szCs w:val="24"/>
        </w:rPr>
        <w:t xml:space="preserve">And lastly, </w:t>
      </w:r>
      <w:r w:rsidRPr="00966139">
        <w:rPr>
          <w:rFonts w:cs="Times New Roman"/>
          <w:szCs w:val="24"/>
        </w:rPr>
        <w:t>compared to a case in which there is a 15 brief conservative advantage, in a case in which there is a 15</w:t>
      </w:r>
      <w:r w:rsidR="00966139" w:rsidRPr="00966139">
        <w:rPr>
          <w:rFonts w:cs="Times New Roman"/>
          <w:szCs w:val="24"/>
        </w:rPr>
        <w:t xml:space="preserve"> brief liberal advantage, </w:t>
      </w:r>
      <w:r w:rsidRPr="00966139">
        <w:rPr>
          <w:rFonts w:cs="Times New Roman"/>
          <w:szCs w:val="24"/>
        </w:rPr>
        <w:t>the</w:t>
      </w:r>
      <w:r w:rsidR="00966139" w:rsidRPr="00966139">
        <w:rPr>
          <w:rFonts w:cs="Times New Roman"/>
          <w:szCs w:val="24"/>
        </w:rPr>
        <w:t xml:space="preserve"> less moderate justice is 22</w:t>
      </w:r>
      <w:r w:rsidRPr="00966139">
        <w:rPr>
          <w:rFonts w:cs="Times New Roman"/>
          <w:szCs w:val="24"/>
        </w:rPr>
        <w:t xml:space="preserve"> percent more likely to vote liberally, the mean moderate justice is </w:t>
      </w:r>
      <w:r w:rsidR="00966139" w:rsidRPr="00966139">
        <w:rPr>
          <w:rFonts w:cs="Times New Roman"/>
          <w:szCs w:val="24"/>
        </w:rPr>
        <w:t>28.3</w:t>
      </w:r>
      <w:r w:rsidRPr="00966139">
        <w:rPr>
          <w:rFonts w:cs="Times New Roman"/>
          <w:szCs w:val="24"/>
        </w:rPr>
        <w:t xml:space="preserve"> percent more likely to vote liberally, the more moderate justice is 3</w:t>
      </w:r>
      <w:r w:rsidR="00966139" w:rsidRPr="00966139">
        <w:rPr>
          <w:rFonts w:cs="Times New Roman"/>
          <w:szCs w:val="24"/>
        </w:rPr>
        <w:t>3.6</w:t>
      </w:r>
      <w:r w:rsidRPr="00966139">
        <w:rPr>
          <w:rFonts w:cs="Times New Roman"/>
          <w:szCs w:val="24"/>
        </w:rPr>
        <w:t xml:space="preserve"> percent more likely to vote liberally, and the most moderate justice is almost 48 percent more likely to vote liberally. </w:t>
      </w:r>
    </w:p>
    <w:p w:rsidR="0059577F" w:rsidRPr="000B3A6F" w:rsidRDefault="00966139" w:rsidP="000B3A6F">
      <w:pPr>
        <w:autoSpaceDE w:val="0"/>
        <w:autoSpaceDN w:val="0"/>
        <w:adjustRightInd w:val="0"/>
        <w:spacing w:line="480" w:lineRule="auto"/>
        <w:ind w:left="0" w:firstLine="720"/>
        <w:rPr>
          <w:rFonts w:cs="Times New Roman"/>
          <w:color w:val="FF0000"/>
          <w:szCs w:val="24"/>
        </w:rPr>
      </w:pPr>
      <w:r>
        <w:rPr>
          <w:rFonts w:cs="Times New Roman"/>
          <w:szCs w:val="24"/>
        </w:rPr>
        <w:t>Thus, Table A.5 shows that the impact of amicus briefs on justice votes in salient cases is very similar to the</w:t>
      </w:r>
      <w:r w:rsidR="00643796">
        <w:rPr>
          <w:rFonts w:cs="Times New Roman"/>
          <w:szCs w:val="24"/>
        </w:rPr>
        <w:t xml:space="preserve"> impact of amicus briefs when considering all cases together</w:t>
      </w:r>
      <w:r>
        <w:rPr>
          <w:rFonts w:cs="Times New Roman"/>
          <w:szCs w:val="24"/>
        </w:rPr>
        <w:t>.  The percentage change in</w:t>
      </w:r>
      <w:r w:rsidR="00643796">
        <w:rPr>
          <w:rFonts w:cs="Times New Roman"/>
          <w:szCs w:val="24"/>
        </w:rPr>
        <w:t xml:space="preserve"> the predicted probability</w:t>
      </w:r>
      <w:r>
        <w:rPr>
          <w:rFonts w:cs="Times New Roman"/>
          <w:szCs w:val="24"/>
        </w:rPr>
        <w:t xml:space="preserve"> of a liberal vote as amicus brief advantage and judicial moderation</w:t>
      </w:r>
      <w:r w:rsidR="00643796">
        <w:rPr>
          <w:rFonts w:cs="Times New Roman"/>
          <w:szCs w:val="24"/>
        </w:rPr>
        <w:t xml:space="preserve"> levels</w:t>
      </w:r>
      <w:r>
        <w:rPr>
          <w:rFonts w:cs="Times New Roman"/>
          <w:szCs w:val="24"/>
        </w:rPr>
        <w:t xml:space="preserve"> vary in salient cases closely mirro</w:t>
      </w:r>
      <w:r w:rsidR="00643796">
        <w:rPr>
          <w:rFonts w:cs="Times New Roman"/>
          <w:szCs w:val="24"/>
        </w:rPr>
        <w:t>rs</w:t>
      </w:r>
      <w:r>
        <w:rPr>
          <w:rFonts w:cs="Times New Roman"/>
          <w:szCs w:val="24"/>
        </w:rPr>
        <w:t xml:space="preserve"> the changes seen in the predicted </w:t>
      </w:r>
      <w:r w:rsidR="00643796">
        <w:rPr>
          <w:rFonts w:cs="Times New Roman"/>
          <w:szCs w:val="24"/>
        </w:rPr>
        <w:t>probabilities</w:t>
      </w:r>
      <w:r>
        <w:rPr>
          <w:rFonts w:cs="Times New Roman"/>
          <w:szCs w:val="24"/>
        </w:rPr>
        <w:t xml:space="preserve"> of a liberal vote in all cases.  </w:t>
      </w:r>
      <w:r w:rsidRPr="00643796">
        <w:rPr>
          <w:rFonts w:cs="Times New Roman"/>
          <w:szCs w:val="24"/>
        </w:rPr>
        <w:t>In sum</w:t>
      </w:r>
      <w:r w:rsidR="007F4985" w:rsidRPr="00643796">
        <w:rPr>
          <w:rFonts w:cs="Times New Roman"/>
          <w:szCs w:val="24"/>
        </w:rPr>
        <w:t xml:space="preserve">, </w:t>
      </w:r>
      <w:r w:rsidRPr="00643796">
        <w:rPr>
          <w:rFonts w:cs="Times New Roman"/>
          <w:szCs w:val="24"/>
        </w:rPr>
        <w:t>as with Table A.4, and apart from the least moderate justice (Thomas), Table A.5</w:t>
      </w:r>
      <w:r w:rsidR="007F4985" w:rsidRPr="00643796">
        <w:rPr>
          <w:rFonts w:cs="Times New Roman"/>
          <w:szCs w:val="24"/>
        </w:rPr>
        <w:t xml:space="preserve"> shows that the greater the amicus brief advantage in a </w:t>
      </w:r>
      <w:r w:rsidRPr="00643796">
        <w:rPr>
          <w:rFonts w:cs="Times New Roman"/>
          <w:szCs w:val="24"/>
        </w:rPr>
        <w:t xml:space="preserve">salient </w:t>
      </w:r>
      <w:r w:rsidR="007F4985" w:rsidRPr="00643796">
        <w:rPr>
          <w:rFonts w:cs="Times New Roman"/>
          <w:szCs w:val="24"/>
        </w:rPr>
        <w:t>case, the more pronounced the impact of the amicus advantage</w:t>
      </w:r>
      <w:r w:rsidRPr="00643796">
        <w:rPr>
          <w:rFonts w:cs="Times New Roman"/>
          <w:szCs w:val="24"/>
        </w:rPr>
        <w:t>, regardless of judicial ideology</w:t>
      </w:r>
      <w:r w:rsidR="007F4985" w:rsidRPr="00643796">
        <w:rPr>
          <w:rFonts w:cs="Times New Roman"/>
          <w:szCs w:val="24"/>
        </w:rPr>
        <w:t xml:space="preserve">.  </w:t>
      </w:r>
      <w:r w:rsidRPr="00643796">
        <w:rPr>
          <w:rFonts w:cs="Times New Roman"/>
          <w:szCs w:val="24"/>
        </w:rPr>
        <w:t xml:space="preserve">I did not expect this effect to be as pronounced as it is, </w:t>
      </w:r>
      <w:r w:rsidR="00643796" w:rsidRPr="00643796">
        <w:rPr>
          <w:rFonts w:cs="Times New Roman"/>
          <w:szCs w:val="24"/>
        </w:rPr>
        <w:t>given my hypothesi</w:t>
      </w:r>
      <w:r w:rsidRPr="00643796">
        <w:rPr>
          <w:rFonts w:cs="Times New Roman"/>
          <w:szCs w:val="24"/>
        </w:rPr>
        <w:t>s that attitudinal factors would</w:t>
      </w:r>
      <w:r w:rsidR="00643796" w:rsidRPr="00643796">
        <w:rPr>
          <w:rFonts w:cs="Times New Roman"/>
          <w:szCs w:val="24"/>
        </w:rPr>
        <w:t xml:space="preserve"> predominate in salient cases, thus</w:t>
      </w:r>
      <w:r w:rsidRPr="00643796">
        <w:rPr>
          <w:rFonts w:cs="Times New Roman"/>
          <w:szCs w:val="24"/>
        </w:rPr>
        <w:t xml:space="preserve"> limit</w:t>
      </w:r>
      <w:r w:rsidR="00643796" w:rsidRPr="00643796">
        <w:rPr>
          <w:rFonts w:cs="Times New Roman"/>
          <w:szCs w:val="24"/>
        </w:rPr>
        <w:t>ing</w:t>
      </w:r>
      <w:r w:rsidRPr="00643796">
        <w:rPr>
          <w:rFonts w:cs="Times New Roman"/>
          <w:szCs w:val="24"/>
        </w:rPr>
        <w:t xml:space="preserve"> the influence of amicus curiae in salient cases for those justices not predisposed to agree with the</w:t>
      </w:r>
      <w:r w:rsidR="00643796" w:rsidRPr="00643796">
        <w:rPr>
          <w:rFonts w:cs="Times New Roman"/>
          <w:szCs w:val="24"/>
        </w:rPr>
        <w:t xml:space="preserve"> side with the amicus brief advantage.</w:t>
      </w:r>
      <w:r w:rsidR="00643796">
        <w:rPr>
          <w:rFonts w:cs="Times New Roman"/>
          <w:color w:val="FF0000"/>
          <w:szCs w:val="24"/>
        </w:rPr>
        <w:t xml:space="preserve"> </w:t>
      </w:r>
      <w:r>
        <w:rPr>
          <w:rFonts w:cs="Times New Roman"/>
          <w:color w:val="FF0000"/>
          <w:szCs w:val="24"/>
        </w:rPr>
        <w:t xml:space="preserve"> </w:t>
      </w:r>
      <w:r w:rsidR="007F4985" w:rsidRPr="00643796">
        <w:rPr>
          <w:rFonts w:cs="Times New Roman"/>
          <w:szCs w:val="24"/>
        </w:rPr>
        <w:t>Further, the greater the moderation of the justice, the greater the influence of amicus brief advantage becomes</w:t>
      </w:r>
      <w:r w:rsidR="00643796" w:rsidRPr="00643796">
        <w:rPr>
          <w:rFonts w:cs="Times New Roman"/>
          <w:szCs w:val="24"/>
        </w:rPr>
        <w:t xml:space="preserve"> in salient cases</w:t>
      </w:r>
      <w:r w:rsidR="007F4985" w:rsidRPr="00643796">
        <w:rPr>
          <w:rFonts w:cs="Times New Roman"/>
          <w:szCs w:val="24"/>
        </w:rPr>
        <w:t>.  These results cor</w:t>
      </w:r>
      <w:r w:rsidR="00643796">
        <w:rPr>
          <w:rFonts w:cs="Times New Roman"/>
          <w:szCs w:val="24"/>
        </w:rPr>
        <w:t>roborate the findings of Model 6 and Figure 5</w:t>
      </w:r>
      <w:r w:rsidR="00643796" w:rsidRPr="00643796">
        <w:rPr>
          <w:rFonts w:cs="Times New Roman"/>
          <w:szCs w:val="24"/>
        </w:rPr>
        <w:t>.6</w:t>
      </w:r>
      <w:r w:rsidR="007F4985" w:rsidRPr="00643796">
        <w:rPr>
          <w:rFonts w:cs="Times New Roman"/>
          <w:szCs w:val="24"/>
        </w:rPr>
        <w:t xml:space="preserve">. </w:t>
      </w:r>
      <w:r w:rsidR="00643796">
        <w:rPr>
          <w:rFonts w:cs="Times New Roman"/>
          <w:szCs w:val="24"/>
        </w:rPr>
        <w:t xml:space="preserve">  Therefore, as with all cases considered together, t</w:t>
      </w:r>
      <w:r w:rsidR="007F4985" w:rsidRPr="00643796">
        <w:rPr>
          <w:rFonts w:cs="Times New Roman"/>
          <w:szCs w:val="24"/>
        </w:rPr>
        <w:t xml:space="preserve">he degree of amicus brief impact in a </w:t>
      </w:r>
      <w:r w:rsidR="00643796">
        <w:rPr>
          <w:rFonts w:cs="Times New Roman"/>
          <w:szCs w:val="24"/>
        </w:rPr>
        <w:t xml:space="preserve">salient </w:t>
      </w:r>
      <w:r w:rsidR="007F4985" w:rsidRPr="00643796">
        <w:rPr>
          <w:rFonts w:cs="Times New Roman"/>
          <w:szCs w:val="24"/>
        </w:rPr>
        <w:t xml:space="preserve">case is related to both the </w:t>
      </w:r>
      <w:r w:rsidR="00643796">
        <w:rPr>
          <w:rFonts w:cs="Times New Roman"/>
          <w:szCs w:val="24"/>
        </w:rPr>
        <w:t>numerical ideological advantage</w:t>
      </w:r>
      <w:r w:rsidR="007F4985" w:rsidRPr="00643796">
        <w:rPr>
          <w:rFonts w:cs="Times New Roman"/>
          <w:szCs w:val="24"/>
        </w:rPr>
        <w:t xml:space="preserve"> of briefs and the moderation levels of the justices.</w:t>
      </w:r>
      <w:r w:rsidR="00643796">
        <w:rPr>
          <w:rFonts w:cs="Times New Roman"/>
          <w:szCs w:val="24"/>
        </w:rPr>
        <w:t xml:space="preserve">  </w:t>
      </w:r>
      <w:r w:rsidR="007F4985" w:rsidRPr="00643796">
        <w:rPr>
          <w:rFonts w:cs="Times New Roman"/>
          <w:szCs w:val="24"/>
        </w:rPr>
        <w:t>These results provide</w:t>
      </w:r>
      <w:r w:rsidR="00643796" w:rsidRPr="00643796">
        <w:rPr>
          <w:rFonts w:cs="Times New Roman"/>
          <w:szCs w:val="24"/>
        </w:rPr>
        <w:t xml:space="preserve"> additional compelling </w:t>
      </w:r>
      <w:r w:rsidR="007F4985" w:rsidRPr="00643796">
        <w:rPr>
          <w:rFonts w:cs="Times New Roman"/>
          <w:szCs w:val="24"/>
        </w:rPr>
        <w:t xml:space="preserve">support for my </w:t>
      </w:r>
      <w:r w:rsidR="007F4985" w:rsidRPr="00643796">
        <w:rPr>
          <w:rFonts w:cs="Times New Roman"/>
          <w:szCs w:val="24"/>
        </w:rPr>
        <w:lastRenderedPageBreak/>
        <w:t>information/legal persuasion hypotheses and my median justice hypotheses,</w:t>
      </w:r>
      <w:r w:rsidR="00643796" w:rsidRPr="00643796">
        <w:rPr>
          <w:rFonts w:cs="Times New Roman"/>
          <w:szCs w:val="24"/>
        </w:rPr>
        <w:t xml:space="preserve"> as well as </w:t>
      </w:r>
      <w:r w:rsidR="007F4985" w:rsidRPr="00643796">
        <w:rPr>
          <w:rFonts w:cs="Times New Roman"/>
          <w:szCs w:val="24"/>
        </w:rPr>
        <w:t>support the legal persuas</w:t>
      </w:r>
      <w:r w:rsidR="00643796">
        <w:rPr>
          <w:rFonts w:cs="Times New Roman"/>
          <w:szCs w:val="24"/>
        </w:rPr>
        <w:t>ion model of amicus influence.  Amicus influence in salient cases appears to follow the same pattern as amicus influence in a</w:t>
      </w:r>
      <w:r w:rsidR="000B3A6F">
        <w:rPr>
          <w:rFonts w:cs="Times New Roman"/>
          <w:szCs w:val="24"/>
        </w:rPr>
        <w:t>ll cases.  The information that amicus briefs</w:t>
      </w:r>
      <w:r w:rsidR="00643796">
        <w:rPr>
          <w:rFonts w:cs="Times New Roman"/>
          <w:szCs w:val="24"/>
        </w:rPr>
        <w:t xml:space="preserve"> provide matter in both routine and salient cases, and the overwhelming majority of justices are responsive </w:t>
      </w:r>
      <w:r w:rsidR="000B3A6F">
        <w:rPr>
          <w:rFonts w:cs="Times New Roman"/>
          <w:szCs w:val="24"/>
        </w:rPr>
        <w:t>to this information.</w:t>
      </w:r>
    </w:p>
    <w:p w:rsidR="00F57732" w:rsidRDefault="00333B02" w:rsidP="00FA57D1">
      <w:pPr>
        <w:autoSpaceDE w:val="0"/>
        <w:autoSpaceDN w:val="0"/>
        <w:adjustRightInd w:val="0"/>
        <w:spacing w:line="480" w:lineRule="auto"/>
        <w:ind w:left="0" w:firstLine="720"/>
      </w:pPr>
      <w:r w:rsidRPr="00A930B8">
        <w:t xml:space="preserve">  </w:t>
      </w:r>
      <w:r w:rsidR="00A930B8" w:rsidRPr="00A930B8">
        <w:t>However</w:t>
      </w:r>
      <w:r w:rsidR="00A930B8">
        <w:t>, Model 6</w:t>
      </w:r>
      <w:r w:rsidRPr="00A930B8">
        <w:t xml:space="preserve"> demonstrates that </w:t>
      </w:r>
      <w:r w:rsidRPr="00A930B8">
        <w:rPr>
          <w:i/>
        </w:rPr>
        <w:t xml:space="preserve">Liberal-Conservative Amicus Cosigner Difference </w:t>
      </w:r>
      <w:r w:rsidRPr="00A930B8">
        <w:t>is not statistically significant,</w:t>
      </w:r>
      <w:r w:rsidR="00A930B8">
        <w:t xml:space="preserve"> and is negatively signed</w:t>
      </w:r>
      <w:r w:rsidR="00A930B8" w:rsidRPr="00A930B8">
        <w:t>.</w:t>
      </w:r>
      <w:r w:rsidR="00A930B8">
        <w:rPr>
          <w:color w:val="0070C0"/>
        </w:rPr>
        <w:t xml:space="preserve">  </w:t>
      </w:r>
      <w:r w:rsidR="00A930B8">
        <w:t xml:space="preserve">This result fails to support my affected </w:t>
      </w:r>
      <w:proofErr w:type="gramStart"/>
      <w:r w:rsidR="00A930B8">
        <w:t>groups</w:t>
      </w:r>
      <w:proofErr w:type="gramEnd"/>
      <w:r w:rsidR="00A930B8">
        <w:t xml:space="preserve"> hypotheses, but this result was partially expected, as I thought attitudinal factors would predominate over public opinion influence in salient cases. </w:t>
      </w:r>
      <w:r w:rsidRPr="00A930B8">
        <w:t xml:space="preserve">As </w:t>
      </w:r>
      <w:r w:rsidRPr="00A930B8">
        <w:rPr>
          <w:i/>
        </w:rPr>
        <w:t xml:space="preserve">Liberal-Conservative Amicus Cosigner Difference </w:t>
      </w:r>
      <w:r w:rsidRPr="00A930B8">
        <w:t xml:space="preserve">is not statistically significant, it is not necessary to interpret the odds ratios or marginal effects.  </w:t>
      </w:r>
      <w:r w:rsidR="00A930B8">
        <w:t xml:space="preserve">It appears then, that in salient cases, the justices of the Roberts Court respond to the persuasive arguments and information contained in amicus briefs, but not to the simple numerical majority of amici in a case.  These findings should be encouraging to proponents of the legal model, who expect justices to attempt to reach the most accurate legal rulings, putting aside as much as possible personal preferences and extra-legal influences.  </w:t>
      </w:r>
    </w:p>
    <w:p w:rsidR="00333B02" w:rsidRPr="007E30F6" w:rsidRDefault="00F57732" w:rsidP="007E30F6">
      <w:pPr>
        <w:autoSpaceDE w:val="0"/>
        <w:autoSpaceDN w:val="0"/>
        <w:adjustRightInd w:val="0"/>
        <w:spacing w:line="480" w:lineRule="auto"/>
        <w:ind w:left="0" w:firstLine="720"/>
        <w:rPr>
          <w:rFonts w:cs="Times New Roman"/>
          <w:szCs w:val="24"/>
        </w:rPr>
      </w:pPr>
      <w:r w:rsidRPr="00A55B33">
        <w:rPr>
          <w:rFonts w:cs="Times New Roman"/>
          <w:i/>
          <w:szCs w:val="24"/>
        </w:rPr>
        <w:t>Prestigious Liberal-Conservative Amicus Difference</w:t>
      </w:r>
      <w:r>
        <w:rPr>
          <w:rFonts w:cs="Times New Roman"/>
          <w:i/>
          <w:szCs w:val="24"/>
        </w:rPr>
        <w:t xml:space="preserve"> </w:t>
      </w:r>
      <w:r>
        <w:rPr>
          <w:rFonts w:cs="Times New Roman"/>
          <w:szCs w:val="24"/>
        </w:rPr>
        <w:t xml:space="preserve">is statistically significant and signed in the expected direction. </w:t>
      </w:r>
      <w:r>
        <w:t xml:space="preserve">The odds ratio of </w:t>
      </w:r>
      <w:r w:rsidRPr="00A55B33">
        <w:rPr>
          <w:rFonts w:cs="Times New Roman"/>
          <w:i/>
          <w:szCs w:val="24"/>
        </w:rPr>
        <w:t>Prestigious Liberal-Conservative Amicus Difference</w:t>
      </w:r>
      <w:r>
        <w:t xml:space="preserve"> is 1.230, indicating that the odds of liberal justice vote increase in Model 6 by 1.230 times when there is a one unit increase in a prestigious liberal brief advantage. </w:t>
      </w:r>
      <w:r w:rsidRPr="0013327C">
        <w:t xml:space="preserve">The marginal effects of </w:t>
      </w:r>
      <w:r w:rsidRPr="00A55B33">
        <w:rPr>
          <w:rFonts w:cs="Times New Roman"/>
          <w:i/>
          <w:szCs w:val="24"/>
        </w:rPr>
        <w:t>Prestigious Liberal-Conservative Amicus Difference</w:t>
      </w:r>
      <w:r>
        <w:rPr>
          <w:rFonts w:cs="Times New Roman"/>
          <w:i/>
          <w:szCs w:val="24"/>
        </w:rPr>
        <w:t xml:space="preserve"> </w:t>
      </w:r>
      <w:r w:rsidRPr="0013327C">
        <w:t xml:space="preserve">reveals that a justice is </w:t>
      </w:r>
      <w:r>
        <w:t>8.6</w:t>
      </w:r>
      <w:r w:rsidRPr="0013327C">
        <w:t xml:space="preserve"> percent more likely to cast a liberal vote as the </w:t>
      </w:r>
      <w:r w:rsidRPr="00A55B33">
        <w:rPr>
          <w:rFonts w:cs="Times New Roman"/>
          <w:i/>
          <w:szCs w:val="24"/>
        </w:rPr>
        <w:t>Prestigious Liberal-Conservative Amicus Difference</w:t>
      </w:r>
      <w:r>
        <w:rPr>
          <w:rFonts w:cs="Times New Roman"/>
          <w:i/>
          <w:szCs w:val="24"/>
        </w:rPr>
        <w:t xml:space="preserve"> </w:t>
      </w:r>
      <w:r>
        <w:t>in the case increases from .32 (the mean) to 2.0 (</w:t>
      </w:r>
      <w:r w:rsidRPr="0013327C">
        <w:t>one stand</w:t>
      </w:r>
      <w:r>
        <w:t xml:space="preserve">ard deviation above the mean), and 39.14 percent more likely to cast a liberal vote as the </w:t>
      </w:r>
      <w:r w:rsidRPr="00A55B33">
        <w:rPr>
          <w:rFonts w:cs="Times New Roman"/>
          <w:i/>
          <w:szCs w:val="24"/>
        </w:rPr>
        <w:t>Prestigious Liberal-Conservative Amicus Difference</w:t>
      </w:r>
      <w:r>
        <w:rPr>
          <w:rFonts w:cs="Times New Roman"/>
          <w:i/>
          <w:szCs w:val="24"/>
        </w:rPr>
        <w:t xml:space="preserve"> </w:t>
      </w:r>
      <w:r>
        <w:t xml:space="preserve">in </w:t>
      </w:r>
      <w:r>
        <w:lastRenderedPageBreak/>
        <w:t>the case increases from the least liberal advantage (-5) to t</w:t>
      </w:r>
      <w:r w:rsidR="007E30F6">
        <w:t>he greatest liberal advantage (3</w:t>
      </w:r>
      <w:r>
        <w:t>).  This result supports my prestigious amic</w:t>
      </w:r>
      <w:r w:rsidR="007E30F6">
        <w:t xml:space="preserve">us hypotheses, indicating that </w:t>
      </w:r>
      <w:r>
        <w:t>the justices respond favorably</w:t>
      </w:r>
      <w:r w:rsidR="007E30F6">
        <w:t xml:space="preserve"> to an advantage of those amici that matter most in those cases that matter most.  This is a noteworthy finding, and taken together with the findings regarding amicus brief influence, </w:t>
      </w:r>
      <w:r w:rsidR="00EC5513">
        <w:t>demonstrate that amicus briefs filed by powerful amici</w:t>
      </w:r>
      <w:r w:rsidR="007E30F6">
        <w:t xml:space="preserve"> make a significant impact in salient cases.   While the justices are more likely to reference their attitudes in deciding salient cases than other cases, they are also responsive to th</w:t>
      </w:r>
      <w:r w:rsidR="0018031D">
        <w:t>e persuasive arguments included</w:t>
      </w:r>
      <w:r w:rsidR="007E30F6">
        <w:t xml:space="preserve"> in amicus briefs.  Therefore, both attitudinal and legal factors influence judicial decision making at the Roberts Court</w:t>
      </w:r>
      <w:r w:rsidR="00EC5513">
        <w:t xml:space="preserve"> in salient cases</w:t>
      </w:r>
      <w:r w:rsidR="007E30F6">
        <w:t>.</w:t>
      </w:r>
    </w:p>
    <w:p w:rsidR="00FA57D1" w:rsidRPr="00FA57D1" w:rsidRDefault="00FA57D1" w:rsidP="00FA57D1">
      <w:pPr>
        <w:autoSpaceDE w:val="0"/>
        <w:autoSpaceDN w:val="0"/>
        <w:adjustRightInd w:val="0"/>
        <w:spacing w:line="480" w:lineRule="auto"/>
        <w:ind w:left="0" w:firstLine="720"/>
        <w:rPr>
          <w:color w:val="4F81BD" w:themeColor="accent1"/>
        </w:rPr>
      </w:pPr>
      <w:r w:rsidRPr="00FA57D1">
        <w:rPr>
          <w:rFonts w:cs="Times New Roman"/>
          <w:szCs w:val="24"/>
        </w:rPr>
        <w:t xml:space="preserve">Turning to an examination of the control variables in salient cases in Table 5.6, some notable results stand out.  First, as I expected, </w:t>
      </w:r>
      <w:r w:rsidRPr="00FA57D1">
        <w:rPr>
          <w:rFonts w:cs="Times New Roman"/>
          <w:i/>
          <w:szCs w:val="24"/>
        </w:rPr>
        <w:t xml:space="preserve">Ideology </w:t>
      </w:r>
      <w:r w:rsidRPr="00FA57D1">
        <w:rPr>
          <w:rFonts w:cs="Times New Roman"/>
          <w:szCs w:val="24"/>
        </w:rPr>
        <w:t xml:space="preserve">matters in salient cases, and it matters a great deal.  </w:t>
      </w:r>
      <w:r w:rsidRPr="00FA57D1">
        <w:t xml:space="preserve">The odds ratio of </w:t>
      </w:r>
      <w:r w:rsidRPr="00FA57D1">
        <w:rPr>
          <w:i/>
        </w:rPr>
        <w:t xml:space="preserve">Ideology </w:t>
      </w:r>
      <w:r w:rsidRPr="00FA57D1">
        <w:t xml:space="preserve">is 119.396, indicating that the odds of liberal justice vote increase in Model 6 by 119.396 times when there is a one unit increase in judicial ideology.  The marginal effect of </w:t>
      </w:r>
      <w:r w:rsidRPr="00FA57D1">
        <w:rPr>
          <w:i/>
        </w:rPr>
        <w:t xml:space="preserve">Ideology </w:t>
      </w:r>
      <w:r w:rsidRPr="00FA57D1">
        <w:t>is 28.9 percent, indicating that a justice whose Segal-Cover score is at .59 (one standard deviation above the mean) is 28.9 percent more likely to cast a liberal vote than a justice whose Segal-Cover score is at the mean (.33).</w:t>
      </w:r>
      <w:r w:rsidRPr="00FA57D1">
        <w:rPr>
          <w:color w:val="4F81BD" w:themeColor="accent1"/>
        </w:rPr>
        <w:t xml:space="preserve">  </w:t>
      </w:r>
      <w:r w:rsidRPr="00594D18">
        <w:t>Further, the marginal effects reveal that, compared with the most conservative justice (Justice Scalia), the most liberal justice (Justice Sotomayor)</w:t>
      </w:r>
      <w:r w:rsidR="00594D18" w:rsidRPr="00594D18">
        <w:t xml:space="preserve"> is 69.90</w:t>
      </w:r>
      <w:r w:rsidRPr="00594D18">
        <w:t xml:space="preserve"> percent more likely to cast a liberal vote. </w:t>
      </w:r>
      <w:r w:rsidR="00594D18">
        <w:t xml:space="preserve"> Comparing these results with the prior </w:t>
      </w:r>
      <w:proofErr w:type="spellStart"/>
      <w:r w:rsidR="00594D18">
        <w:t>logit</w:t>
      </w:r>
      <w:proofErr w:type="spellEnd"/>
      <w:r w:rsidR="00594D18">
        <w:t xml:space="preserve"> models shows conclusively that </w:t>
      </w:r>
      <w:r w:rsidR="00594D18">
        <w:rPr>
          <w:i/>
        </w:rPr>
        <w:t>Ideology</w:t>
      </w:r>
      <w:r w:rsidR="00594D18">
        <w:t xml:space="preserve"> matters more in salient cases than in all other types of cases. </w:t>
      </w:r>
      <w:r w:rsidRPr="00FA57D1">
        <w:rPr>
          <w:color w:val="4F81BD" w:themeColor="accent1"/>
        </w:rPr>
        <w:t xml:space="preserve"> </w:t>
      </w:r>
      <w:r w:rsidR="00594D18" w:rsidRPr="00594D18">
        <w:t>These findings are expected and are consistent with the attitudinal model of judicial decision making</w:t>
      </w:r>
      <w:r w:rsidR="00594D18">
        <w:t xml:space="preserve">, and prior literature (e.g., Segal and </w:t>
      </w:r>
      <w:proofErr w:type="spellStart"/>
      <w:r w:rsidR="00594D18">
        <w:t>Spaeth</w:t>
      </w:r>
      <w:proofErr w:type="spellEnd"/>
      <w:r w:rsidR="00594D18">
        <w:t xml:space="preserve"> 1999, </w:t>
      </w:r>
      <w:proofErr w:type="spellStart"/>
      <w:r w:rsidR="00594D18">
        <w:t>Unah</w:t>
      </w:r>
      <w:proofErr w:type="spellEnd"/>
      <w:r w:rsidR="00594D18">
        <w:t xml:space="preserve"> and Hancock 2006).  </w:t>
      </w:r>
    </w:p>
    <w:p w:rsidR="00F57732" w:rsidRDefault="005C787D" w:rsidP="005C787D">
      <w:pPr>
        <w:autoSpaceDE w:val="0"/>
        <w:autoSpaceDN w:val="0"/>
        <w:adjustRightInd w:val="0"/>
        <w:spacing w:line="480" w:lineRule="auto"/>
        <w:ind w:left="0" w:firstLine="720"/>
        <w:rPr>
          <w:rFonts w:cs="Times New Roman"/>
          <w:szCs w:val="24"/>
        </w:rPr>
      </w:pPr>
      <w:r w:rsidRPr="005C787D">
        <w:lastRenderedPageBreak/>
        <w:t>Interestingly, the results of Model 6 demonstrate that the impact of the SG as amicus depends upon the ideological direction advanced in salient cases.  When the SG files a conservative amicus brief in a salient case, the justices are likely be influenced positively; when the SG files a liberal brief, the justices do not respond in a statistically significant matter (and the sign is even in the negative direction).</w:t>
      </w:r>
      <w:r>
        <w:rPr>
          <w:color w:val="4F81BD" w:themeColor="accent1"/>
        </w:rPr>
        <w:t xml:space="preserve">  </w:t>
      </w:r>
      <w:r w:rsidRPr="005C787D">
        <w:t xml:space="preserve">As </w:t>
      </w:r>
      <w:r w:rsidR="00FA57D1" w:rsidRPr="005C787D">
        <w:rPr>
          <w:i/>
        </w:rPr>
        <w:t xml:space="preserve">SG Liberal Amicus </w:t>
      </w:r>
      <w:r w:rsidR="00FA57D1" w:rsidRPr="005C787D">
        <w:t xml:space="preserve">is </w:t>
      </w:r>
      <w:r w:rsidRPr="005C787D">
        <w:t xml:space="preserve">not statistically significant, I report only the odds ratios and marginal effects of </w:t>
      </w:r>
      <w:proofErr w:type="gramStart"/>
      <w:r w:rsidRPr="005C787D">
        <w:t xml:space="preserve">the  </w:t>
      </w:r>
      <w:r w:rsidRPr="005C787D">
        <w:rPr>
          <w:i/>
        </w:rPr>
        <w:t>SG</w:t>
      </w:r>
      <w:proofErr w:type="gramEnd"/>
      <w:r w:rsidRPr="005C787D">
        <w:rPr>
          <w:i/>
        </w:rPr>
        <w:t xml:space="preserve"> Conservative Amicus</w:t>
      </w:r>
      <w:r>
        <w:t>.  The odds ratio</w:t>
      </w:r>
      <w:r w:rsidR="00FA57D1" w:rsidRPr="00FA57D1">
        <w:rPr>
          <w:rFonts w:cs="Times New Roman"/>
          <w:color w:val="4F81BD" w:themeColor="accent1"/>
          <w:szCs w:val="24"/>
        </w:rPr>
        <w:t xml:space="preserve">, </w:t>
      </w:r>
      <w:r w:rsidR="00FA57D1" w:rsidRPr="005C787D">
        <w:rPr>
          <w:rFonts w:cs="Times New Roman"/>
          <w:szCs w:val="24"/>
        </w:rPr>
        <w:t xml:space="preserve">of </w:t>
      </w:r>
      <w:r w:rsidR="00FA57D1" w:rsidRPr="005C787D">
        <w:rPr>
          <w:rFonts w:cs="Times New Roman"/>
          <w:i/>
          <w:szCs w:val="24"/>
        </w:rPr>
        <w:t xml:space="preserve">SG Conservative Amicus </w:t>
      </w:r>
      <w:r w:rsidRPr="005C787D">
        <w:rPr>
          <w:rFonts w:cs="Times New Roman"/>
          <w:szCs w:val="24"/>
        </w:rPr>
        <w:t>is .429</w:t>
      </w:r>
      <w:r w:rsidR="00FA57D1" w:rsidRPr="005C787D">
        <w:rPr>
          <w:rFonts w:cs="Times New Roman"/>
          <w:szCs w:val="24"/>
        </w:rPr>
        <w:t>, indicating that the odds of a liber</w:t>
      </w:r>
      <w:r w:rsidRPr="005C787D">
        <w:rPr>
          <w:rFonts w:cs="Times New Roman"/>
          <w:szCs w:val="24"/>
        </w:rPr>
        <w:t>al justice vote decrease by 2.33</w:t>
      </w:r>
      <w:r w:rsidR="00FA57D1" w:rsidRPr="005C787D">
        <w:rPr>
          <w:rFonts w:cs="Times New Roman"/>
          <w:szCs w:val="24"/>
        </w:rPr>
        <w:t xml:space="preserve"> times when the SG advocates the conservative position as amicus than when the SG does not.  Likewise, the marginal effects reveal that when the SG argues the conservative position, </w:t>
      </w:r>
      <w:r w:rsidR="00FA57D1" w:rsidRPr="005C787D">
        <w:t xml:space="preserve">a justice </w:t>
      </w:r>
      <w:r w:rsidRPr="005C787D">
        <w:rPr>
          <w:rFonts w:cs="Times New Roman"/>
          <w:szCs w:val="24"/>
        </w:rPr>
        <w:t>is 20.8</w:t>
      </w:r>
      <w:r w:rsidR="00FA57D1" w:rsidRPr="005C787D">
        <w:rPr>
          <w:rFonts w:cs="Times New Roman"/>
          <w:szCs w:val="24"/>
        </w:rPr>
        <w:t xml:space="preserve"> percent less likely to cast a liberal vote, than when the SG does not advocate the conservative position as an amicus.</w:t>
      </w:r>
      <w:r>
        <w:rPr>
          <w:rFonts w:cs="Times New Roman"/>
          <w:szCs w:val="24"/>
        </w:rPr>
        <w:t xml:space="preserve">  </w:t>
      </w:r>
    </w:p>
    <w:p w:rsidR="00FA57D1" w:rsidRPr="005C787D" w:rsidRDefault="005C787D" w:rsidP="005C787D">
      <w:pPr>
        <w:autoSpaceDE w:val="0"/>
        <w:autoSpaceDN w:val="0"/>
        <w:adjustRightInd w:val="0"/>
        <w:spacing w:line="480" w:lineRule="auto"/>
        <w:ind w:left="0" w:firstLine="720"/>
        <w:rPr>
          <w:color w:val="4F81BD" w:themeColor="accent1"/>
        </w:rPr>
      </w:pPr>
      <w:r>
        <w:rPr>
          <w:rFonts w:cs="Times New Roman"/>
          <w:szCs w:val="24"/>
        </w:rPr>
        <w:t>Therefore, when the justices encounter salient cases at the Roberts Court, they respond to the persuasion attempts of the conservative SG amicus brief, but not the liberal SG amicus brief.   Of relevance here is th</w:t>
      </w:r>
      <w:r w:rsidR="00E56AF9">
        <w:rPr>
          <w:rFonts w:cs="Times New Roman"/>
          <w:szCs w:val="24"/>
        </w:rPr>
        <w:t>e fact that the SG has filed 14 conservative briefs, 7</w:t>
      </w:r>
      <w:r>
        <w:rPr>
          <w:rFonts w:cs="Times New Roman"/>
          <w:szCs w:val="24"/>
        </w:rPr>
        <w:t xml:space="preserve"> liberal briefs, and</w:t>
      </w:r>
      <w:r w:rsidR="00EC5513">
        <w:rPr>
          <w:rFonts w:cs="Times New Roman"/>
          <w:szCs w:val="24"/>
        </w:rPr>
        <w:t xml:space="preserve"> </w:t>
      </w:r>
      <w:r w:rsidR="00E56AF9">
        <w:rPr>
          <w:rFonts w:cs="Times New Roman"/>
          <w:szCs w:val="24"/>
        </w:rPr>
        <w:t>3</w:t>
      </w:r>
      <w:r>
        <w:rPr>
          <w:rFonts w:cs="Times New Roman"/>
          <w:szCs w:val="24"/>
        </w:rPr>
        <w:t xml:space="preserve"> unspecifiable briefs in salient cases before the Roberts Court</w:t>
      </w:r>
      <w:r w:rsidR="00F57732">
        <w:rPr>
          <w:rFonts w:cs="Times New Roman"/>
          <w:szCs w:val="24"/>
        </w:rPr>
        <w:t xml:space="preserve"> during the 2007-2011 terms</w:t>
      </w:r>
      <w:r>
        <w:rPr>
          <w:rFonts w:cs="Times New Roman"/>
          <w:szCs w:val="24"/>
        </w:rPr>
        <w:t>.  Thus, not only is the SG more likely to assume a conservative stance as an amici in salient c</w:t>
      </w:r>
      <w:r w:rsidR="00F57732">
        <w:rPr>
          <w:rFonts w:cs="Times New Roman"/>
          <w:szCs w:val="24"/>
        </w:rPr>
        <w:t>ases, but the SG is</w:t>
      </w:r>
      <w:r>
        <w:rPr>
          <w:rFonts w:cs="Times New Roman"/>
          <w:szCs w:val="24"/>
        </w:rPr>
        <w:t xml:space="preserve"> also most likely to be persuasive taking a conservative position in these cases.  Perh</w:t>
      </w:r>
      <w:r w:rsidR="00F57732">
        <w:rPr>
          <w:rFonts w:cs="Times New Roman"/>
          <w:szCs w:val="24"/>
        </w:rPr>
        <w:t>aps this sheds some small light</w:t>
      </w:r>
      <w:r>
        <w:rPr>
          <w:rFonts w:cs="Times New Roman"/>
          <w:szCs w:val="24"/>
        </w:rPr>
        <w:t xml:space="preserve"> on why the Roberts Court has developed a more conservative reputation, as it </w:t>
      </w:r>
      <w:r w:rsidR="00F57732">
        <w:rPr>
          <w:rFonts w:cs="Times New Roman"/>
          <w:szCs w:val="24"/>
        </w:rPr>
        <w:t xml:space="preserve">appears to be more persuaded by the federal government when the government advances a conservative position rather than a liberal one in those cases that matter most.  </w:t>
      </w:r>
    </w:p>
    <w:p w:rsidR="00FA57D1" w:rsidRDefault="007E30F6" w:rsidP="007E30F6">
      <w:pPr>
        <w:autoSpaceDE w:val="0"/>
        <w:autoSpaceDN w:val="0"/>
        <w:adjustRightInd w:val="0"/>
        <w:spacing w:line="480" w:lineRule="auto"/>
        <w:ind w:left="0" w:firstLine="720"/>
        <w:rPr>
          <w:rFonts w:cs="Times New Roman"/>
          <w:szCs w:val="24"/>
        </w:rPr>
      </w:pPr>
      <w:r w:rsidRPr="00975ED5">
        <w:rPr>
          <w:rFonts w:cs="Times New Roman"/>
          <w:szCs w:val="24"/>
        </w:rPr>
        <w:t xml:space="preserve">Lastly, and of note, while signed in the expected direction, neither </w:t>
      </w:r>
      <w:r w:rsidR="00FA57D1" w:rsidRPr="00975ED5">
        <w:rPr>
          <w:rFonts w:cs="Times New Roman"/>
          <w:i/>
          <w:szCs w:val="24"/>
        </w:rPr>
        <w:t xml:space="preserve">Lower Court Direction </w:t>
      </w:r>
      <w:r w:rsidRPr="00975ED5">
        <w:rPr>
          <w:rFonts w:cs="Times New Roman"/>
          <w:szCs w:val="24"/>
        </w:rPr>
        <w:t xml:space="preserve">nor </w:t>
      </w:r>
      <w:r w:rsidRPr="00975ED5">
        <w:rPr>
          <w:rFonts w:cs="Times New Roman"/>
          <w:i/>
          <w:szCs w:val="24"/>
        </w:rPr>
        <w:t>Liberal – Conservative Resource Difference</w:t>
      </w:r>
      <w:r w:rsidRPr="00975ED5">
        <w:rPr>
          <w:rFonts w:cs="Times New Roman"/>
          <w:szCs w:val="24"/>
        </w:rPr>
        <w:t xml:space="preserve"> </w:t>
      </w:r>
      <w:r w:rsidR="00FA57D1" w:rsidRPr="00975ED5">
        <w:rPr>
          <w:rFonts w:cs="Times New Roman"/>
          <w:szCs w:val="24"/>
        </w:rPr>
        <w:t>is statistically significant</w:t>
      </w:r>
      <w:r w:rsidRPr="00975ED5">
        <w:rPr>
          <w:rFonts w:cs="Times New Roman"/>
          <w:szCs w:val="24"/>
        </w:rPr>
        <w:t xml:space="preserve"> in Model 6</w:t>
      </w:r>
      <w:r w:rsidR="00FA57D1" w:rsidRPr="00975ED5">
        <w:rPr>
          <w:rFonts w:cs="Times New Roman"/>
          <w:szCs w:val="24"/>
        </w:rPr>
        <w:t xml:space="preserve">.  </w:t>
      </w:r>
      <w:r w:rsidRPr="00975ED5">
        <w:rPr>
          <w:rFonts w:cs="Times New Roman"/>
          <w:szCs w:val="24"/>
        </w:rPr>
        <w:t xml:space="preserve">This indicates that the justices are not more likely to a statistically significant extent to </w:t>
      </w:r>
      <w:r w:rsidR="00975ED5" w:rsidRPr="00975ED5">
        <w:rPr>
          <w:rFonts w:cs="Times New Roman"/>
          <w:szCs w:val="24"/>
        </w:rPr>
        <w:t xml:space="preserve">reverse the </w:t>
      </w:r>
      <w:r w:rsidR="00975ED5" w:rsidRPr="00975ED5">
        <w:rPr>
          <w:rFonts w:cs="Times New Roman"/>
          <w:szCs w:val="24"/>
        </w:rPr>
        <w:lastRenderedPageBreak/>
        <w:t xml:space="preserve">decision of the lower court in salience cases, nor are they influenced by the party with a higher level of resources in salient cases.  This implies that the justices agree to hear salient cases not necessarily to reverse decisions they disagree with, but also to affirm lower court decisions that they consider correctly decided.  </w:t>
      </w:r>
    </w:p>
    <w:p w:rsidR="00D646CC" w:rsidRDefault="00975ED5" w:rsidP="000B3A6F">
      <w:pPr>
        <w:autoSpaceDE w:val="0"/>
        <w:autoSpaceDN w:val="0"/>
        <w:adjustRightInd w:val="0"/>
        <w:spacing w:line="480" w:lineRule="auto"/>
        <w:ind w:left="0" w:firstLine="720"/>
        <w:rPr>
          <w:rFonts w:cs="Times New Roman"/>
          <w:szCs w:val="24"/>
        </w:rPr>
      </w:pPr>
      <w:r>
        <w:rPr>
          <w:rFonts w:cs="Times New Roman"/>
          <w:szCs w:val="24"/>
        </w:rPr>
        <w:t>In sum, while attitudes are the strongest predictor of how the justices will vote in salient cases, amicus briefs and prestigious amici do i</w:t>
      </w:r>
      <w:r w:rsidR="00E56AF9">
        <w:rPr>
          <w:rFonts w:cs="Times New Roman"/>
          <w:szCs w:val="24"/>
        </w:rPr>
        <w:t xml:space="preserve">mpact the way the </w:t>
      </w:r>
      <w:proofErr w:type="gramStart"/>
      <w:r w:rsidR="00E56AF9">
        <w:rPr>
          <w:rFonts w:cs="Times New Roman"/>
          <w:szCs w:val="24"/>
        </w:rPr>
        <w:t>justices</w:t>
      </w:r>
      <w:proofErr w:type="gramEnd"/>
      <w:r w:rsidR="00E56AF9">
        <w:rPr>
          <w:rFonts w:cs="Times New Roman"/>
          <w:szCs w:val="24"/>
        </w:rPr>
        <w:t xml:space="preserve"> vote</w:t>
      </w:r>
      <w:r>
        <w:rPr>
          <w:rFonts w:cs="Times New Roman"/>
          <w:szCs w:val="24"/>
        </w:rPr>
        <w:t xml:space="preserve"> at the Roberts Court in these high profile disputes.  </w:t>
      </w:r>
      <w:r w:rsidR="0018031D">
        <w:rPr>
          <w:rFonts w:cs="Times New Roman"/>
          <w:szCs w:val="24"/>
        </w:rPr>
        <w:t xml:space="preserve">This implies that in salient cases, justices are </w:t>
      </w:r>
      <w:r w:rsidR="00E56AF9">
        <w:rPr>
          <w:rFonts w:cs="Times New Roman"/>
          <w:szCs w:val="24"/>
        </w:rPr>
        <w:t xml:space="preserve">likely </w:t>
      </w:r>
      <w:r w:rsidR="0018031D">
        <w:rPr>
          <w:rFonts w:cs="Times New Roman"/>
          <w:szCs w:val="24"/>
        </w:rPr>
        <w:t>to “tune-in</w:t>
      </w:r>
      <w:r w:rsidR="001E0F90">
        <w:rPr>
          <w:rFonts w:cs="Times New Roman"/>
          <w:szCs w:val="24"/>
        </w:rPr>
        <w:t>”, striving</w:t>
      </w:r>
      <w:r w:rsidR="0018031D">
        <w:rPr>
          <w:rFonts w:cs="Times New Roman"/>
          <w:szCs w:val="24"/>
        </w:rPr>
        <w:t xml:space="preserve"> to reach the best and most accurate legal conclusions</w:t>
      </w:r>
      <w:r w:rsidR="001E0F90">
        <w:rPr>
          <w:rFonts w:cs="Times New Roman"/>
          <w:szCs w:val="24"/>
        </w:rPr>
        <w:t xml:space="preserve"> because of the high stakes involved</w:t>
      </w:r>
      <w:r w:rsidR="0018031D">
        <w:rPr>
          <w:rFonts w:cs="Times New Roman"/>
          <w:szCs w:val="24"/>
        </w:rPr>
        <w:t xml:space="preserve">.  </w:t>
      </w:r>
      <w:r>
        <w:rPr>
          <w:rFonts w:cs="Times New Roman"/>
          <w:szCs w:val="24"/>
        </w:rPr>
        <w:t>Thus, amici play an important role in shaping the direction of our nation’s jurisprudence, as they shape, if even at the margins, the most noteworthy decisions of the USSC.</w:t>
      </w:r>
      <w:r w:rsidR="000B3A6F">
        <w:rPr>
          <w:rFonts w:cs="Times New Roman"/>
          <w:szCs w:val="24"/>
        </w:rPr>
        <w:t xml:space="preserve">  The fact that the justices who occupy the positions at or near the ideological center of the Roberts Court are particularly susceptible to amicus influence in both salient and other cases affirms the value of amicus curiae targeting the moderate or swing justices.</w:t>
      </w:r>
    </w:p>
    <w:p w:rsidR="00080B67" w:rsidRDefault="00975ED5" w:rsidP="00975ED5">
      <w:pPr>
        <w:autoSpaceDE w:val="0"/>
        <w:autoSpaceDN w:val="0"/>
        <w:adjustRightInd w:val="0"/>
        <w:spacing w:line="480" w:lineRule="auto"/>
        <w:ind w:left="0" w:firstLine="720"/>
        <w:rPr>
          <w:rFonts w:cs="Times New Roman"/>
          <w:szCs w:val="24"/>
        </w:rPr>
      </w:pPr>
      <w:r>
        <w:rPr>
          <w:rFonts w:cs="Times New Roman"/>
          <w:szCs w:val="24"/>
        </w:rPr>
        <w:t xml:space="preserve">In order to determine whether liberal justices on the Roberts Court respond in a similar fashion to the persuasion attempts of amici as conservative justices in salient cases, I estimated two further </w:t>
      </w:r>
      <w:proofErr w:type="spellStart"/>
      <w:r>
        <w:rPr>
          <w:rFonts w:cs="Times New Roman"/>
          <w:szCs w:val="24"/>
        </w:rPr>
        <w:t>logit</w:t>
      </w:r>
      <w:proofErr w:type="spellEnd"/>
      <w:r>
        <w:rPr>
          <w:rFonts w:cs="Times New Roman"/>
          <w:szCs w:val="24"/>
        </w:rPr>
        <w:t xml:space="preserve"> models</w:t>
      </w:r>
      <w:r w:rsidR="00CC15E7">
        <w:rPr>
          <w:rFonts w:cs="Times New Roman"/>
          <w:szCs w:val="24"/>
        </w:rPr>
        <w:t xml:space="preserve"> (Models 7 and 8)</w:t>
      </w:r>
      <w:r>
        <w:rPr>
          <w:rFonts w:cs="Times New Roman"/>
          <w:szCs w:val="24"/>
        </w:rPr>
        <w:t xml:space="preserve">, the first focusing only on liberal justices in salient cases, and the second only on conservative justices in these same cases.  The results of these two </w:t>
      </w:r>
      <w:proofErr w:type="spellStart"/>
      <w:r>
        <w:rPr>
          <w:rFonts w:cs="Times New Roman"/>
          <w:szCs w:val="24"/>
        </w:rPr>
        <w:t>logit</w:t>
      </w:r>
      <w:proofErr w:type="spellEnd"/>
      <w:r>
        <w:rPr>
          <w:rFonts w:cs="Times New Roman"/>
          <w:szCs w:val="24"/>
        </w:rPr>
        <w:t xml:space="preserve"> models are listed in Tables 5.7 and 5.8, respectively.</w:t>
      </w:r>
      <w:r w:rsidR="00CC15E7">
        <w:rPr>
          <w:rFonts w:cs="Times New Roman"/>
          <w:szCs w:val="24"/>
        </w:rPr>
        <w:t xml:space="preserve">  Comparing Models 7 and 8, one notices both some similarities and some significant differences in the predictors of how conservative and liberal justices vote in salient cases.  First and importantly, both liberal and conservative justices respond to the persuasive attempts of amici in salient cases.  However, the marginal effects reveal that the 5 conservative justices are more persuadable, as a matter of degree, than the 4 liberal justices.  The marginal effect is only 2.9 percent for liberal justices, </w:t>
      </w:r>
    </w:p>
    <w:p w:rsidR="00080B67" w:rsidRDefault="00080B67" w:rsidP="00080B67">
      <w:pPr>
        <w:autoSpaceDE w:val="0"/>
        <w:autoSpaceDN w:val="0"/>
        <w:adjustRightInd w:val="0"/>
        <w:spacing w:line="480" w:lineRule="auto"/>
        <w:ind w:left="0" w:firstLine="0"/>
        <w:rPr>
          <w:rFonts w:cs="Times New Roman"/>
          <w:szCs w:val="24"/>
        </w:rPr>
      </w:pPr>
      <w:proofErr w:type="gramStart"/>
      <w:r>
        <w:rPr>
          <w:rFonts w:cs="Times New Roman"/>
          <w:b/>
          <w:szCs w:val="24"/>
        </w:rPr>
        <w:lastRenderedPageBreak/>
        <w:t>Table 5.7</w:t>
      </w:r>
      <w:r w:rsidRPr="00E8454D">
        <w:rPr>
          <w:rFonts w:cs="Times New Roman"/>
          <w:b/>
          <w:szCs w:val="24"/>
        </w:rPr>
        <w:t>.</w:t>
      </w:r>
      <w:proofErr w:type="gramEnd"/>
      <w:r>
        <w:rPr>
          <w:rFonts w:cs="Times New Roman"/>
          <w:szCs w:val="24"/>
        </w:rPr>
        <w:t xml:space="preserve"> </w:t>
      </w:r>
      <w:proofErr w:type="spellStart"/>
      <w:r>
        <w:rPr>
          <w:rFonts w:cs="Times New Roman"/>
          <w:b/>
          <w:szCs w:val="24"/>
        </w:rPr>
        <w:t>Logit</w:t>
      </w:r>
      <w:proofErr w:type="spellEnd"/>
      <w:r>
        <w:rPr>
          <w:rFonts w:cs="Times New Roman"/>
          <w:b/>
          <w:szCs w:val="24"/>
        </w:rPr>
        <w:t xml:space="preserve"> Model</w:t>
      </w:r>
      <w:r w:rsidRPr="00A02BA1">
        <w:rPr>
          <w:b/>
        </w:rPr>
        <w:t xml:space="preserve"> of</w:t>
      </w:r>
      <w:r>
        <w:rPr>
          <w:b/>
        </w:rPr>
        <w:t xml:space="preserve"> the Impact of Amici on Ideological Direction of Justice Votes at the Roberts Court, 2007 – 201</w:t>
      </w:r>
      <w:r w:rsidRPr="00A02BA1">
        <w:rPr>
          <w:b/>
        </w:rPr>
        <w:t>1 Terms</w:t>
      </w:r>
      <w:r>
        <w:rPr>
          <w:b/>
        </w:rPr>
        <w:t>: Salient Cases – Liberal Justices Only</w:t>
      </w:r>
    </w:p>
    <w:tbl>
      <w:tblPr>
        <w:tblW w:w="0" w:type="auto"/>
        <w:tblInd w:w="93" w:type="dxa"/>
        <w:tblBorders>
          <w:top w:val="single" w:sz="18" w:space="0" w:color="auto"/>
          <w:bottom w:val="single" w:sz="18" w:space="0" w:color="auto"/>
        </w:tblBorders>
        <w:tblLook w:val="04A0" w:firstRow="1" w:lastRow="0" w:firstColumn="1" w:lastColumn="0" w:noHBand="0" w:noVBand="1"/>
      </w:tblPr>
      <w:tblGrid>
        <w:gridCol w:w="3051"/>
        <w:gridCol w:w="2098"/>
        <w:gridCol w:w="1213"/>
        <w:gridCol w:w="1615"/>
      </w:tblGrid>
      <w:tr w:rsidR="00080B67" w:rsidRPr="00944261" w:rsidTr="002D72FB">
        <w:trPr>
          <w:trHeight w:val="576"/>
        </w:trPr>
        <w:tc>
          <w:tcPr>
            <w:tcW w:w="0" w:type="auto"/>
            <w:tcBorders>
              <w:top w:val="single" w:sz="18" w:space="0" w:color="auto"/>
              <w:bottom w:val="single" w:sz="18" w:space="0" w:color="auto"/>
            </w:tcBorders>
            <w:shd w:val="clear" w:color="auto" w:fill="auto"/>
            <w:noWrap/>
            <w:vAlign w:val="center"/>
            <w:hideMark/>
          </w:tcPr>
          <w:p w:rsidR="00080B67" w:rsidRPr="00944261" w:rsidRDefault="00080B67" w:rsidP="002D72FB">
            <w:pPr>
              <w:ind w:left="0" w:firstLine="0"/>
              <w:rPr>
                <w:rFonts w:eastAsia="Times New Roman" w:cs="Times New Roman"/>
                <w:color w:val="000000"/>
                <w:sz w:val="22"/>
              </w:rPr>
            </w:pPr>
            <w:r w:rsidRPr="00944261">
              <w:rPr>
                <w:rFonts w:eastAsia="Times New Roman" w:cs="Times New Roman"/>
                <w:color w:val="000000"/>
                <w:sz w:val="22"/>
              </w:rPr>
              <w:t>Variable</w:t>
            </w:r>
          </w:p>
        </w:tc>
        <w:tc>
          <w:tcPr>
            <w:tcW w:w="0" w:type="auto"/>
            <w:tcBorders>
              <w:top w:val="single" w:sz="18" w:space="0" w:color="auto"/>
              <w:bottom w:val="single" w:sz="18" w:space="0" w:color="auto"/>
            </w:tcBorders>
            <w:shd w:val="clear" w:color="auto" w:fill="auto"/>
            <w:noWrap/>
            <w:vAlign w:val="center"/>
            <w:hideMark/>
          </w:tcPr>
          <w:p w:rsidR="00080B67" w:rsidRPr="00944261" w:rsidRDefault="00080B67" w:rsidP="002D72FB">
            <w:pPr>
              <w:ind w:left="0" w:firstLine="0"/>
              <w:jc w:val="center"/>
              <w:rPr>
                <w:rFonts w:eastAsia="Times New Roman" w:cs="Times New Roman"/>
                <w:color w:val="000000"/>
                <w:sz w:val="22"/>
              </w:rPr>
            </w:pPr>
            <w:r w:rsidRPr="00944261">
              <w:rPr>
                <w:rFonts w:eastAsia="Times New Roman" w:cs="Times New Roman"/>
                <w:color w:val="000000"/>
                <w:sz w:val="22"/>
              </w:rPr>
              <w:t>MLE Coefficient</w:t>
            </w:r>
          </w:p>
        </w:tc>
        <w:tc>
          <w:tcPr>
            <w:tcW w:w="0" w:type="auto"/>
            <w:tcBorders>
              <w:top w:val="single" w:sz="18" w:space="0" w:color="auto"/>
              <w:bottom w:val="single" w:sz="18" w:space="0" w:color="auto"/>
            </w:tcBorders>
            <w:shd w:val="clear" w:color="auto" w:fill="auto"/>
            <w:noWrap/>
            <w:vAlign w:val="center"/>
            <w:hideMark/>
          </w:tcPr>
          <w:p w:rsidR="00080B67" w:rsidRPr="00944261" w:rsidRDefault="00080B67" w:rsidP="002D72FB">
            <w:pPr>
              <w:ind w:left="0" w:firstLine="0"/>
              <w:jc w:val="center"/>
              <w:rPr>
                <w:rFonts w:eastAsia="Times New Roman" w:cs="Times New Roman"/>
                <w:color w:val="000000"/>
                <w:sz w:val="22"/>
              </w:rPr>
            </w:pPr>
            <w:r>
              <w:rPr>
                <w:rFonts w:eastAsia="Times New Roman" w:cs="Times New Roman"/>
                <w:color w:val="000000"/>
                <w:sz w:val="22"/>
              </w:rPr>
              <w:t>Odds Ratio</w:t>
            </w:r>
          </w:p>
        </w:tc>
        <w:tc>
          <w:tcPr>
            <w:tcW w:w="0" w:type="auto"/>
            <w:tcBorders>
              <w:top w:val="single" w:sz="18" w:space="0" w:color="auto"/>
              <w:bottom w:val="single" w:sz="18" w:space="0" w:color="auto"/>
            </w:tcBorders>
            <w:vAlign w:val="center"/>
          </w:tcPr>
          <w:p w:rsidR="00080B67" w:rsidRDefault="00080B67" w:rsidP="002D72FB">
            <w:pPr>
              <w:ind w:left="0" w:firstLine="0"/>
              <w:jc w:val="center"/>
              <w:rPr>
                <w:rFonts w:eastAsia="Times New Roman" w:cs="Times New Roman"/>
                <w:color w:val="000000"/>
                <w:sz w:val="22"/>
              </w:rPr>
            </w:pPr>
            <w:r>
              <w:rPr>
                <w:rFonts w:eastAsia="Times New Roman" w:cs="Times New Roman"/>
                <w:color w:val="000000"/>
                <w:sz w:val="22"/>
              </w:rPr>
              <w:t>Marginal Effect</w:t>
            </w:r>
          </w:p>
        </w:tc>
      </w:tr>
      <w:tr w:rsidR="00080B67" w:rsidRPr="00944261" w:rsidTr="002D72FB">
        <w:trPr>
          <w:trHeight w:val="576"/>
        </w:trPr>
        <w:tc>
          <w:tcPr>
            <w:tcW w:w="0" w:type="auto"/>
            <w:tcBorders>
              <w:top w:val="single" w:sz="18" w:space="0" w:color="auto"/>
            </w:tcBorders>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r w:rsidRPr="00944261">
              <w:rPr>
                <w:rFonts w:eastAsia="Times New Roman" w:cs="Times New Roman"/>
                <w:b/>
                <w:bCs/>
                <w:color w:val="000000"/>
                <w:sz w:val="22"/>
              </w:rPr>
              <w:t>Amicus Brief Difference</w:t>
            </w:r>
          </w:p>
        </w:tc>
        <w:tc>
          <w:tcPr>
            <w:tcW w:w="0" w:type="auto"/>
            <w:tcBorders>
              <w:top w:val="single" w:sz="18" w:space="0" w:color="auto"/>
            </w:tcBorders>
            <w:shd w:val="clear" w:color="auto" w:fill="auto"/>
            <w:noWrap/>
            <w:vAlign w:val="center"/>
            <w:hideMark/>
          </w:tcPr>
          <w:p w:rsidR="00080B67" w:rsidRDefault="00080B67" w:rsidP="002D72FB">
            <w:pPr>
              <w:jc w:val="center"/>
              <w:rPr>
                <w:color w:val="000000"/>
                <w:sz w:val="22"/>
              </w:rPr>
            </w:pPr>
            <w:r>
              <w:rPr>
                <w:color w:val="000000"/>
                <w:sz w:val="22"/>
              </w:rPr>
              <w:t>0.054 (.030)*</w:t>
            </w:r>
          </w:p>
        </w:tc>
        <w:tc>
          <w:tcPr>
            <w:tcW w:w="0" w:type="auto"/>
            <w:tcBorders>
              <w:top w:val="single" w:sz="18" w:space="0" w:color="auto"/>
            </w:tcBorders>
            <w:shd w:val="clear" w:color="auto" w:fill="auto"/>
            <w:noWrap/>
            <w:vAlign w:val="center"/>
            <w:hideMark/>
          </w:tcPr>
          <w:p w:rsidR="00080B67" w:rsidRDefault="00080B67" w:rsidP="002D72FB">
            <w:pPr>
              <w:jc w:val="center"/>
              <w:rPr>
                <w:color w:val="000000"/>
                <w:sz w:val="22"/>
              </w:rPr>
            </w:pPr>
            <w:r>
              <w:rPr>
                <w:color w:val="000000"/>
                <w:sz w:val="22"/>
              </w:rPr>
              <w:t>1.055</w:t>
            </w:r>
          </w:p>
        </w:tc>
        <w:tc>
          <w:tcPr>
            <w:tcW w:w="0" w:type="auto"/>
            <w:tcBorders>
              <w:top w:val="single" w:sz="18" w:space="0" w:color="auto"/>
            </w:tcBorders>
            <w:vAlign w:val="center"/>
          </w:tcPr>
          <w:p w:rsidR="00080B67" w:rsidRDefault="00080B67" w:rsidP="002D72FB">
            <w:pPr>
              <w:jc w:val="center"/>
              <w:rPr>
                <w:color w:val="000000"/>
                <w:sz w:val="22"/>
              </w:rPr>
            </w:pPr>
            <w:r>
              <w:rPr>
                <w:color w:val="000000"/>
                <w:sz w:val="22"/>
              </w:rPr>
              <w:t>2.9%</w:t>
            </w:r>
          </w:p>
        </w:tc>
      </w:tr>
      <w:tr w:rsidR="00080B67" w:rsidRPr="00944261" w:rsidTr="002D72FB">
        <w:trPr>
          <w:trHeight w:val="576"/>
        </w:trPr>
        <w:tc>
          <w:tcPr>
            <w:tcW w:w="0" w:type="auto"/>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r w:rsidRPr="00944261">
              <w:rPr>
                <w:rFonts w:eastAsia="Times New Roman" w:cs="Times New Roman"/>
                <w:b/>
                <w:bCs/>
                <w:color w:val="000000"/>
                <w:sz w:val="22"/>
              </w:rPr>
              <w:t>Amicus Cosigner Difference</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-0.001 (.001)</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0.999</w:t>
            </w:r>
          </w:p>
        </w:tc>
        <w:tc>
          <w:tcPr>
            <w:tcW w:w="0" w:type="auto"/>
            <w:vAlign w:val="center"/>
          </w:tcPr>
          <w:p w:rsidR="00080B67" w:rsidRDefault="00080B67" w:rsidP="002D72FB">
            <w:pPr>
              <w:jc w:val="center"/>
              <w:rPr>
                <w:color w:val="000000"/>
                <w:sz w:val="22"/>
              </w:rPr>
            </w:pPr>
            <w:r>
              <w:rPr>
                <w:color w:val="000000"/>
                <w:sz w:val="22"/>
              </w:rPr>
              <w:t>-0.8%</w:t>
            </w:r>
          </w:p>
        </w:tc>
      </w:tr>
      <w:tr w:rsidR="00080B67" w:rsidRPr="00944261" w:rsidTr="002D72FB">
        <w:trPr>
          <w:trHeight w:val="576"/>
        </w:trPr>
        <w:tc>
          <w:tcPr>
            <w:tcW w:w="0" w:type="auto"/>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r w:rsidRPr="00944261">
              <w:rPr>
                <w:rFonts w:eastAsia="Times New Roman" w:cs="Times New Roman"/>
                <w:b/>
                <w:bCs/>
                <w:color w:val="000000"/>
                <w:sz w:val="22"/>
              </w:rPr>
              <w:t>SG Lib Amicus Brief</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-0.190 (.686)</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0.827</w:t>
            </w:r>
          </w:p>
        </w:tc>
        <w:tc>
          <w:tcPr>
            <w:tcW w:w="0" w:type="auto"/>
            <w:vAlign w:val="center"/>
          </w:tcPr>
          <w:p w:rsidR="00080B67" w:rsidRDefault="00080B67" w:rsidP="002D72FB">
            <w:pPr>
              <w:jc w:val="center"/>
              <w:rPr>
                <w:color w:val="000000"/>
                <w:sz w:val="22"/>
              </w:rPr>
            </w:pPr>
            <w:r>
              <w:rPr>
                <w:color w:val="000000"/>
                <w:sz w:val="22"/>
              </w:rPr>
              <w:t>-11.7%</w:t>
            </w:r>
          </w:p>
        </w:tc>
      </w:tr>
      <w:tr w:rsidR="00080B67" w:rsidRPr="00944261" w:rsidTr="002D72FB">
        <w:trPr>
          <w:trHeight w:val="576"/>
        </w:trPr>
        <w:tc>
          <w:tcPr>
            <w:tcW w:w="0" w:type="auto"/>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r w:rsidRPr="00944261">
              <w:rPr>
                <w:rFonts w:eastAsia="Times New Roman" w:cs="Times New Roman"/>
                <w:b/>
                <w:bCs/>
                <w:color w:val="000000"/>
                <w:sz w:val="22"/>
              </w:rPr>
              <w:t>SG Con Amicus Brief</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0.176 (.525)</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1.193</w:t>
            </w:r>
          </w:p>
        </w:tc>
        <w:tc>
          <w:tcPr>
            <w:tcW w:w="0" w:type="auto"/>
            <w:vAlign w:val="center"/>
          </w:tcPr>
          <w:p w:rsidR="00080B67" w:rsidRDefault="00080B67" w:rsidP="002D72FB">
            <w:pPr>
              <w:jc w:val="center"/>
              <w:rPr>
                <w:color w:val="000000"/>
                <w:sz w:val="22"/>
              </w:rPr>
            </w:pPr>
            <w:r>
              <w:rPr>
                <w:color w:val="000000"/>
                <w:sz w:val="22"/>
              </w:rPr>
              <w:t>0.9%</w:t>
            </w:r>
          </w:p>
        </w:tc>
      </w:tr>
      <w:tr w:rsidR="00080B67" w:rsidRPr="00944261" w:rsidTr="002D72FB">
        <w:trPr>
          <w:trHeight w:val="576"/>
        </w:trPr>
        <w:tc>
          <w:tcPr>
            <w:tcW w:w="0" w:type="auto"/>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r w:rsidRPr="00944261">
              <w:rPr>
                <w:rFonts w:eastAsia="Times New Roman" w:cs="Times New Roman"/>
                <w:b/>
                <w:bCs/>
                <w:color w:val="000000"/>
                <w:sz w:val="22"/>
              </w:rPr>
              <w:t>Prestigious Amicus Difference</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0.648 (.141)****</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1.911</w:t>
            </w:r>
          </w:p>
        </w:tc>
        <w:tc>
          <w:tcPr>
            <w:tcW w:w="0" w:type="auto"/>
            <w:vAlign w:val="center"/>
          </w:tcPr>
          <w:p w:rsidR="00080B67" w:rsidRDefault="00080B67" w:rsidP="002D72FB">
            <w:pPr>
              <w:jc w:val="center"/>
              <w:rPr>
                <w:color w:val="000000"/>
                <w:sz w:val="22"/>
              </w:rPr>
            </w:pPr>
            <w:r>
              <w:rPr>
                <w:color w:val="000000"/>
                <w:sz w:val="22"/>
              </w:rPr>
              <w:t>6.5%</w:t>
            </w:r>
          </w:p>
        </w:tc>
      </w:tr>
      <w:tr w:rsidR="00080B67" w:rsidRPr="00944261" w:rsidTr="002D72FB">
        <w:trPr>
          <w:trHeight w:val="576"/>
        </w:trPr>
        <w:tc>
          <w:tcPr>
            <w:tcW w:w="0" w:type="auto"/>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r w:rsidRPr="00944261">
              <w:rPr>
                <w:rFonts w:eastAsia="Times New Roman" w:cs="Times New Roman"/>
                <w:b/>
                <w:bCs/>
                <w:color w:val="000000"/>
                <w:sz w:val="22"/>
              </w:rPr>
              <w:t>Lower Court Direction</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1.469 (.448)****</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4.346</w:t>
            </w:r>
          </w:p>
        </w:tc>
        <w:tc>
          <w:tcPr>
            <w:tcW w:w="0" w:type="auto"/>
            <w:vAlign w:val="center"/>
          </w:tcPr>
          <w:p w:rsidR="00080B67" w:rsidRDefault="00080B67" w:rsidP="002D72FB">
            <w:pPr>
              <w:jc w:val="center"/>
              <w:rPr>
                <w:color w:val="000000"/>
                <w:sz w:val="22"/>
              </w:rPr>
            </w:pPr>
            <w:r>
              <w:rPr>
                <w:color w:val="000000"/>
                <w:sz w:val="22"/>
              </w:rPr>
              <w:t>15.7%</w:t>
            </w:r>
          </w:p>
        </w:tc>
      </w:tr>
      <w:tr w:rsidR="00080B67" w:rsidRPr="00944261" w:rsidTr="002D72FB">
        <w:trPr>
          <w:trHeight w:val="576"/>
        </w:trPr>
        <w:tc>
          <w:tcPr>
            <w:tcW w:w="0" w:type="auto"/>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r w:rsidRPr="00944261">
              <w:rPr>
                <w:rFonts w:eastAsia="Times New Roman" w:cs="Times New Roman"/>
                <w:b/>
                <w:bCs/>
                <w:color w:val="000000"/>
                <w:sz w:val="22"/>
              </w:rPr>
              <w:t>Resource Difference</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0.005 (.056)</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1.005</w:t>
            </w:r>
          </w:p>
        </w:tc>
        <w:tc>
          <w:tcPr>
            <w:tcW w:w="0" w:type="auto"/>
            <w:vAlign w:val="center"/>
          </w:tcPr>
          <w:p w:rsidR="00080B67" w:rsidRDefault="00080B67" w:rsidP="002D72FB">
            <w:pPr>
              <w:jc w:val="center"/>
              <w:rPr>
                <w:color w:val="000000"/>
                <w:sz w:val="22"/>
              </w:rPr>
            </w:pPr>
            <w:r>
              <w:rPr>
                <w:color w:val="000000"/>
                <w:sz w:val="22"/>
              </w:rPr>
              <w:t>0.2%</w:t>
            </w:r>
          </w:p>
        </w:tc>
      </w:tr>
      <w:tr w:rsidR="00080B67" w:rsidRPr="00944261" w:rsidTr="002D72FB">
        <w:trPr>
          <w:trHeight w:val="576"/>
        </w:trPr>
        <w:tc>
          <w:tcPr>
            <w:tcW w:w="0" w:type="auto"/>
            <w:tcBorders>
              <w:bottom w:val="single" w:sz="18" w:space="0" w:color="auto"/>
            </w:tcBorders>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r w:rsidRPr="00944261">
              <w:rPr>
                <w:rFonts w:eastAsia="Times New Roman" w:cs="Times New Roman"/>
                <w:b/>
                <w:bCs/>
                <w:color w:val="000000"/>
                <w:sz w:val="22"/>
              </w:rPr>
              <w:t>Constant</w:t>
            </w:r>
          </w:p>
        </w:tc>
        <w:tc>
          <w:tcPr>
            <w:tcW w:w="0" w:type="auto"/>
            <w:tcBorders>
              <w:bottom w:val="single" w:sz="18" w:space="0" w:color="auto"/>
            </w:tcBorders>
            <w:shd w:val="clear" w:color="auto" w:fill="auto"/>
            <w:noWrap/>
            <w:vAlign w:val="center"/>
            <w:hideMark/>
          </w:tcPr>
          <w:p w:rsidR="00080B67" w:rsidRDefault="00080B67" w:rsidP="002D72FB">
            <w:pPr>
              <w:jc w:val="center"/>
              <w:rPr>
                <w:color w:val="000000"/>
                <w:sz w:val="22"/>
              </w:rPr>
            </w:pPr>
            <w:r>
              <w:rPr>
                <w:color w:val="000000"/>
                <w:sz w:val="22"/>
              </w:rPr>
              <w:t>1.030 (.321)</w:t>
            </w:r>
          </w:p>
        </w:tc>
        <w:tc>
          <w:tcPr>
            <w:tcW w:w="0" w:type="auto"/>
            <w:tcBorders>
              <w:bottom w:val="single" w:sz="18" w:space="0" w:color="auto"/>
            </w:tcBorders>
            <w:shd w:val="clear" w:color="auto" w:fill="auto"/>
            <w:noWrap/>
            <w:vAlign w:val="center"/>
            <w:hideMark/>
          </w:tcPr>
          <w:p w:rsidR="00080B67" w:rsidRDefault="00080B67" w:rsidP="002D72FB">
            <w:pPr>
              <w:jc w:val="center"/>
              <w:rPr>
                <w:color w:val="000000"/>
                <w:sz w:val="22"/>
              </w:rPr>
            </w:pPr>
          </w:p>
        </w:tc>
        <w:tc>
          <w:tcPr>
            <w:tcW w:w="0" w:type="auto"/>
            <w:tcBorders>
              <w:bottom w:val="single" w:sz="18" w:space="0" w:color="auto"/>
            </w:tcBorders>
            <w:vAlign w:val="center"/>
          </w:tcPr>
          <w:p w:rsidR="00080B67" w:rsidRDefault="00080B67" w:rsidP="002D72FB">
            <w:pPr>
              <w:jc w:val="center"/>
              <w:rPr>
                <w:color w:val="000000"/>
                <w:sz w:val="22"/>
              </w:rPr>
            </w:pPr>
          </w:p>
        </w:tc>
      </w:tr>
      <w:tr w:rsidR="00080B67" w:rsidRPr="00944261" w:rsidTr="002D72FB">
        <w:trPr>
          <w:trHeight w:val="576"/>
        </w:trPr>
        <w:tc>
          <w:tcPr>
            <w:tcW w:w="0" w:type="auto"/>
            <w:tcBorders>
              <w:top w:val="single" w:sz="18" w:space="0" w:color="auto"/>
              <w:bottom w:val="nil"/>
            </w:tcBorders>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r w:rsidRPr="00944261">
              <w:rPr>
                <w:rFonts w:eastAsia="Times New Roman" w:cs="Times New Roman"/>
                <w:b/>
                <w:bCs/>
                <w:color w:val="000000"/>
                <w:sz w:val="22"/>
              </w:rPr>
              <w:t>N</w:t>
            </w:r>
          </w:p>
        </w:tc>
        <w:tc>
          <w:tcPr>
            <w:tcW w:w="0" w:type="auto"/>
            <w:tcBorders>
              <w:top w:val="single" w:sz="18" w:space="0" w:color="auto"/>
              <w:bottom w:val="nil"/>
            </w:tcBorders>
            <w:shd w:val="clear" w:color="auto" w:fill="auto"/>
            <w:noWrap/>
            <w:vAlign w:val="center"/>
            <w:hideMark/>
          </w:tcPr>
          <w:p w:rsidR="00080B67" w:rsidRPr="00831FAD" w:rsidRDefault="00080B67" w:rsidP="002D72FB">
            <w:pPr>
              <w:ind w:left="0" w:firstLine="0"/>
              <w:jc w:val="center"/>
              <w:rPr>
                <w:rFonts w:eastAsia="Times New Roman" w:cs="Times New Roman"/>
                <w:sz w:val="22"/>
              </w:rPr>
            </w:pPr>
            <w:r>
              <w:rPr>
                <w:rFonts w:eastAsia="Times New Roman" w:cs="Times New Roman"/>
                <w:sz w:val="22"/>
              </w:rPr>
              <w:t>225</w:t>
            </w:r>
          </w:p>
        </w:tc>
        <w:tc>
          <w:tcPr>
            <w:tcW w:w="0" w:type="auto"/>
            <w:tcBorders>
              <w:top w:val="single" w:sz="18" w:space="0" w:color="auto"/>
              <w:bottom w:val="nil"/>
            </w:tcBorders>
            <w:shd w:val="clear" w:color="auto" w:fill="auto"/>
            <w:noWrap/>
            <w:vAlign w:val="center"/>
            <w:hideMark/>
          </w:tcPr>
          <w:p w:rsidR="00080B67" w:rsidRPr="007C7497" w:rsidRDefault="00080B67" w:rsidP="002D72FB">
            <w:pPr>
              <w:ind w:left="0" w:firstLine="0"/>
              <w:jc w:val="center"/>
              <w:rPr>
                <w:rFonts w:eastAsia="Times New Roman" w:cs="Times New Roman"/>
                <w:color w:val="FF0000"/>
                <w:sz w:val="22"/>
              </w:rPr>
            </w:pPr>
          </w:p>
        </w:tc>
        <w:tc>
          <w:tcPr>
            <w:tcW w:w="0" w:type="auto"/>
            <w:tcBorders>
              <w:top w:val="single" w:sz="18" w:space="0" w:color="auto"/>
              <w:bottom w:val="nil"/>
            </w:tcBorders>
          </w:tcPr>
          <w:p w:rsidR="00080B67" w:rsidRPr="007C7497" w:rsidRDefault="00080B67" w:rsidP="002D72FB">
            <w:pPr>
              <w:ind w:left="0" w:firstLine="0"/>
              <w:jc w:val="center"/>
              <w:rPr>
                <w:rFonts w:eastAsia="Times New Roman" w:cs="Times New Roman"/>
                <w:color w:val="FF0000"/>
                <w:sz w:val="22"/>
              </w:rPr>
            </w:pPr>
          </w:p>
        </w:tc>
      </w:tr>
      <w:tr w:rsidR="00080B67" w:rsidRPr="00944261" w:rsidTr="002D72FB">
        <w:trPr>
          <w:trHeight w:val="576"/>
        </w:trPr>
        <w:tc>
          <w:tcPr>
            <w:tcW w:w="0" w:type="auto"/>
            <w:tcBorders>
              <w:top w:val="nil"/>
              <w:bottom w:val="nil"/>
            </w:tcBorders>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proofErr w:type="spellStart"/>
            <w:r w:rsidRPr="00944261">
              <w:rPr>
                <w:rFonts w:eastAsia="Times New Roman" w:cs="Times New Roman"/>
                <w:b/>
                <w:bCs/>
                <w:color w:val="000000"/>
                <w:sz w:val="22"/>
              </w:rPr>
              <w:t>Prob</w:t>
            </w:r>
            <w:proofErr w:type="spellEnd"/>
            <w:r w:rsidRPr="00944261">
              <w:rPr>
                <w:rFonts w:eastAsia="Times New Roman" w:cs="Times New Roman"/>
                <w:b/>
                <w:bCs/>
                <w:color w:val="000000"/>
                <w:sz w:val="22"/>
              </w:rPr>
              <w:t xml:space="preserve"> &gt; chi2</w:t>
            </w:r>
          </w:p>
        </w:tc>
        <w:tc>
          <w:tcPr>
            <w:tcW w:w="0" w:type="auto"/>
            <w:tcBorders>
              <w:top w:val="nil"/>
              <w:bottom w:val="nil"/>
            </w:tcBorders>
            <w:shd w:val="clear" w:color="auto" w:fill="auto"/>
            <w:noWrap/>
            <w:vAlign w:val="center"/>
            <w:hideMark/>
          </w:tcPr>
          <w:p w:rsidR="00080B67" w:rsidRPr="00831FAD" w:rsidRDefault="00080B67" w:rsidP="002D72FB">
            <w:pPr>
              <w:ind w:left="0" w:firstLine="0"/>
              <w:jc w:val="center"/>
              <w:rPr>
                <w:rFonts w:eastAsia="Times New Roman" w:cs="Times New Roman"/>
                <w:sz w:val="22"/>
              </w:rPr>
            </w:pPr>
            <w:r>
              <w:rPr>
                <w:rFonts w:eastAsia="Times New Roman" w:cs="Times New Roman"/>
                <w:sz w:val="22"/>
              </w:rPr>
              <w:t>0</w:t>
            </w:r>
          </w:p>
        </w:tc>
        <w:tc>
          <w:tcPr>
            <w:tcW w:w="0" w:type="auto"/>
            <w:tcBorders>
              <w:top w:val="nil"/>
              <w:bottom w:val="nil"/>
            </w:tcBorders>
            <w:shd w:val="clear" w:color="auto" w:fill="auto"/>
            <w:noWrap/>
            <w:vAlign w:val="center"/>
            <w:hideMark/>
          </w:tcPr>
          <w:p w:rsidR="00080B67" w:rsidRPr="007C7497" w:rsidRDefault="00080B67" w:rsidP="002D72FB">
            <w:pPr>
              <w:ind w:left="0" w:firstLine="0"/>
              <w:jc w:val="center"/>
              <w:rPr>
                <w:rFonts w:eastAsia="Times New Roman" w:cs="Times New Roman"/>
                <w:color w:val="FF0000"/>
                <w:sz w:val="22"/>
              </w:rPr>
            </w:pPr>
          </w:p>
        </w:tc>
        <w:tc>
          <w:tcPr>
            <w:tcW w:w="0" w:type="auto"/>
            <w:tcBorders>
              <w:top w:val="nil"/>
              <w:bottom w:val="nil"/>
            </w:tcBorders>
          </w:tcPr>
          <w:p w:rsidR="00080B67" w:rsidRPr="007C7497" w:rsidRDefault="00080B67" w:rsidP="002D72FB">
            <w:pPr>
              <w:ind w:left="0" w:firstLine="0"/>
              <w:jc w:val="center"/>
              <w:rPr>
                <w:rFonts w:eastAsia="Times New Roman" w:cs="Times New Roman"/>
                <w:color w:val="FF0000"/>
                <w:sz w:val="22"/>
              </w:rPr>
            </w:pPr>
          </w:p>
        </w:tc>
      </w:tr>
      <w:tr w:rsidR="00080B67" w:rsidRPr="00944261" w:rsidTr="002D72FB">
        <w:trPr>
          <w:trHeight w:val="576"/>
        </w:trPr>
        <w:tc>
          <w:tcPr>
            <w:tcW w:w="0" w:type="auto"/>
            <w:tcBorders>
              <w:top w:val="nil"/>
              <w:bottom w:val="nil"/>
            </w:tcBorders>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r w:rsidRPr="00944261">
              <w:rPr>
                <w:rFonts w:eastAsia="Times New Roman" w:cs="Times New Roman"/>
                <w:b/>
                <w:bCs/>
                <w:color w:val="000000"/>
                <w:sz w:val="22"/>
              </w:rPr>
              <w:t>Percent Correctly Predicted</w:t>
            </w:r>
          </w:p>
        </w:tc>
        <w:tc>
          <w:tcPr>
            <w:tcW w:w="0" w:type="auto"/>
            <w:tcBorders>
              <w:top w:val="nil"/>
              <w:bottom w:val="nil"/>
            </w:tcBorders>
            <w:shd w:val="clear" w:color="auto" w:fill="auto"/>
            <w:noWrap/>
            <w:vAlign w:val="center"/>
            <w:hideMark/>
          </w:tcPr>
          <w:p w:rsidR="00080B67" w:rsidRPr="0064297A" w:rsidRDefault="00080B67" w:rsidP="002D72FB">
            <w:pPr>
              <w:ind w:left="0" w:firstLine="0"/>
              <w:jc w:val="center"/>
              <w:rPr>
                <w:rFonts w:eastAsia="Times New Roman" w:cs="Times New Roman"/>
                <w:sz w:val="22"/>
              </w:rPr>
            </w:pPr>
            <w:r>
              <w:rPr>
                <w:rFonts w:eastAsia="Times New Roman" w:cs="Times New Roman"/>
                <w:sz w:val="22"/>
              </w:rPr>
              <w:t>88.0</w:t>
            </w:r>
          </w:p>
        </w:tc>
        <w:tc>
          <w:tcPr>
            <w:tcW w:w="0" w:type="auto"/>
            <w:tcBorders>
              <w:top w:val="nil"/>
              <w:bottom w:val="nil"/>
            </w:tcBorders>
            <w:shd w:val="clear" w:color="auto" w:fill="auto"/>
            <w:noWrap/>
            <w:vAlign w:val="center"/>
            <w:hideMark/>
          </w:tcPr>
          <w:p w:rsidR="00080B67" w:rsidRPr="007C7497" w:rsidRDefault="00080B67" w:rsidP="002D72FB">
            <w:pPr>
              <w:ind w:left="0" w:firstLine="0"/>
              <w:jc w:val="center"/>
              <w:rPr>
                <w:rFonts w:eastAsia="Times New Roman" w:cs="Times New Roman"/>
                <w:color w:val="FF0000"/>
                <w:sz w:val="22"/>
              </w:rPr>
            </w:pPr>
          </w:p>
        </w:tc>
        <w:tc>
          <w:tcPr>
            <w:tcW w:w="0" w:type="auto"/>
            <w:tcBorders>
              <w:top w:val="nil"/>
              <w:bottom w:val="nil"/>
            </w:tcBorders>
          </w:tcPr>
          <w:p w:rsidR="00080B67" w:rsidRPr="007C7497" w:rsidRDefault="00080B67" w:rsidP="002D72FB">
            <w:pPr>
              <w:ind w:left="0" w:firstLine="0"/>
              <w:jc w:val="center"/>
              <w:rPr>
                <w:rFonts w:eastAsia="Times New Roman" w:cs="Times New Roman"/>
                <w:color w:val="FF0000"/>
                <w:sz w:val="22"/>
              </w:rPr>
            </w:pPr>
          </w:p>
        </w:tc>
      </w:tr>
      <w:tr w:rsidR="00080B67" w:rsidRPr="00944261" w:rsidTr="002D72FB">
        <w:trPr>
          <w:trHeight w:val="576"/>
        </w:trPr>
        <w:tc>
          <w:tcPr>
            <w:tcW w:w="0" w:type="auto"/>
            <w:tcBorders>
              <w:top w:val="nil"/>
              <w:bottom w:val="single" w:sz="18" w:space="0" w:color="auto"/>
            </w:tcBorders>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r w:rsidRPr="00944261">
              <w:rPr>
                <w:rFonts w:eastAsia="Times New Roman" w:cs="Times New Roman"/>
                <w:b/>
                <w:bCs/>
                <w:color w:val="000000"/>
                <w:sz w:val="22"/>
              </w:rPr>
              <w:t>Percent Reduction in Error</w:t>
            </w:r>
          </w:p>
        </w:tc>
        <w:tc>
          <w:tcPr>
            <w:tcW w:w="0" w:type="auto"/>
            <w:tcBorders>
              <w:top w:val="nil"/>
              <w:bottom w:val="single" w:sz="18" w:space="0" w:color="auto"/>
            </w:tcBorders>
            <w:shd w:val="clear" w:color="auto" w:fill="auto"/>
            <w:noWrap/>
            <w:vAlign w:val="center"/>
            <w:hideMark/>
          </w:tcPr>
          <w:p w:rsidR="00080B67" w:rsidRPr="0064297A" w:rsidRDefault="00080B67" w:rsidP="002D72FB">
            <w:pPr>
              <w:ind w:left="0" w:firstLine="0"/>
              <w:jc w:val="center"/>
              <w:rPr>
                <w:rFonts w:eastAsia="Times New Roman" w:cs="Times New Roman"/>
                <w:sz w:val="22"/>
              </w:rPr>
            </w:pPr>
            <w:r>
              <w:rPr>
                <w:rFonts w:eastAsia="Times New Roman" w:cs="Times New Roman"/>
                <w:sz w:val="22"/>
              </w:rPr>
              <w:t>33.99</w:t>
            </w:r>
          </w:p>
        </w:tc>
        <w:tc>
          <w:tcPr>
            <w:tcW w:w="0" w:type="auto"/>
            <w:tcBorders>
              <w:top w:val="nil"/>
              <w:bottom w:val="single" w:sz="18" w:space="0" w:color="auto"/>
            </w:tcBorders>
            <w:shd w:val="clear" w:color="auto" w:fill="auto"/>
            <w:noWrap/>
            <w:vAlign w:val="center"/>
            <w:hideMark/>
          </w:tcPr>
          <w:p w:rsidR="00080B67" w:rsidRPr="007C7497" w:rsidRDefault="00080B67" w:rsidP="002D72FB">
            <w:pPr>
              <w:ind w:left="0" w:firstLine="0"/>
              <w:jc w:val="center"/>
              <w:rPr>
                <w:rFonts w:eastAsia="Times New Roman" w:cs="Times New Roman"/>
                <w:color w:val="FF0000"/>
                <w:sz w:val="22"/>
              </w:rPr>
            </w:pPr>
          </w:p>
        </w:tc>
        <w:tc>
          <w:tcPr>
            <w:tcW w:w="0" w:type="auto"/>
            <w:tcBorders>
              <w:top w:val="nil"/>
              <w:bottom w:val="single" w:sz="18" w:space="0" w:color="auto"/>
            </w:tcBorders>
          </w:tcPr>
          <w:p w:rsidR="00080B67" w:rsidRPr="007C7497" w:rsidRDefault="00080B67" w:rsidP="002D72FB">
            <w:pPr>
              <w:ind w:left="0" w:firstLine="0"/>
              <w:jc w:val="center"/>
              <w:rPr>
                <w:rFonts w:eastAsia="Times New Roman" w:cs="Times New Roman"/>
                <w:color w:val="FF0000"/>
                <w:sz w:val="22"/>
              </w:rPr>
            </w:pPr>
          </w:p>
        </w:tc>
      </w:tr>
    </w:tbl>
    <w:p w:rsidR="00080B67" w:rsidRPr="009E62D9" w:rsidRDefault="00080B67" w:rsidP="00080B67">
      <w:pPr>
        <w:autoSpaceDE w:val="0"/>
        <w:autoSpaceDN w:val="0"/>
        <w:adjustRightInd w:val="0"/>
        <w:ind w:left="90" w:firstLine="0"/>
        <w:rPr>
          <w:sz w:val="22"/>
        </w:rPr>
      </w:pPr>
      <w:r w:rsidRPr="009E62D9">
        <w:rPr>
          <w:sz w:val="22"/>
        </w:rPr>
        <w:t>Dependent variable indicates the ideological direction of the individual justices’ vote (1 = libe</w:t>
      </w:r>
      <w:r>
        <w:rPr>
          <w:sz w:val="22"/>
        </w:rPr>
        <w:t xml:space="preserve">ral, 0 = conservative). Numbers in parentheses indicated standard errors.  </w:t>
      </w:r>
      <w:proofErr w:type="gramStart"/>
      <w:r>
        <w:rPr>
          <w:sz w:val="22"/>
        </w:rPr>
        <w:t>*p&lt;.08 **p&lt;.05, ***p&lt;.01, ****p&lt;.001</w:t>
      </w:r>
      <w:r w:rsidRPr="009E62D9">
        <w:rPr>
          <w:sz w:val="22"/>
        </w:rPr>
        <w:t xml:space="preserve"> (one-tailed).</w:t>
      </w:r>
      <w:proofErr w:type="gramEnd"/>
    </w:p>
    <w:p w:rsidR="00080B67" w:rsidRDefault="00080B67" w:rsidP="00080B67">
      <w:pPr>
        <w:autoSpaceDE w:val="0"/>
        <w:autoSpaceDN w:val="0"/>
        <w:adjustRightInd w:val="0"/>
        <w:spacing w:line="480" w:lineRule="auto"/>
        <w:ind w:left="0" w:firstLine="0"/>
        <w:rPr>
          <w:rFonts w:cs="Times New Roman"/>
          <w:szCs w:val="24"/>
        </w:rPr>
      </w:pPr>
    </w:p>
    <w:p w:rsidR="00080B67" w:rsidRDefault="00080B67" w:rsidP="00080B67">
      <w:pPr>
        <w:autoSpaceDE w:val="0"/>
        <w:autoSpaceDN w:val="0"/>
        <w:adjustRightInd w:val="0"/>
        <w:spacing w:line="480" w:lineRule="auto"/>
        <w:ind w:left="0" w:firstLine="0"/>
        <w:rPr>
          <w:rFonts w:cs="Times New Roman"/>
          <w:szCs w:val="24"/>
        </w:rPr>
      </w:pPr>
    </w:p>
    <w:p w:rsidR="00080B67" w:rsidRDefault="00080B67" w:rsidP="00080B67">
      <w:pPr>
        <w:autoSpaceDE w:val="0"/>
        <w:autoSpaceDN w:val="0"/>
        <w:adjustRightInd w:val="0"/>
        <w:spacing w:line="480" w:lineRule="auto"/>
        <w:ind w:left="0" w:firstLine="0"/>
        <w:rPr>
          <w:rFonts w:cs="Times New Roman"/>
          <w:szCs w:val="24"/>
        </w:rPr>
      </w:pPr>
      <w:proofErr w:type="gramStart"/>
      <w:r>
        <w:rPr>
          <w:rFonts w:cs="Times New Roman"/>
          <w:szCs w:val="24"/>
        </w:rPr>
        <w:t>while</w:t>
      </w:r>
      <w:proofErr w:type="gramEnd"/>
      <w:r>
        <w:rPr>
          <w:rFonts w:cs="Times New Roman"/>
          <w:szCs w:val="24"/>
        </w:rPr>
        <w:t xml:space="preserve"> being 7.7 percent for conservative justices.  However, the higher degree of amicus brief impact on conservative justices can probably be explained by the fact that Justice Kennedy is included with this group, and given his moderation level, is most likely to welcome amicus influence.  Regardless, the basic narrative is the same: amicus briefs matter in salient cases.</w:t>
      </w:r>
    </w:p>
    <w:p w:rsidR="00080B67" w:rsidRDefault="00080B67" w:rsidP="00080B67">
      <w:pPr>
        <w:autoSpaceDE w:val="0"/>
        <w:autoSpaceDN w:val="0"/>
        <w:adjustRightInd w:val="0"/>
        <w:spacing w:line="480" w:lineRule="auto"/>
        <w:ind w:left="0" w:firstLine="0"/>
        <w:rPr>
          <w:rFonts w:cs="Times New Roman"/>
          <w:szCs w:val="24"/>
        </w:rPr>
      </w:pPr>
      <w:proofErr w:type="gramStart"/>
      <w:r>
        <w:rPr>
          <w:rFonts w:cs="Times New Roman"/>
          <w:b/>
          <w:szCs w:val="24"/>
        </w:rPr>
        <w:lastRenderedPageBreak/>
        <w:t>Table 5.8</w:t>
      </w:r>
      <w:r w:rsidRPr="00E8454D">
        <w:rPr>
          <w:rFonts w:cs="Times New Roman"/>
          <w:b/>
          <w:szCs w:val="24"/>
        </w:rPr>
        <w:t>.</w:t>
      </w:r>
      <w:proofErr w:type="gramEnd"/>
      <w:r>
        <w:rPr>
          <w:rFonts w:cs="Times New Roman"/>
          <w:szCs w:val="24"/>
        </w:rPr>
        <w:t xml:space="preserve"> </w:t>
      </w:r>
      <w:proofErr w:type="spellStart"/>
      <w:r>
        <w:rPr>
          <w:rFonts w:cs="Times New Roman"/>
          <w:b/>
          <w:szCs w:val="24"/>
        </w:rPr>
        <w:t>Logit</w:t>
      </w:r>
      <w:proofErr w:type="spellEnd"/>
      <w:r>
        <w:rPr>
          <w:rFonts w:cs="Times New Roman"/>
          <w:b/>
          <w:szCs w:val="24"/>
        </w:rPr>
        <w:t xml:space="preserve"> Model</w:t>
      </w:r>
      <w:r w:rsidRPr="00A02BA1">
        <w:rPr>
          <w:b/>
        </w:rPr>
        <w:t xml:space="preserve"> of</w:t>
      </w:r>
      <w:r>
        <w:rPr>
          <w:b/>
        </w:rPr>
        <w:t xml:space="preserve"> the Impact of Amici on Ideological Direction of Justice Votes at the Roberts Court, 2007 – 201</w:t>
      </w:r>
      <w:r w:rsidRPr="00A02BA1">
        <w:rPr>
          <w:b/>
        </w:rPr>
        <w:t>1 Terms</w:t>
      </w:r>
      <w:r>
        <w:rPr>
          <w:b/>
        </w:rPr>
        <w:t>: Salient Cases – Conservative Justices Only</w:t>
      </w:r>
    </w:p>
    <w:tbl>
      <w:tblPr>
        <w:tblW w:w="0" w:type="auto"/>
        <w:tblInd w:w="93" w:type="dxa"/>
        <w:tblBorders>
          <w:top w:val="single" w:sz="18" w:space="0" w:color="auto"/>
          <w:bottom w:val="single" w:sz="18" w:space="0" w:color="auto"/>
        </w:tblBorders>
        <w:tblLook w:val="04A0" w:firstRow="1" w:lastRow="0" w:firstColumn="1" w:lastColumn="0" w:noHBand="0" w:noVBand="1"/>
      </w:tblPr>
      <w:tblGrid>
        <w:gridCol w:w="3051"/>
        <w:gridCol w:w="2171"/>
        <w:gridCol w:w="1213"/>
        <w:gridCol w:w="1035"/>
        <w:gridCol w:w="555"/>
      </w:tblGrid>
      <w:tr w:rsidR="00080B67" w:rsidRPr="00944261" w:rsidTr="002D72FB">
        <w:trPr>
          <w:trHeight w:val="576"/>
        </w:trPr>
        <w:tc>
          <w:tcPr>
            <w:tcW w:w="0" w:type="auto"/>
            <w:tcBorders>
              <w:top w:val="single" w:sz="18" w:space="0" w:color="auto"/>
              <w:bottom w:val="single" w:sz="18" w:space="0" w:color="auto"/>
            </w:tcBorders>
            <w:shd w:val="clear" w:color="auto" w:fill="auto"/>
            <w:noWrap/>
            <w:vAlign w:val="center"/>
            <w:hideMark/>
          </w:tcPr>
          <w:p w:rsidR="00080B67" w:rsidRPr="00944261" w:rsidRDefault="00080B67" w:rsidP="002D72FB">
            <w:pPr>
              <w:ind w:left="0" w:firstLine="0"/>
              <w:rPr>
                <w:rFonts w:eastAsia="Times New Roman" w:cs="Times New Roman"/>
                <w:color w:val="000000"/>
                <w:sz w:val="22"/>
              </w:rPr>
            </w:pPr>
            <w:r w:rsidRPr="00944261">
              <w:rPr>
                <w:rFonts w:eastAsia="Times New Roman" w:cs="Times New Roman"/>
                <w:color w:val="000000"/>
                <w:sz w:val="22"/>
              </w:rPr>
              <w:t>Variable</w:t>
            </w:r>
          </w:p>
        </w:tc>
        <w:tc>
          <w:tcPr>
            <w:tcW w:w="0" w:type="auto"/>
            <w:tcBorders>
              <w:top w:val="single" w:sz="18" w:space="0" w:color="auto"/>
              <w:bottom w:val="single" w:sz="18" w:space="0" w:color="auto"/>
            </w:tcBorders>
            <w:shd w:val="clear" w:color="auto" w:fill="auto"/>
            <w:noWrap/>
            <w:vAlign w:val="center"/>
            <w:hideMark/>
          </w:tcPr>
          <w:p w:rsidR="00080B67" w:rsidRPr="00944261" w:rsidRDefault="00080B67" w:rsidP="002D72FB">
            <w:pPr>
              <w:ind w:left="0" w:firstLine="0"/>
              <w:jc w:val="center"/>
              <w:rPr>
                <w:rFonts w:eastAsia="Times New Roman" w:cs="Times New Roman"/>
                <w:color w:val="000000"/>
                <w:sz w:val="22"/>
              </w:rPr>
            </w:pPr>
            <w:r w:rsidRPr="00944261">
              <w:rPr>
                <w:rFonts w:eastAsia="Times New Roman" w:cs="Times New Roman"/>
                <w:color w:val="000000"/>
                <w:sz w:val="22"/>
              </w:rPr>
              <w:t>MLE Coefficient</w:t>
            </w:r>
          </w:p>
        </w:tc>
        <w:tc>
          <w:tcPr>
            <w:tcW w:w="0" w:type="auto"/>
            <w:tcBorders>
              <w:top w:val="single" w:sz="18" w:space="0" w:color="auto"/>
              <w:bottom w:val="single" w:sz="18" w:space="0" w:color="auto"/>
            </w:tcBorders>
            <w:shd w:val="clear" w:color="auto" w:fill="auto"/>
            <w:noWrap/>
            <w:vAlign w:val="center"/>
            <w:hideMark/>
          </w:tcPr>
          <w:p w:rsidR="00080B67" w:rsidRPr="00944261" w:rsidRDefault="00080B67" w:rsidP="002D72FB">
            <w:pPr>
              <w:ind w:left="0" w:firstLine="0"/>
              <w:jc w:val="center"/>
              <w:rPr>
                <w:rFonts w:eastAsia="Times New Roman" w:cs="Times New Roman"/>
                <w:color w:val="000000"/>
                <w:sz w:val="22"/>
              </w:rPr>
            </w:pPr>
            <w:r>
              <w:rPr>
                <w:rFonts w:eastAsia="Times New Roman" w:cs="Times New Roman"/>
                <w:color w:val="000000"/>
                <w:sz w:val="22"/>
              </w:rPr>
              <w:t>Odds Ratio</w:t>
            </w:r>
          </w:p>
        </w:tc>
        <w:tc>
          <w:tcPr>
            <w:tcW w:w="1590" w:type="dxa"/>
            <w:gridSpan w:val="2"/>
            <w:tcBorders>
              <w:top w:val="single" w:sz="18" w:space="0" w:color="auto"/>
              <w:bottom w:val="single" w:sz="18" w:space="0" w:color="auto"/>
            </w:tcBorders>
            <w:vAlign w:val="center"/>
          </w:tcPr>
          <w:p w:rsidR="00080B67" w:rsidRDefault="00080B67" w:rsidP="002D72FB">
            <w:pPr>
              <w:ind w:left="0" w:firstLine="0"/>
              <w:jc w:val="center"/>
              <w:rPr>
                <w:rFonts w:eastAsia="Times New Roman" w:cs="Times New Roman"/>
                <w:color w:val="000000"/>
                <w:sz w:val="22"/>
              </w:rPr>
            </w:pPr>
            <w:r>
              <w:rPr>
                <w:rFonts w:eastAsia="Times New Roman" w:cs="Times New Roman"/>
                <w:color w:val="000000"/>
                <w:sz w:val="22"/>
              </w:rPr>
              <w:t>Marginal Effect</w:t>
            </w:r>
          </w:p>
        </w:tc>
      </w:tr>
      <w:tr w:rsidR="00080B67" w:rsidRPr="00944261" w:rsidTr="002D72FB">
        <w:trPr>
          <w:trHeight w:val="576"/>
        </w:trPr>
        <w:tc>
          <w:tcPr>
            <w:tcW w:w="0" w:type="auto"/>
            <w:tcBorders>
              <w:top w:val="single" w:sz="18" w:space="0" w:color="auto"/>
            </w:tcBorders>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r w:rsidRPr="00944261">
              <w:rPr>
                <w:rFonts w:eastAsia="Times New Roman" w:cs="Times New Roman"/>
                <w:b/>
                <w:bCs/>
                <w:color w:val="000000"/>
                <w:sz w:val="22"/>
              </w:rPr>
              <w:t>Amicus Brief Difference</w:t>
            </w:r>
          </w:p>
        </w:tc>
        <w:tc>
          <w:tcPr>
            <w:tcW w:w="0" w:type="auto"/>
            <w:tcBorders>
              <w:top w:val="single" w:sz="18" w:space="0" w:color="auto"/>
            </w:tcBorders>
            <w:shd w:val="clear" w:color="auto" w:fill="auto"/>
            <w:noWrap/>
            <w:vAlign w:val="center"/>
            <w:hideMark/>
          </w:tcPr>
          <w:p w:rsidR="00080B67" w:rsidRDefault="00080B67" w:rsidP="002D72FB">
            <w:pPr>
              <w:jc w:val="center"/>
              <w:rPr>
                <w:color w:val="000000"/>
                <w:sz w:val="22"/>
              </w:rPr>
            </w:pPr>
            <w:r>
              <w:rPr>
                <w:color w:val="000000"/>
                <w:sz w:val="22"/>
              </w:rPr>
              <w:t>0.041 (.024)*</w:t>
            </w:r>
          </w:p>
        </w:tc>
        <w:tc>
          <w:tcPr>
            <w:tcW w:w="0" w:type="auto"/>
            <w:tcBorders>
              <w:top w:val="single" w:sz="18" w:space="0" w:color="auto"/>
            </w:tcBorders>
            <w:shd w:val="clear" w:color="auto" w:fill="auto"/>
            <w:noWrap/>
            <w:vAlign w:val="center"/>
            <w:hideMark/>
          </w:tcPr>
          <w:p w:rsidR="00080B67" w:rsidRDefault="00080B67" w:rsidP="002D72FB">
            <w:pPr>
              <w:jc w:val="center"/>
              <w:rPr>
                <w:color w:val="000000"/>
                <w:sz w:val="22"/>
              </w:rPr>
            </w:pPr>
            <w:r>
              <w:rPr>
                <w:color w:val="000000"/>
                <w:sz w:val="22"/>
              </w:rPr>
              <w:t>1.042</w:t>
            </w:r>
          </w:p>
        </w:tc>
        <w:tc>
          <w:tcPr>
            <w:tcW w:w="1590" w:type="dxa"/>
            <w:gridSpan w:val="2"/>
            <w:tcBorders>
              <w:top w:val="single" w:sz="18" w:space="0" w:color="auto"/>
            </w:tcBorders>
            <w:vAlign w:val="center"/>
          </w:tcPr>
          <w:p w:rsidR="00080B67" w:rsidRDefault="00080B67" w:rsidP="002D72FB">
            <w:pPr>
              <w:jc w:val="center"/>
              <w:rPr>
                <w:color w:val="000000"/>
                <w:sz w:val="22"/>
              </w:rPr>
            </w:pPr>
            <w:r>
              <w:rPr>
                <w:color w:val="000000"/>
                <w:sz w:val="22"/>
              </w:rPr>
              <w:t>7.7%</w:t>
            </w:r>
          </w:p>
        </w:tc>
      </w:tr>
      <w:tr w:rsidR="00080B67" w:rsidRPr="00944261" w:rsidTr="002D72FB">
        <w:trPr>
          <w:trHeight w:val="576"/>
        </w:trPr>
        <w:tc>
          <w:tcPr>
            <w:tcW w:w="0" w:type="auto"/>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r w:rsidRPr="00944261">
              <w:rPr>
                <w:rFonts w:eastAsia="Times New Roman" w:cs="Times New Roman"/>
                <w:b/>
                <w:bCs/>
                <w:color w:val="000000"/>
                <w:sz w:val="22"/>
              </w:rPr>
              <w:t>Amicus Cosigner Difference</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-0.001 (.001)</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0.999</w:t>
            </w:r>
          </w:p>
        </w:tc>
        <w:tc>
          <w:tcPr>
            <w:tcW w:w="1590" w:type="dxa"/>
            <w:gridSpan w:val="2"/>
            <w:vAlign w:val="center"/>
          </w:tcPr>
          <w:p w:rsidR="00080B67" w:rsidRDefault="00080B67" w:rsidP="002D72FB">
            <w:pPr>
              <w:jc w:val="center"/>
              <w:rPr>
                <w:color w:val="000000"/>
                <w:sz w:val="22"/>
              </w:rPr>
            </w:pPr>
            <w:r>
              <w:rPr>
                <w:color w:val="000000"/>
                <w:sz w:val="22"/>
              </w:rPr>
              <w:t>-4.0%</w:t>
            </w:r>
          </w:p>
        </w:tc>
      </w:tr>
      <w:tr w:rsidR="00080B67" w:rsidRPr="00944261" w:rsidTr="002D72FB">
        <w:trPr>
          <w:trHeight w:val="576"/>
        </w:trPr>
        <w:tc>
          <w:tcPr>
            <w:tcW w:w="0" w:type="auto"/>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r w:rsidRPr="00944261">
              <w:rPr>
                <w:rFonts w:eastAsia="Times New Roman" w:cs="Times New Roman"/>
                <w:b/>
                <w:bCs/>
                <w:color w:val="000000"/>
                <w:sz w:val="22"/>
              </w:rPr>
              <w:t>SG Lib Amicus Brief</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-1.877 (.65)***</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0.153</w:t>
            </w:r>
          </w:p>
        </w:tc>
        <w:tc>
          <w:tcPr>
            <w:tcW w:w="1590" w:type="dxa"/>
            <w:gridSpan w:val="2"/>
            <w:vAlign w:val="center"/>
          </w:tcPr>
          <w:p w:rsidR="00080B67" w:rsidRDefault="00080B67" w:rsidP="002D72FB">
            <w:pPr>
              <w:jc w:val="center"/>
              <w:rPr>
                <w:color w:val="000000"/>
                <w:sz w:val="22"/>
              </w:rPr>
            </w:pPr>
            <w:r>
              <w:rPr>
                <w:color w:val="000000"/>
                <w:sz w:val="22"/>
              </w:rPr>
              <w:t>-21.4%</w:t>
            </w:r>
          </w:p>
        </w:tc>
      </w:tr>
      <w:tr w:rsidR="00080B67" w:rsidRPr="00944261" w:rsidTr="002D72FB">
        <w:trPr>
          <w:trHeight w:val="576"/>
        </w:trPr>
        <w:tc>
          <w:tcPr>
            <w:tcW w:w="0" w:type="auto"/>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r w:rsidRPr="00944261">
              <w:rPr>
                <w:rFonts w:eastAsia="Times New Roman" w:cs="Times New Roman"/>
                <w:b/>
                <w:bCs/>
                <w:color w:val="000000"/>
                <w:sz w:val="22"/>
              </w:rPr>
              <w:t>SG Con Amicus Brief</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-2.880 (.630)****</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0.056</w:t>
            </w:r>
          </w:p>
        </w:tc>
        <w:tc>
          <w:tcPr>
            <w:tcW w:w="1590" w:type="dxa"/>
            <w:gridSpan w:val="2"/>
            <w:vAlign w:val="center"/>
          </w:tcPr>
          <w:p w:rsidR="00080B67" w:rsidRDefault="00080B67" w:rsidP="002D72FB">
            <w:pPr>
              <w:jc w:val="center"/>
              <w:rPr>
                <w:color w:val="000000"/>
                <w:sz w:val="22"/>
              </w:rPr>
            </w:pPr>
            <w:r>
              <w:rPr>
                <w:color w:val="000000"/>
                <w:sz w:val="22"/>
              </w:rPr>
              <w:t>-24.7%</w:t>
            </w:r>
          </w:p>
        </w:tc>
      </w:tr>
      <w:tr w:rsidR="00080B67" w:rsidRPr="00944261" w:rsidTr="002D72FB">
        <w:trPr>
          <w:trHeight w:val="576"/>
        </w:trPr>
        <w:tc>
          <w:tcPr>
            <w:tcW w:w="0" w:type="auto"/>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r w:rsidRPr="00944261">
              <w:rPr>
                <w:rFonts w:eastAsia="Times New Roman" w:cs="Times New Roman"/>
                <w:b/>
                <w:bCs/>
                <w:color w:val="000000"/>
                <w:sz w:val="22"/>
              </w:rPr>
              <w:t>Prestigious Amicus Difference</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0.015 (.090)</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1.015</w:t>
            </w:r>
          </w:p>
        </w:tc>
        <w:tc>
          <w:tcPr>
            <w:tcW w:w="1590" w:type="dxa"/>
            <w:gridSpan w:val="2"/>
            <w:vAlign w:val="center"/>
          </w:tcPr>
          <w:p w:rsidR="00080B67" w:rsidRDefault="00080B67" w:rsidP="002D72FB">
            <w:pPr>
              <w:jc w:val="center"/>
              <w:rPr>
                <w:color w:val="000000"/>
                <w:sz w:val="22"/>
              </w:rPr>
            </w:pPr>
            <w:r>
              <w:rPr>
                <w:color w:val="000000"/>
                <w:sz w:val="22"/>
              </w:rPr>
              <w:t>0.5%</w:t>
            </w:r>
          </w:p>
        </w:tc>
      </w:tr>
      <w:tr w:rsidR="00080B67" w:rsidRPr="00944261" w:rsidTr="002D72FB">
        <w:trPr>
          <w:trHeight w:val="576"/>
        </w:trPr>
        <w:tc>
          <w:tcPr>
            <w:tcW w:w="0" w:type="auto"/>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r w:rsidRPr="00944261">
              <w:rPr>
                <w:rFonts w:eastAsia="Times New Roman" w:cs="Times New Roman"/>
                <w:b/>
                <w:bCs/>
                <w:color w:val="000000"/>
                <w:sz w:val="22"/>
              </w:rPr>
              <w:t>Lower Court Direction</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-1.143 (.287)****</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0.319</w:t>
            </w:r>
          </w:p>
        </w:tc>
        <w:tc>
          <w:tcPr>
            <w:tcW w:w="1590" w:type="dxa"/>
            <w:gridSpan w:val="2"/>
            <w:vAlign w:val="center"/>
          </w:tcPr>
          <w:p w:rsidR="00080B67" w:rsidRDefault="00080B67" w:rsidP="002D72FB">
            <w:pPr>
              <w:jc w:val="center"/>
              <w:rPr>
                <w:color w:val="000000"/>
                <w:sz w:val="22"/>
              </w:rPr>
            </w:pPr>
            <w:r>
              <w:rPr>
                <w:color w:val="000000"/>
                <w:sz w:val="22"/>
              </w:rPr>
              <w:t>-26.6%</w:t>
            </w:r>
          </w:p>
        </w:tc>
      </w:tr>
      <w:tr w:rsidR="00080B67" w:rsidRPr="00944261" w:rsidTr="002D72FB">
        <w:trPr>
          <w:trHeight w:val="576"/>
        </w:trPr>
        <w:tc>
          <w:tcPr>
            <w:tcW w:w="0" w:type="auto"/>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r w:rsidRPr="00944261">
              <w:rPr>
                <w:rFonts w:eastAsia="Times New Roman" w:cs="Times New Roman"/>
                <w:b/>
                <w:bCs/>
                <w:color w:val="000000"/>
                <w:sz w:val="22"/>
              </w:rPr>
              <w:t>Resource Difference</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0.069 (.039)*</w:t>
            </w:r>
          </w:p>
        </w:tc>
        <w:tc>
          <w:tcPr>
            <w:tcW w:w="0" w:type="auto"/>
            <w:shd w:val="clear" w:color="auto" w:fill="auto"/>
            <w:noWrap/>
            <w:vAlign w:val="center"/>
            <w:hideMark/>
          </w:tcPr>
          <w:p w:rsidR="00080B67" w:rsidRDefault="00080B67" w:rsidP="002D72FB">
            <w:pPr>
              <w:jc w:val="center"/>
              <w:rPr>
                <w:color w:val="000000"/>
                <w:sz w:val="22"/>
              </w:rPr>
            </w:pPr>
            <w:r>
              <w:rPr>
                <w:color w:val="000000"/>
                <w:sz w:val="22"/>
              </w:rPr>
              <w:t>1.071</w:t>
            </w:r>
          </w:p>
        </w:tc>
        <w:tc>
          <w:tcPr>
            <w:tcW w:w="1590" w:type="dxa"/>
            <w:gridSpan w:val="2"/>
            <w:vAlign w:val="center"/>
          </w:tcPr>
          <w:p w:rsidR="00080B67" w:rsidRDefault="00080B67" w:rsidP="002D72FB">
            <w:pPr>
              <w:jc w:val="center"/>
              <w:rPr>
                <w:color w:val="000000"/>
                <w:sz w:val="22"/>
              </w:rPr>
            </w:pPr>
            <w:r>
              <w:rPr>
                <w:color w:val="000000"/>
                <w:sz w:val="22"/>
              </w:rPr>
              <w:t>7.1%</w:t>
            </w:r>
          </w:p>
        </w:tc>
      </w:tr>
      <w:tr w:rsidR="00080B67" w:rsidRPr="00944261" w:rsidTr="002D72FB">
        <w:trPr>
          <w:trHeight w:val="576"/>
        </w:trPr>
        <w:tc>
          <w:tcPr>
            <w:tcW w:w="0" w:type="auto"/>
            <w:tcBorders>
              <w:bottom w:val="single" w:sz="18" w:space="0" w:color="auto"/>
            </w:tcBorders>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r w:rsidRPr="00944261">
              <w:rPr>
                <w:rFonts w:eastAsia="Times New Roman" w:cs="Times New Roman"/>
                <w:b/>
                <w:bCs/>
                <w:color w:val="000000"/>
                <w:sz w:val="22"/>
              </w:rPr>
              <w:t>Constant</w:t>
            </w:r>
          </w:p>
        </w:tc>
        <w:tc>
          <w:tcPr>
            <w:tcW w:w="0" w:type="auto"/>
            <w:tcBorders>
              <w:bottom w:val="single" w:sz="18" w:space="0" w:color="auto"/>
            </w:tcBorders>
            <w:shd w:val="clear" w:color="auto" w:fill="auto"/>
            <w:noWrap/>
            <w:vAlign w:val="center"/>
            <w:hideMark/>
          </w:tcPr>
          <w:p w:rsidR="00080B67" w:rsidRDefault="00080B67" w:rsidP="002D72FB">
            <w:pPr>
              <w:jc w:val="center"/>
              <w:rPr>
                <w:color w:val="000000"/>
                <w:sz w:val="22"/>
              </w:rPr>
            </w:pPr>
            <w:r>
              <w:rPr>
                <w:color w:val="000000"/>
                <w:sz w:val="22"/>
              </w:rPr>
              <w:t>0.277 (.232)</w:t>
            </w:r>
          </w:p>
        </w:tc>
        <w:tc>
          <w:tcPr>
            <w:tcW w:w="0" w:type="auto"/>
            <w:tcBorders>
              <w:bottom w:val="single" w:sz="18" w:space="0" w:color="auto"/>
            </w:tcBorders>
            <w:shd w:val="clear" w:color="auto" w:fill="auto"/>
            <w:noWrap/>
            <w:vAlign w:val="center"/>
            <w:hideMark/>
          </w:tcPr>
          <w:p w:rsidR="00080B67" w:rsidRDefault="00080B67" w:rsidP="002D72FB">
            <w:pPr>
              <w:jc w:val="center"/>
              <w:rPr>
                <w:color w:val="000000"/>
                <w:sz w:val="22"/>
              </w:rPr>
            </w:pPr>
            <w:r>
              <w:rPr>
                <w:color w:val="000000"/>
                <w:sz w:val="22"/>
              </w:rPr>
              <w:t>1.042</w:t>
            </w:r>
          </w:p>
        </w:tc>
        <w:tc>
          <w:tcPr>
            <w:tcW w:w="1590" w:type="dxa"/>
            <w:gridSpan w:val="2"/>
            <w:tcBorders>
              <w:bottom w:val="single" w:sz="18" w:space="0" w:color="auto"/>
            </w:tcBorders>
            <w:vAlign w:val="center"/>
          </w:tcPr>
          <w:p w:rsidR="00080B67" w:rsidRDefault="00080B67" w:rsidP="002D72FB">
            <w:pPr>
              <w:jc w:val="center"/>
              <w:rPr>
                <w:color w:val="000000"/>
                <w:sz w:val="22"/>
              </w:rPr>
            </w:pPr>
          </w:p>
        </w:tc>
      </w:tr>
      <w:tr w:rsidR="00080B67" w:rsidRPr="00944261" w:rsidTr="002D72FB">
        <w:trPr>
          <w:gridAfter w:val="1"/>
          <w:wAfter w:w="555" w:type="dxa"/>
          <w:trHeight w:val="576"/>
        </w:trPr>
        <w:tc>
          <w:tcPr>
            <w:tcW w:w="0" w:type="auto"/>
            <w:tcBorders>
              <w:top w:val="single" w:sz="18" w:space="0" w:color="auto"/>
              <w:bottom w:val="nil"/>
            </w:tcBorders>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r w:rsidRPr="00944261">
              <w:rPr>
                <w:rFonts w:eastAsia="Times New Roman" w:cs="Times New Roman"/>
                <w:b/>
                <w:bCs/>
                <w:color w:val="000000"/>
                <w:sz w:val="22"/>
              </w:rPr>
              <w:t>N</w:t>
            </w:r>
          </w:p>
        </w:tc>
        <w:tc>
          <w:tcPr>
            <w:tcW w:w="0" w:type="auto"/>
            <w:tcBorders>
              <w:top w:val="single" w:sz="18" w:space="0" w:color="auto"/>
              <w:bottom w:val="nil"/>
            </w:tcBorders>
            <w:shd w:val="clear" w:color="auto" w:fill="auto"/>
            <w:noWrap/>
            <w:vAlign w:val="center"/>
            <w:hideMark/>
          </w:tcPr>
          <w:p w:rsidR="00080B67" w:rsidRPr="00831FAD" w:rsidRDefault="00080B67" w:rsidP="002D72FB">
            <w:pPr>
              <w:ind w:left="0" w:firstLine="0"/>
              <w:jc w:val="center"/>
              <w:rPr>
                <w:rFonts w:eastAsia="Times New Roman" w:cs="Times New Roman"/>
                <w:sz w:val="22"/>
              </w:rPr>
            </w:pPr>
            <w:r>
              <w:rPr>
                <w:rFonts w:eastAsia="Times New Roman" w:cs="Times New Roman"/>
                <w:sz w:val="22"/>
              </w:rPr>
              <w:t>283</w:t>
            </w:r>
          </w:p>
        </w:tc>
        <w:tc>
          <w:tcPr>
            <w:tcW w:w="0" w:type="auto"/>
            <w:tcBorders>
              <w:top w:val="single" w:sz="18" w:space="0" w:color="auto"/>
              <w:bottom w:val="nil"/>
            </w:tcBorders>
            <w:shd w:val="clear" w:color="auto" w:fill="auto"/>
            <w:noWrap/>
            <w:vAlign w:val="center"/>
            <w:hideMark/>
          </w:tcPr>
          <w:p w:rsidR="00080B67" w:rsidRPr="007C7497" w:rsidRDefault="00080B67" w:rsidP="002D72FB">
            <w:pPr>
              <w:ind w:left="0" w:firstLine="0"/>
              <w:jc w:val="center"/>
              <w:rPr>
                <w:rFonts w:eastAsia="Times New Roman" w:cs="Times New Roman"/>
                <w:color w:val="FF0000"/>
                <w:sz w:val="22"/>
              </w:rPr>
            </w:pPr>
          </w:p>
        </w:tc>
        <w:tc>
          <w:tcPr>
            <w:tcW w:w="1035" w:type="dxa"/>
            <w:tcBorders>
              <w:top w:val="single" w:sz="18" w:space="0" w:color="auto"/>
              <w:bottom w:val="nil"/>
            </w:tcBorders>
            <w:vAlign w:val="center"/>
          </w:tcPr>
          <w:p w:rsidR="00080B67" w:rsidRPr="007C7497" w:rsidRDefault="00080B67" w:rsidP="002D72FB">
            <w:pPr>
              <w:ind w:left="0" w:firstLine="0"/>
              <w:jc w:val="center"/>
              <w:rPr>
                <w:rFonts w:eastAsia="Times New Roman" w:cs="Times New Roman"/>
                <w:color w:val="FF0000"/>
                <w:sz w:val="22"/>
              </w:rPr>
            </w:pPr>
          </w:p>
        </w:tc>
      </w:tr>
      <w:tr w:rsidR="00080B67" w:rsidRPr="00944261" w:rsidTr="002D72FB">
        <w:trPr>
          <w:gridAfter w:val="1"/>
          <w:wAfter w:w="555" w:type="dxa"/>
          <w:trHeight w:val="576"/>
        </w:trPr>
        <w:tc>
          <w:tcPr>
            <w:tcW w:w="0" w:type="auto"/>
            <w:tcBorders>
              <w:top w:val="nil"/>
              <w:bottom w:val="nil"/>
            </w:tcBorders>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proofErr w:type="spellStart"/>
            <w:r w:rsidRPr="00944261">
              <w:rPr>
                <w:rFonts w:eastAsia="Times New Roman" w:cs="Times New Roman"/>
                <w:b/>
                <w:bCs/>
                <w:color w:val="000000"/>
                <w:sz w:val="22"/>
              </w:rPr>
              <w:t>Prob</w:t>
            </w:r>
            <w:proofErr w:type="spellEnd"/>
            <w:r w:rsidRPr="00944261">
              <w:rPr>
                <w:rFonts w:eastAsia="Times New Roman" w:cs="Times New Roman"/>
                <w:b/>
                <w:bCs/>
                <w:color w:val="000000"/>
                <w:sz w:val="22"/>
              </w:rPr>
              <w:t xml:space="preserve"> &gt; chi2</w:t>
            </w:r>
          </w:p>
        </w:tc>
        <w:tc>
          <w:tcPr>
            <w:tcW w:w="0" w:type="auto"/>
            <w:tcBorders>
              <w:top w:val="nil"/>
              <w:bottom w:val="nil"/>
            </w:tcBorders>
            <w:shd w:val="clear" w:color="auto" w:fill="auto"/>
            <w:noWrap/>
            <w:vAlign w:val="center"/>
            <w:hideMark/>
          </w:tcPr>
          <w:p w:rsidR="00080B67" w:rsidRPr="00831FAD" w:rsidRDefault="00080B67" w:rsidP="002D72FB">
            <w:pPr>
              <w:ind w:left="0" w:firstLine="0"/>
              <w:jc w:val="center"/>
              <w:rPr>
                <w:rFonts w:eastAsia="Times New Roman" w:cs="Times New Roman"/>
                <w:sz w:val="22"/>
              </w:rPr>
            </w:pPr>
            <w:r>
              <w:rPr>
                <w:rFonts w:eastAsia="Times New Roman" w:cs="Times New Roman"/>
                <w:sz w:val="22"/>
              </w:rPr>
              <w:t>0</w:t>
            </w:r>
          </w:p>
        </w:tc>
        <w:tc>
          <w:tcPr>
            <w:tcW w:w="0" w:type="auto"/>
            <w:tcBorders>
              <w:top w:val="nil"/>
              <w:bottom w:val="nil"/>
            </w:tcBorders>
            <w:shd w:val="clear" w:color="auto" w:fill="auto"/>
            <w:noWrap/>
            <w:vAlign w:val="center"/>
            <w:hideMark/>
          </w:tcPr>
          <w:p w:rsidR="00080B67" w:rsidRPr="007C7497" w:rsidRDefault="00080B67" w:rsidP="002D72FB">
            <w:pPr>
              <w:ind w:left="0" w:firstLine="0"/>
              <w:jc w:val="center"/>
              <w:rPr>
                <w:rFonts w:eastAsia="Times New Roman" w:cs="Times New Roman"/>
                <w:color w:val="FF0000"/>
                <w:sz w:val="22"/>
              </w:rPr>
            </w:pPr>
          </w:p>
        </w:tc>
        <w:tc>
          <w:tcPr>
            <w:tcW w:w="1035" w:type="dxa"/>
            <w:tcBorders>
              <w:top w:val="nil"/>
              <w:bottom w:val="nil"/>
            </w:tcBorders>
            <w:vAlign w:val="center"/>
          </w:tcPr>
          <w:p w:rsidR="00080B67" w:rsidRPr="007C7497" w:rsidRDefault="00080B67" w:rsidP="002D72FB">
            <w:pPr>
              <w:ind w:left="0" w:firstLine="0"/>
              <w:jc w:val="center"/>
              <w:rPr>
                <w:rFonts w:eastAsia="Times New Roman" w:cs="Times New Roman"/>
                <w:color w:val="FF0000"/>
                <w:sz w:val="22"/>
              </w:rPr>
            </w:pPr>
          </w:p>
        </w:tc>
      </w:tr>
      <w:tr w:rsidR="00080B67" w:rsidRPr="00944261" w:rsidTr="002D72FB">
        <w:trPr>
          <w:gridAfter w:val="1"/>
          <w:wAfter w:w="555" w:type="dxa"/>
          <w:trHeight w:val="576"/>
        </w:trPr>
        <w:tc>
          <w:tcPr>
            <w:tcW w:w="0" w:type="auto"/>
            <w:tcBorders>
              <w:top w:val="nil"/>
              <w:bottom w:val="nil"/>
            </w:tcBorders>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r w:rsidRPr="00944261">
              <w:rPr>
                <w:rFonts w:eastAsia="Times New Roman" w:cs="Times New Roman"/>
                <w:b/>
                <w:bCs/>
                <w:color w:val="000000"/>
                <w:sz w:val="22"/>
              </w:rPr>
              <w:t>Percent Correctly Predicted</w:t>
            </w:r>
          </w:p>
        </w:tc>
        <w:tc>
          <w:tcPr>
            <w:tcW w:w="0" w:type="auto"/>
            <w:tcBorders>
              <w:top w:val="nil"/>
              <w:bottom w:val="nil"/>
            </w:tcBorders>
            <w:shd w:val="clear" w:color="auto" w:fill="auto"/>
            <w:noWrap/>
            <w:vAlign w:val="center"/>
            <w:hideMark/>
          </w:tcPr>
          <w:p w:rsidR="00080B67" w:rsidRPr="0064297A" w:rsidRDefault="00080B67" w:rsidP="002D72FB">
            <w:pPr>
              <w:ind w:left="0" w:firstLine="0"/>
              <w:jc w:val="center"/>
              <w:rPr>
                <w:rFonts w:eastAsia="Times New Roman" w:cs="Times New Roman"/>
                <w:sz w:val="22"/>
              </w:rPr>
            </w:pPr>
            <w:r>
              <w:rPr>
                <w:rFonts w:eastAsia="Times New Roman" w:cs="Times New Roman"/>
                <w:sz w:val="22"/>
              </w:rPr>
              <w:t>79.50</w:t>
            </w:r>
          </w:p>
        </w:tc>
        <w:tc>
          <w:tcPr>
            <w:tcW w:w="0" w:type="auto"/>
            <w:tcBorders>
              <w:top w:val="nil"/>
              <w:bottom w:val="nil"/>
            </w:tcBorders>
            <w:shd w:val="clear" w:color="auto" w:fill="auto"/>
            <w:noWrap/>
            <w:vAlign w:val="center"/>
            <w:hideMark/>
          </w:tcPr>
          <w:p w:rsidR="00080B67" w:rsidRPr="007C7497" w:rsidRDefault="00080B67" w:rsidP="002D72FB">
            <w:pPr>
              <w:ind w:left="0" w:firstLine="0"/>
              <w:jc w:val="center"/>
              <w:rPr>
                <w:rFonts w:eastAsia="Times New Roman" w:cs="Times New Roman"/>
                <w:color w:val="FF0000"/>
                <w:sz w:val="22"/>
              </w:rPr>
            </w:pPr>
          </w:p>
        </w:tc>
        <w:tc>
          <w:tcPr>
            <w:tcW w:w="1035" w:type="dxa"/>
            <w:tcBorders>
              <w:top w:val="nil"/>
              <w:bottom w:val="nil"/>
            </w:tcBorders>
            <w:vAlign w:val="center"/>
          </w:tcPr>
          <w:p w:rsidR="00080B67" w:rsidRPr="007C7497" w:rsidRDefault="00080B67" w:rsidP="002D72FB">
            <w:pPr>
              <w:ind w:left="0" w:firstLine="0"/>
              <w:jc w:val="center"/>
              <w:rPr>
                <w:rFonts w:eastAsia="Times New Roman" w:cs="Times New Roman"/>
                <w:color w:val="FF0000"/>
                <w:sz w:val="22"/>
              </w:rPr>
            </w:pPr>
          </w:p>
        </w:tc>
      </w:tr>
      <w:tr w:rsidR="00080B67" w:rsidRPr="00944261" w:rsidTr="002D72FB">
        <w:trPr>
          <w:gridAfter w:val="1"/>
          <w:wAfter w:w="555" w:type="dxa"/>
          <w:trHeight w:val="576"/>
        </w:trPr>
        <w:tc>
          <w:tcPr>
            <w:tcW w:w="0" w:type="auto"/>
            <w:tcBorders>
              <w:top w:val="nil"/>
              <w:bottom w:val="single" w:sz="18" w:space="0" w:color="auto"/>
            </w:tcBorders>
            <w:shd w:val="clear" w:color="auto" w:fill="auto"/>
            <w:noWrap/>
            <w:vAlign w:val="center"/>
            <w:hideMark/>
          </w:tcPr>
          <w:p w:rsidR="00080B67" w:rsidRPr="00944261" w:rsidRDefault="00080B67" w:rsidP="002D72FB">
            <w:pPr>
              <w:ind w:left="0" w:firstLine="0"/>
              <w:rPr>
                <w:rFonts w:eastAsia="Times New Roman" w:cs="Times New Roman"/>
                <w:b/>
                <w:bCs/>
                <w:color w:val="000000"/>
                <w:sz w:val="22"/>
              </w:rPr>
            </w:pPr>
            <w:r w:rsidRPr="00944261">
              <w:rPr>
                <w:rFonts w:eastAsia="Times New Roman" w:cs="Times New Roman"/>
                <w:b/>
                <w:bCs/>
                <w:color w:val="000000"/>
                <w:sz w:val="22"/>
              </w:rPr>
              <w:t>Percent Reduction in Error</w:t>
            </w:r>
          </w:p>
        </w:tc>
        <w:tc>
          <w:tcPr>
            <w:tcW w:w="0" w:type="auto"/>
            <w:tcBorders>
              <w:top w:val="nil"/>
              <w:bottom w:val="single" w:sz="18" w:space="0" w:color="auto"/>
            </w:tcBorders>
            <w:shd w:val="clear" w:color="auto" w:fill="auto"/>
            <w:noWrap/>
            <w:vAlign w:val="center"/>
            <w:hideMark/>
          </w:tcPr>
          <w:p w:rsidR="00080B67" w:rsidRPr="0064297A" w:rsidRDefault="00080B67" w:rsidP="002D72FB">
            <w:pPr>
              <w:ind w:left="0" w:firstLine="0"/>
              <w:jc w:val="center"/>
              <w:rPr>
                <w:rFonts w:eastAsia="Times New Roman" w:cs="Times New Roman"/>
                <w:sz w:val="22"/>
              </w:rPr>
            </w:pPr>
            <w:r>
              <w:rPr>
                <w:rFonts w:eastAsia="Times New Roman" w:cs="Times New Roman"/>
                <w:sz w:val="22"/>
              </w:rPr>
              <w:t>34.61</w:t>
            </w:r>
          </w:p>
        </w:tc>
        <w:tc>
          <w:tcPr>
            <w:tcW w:w="0" w:type="auto"/>
            <w:tcBorders>
              <w:top w:val="nil"/>
              <w:bottom w:val="single" w:sz="18" w:space="0" w:color="auto"/>
            </w:tcBorders>
            <w:shd w:val="clear" w:color="auto" w:fill="auto"/>
            <w:noWrap/>
            <w:vAlign w:val="center"/>
            <w:hideMark/>
          </w:tcPr>
          <w:p w:rsidR="00080B67" w:rsidRPr="007C7497" w:rsidRDefault="00080B67" w:rsidP="002D72FB">
            <w:pPr>
              <w:ind w:left="0" w:firstLine="0"/>
              <w:jc w:val="center"/>
              <w:rPr>
                <w:rFonts w:eastAsia="Times New Roman" w:cs="Times New Roman"/>
                <w:color w:val="FF0000"/>
                <w:sz w:val="22"/>
              </w:rPr>
            </w:pPr>
          </w:p>
        </w:tc>
        <w:tc>
          <w:tcPr>
            <w:tcW w:w="1035" w:type="dxa"/>
            <w:tcBorders>
              <w:top w:val="nil"/>
              <w:bottom w:val="single" w:sz="18" w:space="0" w:color="auto"/>
            </w:tcBorders>
            <w:vAlign w:val="center"/>
          </w:tcPr>
          <w:p w:rsidR="00080B67" w:rsidRPr="007C7497" w:rsidRDefault="00080B67" w:rsidP="002D72FB">
            <w:pPr>
              <w:ind w:left="0" w:firstLine="0"/>
              <w:jc w:val="center"/>
              <w:rPr>
                <w:rFonts w:eastAsia="Times New Roman" w:cs="Times New Roman"/>
                <w:color w:val="FF0000"/>
                <w:sz w:val="22"/>
              </w:rPr>
            </w:pPr>
          </w:p>
        </w:tc>
      </w:tr>
    </w:tbl>
    <w:p w:rsidR="00080B67" w:rsidRPr="009E62D9" w:rsidRDefault="00080B67" w:rsidP="00080B67">
      <w:pPr>
        <w:autoSpaceDE w:val="0"/>
        <w:autoSpaceDN w:val="0"/>
        <w:adjustRightInd w:val="0"/>
        <w:ind w:left="90" w:firstLine="0"/>
        <w:rPr>
          <w:sz w:val="22"/>
        </w:rPr>
      </w:pPr>
      <w:r w:rsidRPr="009E62D9">
        <w:rPr>
          <w:sz w:val="22"/>
        </w:rPr>
        <w:t>Dependent variable indicates the ideological direction of the individual justices’ vote (1 = libe</w:t>
      </w:r>
      <w:r>
        <w:rPr>
          <w:sz w:val="22"/>
        </w:rPr>
        <w:t xml:space="preserve">ral, 0 = conservative). Numbers in parentheses indicated standard errors.  </w:t>
      </w:r>
      <w:proofErr w:type="gramStart"/>
      <w:r>
        <w:rPr>
          <w:sz w:val="22"/>
        </w:rPr>
        <w:t>*p&lt;.09 **p&lt;.05, ***p&lt;.01, ****p&lt;.001</w:t>
      </w:r>
      <w:r w:rsidRPr="009E62D9">
        <w:rPr>
          <w:sz w:val="22"/>
        </w:rPr>
        <w:t xml:space="preserve"> (one-tailed).</w:t>
      </w:r>
      <w:proofErr w:type="gramEnd"/>
    </w:p>
    <w:p w:rsidR="00080B67" w:rsidRDefault="00080B67" w:rsidP="00080B67">
      <w:pPr>
        <w:spacing w:line="480" w:lineRule="auto"/>
        <w:ind w:left="0" w:firstLine="0"/>
        <w:rPr>
          <w:rFonts w:cs="Times New Roman"/>
          <w:szCs w:val="24"/>
        </w:rPr>
      </w:pPr>
    </w:p>
    <w:p w:rsidR="00080B67" w:rsidRDefault="00080B67" w:rsidP="00080B67">
      <w:pPr>
        <w:autoSpaceDE w:val="0"/>
        <w:autoSpaceDN w:val="0"/>
        <w:adjustRightInd w:val="0"/>
        <w:spacing w:line="480" w:lineRule="auto"/>
        <w:ind w:left="0" w:firstLine="0"/>
        <w:rPr>
          <w:rFonts w:cs="Times New Roman"/>
          <w:szCs w:val="24"/>
        </w:rPr>
      </w:pPr>
    </w:p>
    <w:p w:rsidR="00975ED5" w:rsidRDefault="00CC15E7" w:rsidP="001F6F61">
      <w:pPr>
        <w:autoSpaceDE w:val="0"/>
        <w:autoSpaceDN w:val="0"/>
        <w:adjustRightInd w:val="0"/>
        <w:spacing w:line="480" w:lineRule="auto"/>
        <w:ind w:left="0" w:firstLine="720"/>
        <w:rPr>
          <w:rFonts w:cs="Times New Roman"/>
          <w:szCs w:val="24"/>
        </w:rPr>
      </w:pPr>
      <w:r>
        <w:rPr>
          <w:rFonts w:cs="Times New Roman"/>
          <w:szCs w:val="24"/>
        </w:rPr>
        <w:t>Second, neither liberal nor conservative justices ar</w:t>
      </w:r>
      <w:r w:rsidR="00D9304A">
        <w:rPr>
          <w:rFonts w:cs="Times New Roman"/>
          <w:szCs w:val="24"/>
        </w:rPr>
        <w:t xml:space="preserve">e significantly affected by a numerical advantage of amici in a case, confirming the results of Model 6.   Third, only the liberal justices in salient cases appear to respond to the persuasive attempts of prestigious amici.  Thus, the liberal justices are more responsive to “who” is filing amicus briefs in salient cases, while </w:t>
      </w:r>
      <w:r w:rsidR="00D9304A">
        <w:rPr>
          <w:rFonts w:cs="Times New Roman"/>
          <w:szCs w:val="24"/>
        </w:rPr>
        <w:lastRenderedPageBreak/>
        <w:t>conservative justices respond more to the simple ideological advantage of briefs in salient cases.  Fourth and finally, there is a marked difference in how the two groups of justices respond to presence of the SG as amicus in salient cases.  Liberal justices appear to ignore the persuasion attempts of the SG, both when the SG is advancing the liberal position and when the SG is advanc</w:t>
      </w:r>
      <w:r w:rsidR="00BF131D">
        <w:rPr>
          <w:rFonts w:cs="Times New Roman"/>
          <w:szCs w:val="24"/>
        </w:rPr>
        <w:t xml:space="preserve">ing the conservative position. </w:t>
      </w:r>
      <w:r w:rsidR="00D9304A">
        <w:rPr>
          <w:rFonts w:cs="Times New Roman"/>
          <w:szCs w:val="24"/>
        </w:rPr>
        <w:t xml:space="preserve"> This may imply that the liberal justices are less willing to show deference to the preferences of the Executive branch in salient cases than conservatives, and implies that liberal justices, as a group, are perhaps more activist and more skeptical of the government’s persuasion attempts.</w:t>
      </w:r>
      <w:r w:rsidR="000F559B">
        <w:rPr>
          <w:rFonts w:cs="Times New Roman"/>
          <w:szCs w:val="24"/>
        </w:rPr>
        <w:t xml:space="preserve">   On the other hand, the conservative justices are significantly impacted by SG amicus briefs in salient cases.  However, while the conservative justices are shown to respond positively to the persuasion attempts of the conservative SG (becoming 24 percent less likely to vote liberally), they respond negatively and significantly to the persuasion attempts of the liberal SG (becoming 21 percent less likely to vote liberally).   This finding indicates that the conservative justices are generally only open to persuasion when the SG advocates the position they are inclined to agree with, and </w:t>
      </w:r>
      <w:r w:rsidR="00E56AF9">
        <w:rPr>
          <w:rFonts w:cs="Times New Roman"/>
          <w:szCs w:val="24"/>
        </w:rPr>
        <w:t>they use</w:t>
      </w:r>
      <w:r w:rsidR="000F559B">
        <w:rPr>
          <w:rFonts w:cs="Times New Roman"/>
          <w:szCs w:val="24"/>
        </w:rPr>
        <w:t xml:space="preserve"> the presence of the liberal SG as a heuristic to vote against the preferences of Executive branch.   In short, in salient cases, conservative justices appear to respond in an attitudinal fashion to the SG as amicus, whereas the liberal justices do not seem to put much account in the SG’s preferences either way.</w:t>
      </w:r>
    </w:p>
    <w:p w:rsidR="00B379FB" w:rsidRDefault="00B379FB" w:rsidP="00B379FB">
      <w:pPr>
        <w:spacing w:line="480" w:lineRule="auto"/>
        <w:ind w:left="0" w:firstLine="720"/>
        <w:rPr>
          <w:rFonts w:cs="Times New Roman"/>
          <w:szCs w:val="24"/>
        </w:rPr>
      </w:pPr>
      <w:r>
        <w:rPr>
          <w:rFonts w:cs="Times New Roman"/>
          <w:szCs w:val="24"/>
        </w:rPr>
        <w:t xml:space="preserve">Lastly, Tables 5.9 and 5.10 are provided to demonstrate whether liberal justices respond in a different manner to the persuasion attempts of amici than do conservative justices, when one </w:t>
      </w:r>
      <w:proofErr w:type="gramStart"/>
      <w:r>
        <w:rPr>
          <w:rFonts w:cs="Times New Roman"/>
          <w:szCs w:val="24"/>
        </w:rPr>
        <w:t>steps</w:t>
      </w:r>
      <w:proofErr w:type="gramEnd"/>
      <w:r>
        <w:rPr>
          <w:rFonts w:cs="Times New Roman"/>
          <w:szCs w:val="24"/>
        </w:rPr>
        <w:t xml:space="preserve"> back and considers all cases decided during the 2007-2011 terms of the Roberts Court.  Tables 5.9 and 5.10, respectively, include the results of my final </w:t>
      </w:r>
      <w:proofErr w:type="spellStart"/>
      <w:r>
        <w:rPr>
          <w:rFonts w:cs="Times New Roman"/>
          <w:szCs w:val="24"/>
        </w:rPr>
        <w:t>logit</w:t>
      </w:r>
      <w:proofErr w:type="spellEnd"/>
      <w:r>
        <w:rPr>
          <w:rFonts w:cs="Times New Roman"/>
          <w:szCs w:val="24"/>
        </w:rPr>
        <w:t xml:space="preserve"> models (Models 9 and 10), the first focusing only on liberal justices in all cases, and the second only on conservative justices in all cases.  In comparing Models 9 and 10, important conclusions can be reached.  </w:t>
      </w:r>
    </w:p>
    <w:p w:rsidR="00B379FB" w:rsidRDefault="00B379FB" w:rsidP="00B379FB">
      <w:pPr>
        <w:autoSpaceDE w:val="0"/>
        <w:autoSpaceDN w:val="0"/>
        <w:adjustRightInd w:val="0"/>
        <w:spacing w:line="480" w:lineRule="auto"/>
        <w:ind w:left="0" w:firstLine="0"/>
        <w:rPr>
          <w:rFonts w:cs="Times New Roman"/>
          <w:szCs w:val="24"/>
        </w:rPr>
      </w:pPr>
      <w:proofErr w:type="gramStart"/>
      <w:r>
        <w:rPr>
          <w:rFonts w:cs="Times New Roman"/>
          <w:b/>
          <w:szCs w:val="24"/>
        </w:rPr>
        <w:lastRenderedPageBreak/>
        <w:t>Table 5.9</w:t>
      </w:r>
      <w:r w:rsidRPr="00E8454D">
        <w:rPr>
          <w:rFonts w:cs="Times New Roman"/>
          <w:b/>
          <w:szCs w:val="24"/>
        </w:rPr>
        <w:t>.</w:t>
      </w:r>
      <w:proofErr w:type="gramEnd"/>
      <w:r>
        <w:rPr>
          <w:rFonts w:cs="Times New Roman"/>
          <w:szCs w:val="24"/>
        </w:rPr>
        <w:t xml:space="preserve"> </w:t>
      </w:r>
      <w:proofErr w:type="spellStart"/>
      <w:r>
        <w:rPr>
          <w:rFonts w:cs="Times New Roman"/>
          <w:b/>
          <w:szCs w:val="24"/>
        </w:rPr>
        <w:t>Logit</w:t>
      </w:r>
      <w:proofErr w:type="spellEnd"/>
      <w:r>
        <w:rPr>
          <w:rFonts w:cs="Times New Roman"/>
          <w:b/>
          <w:szCs w:val="24"/>
        </w:rPr>
        <w:t xml:space="preserve"> Model</w:t>
      </w:r>
      <w:r w:rsidRPr="00A02BA1">
        <w:rPr>
          <w:b/>
        </w:rPr>
        <w:t xml:space="preserve"> of</w:t>
      </w:r>
      <w:r>
        <w:rPr>
          <w:b/>
        </w:rPr>
        <w:t xml:space="preserve"> the Impact of Amici on Ideological Direction of Justice Votes at the Roberts Court, 2007 – 201</w:t>
      </w:r>
      <w:r w:rsidRPr="00A02BA1">
        <w:rPr>
          <w:b/>
        </w:rPr>
        <w:t>1 Terms</w:t>
      </w:r>
      <w:r>
        <w:rPr>
          <w:b/>
        </w:rPr>
        <w:t>: All Cases – Liberal Justices Only</w:t>
      </w:r>
    </w:p>
    <w:tbl>
      <w:tblPr>
        <w:tblW w:w="0" w:type="auto"/>
        <w:tblInd w:w="93" w:type="dxa"/>
        <w:tblBorders>
          <w:top w:val="single" w:sz="18" w:space="0" w:color="auto"/>
          <w:bottom w:val="single" w:sz="18" w:space="0" w:color="auto"/>
        </w:tblBorders>
        <w:tblLook w:val="04A0" w:firstRow="1" w:lastRow="0" w:firstColumn="1" w:lastColumn="0" w:noHBand="0" w:noVBand="1"/>
      </w:tblPr>
      <w:tblGrid>
        <w:gridCol w:w="3051"/>
        <w:gridCol w:w="2061"/>
        <w:gridCol w:w="1213"/>
        <w:gridCol w:w="1430"/>
      </w:tblGrid>
      <w:tr w:rsidR="00B379FB" w:rsidRPr="00944261" w:rsidTr="002D72FB">
        <w:trPr>
          <w:trHeight w:val="576"/>
        </w:trPr>
        <w:tc>
          <w:tcPr>
            <w:tcW w:w="0" w:type="auto"/>
            <w:tcBorders>
              <w:top w:val="single" w:sz="18" w:space="0" w:color="auto"/>
              <w:bottom w:val="single" w:sz="18" w:space="0" w:color="auto"/>
            </w:tcBorders>
            <w:shd w:val="clear" w:color="auto" w:fill="auto"/>
            <w:noWrap/>
            <w:vAlign w:val="center"/>
            <w:hideMark/>
          </w:tcPr>
          <w:p w:rsidR="00B379FB" w:rsidRPr="00944261" w:rsidRDefault="00B379FB" w:rsidP="002D72FB">
            <w:pPr>
              <w:ind w:left="0" w:firstLine="0"/>
              <w:rPr>
                <w:rFonts w:eastAsia="Times New Roman" w:cs="Times New Roman"/>
                <w:color w:val="000000"/>
                <w:sz w:val="22"/>
              </w:rPr>
            </w:pPr>
            <w:r w:rsidRPr="00944261">
              <w:rPr>
                <w:rFonts w:eastAsia="Times New Roman" w:cs="Times New Roman"/>
                <w:color w:val="000000"/>
                <w:sz w:val="22"/>
              </w:rPr>
              <w:t>Variable</w:t>
            </w:r>
          </w:p>
        </w:tc>
        <w:tc>
          <w:tcPr>
            <w:tcW w:w="0" w:type="auto"/>
            <w:tcBorders>
              <w:top w:val="single" w:sz="18" w:space="0" w:color="auto"/>
              <w:bottom w:val="single" w:sz="18" w:space="0" w:color="auto"/>
            </w:tcBorders>
            <w:shd w:val="clear" w:color="auto" w:fill="auto"/>
            <w:noWrap/>
            <w:vAlign w:val="center"/>
            <w:hideMark/>
          </w:tcPr>
          <w:p w:rsidR="00B379FB" w:rsidRPr="00944261" w:rsidRDefault="00B379FB" w:rsidP="002D72FB">
            <w:pPr>
              <w:ind w:left="0" w:firstLine="0"/>
              <w:jc w:val="center"/>
              <w:rPr>
                <w:rFonts w:eastAsia="Times New Roman" w:cs="Times New Roman"/>
                <w:color w:val="000000"/>
                <w:sz w:val="22"/>
              </w:rPr>
            </w:pPr>
            <w:r w:rsidRPr="00944261">
              <w:rPr>
                <w:rFonts w:eastAsia="Times New Roman" w:cs="Times New Roman"/>
                <w:color w:val="000000"/>
                <w:sz w:val="22"/>
              </w:rPr>
              <w:t>MLE Coefficient</w:t>
            </w:r>
          </w:p>
        </w:tc>
        <w:tc>
          <w:tcPr>
            <w:tcW w:w="0" w:type="auto"/>
            <w:tcBorders>
              <w:top w:val="single" w:sz="18" w:space="0" w:color="auto"/>
              <w:bottom w:val="single" w:sz="18" w:space="0" w:color="auto"/>
            </w:tcBorders>
            <w:shd w:val="clear" w:color="auto" w:fill="auto"/>
            <w:noWrap/>
            <w:vAlign w:val="center"/>
            <w:hideMark/>
          </w:tcPr>
          <w:p w:rsidR="00B379FB" w:rsidRPr="00944261" w:rsidRDefault="00B379FB" w:rsidP="002D72FB">
            <w:pPr>
              <w:ind w:left="0" w:firstLine="0"/>
              <w:jc w:val="center"/>
              <w:rPr>
                <w:rFonts w:eastAsia="Times New Roman" w:cs="Times New Roman"/>
                <w:color w:val="000000"/>
                <w:sz w:val="22"/>
              </w:rPr>
            </w:pPr>
            <w:r>
              <w:rPr>
                <w:rFonts w:eastAsia="Times New Roman" w:cs="Times New Roman"/>
                <w:color w:val="000000"/>
                <w:sz w:val="22"/>
              </w:rPr>
              <w:t>Odds Ratio</w:t>
            </w:r>
          </w:p>
        </w:tc>
        <w:tc>
          <w:tcPr>
            <w:tcW w:w="1430" w:type="dxa"/>
            <w:tcBorders>
              <w:top w:val="single" w:sz="18" w:space="0" w:color="auto"/>
              <w:bottom w:val="single" w:sz="18" w:space="0" w:color="auto"/>
            </w:tcBorders>
            <w:vAlign w:val="center"/>
          </w:tcPr>
          <w:p w:rsidR="00B379FB" w:rsidRDefault="00B379FB" w:rsidP="002D72FB">
            <w:pPr>
              <w:ind w:left="0" w:firstLine="0"/>
              <w:jc w:val="center"/>
              <w:rPr>
                <w:rFonts w:eastAsia="Times New Roman" w:cs="Times New Roman"/>
                <w:color w:val="000000"/>
                <w:sz w:val="22"/>
              </w:rPr>
            </w:pPr>
            <w:r>
              <w:rPr>
                <w:rFonts w:eastAsia="Times New Roman" w:cs="Times New Roman"/>
                <w:color w:val="000000"/>
                <w:sz w:val="22"/>
              </w:rPr>
              <w:t>Marginal Effect</w:t>
            </w:r>
          </w:p>
        </w:tc>
      </w:tr>
      <w:tr w:rsidR="00B379FB" w:rsidRPr="00944261" w:rsidTr="002D72FB">
        <w:trPr>
          <w:trHeight w:val="576"/>
        </w:trPr>
        <w:tc>
          <w:tcPr>
            <w:tcW w:w="0" w:type="auto"/>
            <w:tcBorders>
              <w:top w:val="single" w:sz="18" w:space="0" w:color="auto"/>
            </w:tcBorders>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r w:rsidRPr="00944261">
              <w:rPr>
                <w:rFonts w:eastAsia="Times New Roman" w:cs="Times New Roman"/>
                <w:b/>
                <w:bCs/>
                <w:color w:val="000000"/>
                <w:sz w:val="22"/>
              </w:rPr>
              <w:t>Amicus Brief Difference</w:t>
            </w:r>
          </w:p>
        </w:tc>
        <w:tc>
          <w:tcPr>
            <w:tcW w:w="0" w:type="auto"/>
            <w:tcBorders>
              <w:top w:val="single" w:sz="18" w:space="0" w:color="auto"/>
            </w:tcBorders>
            <w:shd w:val="clear" w:color="auto" w:fill="auto"/>
            <w:noWrap/>
            <w:vAlign w:val="center"/>
            <w:hideMark/>
          </w:tcPr>
          <w:p w:rsidR="00B379FB" w:rsidRDefault="00B379FB" w:rsidP="002D72FB">
            <w:pPr>
              <w:jc w:val="center"/>
              <w:rPr>
                <w:color w:val="000000"/>
                <w:sz w:val="22"/>
              </w:rPr>
            </w:pPr>
            <w:r>
              <w:rPr>
                <w:color w:val="000000"/>
                <w:sz w:val="22"/>
              </w:rPr>
              <w:t>0.054 (.017)***</w:t>
            </w:r>
          </w:p>
        </w:tc>
        <w:tc>
          <w:tcPr>
            <w:tcW w:w="0" w:type="auto"/>
            <w:tcBorders>
              <w:top w:val="single" w:sz="18" w:space="0" w:color="auto"/>
            </w:tcBorders>
            <w:shd w:val="clear" w:color="auto" w:fill="auto"/>
            <w:noWrap/>
            <w:vAlign w:val="center"/>
            <w:hideMark/>
          </w:tcPr>
          <w:p w:rsidR="00B379FB" w:rsidRDefault="00B379FB" w:rsidP="002D72FB">
            <w:pPr>
              <w:jc w:val="center"/>
              <w:rPr>
                <w:color w:val="000000"/>
                <w:sz w:val="22"/>
              </w:rPr>
            </w:pPr>
            <w:r>
              <w:rPr>
                <w:color w:val="000000"/>
                <w:sz w:val="22"/>
              </w:rPr>
              <w:t>1.055</w:t>
            </w:r>
          </w:p>
        </w:tc>
        <w:tc>
          <w:tcPr>
            <w:tcW w:w="1430" w:type="dxa"/>
            <w:tcBorders>
              <w:top w:val="single" w:sz="18" w:space="0" w:color="auto"/>
            </w:tcBorders>
            <w:vAlign w:val="center"/>
          </w:tcPr>
          <w:p w:rsidR="00B379FB" w:rsidRDefault="00B379FB" w:rsidP="002D72FB">
            <w:pPr>
              <w:jc w:val="center"/>
              <w:rPr>
                <w:color w:val="000000"/>
                <w:sz w:val="22"/>
              </w:rPr>
            </w:pPr>
            <w:r>
              <w:rPr>
                <w:color w:val="000000"/>
                <w:sz w:val="22"/>
              </w:rPr>
              <w:t>6.2%</w:t>
            </w:r>
          </w:p>
        </w:tc>
      </w:tr>
      <w:tr w:rsidR="00B379FB" w:rsidRPr="00944261" w:rsidTr="002D72FB">
        <w:trPr>
          <w:trHeight w:val="576"/>
        </w:trPr>
        <w:tc>
          <w:tcPr>
            <w:tcW w:w="0" w:type="auto"/>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r w:rsidRPr="00944261">
              <w:rPr>
                <w:rFonts w:eastAsia="Times New Roman" w:cs="Times New Roman"/>
                <w:b/>
                <w:bCs/>
                <w:color w:val="000000"/>
                <w:sz w:val="22"/>
              </w:rPr>
              <w:t>Amicus Cosigner Difference</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0.000 (.001)</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1.000</w:t>
            </w:r>
          </w:p>
        </w:tc>
        <w:tc>
          <w:tcPr>
            <w:tcW w:w="1430" w:type="dxa"/>
            <w:vAlign w:val="center"/>
          </w:tcPr>
          <w:p w:rsidR="00B379FB" w:rsidRDefault="00B379FB" w:rsidP="002D72FB">
            <w:pPr>
              <w:jc w:val="center"/>
              <w:rPr>
                <w:color w:val="000000"/>
                <w:sz w:val="22"/>
              </w:rPr>
            </w:pPr>
            <w:r>
              <w:rPr>
                <w:color w:val="000000"/>
                <w:sz w:val="22"/>
              </w:rPr>
              <w:t>-0.3%</w:t>
            </w:r>
          </w:p>
        </w:tc>
      </w:tr>
      <w:tr w:rsidR="00B379FB" w:rsidRPr="00944261" w:rsidTr="002D72FB">
        <w:trPr>
          <w:trHeight w:val="576"/>
        </w:trPr>
        <w:tc>
          <w:tcPr>
            <w:tcW w:w="0" w:type="auto"/>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r w:rsidRPr="00944261">
              <w:rPr>
                <w:rFonts w:eastAsia="Times New Roman" w:cs="Times New Roman"/>
                <w:b/>
                <w:bCs/>
                <w:color w:val="000000"/>
                <w:sz w:val="22"/>
              </w:rPr>
              <w:t>SG Lib Amicus Brief</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1.206 (.200)***</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3.340</w:t>
            </w:r>
          </w:p>
        </w:tc>
        <w:tc>
          <w:tcPr>
            <w:tcW w:w="1430" w:type="dxa"/>
            <w:vAlign w:val="center"/>
          </w:tcPr>
          <w:p w:rsidR="00B379FB" w:rsidRDefault="00B379FB" w:rsidP="002D72FB">
            <w:pPr>
              <w:jc w:val="center"/>
              <w:rPr>
                <w:color w:val="000000"/>
                <w:sz w:val="22"/>
              </w:rPr>
            </w:pPr>
            <w:r>
              <w:rPr>
                <w:color w:val="000000"/>
                <w:sz w:val="22"/>
              </w:rPr>
              <w:t>23.9%</w:t>
            </w:r>
          </w:p>
        </w:tc>
      </w:tr>
      <w:tr w:rsidR="00B379FB" w:rsidRPr="00944261" w:rsidTr="002D72FB">
        <w:trPr>
          <w:trHeight w:val="576"/>
        </w:trPr>
        <w:tc>
          <w:tcPr>
            <w:tcW w:w="0" w:type="auto"/>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r w:rsidRPr="00944261">
              <w:rPr>
                <w:rFonts w:eastAsia="Times New Roman" w:cs="Times New Roman"/>
                <w:b/>
                <w:bCs/>
                <w:color w:val="000000"/>
                <w:sz w:val="22"/>
              </w:rPr>
              <w:t>SG Con Amicus Brief</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-0.617 (.145)***</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0.539</w:t>
            </w:r>
          </w:p>
        </w:tc>
        <w:tc>
          <w:tcPr>
            <w:tcW w:w="1430" w:type="dxa"/>
            <w:vAlign w:val="center"/>
          </w:tcPr>
          <w:p w:rsidR="00B379FB" w:rsidRDefault="00B379FB" w:rsidP="002D72FB">
            <w:pPr>
              <w:jc w:val="center"/>
              <w:rPr>
                <w:color w:val="000000"/>
                <w:sz w:val="22"/>
              </w:rPr>
            </w:pPr>
            <w:r>
              <w:rPr>
                <w:color w:val="000000"/>
                <w:sz w:val="22"/>
              </w:rPr>
              <w:t>-15.3%</w:t>
            </w:r>
          </w:p>
        </w:tc>
      </w:tr>
      <w:tr w:rsidR="00B379FB" w:rsidRPr="00944261" w:rsidTr="002D72FB">
        <w:trPr>
          <w:trHeight w:val="576"/>
        </w:trPr>
        <w:tc>
          <w:tcPr>
            <w:tcW w:w="0" w:type="auto"/>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r w:rsidRPr="00944261">
              <w:rPr>
                <w:rFonts w:eastAsia="Times New Roman" w:cs="Times New Roman"/>
                <w:b/>
                <w:bCs/>
                <w:color w:val="000000"/>
                <w:sz w:val="22"/>
              </w:rPr>
              <w:t>Prestigious Amicus Difference</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0.082 (.053)</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1.085</w:t>
            </w:r>
          </w:p>
        </w:tc>
        <w:tc>
          <w:tcPr>
            <w:tcW w:w="1430" w:type="dxa"/>
            <w:vAlign w:val="center"/>
          </w:tcPr>
          <w:p w:rsidR="00B379FB" w:rsidRDefault="00B379FB" w:rsidP="002D72FB">
            <w:pPr>
              <w:jc w:val="center"/>
              <w:rPr>
                <w:color w:val="000000"/>
                <w:sz w:val="22"/>
              </w:rPr>
            </w:pPr>
            <w:r>
              <w:rPr>
                <w:color w:val="000000"/>
                <w:sz w:val="22"/>
              </w:rPr>
              <w:t>2.5%</w:t>
            </w:r>
          </w:p>
        </w:tc>
      </w:tr>
      <w:tr w:rsidR="00B379FB" w:rsidRPr="00944261" w:rsidTr="002D72FB">
        <w:trPr>
          <w:trHeight w:val="576"/>
        </w:trPr>
        <w:tc>
          <w:tcPr>
            <w:tcW w:w="0" w:type="auto"/>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r w:rsidRPr="00944261">
              <w:rPr>
                <w:rFonts w:eastAsia="Times New Roman" w:cs="Times New Roman"/>
                <w:b/>
                <w:bCs/>
                <w:color w:val="000000"/>
                <w:sz w:val="22"/>
              </w:rPr>
              <w:t>Lower Court Direction</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-0.393 (.111)***</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0.675</w:t>
            </w:r>
          </w:p>
        </w:tc>
        <w:tc>
          <w:tcPr>
            <w:tcW w:w="1430" w:type="dxa"/>
            <w:vAlign w:val="center"/>
          </w:tcPr>
          <w:p w:rsidR="00B379FB" w:rsidRDefault="00B379FB" w:rsidP="002D72FB">
            <w:pPr>
              <w:jc w:val="center"/>
              <w:rPr>
                <w:color w:val="000000"/>
                <w:sz w:val="22"/>
              </w:rPr>
            </w:pPr>
            <w:r>
              <w:rPr>
                <w:color w:val="000000"/>
                <w:sz w:val="22"/>
              </w:rPr>
              <w:t>-9.1%</w:t>
            </w:r>
          </w:p>
        </w:tc>
      </w:tr>
      <w:tr w:rsidR="00B379FB" w:rsidRPr="00944261" w:rsidTr="002D72FB">
        <w:trPr>
          <w:trHeight w:val="576"/>
        </w:trPr>
        <w:tc>
          <w:tcPr>
            <w:tcW w:w="0" w:type="auto"/>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r w:rsidRPr="00944261">
              <w:rPr>
                <w:rFonts w:eastAsia="Times New Roman" w:cs="Times New Roman"/>
                <w:b/>
                <w:bCs/>
                <w:color w:val="000000"/>
                <w:sz w:val="22"/>
              </w:rPr>
              <w:t>Resource Difference</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0.031 (.014)*</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1.032</w:t>
            </w:r>
          </w:p>
        </w:tc>
        <w:tc>
          <w:tcPr>
            <w:tcW w:w="1430" w:type="dxa"/>
            <w:vAlign w:val="center"/>
          </w:tcPr>
          <w:p w:rsidR="00B379FB" w:rsidRDefault="00B379FB" w:rsidP="002D72FB">
            <w:pPr>
              <w:jc w:val="center"/>
              <w:rPr>
                <w:color w:val="000000"/>
                <w:sz w:val="22"/>
              </w:rPr>
            </w:pPr>
            <w:r>
              <w:rPr>
                <w:color w:val="000000"/>
                <w:sz w:val="22"/>
              </w:rPr>
              <w:t>3.6%</w:t>
            </w:r>
          </w:p>
        </w:tc>
      </w:tr>
      <w:tr w:rsidR="00B379FB" w:rsidRPr="00944261" w:rsidTr="002D72FB">
        <w:trPr>
          <w:trHeight w:val="576"/>
        </w:trPr>
        <w:tc>
          <w:tcPr>
            <w:tcW w:w="0" w:type="auto"/>
            <w:tcBorders>
              <w:bottom w:val="single" w:sz="18" w:space="0" w:color="auto"/>
            </w:tcBorders>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r w:rsidRPr="00944261">
              <w:rPr>
                <w:rFonts w:eastAsia="Times New Roman" w:cs="Times New Roman"/>
                <w:b/>
                <w:bCs/>
                <w:color w:val="000000"/>
                <w:sz w:val="22"/>
              </w:rPr>
              <w:t>Constant</w:t>
            </w:r>
          </w:p>
        </w:tc>
        <w:tc>
          <w:tcPr>
            <w:tcW w:w="0" w:type="auto"/>
            <w:tcBorders>
              <w:bottom w:val="single" w:sz="18" w:space="0" w:color="auto"/>
            </w:tcBorders>
            <w:shd w:val="clear" w:color="auto" w:fill="auto"/>
            <w:noWrap/>
            <w:vAlign w:val="center"/>
            <w:hideMark/>
          </w:tcPr>
          <w:p w:rsidR="00B379FB" w:rsidRDefault="00B379FB" w:rsidP="002D72FB">
            <w:pPr>
              <w:jc w:val="center"/>
              <w:rPr>
                <w:color w:val="000000"/>
                <w:sz w:val="22"/>
              </w:rPr>
            </w:pPr>
            <w:r>
              <w:rPr>
                <w:color w:val="000000"/>
                <w:sz w:val="22"/>
              </w:rPr>
              <w:t>0.799 (.114)</w:t>
            </w:r>
          </w:p>
        </w:tc>
        <w:tc>
          <w:tcPr>
            <w:tcW w:w="0" w:type="auto"/>
            <w:tcBorders>
              <w:bottom w:val="single" w:sz="18" w:space="0" w:color="auto"/>
            </w:tcBorders>
            <w:shd w:val="clear" w:color="auto" w:fill="auto"/>
            <w:noWrap/>
            <w:vAlign w:val="center"/>
            <w:hideMark/>
          </w:tcPr>
          <w:p w:rsidR="00B379FB" w:rsidRDefault="00B379FB" w:rsidP="002D72FB">
            <w:pPr>
              <w:jc w:val="center"/>
              <w:rPr>
                <w:color w:val="000000"/>
                <w:sz w:val="22"/>
              </w:rPr>
            </w:pPr>
          </w:p>
        </w:tc>
        <w:tc>
          <w:tcPr>
            <w:tcW w:w="1430" w:type="dxa"/>
            <w:tcBorders>
              <w:bottom w:val="single" w:sz="18" w:space="0" w:color="auto"/>
            </w:tcBorders>
            <w:vAlign w:val="center"/>
          </w:tcPr>
          <w:p w:rsidR="00B379FB" w:rsidRDefault="00B379FB" w:rsidP="002D72FB">
            <w:pPr>
              <w:jc w:val="center"/>
              <w:rPr>
                <w:color w:val="000000"/>
                <w:sz w:val="22"/>
              </w:rPr>
            </w:pPr>
          </w:p>
        </w:tc>
      </w:tr>
      <w:tr w:rsidR="00B379FB" w:rsidRPr="00944261" w:rsidTr="002D72FB">
        <w:trPr>
          <w:trHeight w:val="576"/>
        </w:trPr>
        <w:tc>
          <w:tcPr>
            <w:tcW w:w="0" w:type="auto"/>
            <w:tcBorders>
              <w:top w:val="single" w:sz="18" w:space="0" w:color="auto"/>
              <w:bottom w:val="nil"/>
            </w:tcBorders>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r w:rsidRPr="00944261">
              <w:rPr>
                <w:rFonts w:eastAsia="Times New Roman" w:cs="Times New Roman"/>
                <w:b/>
                <w:bCs/>
                <w:color w:val="000000"/>
                <w:sz w:val="22"/>
              </w:rPr>
              <w:t>N</w:t>
            </w:r>
          </w:p>
        </w:tc>
        <w:tc>
          <w:tcPr>
            <w:tcW w:w="0" w:type="auto"/>
            <w:tcBorders>
              <w:top w:val="single" w:sz="18" w:space="0" w:color="auto"/>
              <w:bottom w:val="nil"/>
            </w:tcBorders>
            <w:shd w:val="clear" w:color="auto" w:fill="auto"/>
            <w:noWrap/>
            <w:vAlign w:val="center"/>
            <w:hideMark/>
          </w:tcPr>
          <w:p w:rsidR="00B379FB" w:rsidRPr="00831FAD" w:rsidRDefault="00B379FB" w:rsidP="002D72FB">
            <w:pPr>
              <w:ind w:left="0" w:firstLine="0"/>
              <w:jc w:val="center"/>
              <w:rPr>
                <w:rFonts w:eastAsia="Times New Roman" w:cs="Times New Roman"/>
                <w:sz w:val="22"/>
              </w:rPr>
            </w:pPr>
            <w:r>
              <w:rPr>
                <w:rFonts w:eastAsia="Times New Roman" w:cs="Times New Roman"/>
                <w:sz w:val="22"/>
              </w:rPr>
              <w:t>1428</w:t>
            </w:r>
          </w:p>
        </w:tc>
        <w:tc>
          <w:tcPr>
            <w:tcW w:w="0" w:type="auto"/>
            <w:tcBorders>
              <w:top w:val="single" w:sz="18" w:space="0" w:color="auto"/>
              <w:bottom w:val="nil"/>
            </w:tcBorders>
            <w:shd w:val="clear" w:color="auto" w:fill="auto"/>
            <w:noWrap/>
            <w:vAlign w:val="center"/>
            <w:hideMark/>
          </w:tcPr>
          <w:p w:rsidR="00B379FB" w:rsidRPr="007C7497" w:rsidRDefault="00B379FB" w:rsidP="002D72FB">
            <w:pPr>
              <w:ind w:left="0" w:firstLine="0"/>
              <w:jc w:val="center"/>
              <w:rPr>
                <w:rFonts w:eastAsia="Times New Roman" w:cs="Times New Roman"/>
                <w:color w:val="FF0000"/>
                <w:sz w:val="22"/>
              </w:rPr>
            </w:pPr>
          </w:p>
        </w:tc>
        <w:tc>
          <w:tcPr>
            <w:tcW w:w="1430" w:type="dxa"/>
            <w:tcBorders>
              <w:top w:val="single" w:sz="18" w:space="0" w:color="auto"/>
              <w:bottom w:val="nil"/>
            </w:tcBorders>
          </w:tcPr>
          <w:p w:rsidR="00B379FB" w:rsidRPr="007C7497" w:rsidRDefault="00B379FB" w:rsidP="002D72FB">
            <w:pPr>
              <w:ind w:left="0" w:firstLine="0"/>
              <w:jc w:val="center"/>
              <w:rPr>
                <w:rFonts w:eastAsia="Times New Roman" w:cs="Times New Roman"/>
                <w:color w:val="FF0000"/>
                <w:sz w:val="22"/>
              </w:rPr>
            </w:pPr>
          </w:p>
        </w:tc>
      </w:tr>
      <w:tr w:rsidR="00B379FB" w:rsidRPr="00944261" w:rsidTr="002D72FB">
        <w:trPr>
          <w:trHeight w:val="576"/>
        </w:trPr>
        <w:tc>
          <w:tcPr>
            <w:tcW w:w="0" w:type="auto"/>
            <w:tcBorders>
              <w:top w:val="nil"/>
              <w:bottom w:val="nil"/>
            </w:tcBorders>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proofErr w:type="spellStart"/>
            <w:r w:rsidRPr="00944261">
              <w:rPr>
                <w:rFonts w:eastAsia="Times New Roman" w:cs="Times New Roman"/>
                <w:b/>
                <w:bCs/>
                <w:color w:val="000000"/>
                <w:sz w:val="22"/>
              </w:rPr>
              <w:t>Prob</w:t>
            </w:r>
            <w:proofErr w:type="spellEnd"/>
            <w:r w:rsidRPr="00944261">
              <w:rPr>
                <w:rFonts w:eastAsia="Times New Roman" w:cs="Times New Roman"/>
                <w:b/>
                <w:bCs/>
                <w:color w:val="000000"/>
                <w:sz w:val="22"/>
              </w:rPr>
              <w:t xml:space="preserve"> &gt; chi2</w:t>
            </w:r>
          </w:p>
        </w:tc>
        <w:tc>
          <w:tcPr>
            <w:tcW w:w="0" w:type="auto"/>
            <w:tcBorders>
              <w:top w:val="nil"/>
              <w:bottom w:val="nil"/>
            </w:tcBorders>
            <w:shd w:val="clear" w:color="auto" w:fill="auto"/>
            <w:noWrap/>
            <w:vAlign w:val="center"/>
            <w:hideMark/>
          </w:tcPr>
          <w:p w:rsidR="00B379FB" w:rsidRPr="00831FAD" w:rsidRDefault="00B379FB" w:rsidP="002D72FB">
            <w:pPr>
              <w:ind w:left="0" w:firstLine="0"/>
              <w:jc w:val="center"/>
              <w:rPr>
                <w:rFonts w:eastAsia="Times New Roman" w:cs="Times New Roman"/>
                <w:sz w:val="22"/>
              </w:rPr>
            </w:pPr>
            <w:r>
              <w:rPr>
                <w:rFonts w:eastAsia="Times New Roman" w:cs="Times New Roman"/>
                <w:sz w:val="22"/>
              </w:rPr>
              <w:t>0</w:t>
            </w:r>
          </w:p>
        </w:tc>
        <w:tc>
          <w:tcPr>
            <w:tcW w:w="0" w:type="auto"/>
            <w:tcBorders>
              <w:top w:val="nil"/>
              <w:bottom w:val="nil"/>
            </w:tcBorders>
            <w:shd w:val="clear" w:color="auto" w:fill="auto"/>
            <w:noWrap/>
            <w:vAlign w:val="center"/>
            <w:hideMark/>
          </w:tcPr>
          <w:p w:rsidR="00B379FB" w:rsidRPr="007C7497" w:rsidRDefault="00B379FB" w:rsidP="002D72FB">
            <w:pPr>
              <w:ind w:left="0" w:firstLine="0"/>
              <w:jc w:val="center"/>
              <w:rPr>
                <w:rFonts w:eastAsia="Times New Roman" w:cs="Times New Roman"/>
                <w:color w:val="FF0000"/>
                <w:sz w:val="22"/>
              </w:rPr>
            </w:pPr>
          </w:p>
        </w:tc>
        <w:tc>
          <w:tcPr>
            <w:tcW w:w="1430" w:type="dxa"/>
            <w:tcBorders>
              <w:top w:val="nil"/>
              <w:bottom w:val="nil"/>
            </w:tcBorders>
          </w:tcPr>
          <w:p w:rsidR="00B379FB" w:rsidRPr="007C7497" w:rsidRDefault="00B379FB" w:rsidP="002D72FB">
            <w:pPr>
              <w:ind w:left="0" w:firstLine="0"/>
              <w:jc w:val="center"/>
              <w:rPr>
                <w:rFonts w:eastAsia="Times New Roman" w:cs="Times New Roman"/>
                <w:color w:val="FF0000"/>
                <w:sz w:val="22"/>
              </w:rPr>
            </w:pPr>
          </w:p>
        </w:tc>
      </w:tr>
      <w:tr w:rsidR="00B379FB" w:rsidRPr="00944261" w:rsidTr="002D72FB">
        <w:trPr>
          <w:trHeight w:val="576"/>
        </w:trPr>
        <w:tc>
          <w:tcPr>
            <w:tcW w:w="0" w:type="auto"/>
            <w:tcBorders>
              <w:top w:val="nil"/>
              <w:bottom w:val="nil"/>
            </w:tcBorders>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r w:rsidRPr="00944261">
              <w:rPr>
                <w:rFonts w:eastAsia="Times New Roman" w:cs="Times New Roman"/>
                <w:b/>
                <w:bCs/>
                <w:color w:val="000000"/>
                <w:sz w:val="22"/>
              </w:rPr>
              <w:t>Percent Correctly Predicted</w:t>
            </w:r>
          </w:p>
        </w:tc>
        <w:tc>
          <w:tcPr>
            <w:tcW w:w="0" w:type="auto"/>
            <w:tcBorders>
              <w:top w:val="nil"/>
              <w:bottom w:val="nil"/>
            </w:tcBorders>
            <w:shd w:val="clear" w:color="auto" w:fill="auto"/>
            <w:noWrap/>
            <w:vAlign w:val="center"/>
            <w:hideMark/>
          </w:tcPr>
          <w:p w:rsidR="00B379FB" w:rsidRPr="0064297A" w:rsidRDefault="00B379FB" w:rsidP="002D72FB">
            <w:pPr>
              <w:ind w:left="0" w:firstLine="0"/>
              <w:jc w:val="center"/>
              <w:rPr>
                <w:rFonts w:eastAsia="Times New Roman" w:cs="Times New Roman"/>
                <w:sz w:val="22"/>
              </w:rPr>
            </w:pPr>
            <w:r>
              <w:rPr>
                <w:rFonts w:eastAsia="Times New Roman" w:cs="Times New Roman"/>
                <w:sz w:val="22"/>
              </w:rPr>
              <w:t>66.11</w:t>
            </w:r>
          </w:p>
        </w:tc>
        <w:tc>
          <w:tcPr>
            <w:tcW w:w="0" w:type="auto"/>
            <w:tcBorders>
              <w:top w:val="nil"/>
              <w:bottom w:val="nil"/>
            </w:tcBorders>
            <w:shd w:val="clear" w:color="auto" w:fill="auto"/>
            <w:noWrap/>
            <w:vAlign w:val="center"/>
            <w:hideMark/>
          </w:tcPr>
          <w:p w:rsidR="00B379FB" w:rsidRPr="007C7497" w:rsidRDefault="00B379FB" w:rsidP="002D72FB">
            <w:pPr>
              <w:ind w:left="0" w:firstLine="0"/>
              <w:jc w:val="center"/>
              <w:rPr>
                <w:rFonts w:eastAsia="Times New Roman" w:cs="Times New Roman"/>
                <w:color w:val="FF0000"/>
                <w:sz w:val="22"/>
              </w:rPr>
            </w:pPr>
          </w:p>
        </w:tc>
        <w:tc>
          <w:tcPr>
            <w:tcW w:w="1430" w:type="dxa"/>
            <w:tcBorders>
              <w:top w:val="nil"/>
              <w:bottom w:val="nil"/>
            </w:tcBorders>
          </w:tcPr>
          <w:p w:rsidR="00B379FB" w:rsidRPr="007C7497" w:rsidRDefault="00B379FB" w:rsidP="002D72FB">
            <w:pPr>
              <w:ind w:left="0" w:firstLine="0"/>
              <w:jc w:val="center"/>
              <w:rPr>
                <w:rFonts w:eastAsia="Times New Roman" w:cs="Times New Roman"/>
                <w:color w:val="FF0000"/>
                <w:sz w:val="22"/>
              </w:rPr>
            </w:pPr>
          </w:p>
        </w:tc>
      </w:tr>
      <w:tr w:rsidR="00B379FB" w:rsidRPr="00944261" w:rsidTr="002D72FB">
        <w:trPr>
          <w:trHeight w:val="576"/>
        </w:trPr>
        <w:tc>
          <w:tcPr>
            <w:tcW w:w="0" w:type="auto"/>
            <w:tcBorders>
              <w:top w:val="nil"/>
              <w:bottom w:val="single" w:sz="18" w:space="0" w:color="auto"/>
            </w:tcBorders>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r w:rsidRPr="00944261">
              <w:rPr>
                <w:rFonts w:eastAsia="Times New Roman" w:cs="Times New Roman"/>
                <w:b/>
                <w:bCs/>
                <w:color w:val="000000"/>
                <w:sz w:val="22"/>
              </w:rPr>
              <w:t>Percent Reduction in Error</w:t>
            </w:r>
          </w:p>
        </w:tc>
        <w:tc>
          <w:tcPr>
            <w:tcW w:w="0" w:type="auto"/>
            <w:tcBorders>
              <w:top w:val="nil"/>
              <w:bottom w:val="single" w:sz="18" w:space="0" w:color="auto"/>
            </w:tcBorders>
            <w:shd w:val="clear" w:color="auto" w:fill="auto"/>
            <w:noWrap/>
            <w:vAlign w:val="center"/>
            <w:hideMark/>
          </w:tcPr>
          <w:p w:rsidR="00B379FB" w:rsidRPr="0064297A" w:rsidRDefault="00B379FB" w:rsidP="002D72FB">
            <w:pPr>
              <w:ind w:left="0" w:firstLine="0"/>
              <w:jc w:val="center"/>
              <w:rPr>
                <w:rFonts w:eastAsia="Times New Roman" w:cs="Times New Roman"/>
                <w:sz w:val="22"/>
              </w:rPr>
            </w:pPr>
            <w:r>
              <w:rPr>
                <w:rFonts w:eastAsia="Times New Roman" w:cs="Times New Roman"/>
                <w:sz w:val="22"/>
              </w:rPr>
              <w:t>7.88</w:t>
            </w:r>
          </w:p>
        </w:tc>
        <w:tc>
          <w:tcPr>
            <w:tcW w:w="0" w:type="auto"/>
            <w:tcBorders>
              <w:top w:val="nil"/>
              <w:bottom w:val="single" w:sz="18" w:space="0" w:color="auto"/>
            </w:tcBorders>
            <w:shd w:val="clear" w:color="auto" w:fill="auto"/>
            <w:noWrap/>
            <w:vAlign w:val="center"/>
            <w:hideMark/>
          </w:tcPr>
          <w:p w:rsidR="00B379FB" w:rsidRPr="007C7497" w:rsidRDefault="00B379FB" w:rsidP="002D72FB">
            <w:pPr>
              <w:ind w:left="0" w:firstLine="0"/>
              <w:jc w:val="center"/>
              <w:rPr>
                <w:rFonts w:eastAsia="Times New Roman" w:cs="Times New Roman"/>
                <w:color w:val="FF0000"/>
                <w:sz w:val="22"/>
              </w:rPr>
            </w:pPr>
          </w:p>
        </w:tc>
        <w:tc>
          <w:tcPr>
            <w:tcW w:w="1430" w:type="dxa"/>
            <w:tcBorders>
              <w:top w:val="nil"/>
              <w:bottom w:val="single" w:sz="18" w:space="0" w:color="auto"/>
            </w:tcBorders>
          </w:tcPr>
          <w:p w:rsidR="00B379FB" w:rsidRPr="007C7497" w:rsidRDefault="00B379FB" w:rsidP="002D72FB">
            <w:pPr>
              <w:ind w:left="0" w:firstLine="0"/>
              <w:jc w:val="center"/>
              <w:rPr>
                <w:rFonts w:eastAsia="Times New Roman" w:cs="Times New Roman"/>
                <w:color w:val="FF0000"/>
                <w:sz w:val="22"/>
              </w:rPr>
            </w:pPr>
          </w:p>
        </w:tc>
      </w:tr>
    </w:tbl>
    <w:p w:rsidR="00B379FB" w:rsidRPr="009E62D9" w:rsidRDefault="00B379FB" w:rsidP="00B379FB">
      <w:pPr>
        <w:autoSpaceDE w:val="0"/>
        <w:autoSpaceDN w:val="0"/>
        <w:adjustRightInd w:val="0"/>
        <w:ind w:left="90" w:firstLine="0"/>
        <w:rPr>
          <w:sz w:val="22"/>
        </w:rPr>
      </w:pPr>
      <w:r w:rsidRPr="009E62D9">
        <w:rPr>
          <w:sz w:val="22"/>
        </w:rPr>
        <w:t>Dependent variable indicates the ideological direction of the individual justices’ vote (1 = libe</w:t>
      </w:r>
      <w:r>
        <w:rPr>
          <w:sz w:val="22"/>
        </w:rPr>
        <w:t xml:space="preserve">ral, 0 = conservative).  Numbers in parentheses indicated standard errors.  </w:t>
      </w:r>
      <w:proofErr w:type="gramStart"/>
      <w:r>
        <w:rPr>
          <w:sz w:val="22"/>
        </w:rPr>
        <w:t>*p&lt;.05, **p&lt;.01, ***p&lt;.001</w:t>
      </w:r>
      <w:r w:rsidRPr="009E62D9">
        <w:rPr>
          <w:sz w:val="22"/>
        </w:rPr>
        <w:t xml:space="preserve"> (one-tailed).</w:t>
      </w:r>
      <w:proofErr w:type="gramEnd"/>
    </w:p>
    <w:p w:rsidR="00B379FB" w:rsidRDefault="00B379FB" w:rsidP="00B379FB">
      <w:pPr>
        <w:spacing w:line="480" w:lineRule="auto"/>
        <w:ind w:left="0" w:firstLine="0"/>
        <w:rPr>
          <w:rFonts w:cs="Times New Roman"/>
          <w:szCs w:val="24"/>
        </w:rPr>
      </w:pPr>
    </w:p>
    <w:p w:rsidR="00B379FB" w:rsidRDefault="00B379FB" w:rsidP="00B379FB">
      <w:pPr>
        <w:spacing w:line="480" w:lineRule="auto"/>
        <w:ind w:left="0" w:firstLine="0"/>
        <w:rPr>
          <w:rFonts w:cs="Times New Roman"/>
          <w:szCs w:val="24"/>
        </w:rPr>
      </w:pPr>
    </w:p>
    <w:p w:rsidR="00B379FB" w:rsidRDefault="00B379FB" w:rsidP="00B379FB">
      <w:pPr>
        <w:spacing w:line="480" w:lineRule="auto"/>
        <w:ind w:left="0" w:firstLine="0"/>
        <w:rPr>
          <w:rFonts w:cs="Times New Roman"/>
          <w:szCs w:val="24"/>
        </w:rPr>
      </w:pPr>
      <w:r>
        <w:rPr>
          <w:rFonts w:cs="Times New Roman"/>
          <w:szCs w:val="24"/>
        </w:rPr>
        <w:t xml:space="preserve">First, both liberal justices and conservative justices respond to the persuasion attempts of amicus briefs in the numerically advantaged side, evidencing similar marginal effects (6.2 percent and 4.8 percent, respectively).  Second, a numerical advantage of amicus cosigners does not influence either liberal or conservatives justices when considering all cases as a whole.  Third, </w:t>
      </w:r>
    </w:p>
    <w:p w:rsidR="00B379FB" w:rsidRDefault="00B379FB" w:rsidP="00B379FB">
      <w:pPr>
        <w:autoSpaceDE w:val="0"/>
        <w:autoSpaceDN w:val="0"/>
        <w:adjustRightInd w:val="0"/>
        <w:spacing w:line="480" w:lineRule="auto"/>
        <w:ind w:left="0" w:firstLine="0"/>
        <w:rPr>
          <w:rFonts w:cs="Times New Roman"/>
          <w:szCs w:val="24"/>
        </w:rPr>
      </w:pPr>
      <w:proofErr w:type="gramStart"/>
      <w:r>
        <w:rPr>
          <w:rFonts w:cs="Times New Roman"/>
          <w:b/>
          <w:szCs w:val="24"/>
        </w:rPr>
        <w:lastRenderedPageBreak/>
        <w:t>Table 5.10</w:t>
      </w:r>
      <w:r w:rsidRPr="00E8454D">
        <w:rPr>
          <w:rFonts w:cs="Times New Roman"/>
          <w:b/>
          <w:szCs w:val="24"/>
        </w:rPr>
        <w:t>.</w:t>
      </w:r>
      <w:proofErr w:type="gramEnd"/>
      <w:r>
        <w:rPr>
          <w:rFonts w:cs="Times New Roman"/>
          <w:szCs w:val="24"/>
        </w:rPr>
        <w:t xml:space="preserve"> </w:t>
      </w:r>
      <w:proofErr w:type="spellStart"/>
      <w:r>
        <w:rPr>
          <w:rFonts w:cs="Times New Roman"/>
          <w:b/>
          <w:szCs w:val="24"/>
        </w:rPr>
        <w:t>Logit</w:t>
      </w:r>
      <w:proofErr w:type="spellEnd"/>
      <w:r>
        <w:rPr>
          <w:rFonts w:cs="Times New Roman"/>
          <w:b/>
          <w:szCs w:val="24"/>
        </w:rPr>
        <w:t xml:space="preserve"> Model</w:t>
      </w:r>
      <w:r w:rsidRPr="00A02BA1">
        <w:rPr>
          <w:b/>
        </w:rPr>
        <w:t xml:space="preserve"> of</w:t>
      </w:r>
      <w:r>
        <w:rPr>
          <w:b/>
        </w:rPr>
        <w:t xml:space="preserve"> the Impact of Amici on Ideological Direction of Justice Votes at the Roberts Court, 2007 – 201</w:t>
      </w:r>
      <w:r w:rsidRPr="00A02BA1">
        <w:rPr>
          <w:b/>
        </w:rPr>
        <w:t>1 Terms</w:t>
      </w:r>
      <w:r>
        <w:rPr>
          <w:b/>
        </w:rPr>
        <w:t>: All Cases – Conservative Justices Only</w:t>
      </w:r>
    </w:p>
    <w:tbl>
      <w:tblPr>
        <w:tblW w:w="0" w:type="auto"/>
        <w:tblInd w:w="93" w:type="dxa"/>
        <w:tblBorders>
          <w:top w:val="single" w:sz="18" w:space="0" w:color="auto"/>
          <w:bottom w:val="single" w:sz="18" w:space="0" w:color="auto"/>
        </w:tblBorders>
        <w:tblLook w:val="04A0" w:firstRow="1" w:lastRow="0" w:firstColumn="1" w:lastColumn="0" w:noHBand="0" w:noVBand="1"/>
      </w:tblPr>
      <w:tblGrid>
        <w:gridCol w:w="3051"/>
        <w:gridCol w:w="2061"/>
        <w:gridCol w:w="1213"/>
        <w:gridCol w:w="1700"/>
      </w:tblGrid>
      <w:tr w:rsidR="00B379FB" w:rsidRPr="00944261" w:rsidTr="002D72FB">
        <w:trPr>
          <w:trHeight w:val="576"/>
        </w:trPr>
        <w:tc>
          <w:tcPr>
            <w:tcW w:w="0" w:type="auto"/>
            <w:tcBorders>
              <w:top w:val="single" w:sz="18" w:space="0" w:color="auto"/>
              <w:bottom w:val="single" w:sz="18" w:space="0" w:color="auto"/>
            </w:tcBorders>
            <w:shd w:val="clear" w:color="auto" w:fill="auto"/>
            <w:noWrap/>
            <w:vAlign w:val="center"/>
            <w:hideMark/>
          </w:tcPr>
          <w:p w:rsidR="00B379FB" w:rsidRPr="00944261" w:rsidRDefault="00B379FB" w:rsidP="002D72FB">
            <w:pPr>
              <w:ind w:left="0" w:firstLine="0"/>
              <w:rPr>
                <w:rFonts w:eastAsia="Times New Roman" w:cs="Times New Roman"/>
                <w:color w:val="000000"/>
                <w:sz w:val="22"/>
              </w:rPr>
            </w:pPr>
            <w:r w:rsidRPr="00944261">
              <w:rPr>
                <w:rFonts w:eastAsia="Times New Roman" w:cs="Times New Roman"/>
                <w:color w:val="000000"/>
                <w:sz w:val="22"/>
              </w:rPr>
              <w:t>Variable</w:t>
            </w:r>
          </w:p>
        </w:tc>
        <w:tc>
          <w:tcPr>
            <w:tcW w:w="0" w:type="auto"/>
            <w:tcBorders>
              <w:top w:val="single" w:sz="18" w:space="0" w:color="auto"/>
              <w:bottom w:val="single" w:sz="18" w:space="0" w:color="auto"/>
            </w:tcBorders>
            <w:shd w:val="clear" w:color="auto" w:fill="auto"/>
            <w:noWrap/>
            <w:vAlign w:val="center"/>
            <w:hideMark/>
          </w:tcPr>
          <w:p w:rsidR="00B379FB" w:rsidRPr="00944261" w:rsidRDefault="00B379FB" w:rsidP="002D72FB">
            <w:pPr>
              <w:ind w:left="0" w:firstLine="0"/>
              <w:jc w:val="center"/>
              <w:rPr>
                <w:rFonts w:eastAsia="Times New Roman" w:cs="Times New Roman"/>
                <w:color w:val="000000"/>
                <w:sz w:val="22"/>
              </w:rPr>
            </w:pPr>
            <w:r w:rsidRPr="00944261">
              <w:rPr>
                <w:rFonts w:eastAsia="Times New Roman" w:cs="Times New Roman"/>
                <w:color w:val="000000"/>
                <w:sz w:val="22"/>
              </w:rPr>
              <w:t>MLE Coefficient</w:t>
            </w:r>
          </w:p>
        </w:tc>
        <w:tc>
          <w:tcPr>
            <w:tcW w:w="0" w:type="auto"/>
            <w:tcBorders>
              <w:top w:val="single" w:sz="18" w:space="0" w:color="auto"/>
              <w:bottom w:val="single" w:sz="18" w:space="0" w:color="auto"/>
            </w:tcBorders>
            <w:shd w:val="clear" w:color="auto" w:fill="auto"/>
            <w:noWrap/>
            <w:vAlign w:val="center"/>
            <w:hideMark/>
          </w:tcPr>
          <w:p w:rsidR="00B379FB" w:rsidRPr="00944261" w:rsidRDefault="00B379FB" w:rsidP="002D72FB">
            <w:pPr>
              <w:ind w:left="0" w:firstLine="0"/>
              <w:jc w:val="center"/>
              <w:rPr>
                <w:rFonts w:eastAsia="Times New Roman" w:cs="Times New Roman"/>
                <w:color w:val="000000"/>
                <w:sz w:val="22"/>
              </w:rPr>
            </w:pPr>
            <w:r>
              <w:rPr>
                <w:rFonts w:eastAsia="Times New Roman" w:cs="Times New Roman"/>
                <w:color w:val="000000"/>
                <w:sz w:val="22"/>
              </w:rPr>
              <w:t>Odds Ratio</w:t>
            </w:r>
          </w:p>
        </w:tc>
        <w:tc>
          <w:tcPr>
            <w:tcW w:w="1700" w:type="dxa"/>
            <w:tcBorders>
              <w:top w:val="single" w:sz="18" w:space="0" w:color="auto"/>
              <w:bottom w:val="single" w:sz="18" w:space="0" w:color="auto"/>
            </w:tcBorders>
            <w:vAlign w:val="center"/>
          </w:tcPr>
          <w:p w:rsidR="00B379FB" w:rsidRDefault="00B379FB" w:rsidP="002D72FB">
            <w:pPr>
              <w:ind w:left="0" w:firstLine="0"/>
              <w:jc w:val="center"/>
              <w:rPr>
                <w:rFonts w:eastAsia="Times New Roman" w:cs="Times New Roman"/>
                <w:color w:val="000000"/>
                <w:sz w:val="22"/>
              </w:rPr>
            </w:pPr>
            <w:r>
              <w:rPr>
                <w:rFonts w:eastAsia="Times New Roman" w:cs="Times New Roman"/>
                <w:color w:val="000000"/>
                <w:sz w:val="22"/>
              </w:rPr>
              <w:t>Marginal Effect</w:t>
            </w:r>
          </w:p>
        </w:tc>
      </w:tr>
      <w:tr w:rsidR="00B379FB" w:rsidRPr="00944261" w:rsidTr="002D72FB">
        <w:trPr>
          <w:trHeight w:val="576"/>
        </w:trPr>
        <w:tc>
          <w:tcPr>
            <w:tcW w:w="0" w:type="auto"/>
            <w:tcBorders>
              <w:top w:val="single" w:sz="18" w:space="0" w:color="auto"/>
            </w:tcBorders>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r w:rsidRPr="00944261">
              <w:rPr>
                <w:rFonts w:eastAsia="Times New Roman" w:cs="Times New Roman"/>
                <w:b/>
                <w:bCs/>
                <w:color w:val="000000"/>
                <w:sz w:val="22"/>
              </w:rPr>
              <w:t>Amicus Brief Difference</w:t>
            </w:r>
          </w:p>
        </w:tc>
        <w:tc>
          <w:tcPr>
            <w:tcW w:w="0" w:type="auto"/>
            <w:tcBorders>
              <w:top w:val="single" w:sz="18" w:space="0" w:color="auto"/>
            </w:tcBorders>
            <w:shd w:val="clear" w:color="auto" w:fill="auto"/>
            <w:noWrap/>
            <w:vAlign w:val="center"/>
            <w:hideMark/>
          </w:tcPr>
          <w:p w:rsidR="00B379FB" w:rsidRDefault="00B379FB" w:rsidP="002D72FB">
            <w:pPr>
              <w:jc w:val="center"/>
              <w:rPr>
                <w:color w:val="000000"/>
                <w:sz w:val="22"/>
              </w:rPr>
            </w:pPr>
            <w:r>
              <w:rPr>
                <w:color w:val="000000"/>
                <w:sz w:val="22"/>
              </w:rPr>
              <w:t>0.056 (.015)***</w:t>
            </w:r>
          </w:p>
        </w:tc>
        <w:tc>
          <w:tcPr>
            <w:tcW w:w="0" w:type="auto"/>
            <w:tcBorders>
              <w:top w:val="single" w:sz="18" w:space="0" w:color="auto"/>
            </w:tcBorders>
            <w:shd w:val="clear" w:color="auto" w:fill="auto"/>
            <w:noWrap/>
            <w:vAlign w:val="center"/>
            <w:hideMark/>
          </w:tcPr>
          <w:p w:rsidR="00B379FB" w:rsidRDefault="00B379FB" w:rsidP="002D72FB">
            <w:pPr>
              <w:jc w:val="center"/>
              <w:rPr>
                <w:color w:val="000000"/>
                <w:sz w:val="22"/>
              </w:rPr>
            </w:pPr>
            <w:r>
              <w:rPr>
                <w:color w:val="000000"/>
                <w:sz w:val="22"/>
              </w:rPr>
              <w:t>1.057</w:t>
            </w:r>
          </w:p>
        </w:tc>
        <w:tc>
          <w:tcPr>
            <w:tcW w:w="1700" w:type="dxa"/>
            <w:tcBorders>
              <w:top w:val="single" w:sz="18" w:space="0" w:color="auto"/>
            </w:tcBorders>
            <w:vAlign w:val="center"/>
          </w:tcPr>
          <w:p w:rsidR="00B379FB" w:rsidRDefault="00B379FB" w:rsidP="002D72FB">
            <w:pPr>
              <w:jc w:val="center"/>
              <w:rPr>
                <w:color w:val="000000"/>
                <w:sz w:val="22"/>
              </w:rPr>
            </w:pPr>
            <w:r>
              <w:rPr>
                <w:color w:val="000000"/>
                <w:sz w:val="22"/>
              </w:rPr>
              <w:t>4.8%</w:t>
            </w:r>
          </w:p>
        </w:tc>
      </w:tr>
      <w:tr w:rsidR="00B379FB" w:rsidRPr="00944261" w:rsidTr="002D72FB">
        <w:trPr>
          <w:trHeight w:val="576"/>
        </w:trPr>
        <w:tc>
          <w:tcPr>
            <w:tcW w:w="0" w:type="auto"/>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r w:rsidRPr="00944261">
              <w:rPr>
                <w:rFonts w:eastAsia="Times New Roman" w:cs="Times New Roman"/>
                <w:b/>
                <w:bCs/>
                <w:color w:val="000000"/>
                <w:sz w:val="22"/>
              </w:rPr>
              <w:t>Amicus Cosigner Difference</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-0.001 (.001)</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0.999</w:t>
            </w:r>
          </w:p>
        </w:tc>
        <w:tc>
          <w:tcPr>
            <w:tcW w:w="1700" w:type="dxa"/>
            <w:vAlign w:val="center"/>
          </w:tcPr>
          <w:p w:rsidR="00B379FB" w:rsidRDefault="00B379FB" w:rsidP="002D72FB">
            <w:pPr>
              <w:jc w:val="center"/>
              <w:rPr>
                <w:color w:val="000000"/>
                <w:sz w:val="22"/>
              </w:rPr>
            </w:pPr>
            <w:r>
              <w:rPr>
                <w:color w:val="000000"/>
                <w:sz w:val="22"/>
              </w:rPr>
              <w:t>-1.8%</w:t>
            </w:r>
          </w:p>
        </w:tc>
      </w:tr>
      <w:tr w:rsidR="00B379FB" w:rsidRPr="00944261" w:rsidTr="002D72FB">
        <w:trPr>
          <w:trHeight w:val="576"/>
        </w:trPr>
        <w:tc>
          <w:tcPr>
            <w:tcW w:w="0" w:type="auto"/>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r w:rsidRPr="00944261">
              <w:rPr>
                <w:rFonts w:eastAsia="Times New Roman" w:cs="Times New Roman"/>
                <w:b/>
                <w:bCs/>
                <w:color w:val="000000"/>
                <w:sz w:val="22"/>
              </w:rPr>
              <w:t>SG Lib Amicus Brief</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0.335 (.138)**</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1.399</w:t>
            </w:r>
          </w:p>
        </w:tc>
        <w:tc>
          <w:tcPr>
            <w:tcW w:w="1700" w:type="dxa"/>
            <w:vAlign w:val="center"/>
          </w:tcPr>
          <w:p w:rsidR="00B379FB" w:rsidRDefault="00B379FB" w:rsidP="002D72FB">
            <w:pPr>
              <w:jc w:val="center"/>
              <w:rPr>
                <w:color w:val="000000"/>
                <w:sz w:val="22"/>
              </w:rPr>
            </w:pPr>
            <w:r>
              <w:rPr>
                <w:color w:val="000000"/>
                <w:sz w:val="22"/>
              </w:rPr>
              <w:t>6.7%</w:t>
            </w:r>
          </w:p>
        </w:tc>
      </w:tr>
      <w:tr w:rsidR="00B379FB" w:rsidRPr="00944261" w:rsidTr="002D72FB">
        <w:trPr>
          <w:trHeight w:val="576"/>
        </w:trPr>
        <w:tc>
          <w:tcPr>
            <w:tcW w:w="0" w:type="auto"/>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r w:rsidRPr="00944261">
              <w:rPr>
                <w:rFonts w:eastAsia="Times New Roman" w:cs="Times New Roman"/>
                <w:b/>
                <w:bCs/>
                <w:color w:val="000000"/>
                <w:sz w:val="22"/>
              </w:rPr>
              <w:t>SG Con Amicus Brief</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-1.017 (.164)***</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0.362</w:t>
            </w:r>
          </w:p>
        </w:tc>
        <w:tc>
          <w:tcPr>
            <w:tcW w:w="1700" w:type="dxa"/>
            <w:vAlign w:val="center"/>
          </w:tcPr>
          <w:p w:rsidR="00B379FB" w:rsidRDefault="00B379FB" w:rsidP="002D72FB">
            <w:pPr>
              <w:jc w:val="center"/>
              <w:rPr>
                <w:color w:val="000000"/>
                <w:sz w:val="22"/>
              </w:rPr>
            </w:pPr>
            <w:r>
              <w:rPr>
                <w:color w:val="000000"/>
                <w:sz w:val="22"/>
              </w:rPr>
              <w:t>-13.9%</w:t>
            </w:r>
          </w:p>
        </w:tc>
      </w:tr>
      <w:tr w:rsidR="00B379FB" w:rsidRPr="00944261" w:rsidTr="002D72FB">
        <w:trPr>
          <w:trHeight w:val="576"/>
        </w:trPr>
        <w:tc>
          <w:tcPr>
            <w:tcW w:w="0" w:type="auto"/>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r w:rsidRPr="00944261">
              <w:rPr>
                <w:rFonts w:eastAsia="Times New Roman" w:cs="Times New Roman"/>
                <w:b/>
                <w:bCs/>
                <w:color w:val="000000"/>
                <w:sz w:val="22"/>
              </w:rPr>
              <w:t>Prestigious Amicus Difference</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0.045 (.046)</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1.046</w:t>
            </w:r>
          </w:p>
        </w:tc>
        <w:tc>
          <w:tcPr>
            <w:tcW w:w="1700" w:type="dxa"/>
            <w:vAlign w:val="center"/>
          </w:tcPr>
          <w:p w:rsidR="00B379FB" w:rsidRDefault="00B379FB" w:rsidP="002D72FB">
            <w:pPr>
              <w:jc w:val="center"/>
              <w:rPr>
                <w:color w:val="000000"/>
                <w:sz w:val="22"/>
              </w:rPr>
            </w:pPr>
            <w:r>
              <w:rPr>
                <w:color w:val="000000"/>
                <w:sz w:val="22"/>
              </w:rPr>
              <w:t>1.1%</w:t>
            </w:r>
          </w:p>
        </w:tc>
      </w:tr>
      <w:tr w:rsidR="00B379FB" w:rsidRPr="00944261" w:rsidTr="002D72FB">
        <w:trPr>
          <w:trHeight w:val="576"/>
        </w:trPr>
        <w:tc>
          <w:tcPr>
            <w:tcW w:w="0" w:type="auto"/>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r w:rsidRPr="00944261">
              <w:rPr>
                <w:rFonts w:eastAsia="Times New Roman" w:cs="Times New Roman"/>
                <w:b/>
                <w:bCs/>
                <w:color w:val="000000"/>
                <w:sz w:val="22"/>
              </w:rPr>
              <w:t>Lower Court Direction</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-1.159 (.110)***</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0.314</w:t>
            </w:r>
          </w:p>
        </w:tc>
        <w:tc>
          <w:tcPr>
            <w:tcW w:w="1700" w:type="dxa"/>
            <w:vAlign w:val="center"/>
          </w:tcPr>
          <w:p w:rsidR="00B379FB" w:rsidRDefault="00B379FB" w:rsidP="002D72FB">
            <w:pPr>
              <w:jc w:val="center"/>
              <w:rPr>
                <w:color w:val="000000"/>
                <w:sz w:val="22"/>
              </w:rPr>
            </w:pPr>
            <w:r>
              <w:rPr>
                <w:color w:val="000000"/>
                <w:sz w:val="22"/>
              </w:rPr>
              <w:t>-26.2%</w:t>
            </w:r>
          </w:p>
        </w:tc>
      </w:tr>
      <w:tr w:rsidR="00B379FB" w:rsidRPr="00944261" w:rsidTr="002D72FB">
        <w:trPr>
          <w:trHeight w:val="576"/>
        </w:trPr>
        <w:tc>
          <w:tcPr>
            <w:tcW w:w="0" w:type="auto"/>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r w:rsidRPr="00944261">
              <w:rPr>
                <w:rFonts w:eastAsia="Times New Roman" w:cs="Times New Roman"/>
                <w:b/>
                <w:bCs/>
                <w:color w:val="000000"/>
                <w:sz w:val="22"/>
              </w:rPr>
              <w:t>Resource Difference</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0.084 (.012)***</w:t>
            </w:r>
          </w:p>
        </w:tc>
        <w:tc>
          <w:tcPr>
            <w:tcW w:w="0" w:type="auto"/>
            <w:shd w:val="clear" w:color="auto" w:fill="auto"/>
            <w:noWrap/>
            <w:vAlign w:val="center"/>
            <w:hideMark/>
          </w:tcPr>
          <w:p w:rsidR="00B379FB" w:rsidRDefault="00B379FB" w:rsidP="002D72FB">
            <w:pPr>
              <w:jc w:val="center"/>
              <w:rPr>
                <w:color w:val="000000"/>
                <w:sz w:val="22"/>
              </w:rPr>
            </w:pPr>
            <w:r>
              <w:rPr>
                <w:color w:val="000000"/>
                <w:sz w:val="22"/>
              </w:rPr>
              <w:t>1.088</w:t>
            </w:r>
          </w:p>
        </w:tc>
        <w:tc>
          <w:tcPr>
            <w:tcW w:w="1700" w:type="dxa"/>
            <w:vAlign w:val="center"/>
          </w:tcPr>
          <w:p w:rsidR="00B379FB" w:rsidRDefault="00B379FB" w:rsidP="002D72FB">
            <w:pPr>
              <w:jc w:val="center"/>
              <w:rPr>
                <w:color w:val="000000"/>
                <w:sz w:val="22"/>
              </w:rPr>
            </w:pPr>
            <w:r>
              <w:rPr>
                <w:color w:val="000000"/>
                <w:sz w:val="22"/>
              </w:rPr>
              <w:t>7.4%</w:t>
            </w:r>
          </w:p>
        </w:tc>
      </w:tr>
      <w:tr w:rsidR="00B379FB" w:rsidRPr="00944261" w:rsidTr="002D72FB">
        <w:trPr>
          <w:trHeight w:val="576"/>
        </w:trPr>
        <w:tc>
          <w:tcPr>
            <w:tcW w:w="0" w:type="auto"/>
            <w:tcBorders>
              <w:bottom w:val="single" w:sz="18" w:space="0" w:color="auto"/>
            </w:tcBorders>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r w:rsidRPr="00944261">
              <w:rPr>
                <w:rFonts w:eastAsia="Times New Roman" w:cs="Times New Roman"/>
                <w:b/>
                <w:bCs/>
                <w:color w:val="000000"/>
                <w:sz w:val="22"/>
              </w:rPr>
              <w:t>Constant</w:t>
            </w:r>
          </w:p>
        </w:tc>
        <w:tc>
          <w:tcPr>
            <w:tcW w:w="0" w:type="auto"/>
            <w:tcBorders>
              <w:bottom w:val="single" w:sz="18" w:space="0" w:color="auto"/>
            </w:tcBorders>
            <w:shd w:val="clear" w:color="auto" w:fill="auto"/>
            <w:noWrap/>
            <w:vAlign w:val="center"/>
            <w:hideMark/>
          </w:tcPr>
          <w:p w:rsidR="00B379FB" w:rsidRDefault="00B379FB" w:rsidP="002D72FB">
            <w:pPr>
              <w:jc w:val="center"/>
              <w:rPr>
                <w:color w:val="000000"/>
                <w:sz w:val="22"/>
              </w:rPr>
            </w:pPr>
            <w:r>
              <w:rPr>
                <w:color w:val="000000"/>
                <w:sz w:val="22"/>
              </w:rPr>
              <w:t>0.288**</w:t>
            </w:r>
          </w:p>
        </w:tc>
        <w:tc>
          <w:tcPr>
            <w:tcW w:w="0" w:type="auto"/>
            <w:tcBorders>
              <w:bottom w:val="single" w:sz="18" w:space="0" w:color="auto"/>
            </w:tcBorders>
            <w:shd w:val="clear" w:color="auto" w:fill="auto"/>
            <w:noWrap/>
            <w:vAlign w:val="center"/>
            <w:hideMark/>
          </w:tcPr>
          <w:p w:rsidR="00B379FB" w:rsidRDefault="00B379FB" w:rsidP="002D72FB">
            <w:pPr>
              <w:jc w:val="center"/>
              <w:rPr>
                <w:color w:val="000000"/>
                <w:sz w:val="22"/>
              </w:rPr>
            </w:pPr>
          </w:p>
        </w:tc>
        <w:tc>
          <w:tcPr>
            <w:tcW w:w="1700" w:type="dxa"/>
            <w:tcBorders>
              <w:bottom w:val="single" w:sz="18" w:space="0" w:color="auto"/>
            </w:tcBorders>
            <w:vAlign w:val="center"/>
          </w:tcPr>
          <w:p w:rsidR="00B379FB" w:rsidRDefault="00B379FB" w:rsidP="002D72FB">
            <w:pPr>
              <w:jc w:val="center"/>
              <w:rPr>
                <w:color w:val="000000"/>
                <w:sz w:val="22"/>
              </w:rPr>
            </w:pPr>
          </w:p>
        </w:tc>
      </w:tr>
      <w:tr w:rsidR="00B379FB" w:rsidRPr="00944261" w:rsidTr="002D72FB">
        <w:trPr>
          <w:trHeight w:val="576"/>
        </w:trPr>
        <w:tc>
          <w:tcPr>
            <w:tcW w:w="0" w:type="auto"/>
            <w:tcBorders>
              <w:top w:val="single" w:sz="18" w:space="0" w:color="auto"/>
              <w:bottom w:val="nil"/>
            </w:tcBorders>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r w:rsidRPr="00944261">
              <w:rPr>
                <w:rFonts w:eastAsia="Times New Roman" w:cs="Times New Roman"/>
                <w:b/>
                <w:bCs/>
                <w:color w:val="000000"/>
                <w:sz w:val="22"/>
              </w:rPr>
              <w:t>N</w:t>
            </w:r>
          </w:p>
        </w:tc>
        <w:tc>
          <w:tcPr>
            <w:tcW w:w="0" w:type="auto"/>
            <w:tcBorders>
              <w:top w:val="single" w:sz="18" w:space="0" w:color="auto"/>
              <w:bottom w:val="nil"/>
            </w:tcBorders>
            <w:shd w:val="clear" w:color="auto" w:fill="auto"/>
            <w:noWrap/>
            <w:vAlign w:val="center"/>
            <w:hideMark/>
          </w:tcPr>
          <w:p w:rsidR="00B379FB" w:rsidRPr="00831FAD" w:rsidRDefault="00B379FB" w:rsidP="002D72FB">
            <w:pPr>
              <w:ind w:left="0" w:firstLine="0"/>
              <w:jc w:val="center"/>
              <w:rPr>
                <w:rFonts w:eastAsia="Times New Roman" w:cs="Times New Roman"/>
                <w:sz w:val="22"/>
              </w:rPr>
            </w:pPr>
            <w:r>
              <w:rPr>
                <w:rFonts w:eastAsia="Times New Roman" w:cs="Times New Roman"/>
                <w:sz w:val="22"/>
              </w:rPr>
              <w:t>1836</w:t>
            </w:r>
          </w:p>
        </w:tc>
        <w:tc>
          <w:tcPr>
            <w:tcW w:w="0" w:type="auto"/>
            <w:tcBorders>
              <w:top w:val="single" w:sz="18" w:space="0" w:color="auto"/>
              <w:bottom w:val="nil"/>
            </w:tcBorders>
            <w:shd w:val="clear" w:color="auto" w:fill="auto"/>
            <w:noWrap/>
            <w:vAlign w:val="center"/>
            <w:hideMark/>
          </w:tcPr>
          <w:p w:rsidR="00B379FB" w:rsidRPr="007C7497" w:rsidRDefault="00B379FB" w:rsidP="002D72FB">
            <w:pPr>
              <w:ind w:left="0" w:firstLine="0"/>
              <w:jc w:val="center"/>
              <w:rPr>
                <w:rFonts w:eastAsia="Times New Roman" w:cs="Times New Roman"/>
                <w:color w:val="FF0000"/>
                <w:sz w:val="22"/>
              </w:rPr>
            </w:pPr>
          </w:p>
        </w:tc>
        <w:tc>
          <w:tcPr>
            <w:tcW w:w="1700" w:type="dxa"/>
            <w:tcBorders>
              <w:top w:val="single" w:sz="18" w:space="0" w:color="auto"/>
              <w:bottom w:val="nil"/>
            </w:tcBorders>
          </w:tcPr>
          <w:p w:rsidR="00B379FB" w:rsidRPr="007C7497" w:rsidRDefault="00B379FB" w:rsidP="002D72FB">
            <w:pPr>
              <w:ind w:left="0" w:firstLine="0"/>
              <w:jc w:val="center"/>
              <w:rPr>
                <w:rFonts w:eastAsia="Times New Roman" w:cs="Times New Roman"/>
                <w:color w:val="FF0000"/>
                <w:sz w:val="22"/>
              </w:rPr>
            </w:pPr>
          </w:p>
        </w:tc>
      </w:tr>
      <w:tr w:rsidR="00B379FB" w:rsidRPr="00944261" w:rsidTr="002D72FB">
        <w:trPr>
          <w:trHeight w:val="576"/>
        </w:trPr>
        <w:tc>
          <w:tcPr>
            <w:tcW w:w="0" w:type="auto"/>
            <w:tcBorders>
              <w:top w:val="nil"/>
              <w:bottom w:val="nil"/>
            </w:tcBorders>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proofErr w:type="spellStart"/>
            <w:r w:rsidRPr="00944261">
              <w:rPr>
                <w:rFonts w:eastAsia="Times New Roman" w:cs="Times New Roman"/>
                <w:b/>
                <w:bCs/>
                <w:color w:val="000000"/>
                <w:sz w:val="22"/>
              </w:rPr>
              <w:t>Prob</w:t>
            </w:r>
            <w:proofErr w:type="spellEnd"/>
            <w:r w:rsidRPr="00944261">
              <w:rPr>
                <w:rFonts w:eastAsia="Times New Roman" w:cs="Times New Roman"/>
                <w:b/>
                <w:bCs/>
                <w:color w:val="000000"/>
                <w:sz w:val="22"/>
              </w:rPr>
              <w:t xml:space="preserve"> &gt; chi2</w:t>
            </w:r>
          </w:p>
        </w:tc>
        <w:tc>
          <w:tcPr>
            <w:tcW w:w="0" w:type="auto"/>
            <w:tcBorders>
              <w:top w:val="nil"/>
              <w:bottom w:val="nil"/>
            </w:tcBorders>
            <w:shd w:val="clear" w:color="auto" w:fill="auto"/>
            <w:noWrap/>
            <w:vAlign w:val="center"/>
            <w:hideMark/>
          </w:tcPr>
          <w:p w:rsidR="00B379FB" w:rsidRPr="00831FAD" w:rsidRDefault="00B379FB" w:rsidP="002D72FB">
            <w:pPr>
              <w:ind w:left="0" w:firstLine="0"/>
              <w:jc w:val="center"/>
              <w:rPr>
                <w:rFonts w:eastAsia="Times New Roman" w:cs="Times New Roman"/>
                <w:sz w:val="22"/>
              </w:rPr>
            </w:pPr>
            <w:r>
              <w:rPr>
                <w:rFonts w:eastAsia="Times New Roman" w:cs="Times New Roman"/>
                <w:sz w:val="22"/>
              </w:rPr>
              <w:t>0</w:t>
            </w:r>
          </w:p>
        </w:tc>
        <w:tc>
          <w:tcPr>
            <w:tcW w:w="0" w:type="auto"/>
            <w:tcBorders>
              <w:top w:val="nil"/>
              <w:bottom w:val="nil"/>
            </w:tcBorders>
            <w:shd w:val="clear" w:color="auto" w:fill="auto"/>
            <w:noWrap/>
            <w:vAlign w:val="center"/>
            <w:hideMark/>
          </w:tcPr>
          <w:p w:rsidR="00B379FB" w:rsidRPr="007C7497" w:rsidRDefault="00B379FB" w:rsidP="002D72FB">
            <w:pPr>
              <w:ind w:left="0" w:firstLine="0"/>
              <w:jc w:val="center"/>
              <w:rPr>
                <w:rFonts w:eastAsia="Times New Roman" w:cs="Times New Roman"/>
                <w:color w:val="FF0000"/>
                <w:sz w:val="22"/>
              </w:rPr>
            </w:pPr>
          </w:p>
        </w:tc>
        <w:tc>
          <w:tcPr>
            <w:tcW w:w="1700" w:type="dxa"/>
            <w:tcBorders>
              <w:top w:val="nil"/>
              <w:bottom w:val="nil"/>
            </w:tcBorders>
          </w:tcPr>
          <w:p w:rsidR="00B379FB" w:rsidRPr="007C7497" w:rsidRDefault="00B379FB" w:rsidP="002D72FB">
            <w:pPr>
              <w:ind w:left="0" w:firstLine="0"/>
              <w:jc w:val="center"/>
              <w:rPr>
                <w:rFonts w:eastAsia="Times New Roman" w:cs="Times New Roman"/>
                <w:color w:val="FF0000"/>
                <w:sz w:val="22"/>
              </w:rPr>
            </w:pPr>
          </w:p>
        </w:tc>
      </w:tr>
      <w:tr w:rsidR="00B379FB" w:rsidRPr="00944261" w:rsidTr="002D72FB">
        <w:trPr>
          <w:trHeight w:val="576"/>
        </w:trPr>
        <w:tc>
          <w:tcPr>
            <w:tcW w:w="0" w:type="auto"/>
            <w:tcBorders>
              <w:top w:val="nil"/>
              <w:bottom w:val="nil"/>
            </w:tcBorders>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r w:rsidRPr="00944261">
              <w:rPr>
                <w:rFonts w:eastAsia="Times New Roman" w:cs="Times New Roman"/>
                <w:b/>
                <w:bCs/>
                <w:color w:val="000000"/>
                <w:sz w:val="22"/>
              </w:rPr>
              <w:t>Percent Correctly Predicted</w:t>
            </w:r>
          </w:p>
        </w:tc>
        <w:tc>
          <w:tcPr>
            <w:tcW w:w="0" w:type="auto"/>
            <w:tcBorders>
              <w:top w:val="nil"/>
              <w:bottom w:val="nil"/>
            </w:tcBorders>
            <w:shd w:val="clear" w:color="auto" w:fill="auto"/>
            <w:noWrap/>
            <w:vAlign w:val="center"/>
            <w:hideMark/>
          </w:tcPr>
          <w:p w:rsidR="00B379FB" w:rsidRPr="0064297A" w:rsidRDefault="00B379FB" w:rsidP="002D72FB">
            <w:pPr>
              <w:ind w:left="0" w:firstLine="0"/>
              <w:jc w:val="center"/>
              <w:rPr>
                <w:rFonts w:eastAsia="Times New Roman" w:cs="Times New Roman"/>
                <w:sz w:val="22"/>
              </w:rPr>
            </w:pPr>
            <w:r>
              <w:rPr>
                <w:rFonts w:eastAsia="Times New Roman" w:cs="Times New Roman"/>
                <w:sz w:val="22"/>
              </w:rPr>
              <w:t>68.30</w:t>
            </w:r>
          </w:p>
        </w:tc>
        <w:tc>
          <w:tcPr>
            <w:tcW w:w="0" w:type="auto"/>
            <w:tcBorders>
              <w:top w:val="nil"/>
              <w:bottom w:val="nil"/>
            </w:tcBorders>
            <w:shd w:val="clear" w:color="auto" w:fill="auto"/>
            <w:noWrap/>
            <w:vAlign w:val="center"/>
            <w:hideMark/>
          </w:tcPr>
          <w:p w:rsidR="00B379FB" w:rsidRPr="007C7497" w:rsidRDefault="00B379FB" w:rsidP="002D72FB">
            <w:pPr>
              <w:ind w:left="0" w:firstLine="0"/>
              <w:jc w:val="center"/>
              <w:rPr>
                <w:rFonts w:eastAsia="Times New Roman" w:cs="Times New Roman"/>
                <w:color w:val="FF0000"/>
                <w:sz w:val="22"/>
              </w:rPr>
            </w:pPr>
          </w:p>
        </w:tc>
        <w:tc>
          <w:tcPr>
            <w:tcW w:w="1700" w:type="dxa"/>
            <w:tcBorders>
              <w:top w:val="nil"/>
              <w:bottom w:val="nil"/>
            </w:tcBorders>
          </w:tcPr>
          <w:p w:rsidR="00B379FB" w:rsidRPr="007C7497" w:rsidRDefault="00B379FB" w:rsidP="002D72FB">
            <w:pPr>
              <w:ind w:left="0" w:firstLine="0"/>
              <w:jc w:val="center"/>
              <w:rPr>
                <w:rFonts w:eastAsia="Times New Roman" w:cs="Times New Roman"/>
                <w:color w:val="FF0000"/>
                <w:sz w:val="22"/>
              </w:rPr>
            </w:pPr>
          </w:p>
        </w:tc>
      </w:tr>
      <w:tr w:rsidR="00B379FB" w:rsidRPr="00944261" w:rsidTr="002D72FB">
        <w:trPr>
          <w:trHeight w:val="576"/>
        </w:trPr>
        <w:tc>
          <w:tcPr>
            <w:tcW w:w="0" w:type="auto"/>
            <w:tcBorders>
              <w:top w:val="nil"/>
              <w:bottom w:val="single" w:sz="18" w:space="0" w:color="auto"/>
            </w:tcBorders>
            <w:shd w:val="clear" w:color="auto" w:fill="auto"/>
            <w:noWrap/>
            <w:vAlign w:val="center"/>
            <w:hideMark/>
          </w:tcPr>
          <w:p w:rsidR="00B379FB" w:rsidRPr="00944261" w:rsidRDefault="00B379FB" w:rsidP="002D72FB">
            <w:pPr>
              <w:ind w:left="0" w:firstLine="0"/>
              <w:rPr>
                <w:rFonts w:eastAsia="Times New Roman" w:cs="Times New Roman"/>
                <w:b/>
                <w:bCs/>
                <w:color w:val="000000"/>
                <w:sz w:val="22"/>
              </w:rPr>
            </w:pPr>
            <w:r w:rsidRPr="00944261">
              <w:rPr>
                <w:rFonts w:eastAsia="Times New Roman" w:cs="Times New Roman"/>
                <w:b/>
                <w:bCs/>
                <w:color w:val="000000"/>
                <w:sz w:val="22"/>
              </w:rPr>
              <w:t>Percent Reduction in Error</w:t>
            </w:r>
          </w:p>
        </w:tc>
        <w:tc>
          <w:tcPr>
            <w:tcW w:w="0" w:type="auto"/>
            <w:tcBorders>
              <w:top w:val="nil"/>
              <w:bottom w:val="single" w:sz="18" w:space="0" w:color="auto"/>
            </w:tcBorders>
            <w:shd w:val="clear" w:color="auto" w:fill="auto"/>
            <w:noWrap/>
            <w:vAlign w:val="center"/>
            <w:hideMark/>
          </w:tcPr>
          <w:p w:rsidR="00B379FB" w:rsidRPr="0064297A" w:rsidRDefault="00B379FB" w:rsidP="002D72FB">
            <w:pPr>
              <w:ind w:left="0" w:firstLine="0"/>
              <w:jc w:val="center"/>
              <w:rPr>
                <w:rFonts w:eastAsia="Times New Roman" w:cs="Times New Roman"/>
                <w:sz w:val="22"/>
              </w:rPr>
            </w:pPr>
            <w:r>
              <w:rPr>
                <w:rFonts w:eastAsia="Times New Roman" w:cs="Times New Roman"/>
                <w:sz w:val="22"/>
              </w:rPr>
              <w:t>12.55</w:t>
            </w:r>
          </w:p>
        </w:tc>
        <w:tc>
          <w:tcPr>
            <w:tcW w:w="0" w:type="auto"/>
            <w:tcBorders>
              <w:top w:val="nil"/>
              <w:bottom w:val="single" w:sz="18" w:space="0" w:color="auto"/>
            </w:tcBorders>
            <w:shd w:val="clear" w:color="auto" w:fill="auto"/>
            <w:noWrap/>
            <w:vAlign w:val="center"/>
            <w:hideMark/>
          </w:tcPr>
          <w:p w:rsidR="00B379FB" w:rsidRPr="007C7497" w:rsidRDefault="00B379FB" w:rsidP="002D72FB">
            <w:pPr>
              <w:ind w:left="0" w:firstLine="0"/>
              <w:jc w:val="center"/>
              <w:rPr>
                <w:rFonts w:eastAsia="Times New Roman" w:cs="Times New Roman"/>
                <w:color w:val="FF0000"/>
                <w:sz w:val="22"/>
              </w:rPr>
            </w:pPr>
          </w:p>
        </w:tc>
        <w:tc>
          <w:tcPr>
            <w:tcW w:w="1700" w:type="dxa"/>
            <w:tcBorders>
              <w:top w:val="nil"/>
              <w:bottom w:val="single" w:sz="18" w:space="0" w:color="auto"/>
            </w:tcBorders>
          </w:tcPr>
          <w:p w:rsidR="00B379FB" w:rsidRPr="007C7497" w:rsidRDefault="00B379FB" w:rsidP="002D72FB">
            <w:pPr>
              <w:ind w:left="0" w:firstLine="0"/>
              <w:jc w:val="center"/>
              <w:rPr>
                <w:rFonts w:eastAsia="Times New Roman" w:cs="Times New Roman"/>
                <w:color w:val="FF0000"/>
                <w:sz w:val="22"/>
              </w:rPr>
            </w:pPr>
          </w:p>
        </w:tc>
      </w:tr>
    </w:tbl>
    <w:p w:rsidR="00B379FB" w:rsidRPr="009E62D9" w:rsidRDefault="00B379FB" w:rsidP="00B379FB">
      <w:pPr>
        <w:autoSpaceDE w:val="0"/>
        <w:autoSpaceDN w:val="0"/>
        <w:adjustRightInd w:val="0"/>
        <w:ind w:left="90" w:firstLine="0"/>
        <w:rPr>
          <w:sz w:val="22"/>
        </w:rPr>
      </w:pPr>
      <w:r w:rsidRPr="009E62D9">
        <w:rPr>
          <w:sz w:val="22"/>
        </w:rPr>
        <w:t>Dependent variable indicates the ideological direction of the individual justices’ vote (1 = libe</w:t>
      </w:r>
      <w:r>
        <w:rPr>
          <w:sz w:val="22"/>
        </w:rPr>
        <w:t xml:space="preserve">ral, 0 = conservative).  Numbers in parentheses indicated standard errors.  </w:t>
      </w:r>
      <w:proofErr w:type="gramStart"/>
      <w:r>
        <w:rPr>
          <w:sz w:val="22"/>
        </w:rPr>
        <w:t>*p&lt;.05, **p&lt;.01, ***p&lt;.001</w:t>
      </w:r>
      <w:r w:rsidRPr="009E62D9">
        <w:rPr>
          <w:sz w:val="22"/>
        </w:rPr>
        <w:t xml:space="preserve"> (one-tailed).</w:t>
      </w:r>
      <w:proofErr w:type="gramEnd"/>
    </w:p>
    <w:p w:rsidR="00B379FB" w:rsidRDefault="00B379FB" w:rsidP="00B379FB">
      <w:pPr>
        <w:spacing w:line="480" w:lineRule="auto"/>
        <w:ind w:left="0" w:firstLine="0"/>
        <w:rPr>
          <w:rFonts w:cs="Times New Roman"/>
          <w:szCs w:val="24"/>
        </w:rPr>
      </w:pPr>
    </w:p>
    <w:p w:rsidR="00B379FB" w:rsidRDefault="00B379FB" w:rsidP="00B379FB">
      <w:pPr>
        <w:spacing w:line="480" w:lineRule="auto"/>
        <w:ind w:left="0" w:firstLine="0"/>
        <w:rPr>
          <w:rFonts w:cs="Times New Roman"/>
          <w:szCs w:val="24"/>
        </w:rPr>
      </w:pPr>
    </w:p>
    <w:p w:rsidR="007203D8" w:rsidRDefault="00B379FB" w:rsidP="00E71D36">
      <w:pPr>
        <w:spacing w:line="480" w:lineRule="auto"/>
        <w:ind w:left="0" w:firstLine="0"/>
        <w:rPr>
          <w:rFonts w:cs="Times New Roman"/>
          <w:szCs w:val="24"/>
        </w:rPr>
      </w:pPr>
      <w:proofErr w:type="gramStart"/>
      <w:r>
        <w:rPr>
          <w:rFonts w:cs="Times New Roman"/>
          <w:szCs w:val="24"/>
        </w:rPr>
        <w:t>neither</w:t>
      </w:r>
      <w:proofErr w:type="gramEnd"/>
      <w:r>
        <w:rPr>
          <w:rFonts w:cs="Times New Roman"/>
          <w:szCs w:val="24"/>
        </w:rPr>
        <w:t xml:space="preserve"> liberal nor conservatives justices are significantly influenced by an ideological advantage of prestigious amici, when considering all cases as a whole.  Fourth, liberal justices are impacted by the persuasion attempts of the liberal SG amicus (23.9 percent marginal effect), and to a slightly lesser degree, the persuasion attempts of the conservative SG amicus (15.3 percent </w:t>
      </w:r>
      <w:r>
        <w:rPr>
          <w:rFonts w:cs="Times New Roman"/>
          <w:szCs w:val="24"/>
        </w:rPr>
        <w:lastRenderedPageBreak/>
        <w:t xml:space="preserve">marginal effect).  Similarly, conservative justices are impacted by the persuasion attempts of the conservative SG amicus (13.9 percent marginal effect), and to a lesser extent, the persuasion attempts of the liberal SG amicus (6.7 percent marginal effect).   In sum, it appears to be the case that conservative and liberal justices are more alike than they are different when it comes to amicus impact.  Both conservatives and liberals respond to amicus brief persuasion attempts, both respond to the persuasion attempts of the SG as </w:t>
      </w:r>
      <w:proofErr w:type="gramStart"/>
      <w:r>
        <w:rPr>
          <w:rFonts w:cs="Times New Roman"/>
          <w:szCs w:val="24"/>
        </w:rPr>
        <w:t>amicus,</w:t>
      </w:r>
      <w:proofErr w:type="gramEnd"/>
      <w:r>
        <w:rPr>
          <w:rFonts w:cs="Times New Roman"/>
          <w:szCs w:val="24"/>
        </w:rPr>
        <w:t xml:space="preserve"> and both groups are not significantly impacted by the presence of prestigious amici nor a numerical advantage of amici.</w:t>
      </w:r>
    </w:p>
    <w:p w:rsidR="00CB16AE" w:rsidRDefault="00CB16AE" w:rsidP="00CB16AE">
      <w:pPr>
        <w:spacing w:line="480" w:lineRule="auto"/>
        <w:ind w:left="0" w:firstLine="720"/>
        <w:rPr>
          <w:rFonts w:cs="Times New Roman"/>
          <w:szCs w:val="24"/>
        </w:rPr>
      </w:pPr>
      <w:r>
        <w:rPr>
          <w:rFonts w:cs="Times New Roman"/>
          <w:szCs w:val="24"/>
        </w:rPr>
        <w:t>I think that seven basic conclusions can be drawn from the presentation and interpret</w:t>
      </w:r>
      <w:r w:rsidR="000B3A6F">
        <w:rPr>
          <w:rFonts w:cs="Times New Roman"/>
          <w:szCs w:val="24"/>
        </w:rPr>
        <w:t xml:space="preserve">ation of the foregoing </w:t>
      </w:r>
      <w:proofErr w:type="spellStart"/>
      <w:r>
        <w:rPr>
          <w:rFonts w:cs="Times New Roman"/>
          <w:szCs w:val="24"/>
        </w:rPr>
        <w:t>logit</w:t>
      </w:r>
      <w:proofErr w:type="spellEnd"/>
      <w:r>
        <w:rPr>
          <w:rFonts w:cs="Times New Roman"/>
          <w:szCs w:val="24"/>
        </w:rPr>
        <w:t xml:space="preserve"> models</w:t>
      </w:r>
      <w:r w:rsidR="000B3A6F">
        <w:rPr>
          <w:rFonts w:cs="Times New Roman"/>
          <w:szCs w:val="24"/>
        </w:rPr>
        <w:t>, graphs, and predicted probabilities tables</w:t>
      </w:r>
      <w:r>
        <w:rPr>
          <w:rFonts w:cs="Times New Roman"/>
          <w:szCs w:val="24"/>
        </w:rPr>
        <w:t xml:space="preserve">.  First, an ideological advantage of amicus briefs influences how the justices vote on the Roberts Court when considering all cases, criminal procedure cases, </w:t>
      </w:r>
      <w:r w:rsidR="000B3A6F">
        <w:rPr>
          <w:rFonts w:cs="Times New Roman"/>
          <w:szCs w:val="24"/>
        </w:rPr>
        <w:t xml:space="preserve">and salient cases.  While </w:t>
      </w:r>
      <w:r>
        <w:rPr>
          <w:rFonts w:cs="Times New Roman"/>
          <w:szCs w:val="24"/>
        </w:rPr>
        <w:t>the marginal effects</w:t>
      </w:r>
      <w:r w:rsidR="000B3A6F">
        <w:rPr>
          <w:rFonts w:cs="Times New Roman"/>
          <w:szCs w:val="24"/>
        </w:rPr>
        <w:t xml:space="preserve"> and impact</w:t>
      </w:r>
      <w:r>
        <w:rPr>
          <w:rFonts w:cs="Times New Roman"/>
          <w:szCs w:val="24"/>
        </w:rPr>
        <w:t xml:space="preserve"> of am</w:t>
      </w:r>
      <w:r w:rsidR="000B3A6F">
        <w:rPr>
          <w:rFonts w:cs="Times New Roman"/>
          <w:szCs w:val="24"/>
        </w:rPr>
        <w:t>icus brief advantage is</w:t>
      </w:r>
      <w:r>
        <w:rPr>
          <w:rFonts w:cs="Times New Roman"/>
          <w:szCs w:val="24"/>
        </w:rPr>
        <w:t xml:space="preserve"> relatively small</w:t>
      </w:r>
      <w:r w:rsidR="000B3A6F">
        <w:rPr>
          <w:rFonts w:cs="Times New Roman"/>
          <w:szCs w:val="24"/>
        </w:rPr>
        <w:t xml:space="preserve"> when the briefs are more closely numerically balanced in a case</w:t>
      </w:r>
      <w:r>
        <w:rPr>
          <w:rFonts w:cs="Times New Roman"/>
          <w:szCs w:val="24"/>
        </w:rPr>
        <w:t>, they are statistically significant and in the expected direction.</w:t>
      </w:r>
      <w:r w:rsidR="000B3A6F">
        <w:rPr>
          <w:rFonts w:cs="Times New Roman"/>
          <w:szCs w:val="24"/>
        </w:rPr>
        <w:t xml:space="preserve">   This effect only increases in magnitude as the amicus disparity increases in a case. </w:t>
      </w:r>
      <w:r>
        <w:rPr>
          <w:rFonts w:cs="Times New Roman"/>
          <w:szCs w:val="24"/>
        </w:rPr>
        <w:t xml:space="preserve">  </w:t>
      </w:r>
    </w:p>
    <w:p w:rsidR="00CB16AE" w:rsidRDefault="00CB16AE" w:rsidP="00CB16AE">
      <w:pPr>
        <w:spacing w:line="480" w:lineRule="auto"/>
        <w:ind w:left="0" w:firstLine="720"/>
        <w:rPr>
          <w:rFonts w:cs="Times New Roman"/>
          <w:szCs w:val="24"/>
        </w:rPr>
      </w:pPr>
      <w:r>
        <w:rPr>
          <w:rFonts w:cs="Times New Roman"/>
          <w:szCs w:val="24"/>
        </w:rPr>
        <w:t xml:space="preserve">Second, the influence of amici depends on the case context.  An advantage of amicus briefs was shown to matter in all cases, in criminal procedure cases, and in salient cases, but not in civil rights and liberties cases, economics cases, or judicial power and federalism cases. Amicus cosigner advantage was shown not to matter in any set of cases except those involving civil rights and liberties. Prestigious amici advantage was shown to matter in all sets of cases except those involving criminal procedure.  </w:t>
      </w:r>
    </w:p>
    <w:p w:rsidR="00CB16AE" w:rsidRDefault="00CB16AE" w:rsidP="00CB16AE">
      <w:pPr>
        <w:spacing w:line="480" w:lineRule="auto"/>
        <w:ind w:left="0" w:firstLine="720"/>
        <w:rPr>
          <w:rFonts w:cs="Times New Roman"/>
          <w:szCs w:val="24"/>
        </w:rPr>
      </w:pPr>
      <w:r>
        <w:rPr>
          <w:rFonts w:cs="Times New Roman"/>
          <w:szCs w:val="24"/>
        </w:rPr>
        <w:t xml:space="preserve">Third, the influence of amici depends on a justice’s level of moderation.  The marginal effects graphs of those models depicting statistically significant amicus influence each show that </w:t>
      </w:r>
      <w:r>
        <w:rPr>
          <w:rFonts w:cs="Times New Roman"/>
          <w:szCs w:val="24"/>
        </w:rPr>
        <w:lastRenderedPageBreak/>
        <w:t xml:space="preserve">the justices become more responsive to amici as they become more moderate in their ideologies.  Justices Thomas and Scalia are the only two justices who primarily resist amicus brief influence.  </w:t>
      </w:r>
    </w:p>
    <w:p w:rsidR="00CB16AE" w:rsidRDefault="00CB16AE" w:rsidP="00CB16AE">
      <w:pPr>
        <w:spacing w:line="480" w:lineRule="auto"/>
        <w:ind w:left="0" w:firstLine="720"/>
        <w:rPr>
          <w:rFonts w:cs="Times New Roman"/>
          <w:szCs w:val="24"/>
        </w:rPr>
      </w:pPr>
      <w:r>
        <w:rPr>
          <w:rFonts w:cs="Times New Roman"/>
          <w:szCs w:val="24"/>
        </w:rPr>
        <w:t xml:space="preserve">Fourth, the influence of amici often depends on </w:t>
      </w:r>
      <w:r w:rsidR="00B4620D">
        <w:rPr>
          <w:rFonts w:cs="Times New Roman"/>
          <w:szCs w:val="24"/>
        </w:rPr>
        <w:t>their identities</w:t>
      </w:r>
      <w:r>
        <w:rPr>
          <w:rFonts w:cs="Times New Roman"/>
          <w:szCs w:val="24"/>
        </w:rPr>
        <w:t>. An ideological advantage of prestigious amici was shown to ma</w:t>
      </w:r>
      <w:r w:rsidR="00B4620D">
        <w:rPr>
          <w:rFonts w:cs="Times New Roman"/>
          <w:szCs w:val="24"/>
        </w:rPr>
        <w:t>tter in all sets of cases</w:t>
      </w:r>
      <w:r>
        <w:rPr>
          <w:rFonts w:cs="Times New Roman"/>
          <w:szCs w:val="24"/>
        </w:rPr>
        <w:t xml:space="preserve"> except those involving criminal procedure. Further, an ideological advantage of prestigious amici was shown to matter even in those issue areas where total amicus advantage did not, including civil rights and liberties cases, economics cases, and judicial power and federalism cases.</w:t>
      </w:r>
    </w:p>
    <w:p w:rsidR="00CB16AE" w:rsidRDefault="00CB16AE" w:rsidP="00CB16AE">
      <w:pPr>
        <w:spacing w:line="480" w:lineRule="auto"/>
        <w:ind w:left="0" w:firstLine="720"/>
        <w:rPr>
          <w:rFonts w:cs="Times New Roman"/>
          <w:szCs w:val="24"/>
        </w:rPr>
      </w:pPr>
      <w:r>
        <w:rPr>
          <w:rFonts w:cs="Times New Roman"/>
          <w:szCs w:val="24"/>
        </w:rPr>
        <w:t xml:space="preserve">Fifth, the justices generally respond favorably to the SG’s amicus persuasion attempts, and the marginal effects are substantial.   The only issue area in which the SG amicus did not exert a significant impact was criminal procedure, and </w:t>
      </w:r>
      <w:r w:rsidR="00990916">
        <w:rPr>
          <w:rFonts w:cs="Times New Roman"/>
          <w:szCs w:val="24"/>
        </w:rPr>
        <w:t>al</w:t>
      </w:r>
      <w:r>
        <w:rPr>
          <w:rFonts w:cs="Times New Roman"/>
          <w:szCs w:val="24"/>
        </w:rPr>
        <w:t>s</w:t>
      </w:r>
      <w:r w:rsidR="00990916">
        <w:rPr>
          <w:rFonts w:cs="Times New Roman"/>
          <w:szCs w:val="24"/>
        </w:rPr>
        <w:t>o</w:t>
      </w:r>
      <w:r>
        <w:rPr>
          <w:rFonts w:cs="Times New Roman"/>
          <w:szCs w:val="24"/>
        </w:rPr>
        <w:t xml:space="preserve"> among liberal justices in salient cases.  </w:t>
      </w:r>
    </w:p>
    <w:p w:rsidR="00CB16AE" w:rsidRDefault="00CB16AE" w:rsidP="00CB16AE">
      <w:pPr>
        <w:spacing w:line="480" w:lineRule="auto"/>
        <w:ind w:left="0" w:firstLine="720"/>
        <w:rPr>
          <w:rFonts w:cs="Times New Roman"/>
          <w:szCs w:val="24"/>
        </w:rPr>
      </w:pPr>
      <w:r>
        <w:rPr>
          <w:rFonts w:cs="Times New Roman"/>
          <w:szCs w:val="24"/>
        </w:rPr>
        <w:t>Six, there is not much difference in the way that conservative and liberal justices respond to amicus briefs.  Other than conservative Justices Thomas and Scalia</w:t>
      </w:r>
      <w:r w:rsidR="00FA436E">
        <w:rPr>
          <w:rFonts w:cs="Times New Roman"/>
          <w:szCs w:val="24"/>
        </w:rPr>
        <w:t xml:space="preserve"> (sometimes)</w:t>
      </w:r>
      <w:r>
        <w:rPr>
          <w:rFonts w:cs="Times New Roman"/>
          <w:szCs w:val="24"/>
        </w:rPr>
        <w:t xml:space="preserve">, both liberal and conservative justices generally respond positively to amicus attempts at influence. </w:t>
      </w:r>
    </w:p>
    <w:p w:rsidR="00CB16AE" w:rsidRDefault="00CB16AE" w:rsidP="00CB16AE">
      <w:pPr>
        <w:spacing w:line="480" w:lineRule="auto"/>
        <w:ind w:left="0" w:firstLine="720"/>
        <w:rPr>
          <w:rFonts w:cs="Times New Roman"/>
          <w:szCs w:val="24"/>
        </w:rPr>
      </w:pPr>
      <w:r>
        <w:rPr>
          <w:rFonts w:cs="Times New Roman"/>
          <w:szCs w:val="24"/>
        </w:rPr>
        <w:t xml:space="preserve">Seven, attitudes matter, and they matter a lot.  The most consistent predictor variable across the models and the one of greatest magnitude was the influence of judicial ideology on the direction of the justice vote.  This is expected and consistent with the attitudinal model of judicial decision-making.  Conservatives tend to vote conservatively and liberals tend to vote liberally at the Roberts Court.  However, despite this natural observation about human nature, it has been shown that amicus briefs are often able to buck the natural tendencies of justices, at least at the margins, by appealing to the justice’s “better natures” and their sense of fidelity to the law.  </w:t>
      </w:r>
    </w:p>
    <w:p w:rsidR="00CF0407" w:rsidRDefault="00FA3C87" w:rsidP="00E71D36">
      <w:pPr>
        <w:spacing w:line="480" w:lineRule="auto"/>
        <w:ind w:left="0" w:firstLine="0"/>
        <w:rPr>
          <w:rFonts w:cs="Times New Roman"/>
          <w:szCs w:val="24"/>
        </w:rPr>
      </w:pPr>
      <w:r>
        <w:rPr>
          <w:rFonts w:cs="Times New Roman"/>
          <w:szCs w:val="24"/>
        </w:rPr>
        <w:t xml:space="preserve"> </w:t>
      </w:r>
    </w:p>
    <w:p w:rsidR="000A4321" w:rsidRDefault="000A4321" w:rsidP="000A4321">
      <w:pPr>
        <w:pStyle w:val="ListParagraph"/>
        <w:numPr>
          <w:ilvl w:val="0"/>
          <w:numId w:val="39"/>
        </w:numPr>
        <w:spacing w:line="480" w:lineRule="auto"/>
        <w:rPr>
          <w:rFonts w:cs="Times New Roman"/>
          <w:b/>
          <w:szCs w:val="24"/>
        </w:rPr>
      </w:pPr>
      <w:r w:rsidRPr="000A4321">
        <w:rPr>
          <w:rFonts w:cs="Times New Roman"/>
          <w:b/>
          <w:szCs w:val="24"/>
        </w:rPr>
        <w:lastRenderedPageBreak/>
        <w:t>Pearson’s Correlation Tables and Interpretation</w:t>
      </w:r>
    </w:p>
    <w:p w:rsidR="008D6C6A" w:rsidRDefault="00B02A59" w:rsidP="008D6C6A">
      <w:pPr>
        <w:spacing w:line="480" w:lineRule="auto"/>
        <w:ind w:left="0" w:firstLine="720"/>
      </w:pPr>
      <w:r>
        <w:rPr>
          <w:rFonts w:cs="Times New Roman"/>
          <w:szCs w:val="24"/>
        </w:rPr>
        <w:t>E</w:t>
      </w:r>
      <w:r w:rsidR="008D6C6A">
        <w:rPr>
          <w:rFonts w:cs="Times New Roman"/>
          <w:szCs w:val="24"/>
        </w:rPr>
        <w:t>ach of the a</w:t>
      </w:r>
      <w:r>
        <w:rPr>
          <w:rFonts w:cs="Times New Roman"/>
          <w:szCs w:val="24"/>
        </w:rPr>
        <w:t xml:space="preserve">bove </w:t>
      </w:r>
      <w:proofErr w:type="spellStart"/>
      <w:r>
        <w:rPr>
          <w:rFonts w:cs="Times New Roman"/>
          <w:szCs w:val="24"/>
        </w:rPr>
        <w:t>logit</w:t>
      </w:r>
      <w:proofErr w:type="spellEnd"/>
      <w:r>
        <w:rPr>
          <w:rFonts w:cs="Times New Roman"/>
          <w:szCs w:val="24"/>
        </w:rPr>
        <w:t xml:space="preserve"> models is</w:t>
      </w:r>
      <w:r w:rsidR="008D6C6A">
        <w:rPr>
          <w:rFonts w:cs="Times New Roman"/>
          <w:szCs w:val="24"/>
        </w:rPr>
        <w:t xml:space="preserve"> useful </w:t>
      </w:r>
      <w:r>
        <w:rPr>
          <w:rFonts w:cs="Times New Roman"/>
          <w:szCs w:val="24"/>
        </w:rPr>
        <w:t xml:space="preserve">for </w:t>
      </w:r>
      <w:r w:rsidR="008D6C6A">
        <w:rPr>
          <w:rFonts w:cs="Times New Roman"/>
          <w:szCs w:val="24"/>
        </w:rPr>
        <w:t>assessing the impact of amici on the ideological direction of justice votes on the Roberts Court</w:t>
      </w:r>
      <w:r w:rsidR="00CB0882">
        <w:rPr>
          <w:rFonts w:cs="Times New Roman"/>
          <w:szCs w:val="24"/>
        </w:rPr>
        <w:t xml:space="preserve"> while controlling for other known predictors of justice votes</w:t>
      </w:r>
      <w:r>
        <w:rPr>
          <w:rFonts w:cs="Times New Roman"/>
          <w:szCs w:val="24"/>
        </w:rPr>
        <w:t xml:space="preserve">.  However, </w:t>
      </w:r>
      <w:r w:rsidR="00CB0882">
        <w:rPr>
          <w:rFonts w:cs="Times New Roman"/>
          <w:szCs w:val="24"/>
        </w:rPr>
        <w:t>none</w:t>
      </w:r>
      <w:r>
        <w:rPr>
          <w:rFonts w:cs="Times New Roman"/>
          <w:szCs w:val="24"/>
        </w:rPr>
        <w:t xml:space="preserve"> of these models</w:t>
      </w:r>
      <w:r w:rsidR="00CB0882">
        <w:rPr>
          <w:rFonts w:cs="Times New Roman"/>
          <w:szCs w:val="24"/>
        </w:rPr>
        <w:t xml:space="preserve"> provide a means of directly </w:t>
      </w:r>
      <w:r>
        <w:rPr>
          <w:rFonts w:cs="Times New Roman"/>
          <w:szCs w:val="24"/>
        </w:rPr>
        <w:t xml:space="preserve">and easily </w:t>
      </w:r>
      <w:r w:rsidR="00CB0882">
        <w:rPr>
          <w:rFonts w:cs="Times New Roman"/>
          <w:szCs w:val="24"/>
        </w:rPr>
        <w:t>comparing the impact of amici on the justices side by side.   In order to provide a more readily intelligible comparison of amicus impact on the various justices of the Roberts Court, Tables 5.11- 5.15 rank the influence on amici on the justices based</w:t>
      </w:r>
      <w:r w:rsidR="00541B9F">
        <w:rPr>
          <w:rFonts w:cs="Times New Roman"/>
          <w:szCs w:val="24"/>
        </w:rPr>
        <w:t xml:space="preserve"> upon a measure of the Pearson c</w:t>
      </w:r>
      <w:r w:rsidR="00CB0882">
        <w:rPr>
          <w:rFonts w:cs="Times New Roman"/>
          <w:szCs w:val="24"/>
        </w:rPr>
        <w:t>orrelation</w:t>
      </w:r>
      <w:r w:rsidR="00541B9F">
        <w:rPr>
          <w:rFonts w:cs="Times New Roman"/>
          <w:szCs w:val="24"/>
        </w:rPr>
        <w:t xml:space="preserve"> coefficient</w:t>
      </w:r>
      <w:r w:rsidR="00CB0882">
        <w:rPr>
          <w:rFonts w:cs="Times New Roman"/>
          <w:szCs w:val="24"/>
        </w:rPr>
        <w:t xml:space="preserve"> between the specific justice and the amicus varia</w:t>
      </w:r>
      <w:r w:rsidR="00541B9F">
        <w:rPr>
          <w:rFonts w:cs="Times New Roman"/>
          <w:szCs w:val="24"/>
        </w:rPr>
        <w:t>ble of interest.   The Pearson c</w:t>
      </w:r>
      <w:r w:rsidR="00CB0882">
        <w:rPr>
          <w:rFonts w:cs="Times New Roman"/>
          <w:szCs w:val="24"/>
        </w:rPr>
        <w:t xml:space="preserve">orrelation coefficient is a measure of how well two variables are related, showing the linear relationship between two variables.  </w:t>
      </w:r>
      <w:r w:rsidR="00CB0882">
        <w:t>The coefficient measures between -1</w:t>
      </w:r>
      <w:r>
        <w:t>.0</w:t>
      </w:r>
      <w:r w:rsidR="00CB0882">
        <w:t xml:space="preserve"> and 1.</w:t>
      </w:r>
      <w:r>
        <w:t xml:space="preserve">0. </w:t>
      </w:r>
      <w:r w:rsidR="00CB0882">
        <w:t xml:space="preserve"> A coefficient of -1</w:t>
      </w:r>
      <w:r>
        <w:t>.0</w:t>
      </w:r>
      <w:r w:rsidR="00CB0882">
        <w:t xml:space="preserve"> means that there is a perfect negative correlation between the two variables, while a coefficient of 1</w:t>
      </w:r>
      <w:r>
        <w:t>.0</w:t>
      </w:r>
      <w:r w:rsidR="00CB0882">
        <w:t xml:space="preserve"> means that there is a perfect positive correlation between the two variables. </w:t>
      </w:r>
      <w:proofErr w:type="gramStart"/>
      <w:r w:rsidR="00CB0882">
        <w:t>A coefficient</w:t>
      </w:r>
      <w:r w:rsidR="000B40E8">
        <w:t xml:space="preserve"> of 0 shows</w:t>
      </w:r>
      <w:r w:rsidR="00CB0882">
        <w:t xml:space="preserve"> that there is no linear relationship between the two variables.</w:t>
      </w:r>
      <w:proofErr w:type="gramEnd"/>
    </w:p>
    <w:p w:rsidR="000B40E8" w:rsidRDefault="000B40E8" w:rsidP="008D6C6A">
      <w:pPr>
        <w:spacing w:line="480" w:lineRule="auto"/>
        <w:ind w:left="0" w:firstLine="720"/>
      </w:pPr>
      <w:r>
        <w:t xml:space="preserve">For purposes of this dissertation, a coefficient of .1 or higher will be deemed not only statistically significant, but also substantively meaningful, meaning that the amicus variable of interest is correlated in </w:t>
      </w:r>
      <w:r w:rsidR="00541B9F">
        <w:t xml:space="preserve">a </w:t>
      </w:r>
      <w:r>
        <w:t>significant way with the ideological direction of the justice vote.</w:t>
      </w:r>
      <w:r w:rsidR="00B02A59">
        <w:t xml:space="preserve">  While a Pearson’s Correlation of .1 or higher does not prove the amicus variable of interest impacted the ideological direction of the justice’s vote, it does indicate a significant level of association between the two.   Further, such a measure allows for a direct, side-by-side comparison of the justices, shedding light on which justices are most and least influenced by amici.  </w:t>
      </w:r>
    </w:p>
    <w:p w:rsidR="00CB0882" w:rsidRPr="008D6C6A" w:rsidRDefault="00CB0882" w:rsidP="00990916">
      <w:pPr>
        <w:spacing w:line="480" w:lineRule="auto"/>
        <w:ind w:left="0" w:firstLine="0"/>
        <w:rPr>
          <w:rFonts w:cs="Times New Roman"/>
          <w:szCs w:val="24"/>
        </w:rPr>
      </w:pPr>
    </w:p>
    <w:p w:rsidR="00B6457A" w:rsidRDefault="00B6457A" w:rsidP="00810679">
      <w:pPr>
        <w:spacing w:line="480" w:lineRule="auto"/>
        <w:ind w:left="0" w:firstLine="0"/>
        <w:jc w:val="both"/>
        <w:rPr>
          <w:rFonts w:cs="Times New Roman"/>
          <w:b/>
          <w:szCs w:val="24"/>
        </w:rPr>
      </w:pPr>
    </w:p>
    <w:p w:rsidR="00810679" w:rsidRPr="00810679" w:rsidRDefault="00810679" w:rsidP="00810679">
      <w:pPr>
        <w:spacing w:line="480" w:lineRule="auto"/>
        <w:ind w:left="0" w:firstLine="0"/>
        <w:jc w:val="both"/>
        <w:rPr>
          <w:rFonts w:cs="Times New Roman"/>
          <w:b/>
          <w:i/>
          <w:szCs w:val="24"/>
        </w:rPr>
      </w:pPr>
      <w:proofErr w:type="gramStart"/>
      <w:r w:rsidRPr="00810679">
        <w:rPr>
          <w:rFonts w:cs="Times New Roman"/>
          <w:b/>
          <w:szCs w:val="24"/>
        </w:rPr>
        <w:lastRenderedPageBreak/>
        <w:t>Table 5.11.</w:t>
      </w:r>
      <w:proofErr w:type="gramEnd"/>
      <w:r w:rsidRPr="00810679">
        <w:rPr>
          <w:rFonts w:cs="Times New Roman"/>
          <w:b/>
          <w:szCs w:val="24"/>
        </w:rPr>
        <w:t xml:space="preserve"> Ranking of </w:t>
      </w:r>
      <w:r w:rsidR="00B02A59">
        <w:rPr>
          <w:rFonts w:cs="Times New Roman"/>
          <w:b/>
          <w:szCs w:val="24"/>
        </w:rPr>
        <w:t xml:space="preserve">Roberts Court </w:t>
      </w:r>
      <w:r w:rsidRPr="00810679">
        <w:rPr>
          <w:rFonts w:cs="Times New Roman"/>
          <w:b/>
          <w:szCs w:val="24"/>
        </w:rPr>
        <w:t xml:space="preserve">Justices Based Upon Pearson Correlation </w:t>
      </w:r>
      <w:proofErr w:type="gramStart"/>
      <w:r w:rsidRPr="00810679">
        <w:rPr>
          <w:rFonts w:cs="Times New Roman"/>
          <w:b/>
          <w:szCs w:val="24"/>
        </w:rPr>
        <w:t>Between</w:t>
      </w:r>
      <w:proofErr w:type="gramEnd"/>
      <w:r w:rsidRPr="00810679">
        <w:rPr>
          <w:rFonts w:cs="Times New Roman"/>
          <w:b/>
          <w:szCs w:val="24"/>
        </w:rPr>
        <w:t xml:space="preserve"> </w:t>
      </w:r>
      <w:r w:rsidR="00426385">
        <w:rPr>
          <w:rFonts w:cs="Times New Roman"/>
          <w:b/>
          <w:szCs w:val="24"/>
        </w:rPr>
        <w:t xml:space="preserve">Ideological Direction of </w:t>
      </w:r>
      <w:r w:rsidRPr="00810679">
        <w:rPr>
          <w:rFonts w:cs="Times New Roman"/>
          <w:b/>
          <w:szCs w:val="24"/>
        </w:rPr>
        <w:t>Justice</w:t>
      </w:r>
      <w:r w:rsidR="00426385">
        <w:rPr>
          <w:rFonts w:cs="Times New Roman"/>
          <w:b/>
          <w:szCs w:val="24"/>
        </w:rPr>
        <w:t xml:space="preserve"> Vote</w:t>
      </w:r>
      <w:r w:rsidRPr="00810679">
        <w:rPr>
          <w:rFonts w:cs="Times New Roman"/>
          <w:b/>
          <w:szCs w:val="24"/>
        </w:rPr>
        <w:t xml:space="preserve"> and </w:t>
      </w:r>
      <w:r w:rsidRPr="00810679">
        <w:rPr>
          <w:rFonts w:cs="Times New Roman"/>
          <w:b/>
          <w:i/>
          <w:szCs w:val="24"/>
        </w:rPr>
        <w:t>Liberal-Conse</w:t>
      </w:r>
      <w:r w:rsidR="00B6457A">
        <w:rPr>
          <w:rFonts w:cs="Times New Roman"/>
          <w:b/>
          <w:i/>
          <w:szCs w:val="24"/>
        </w:rPr>
        <w:t>rvative Amicus Brief Difference</w:t>
      </w:r>
    </w:p>
    <w:tbl>
      <w:tblPr>
        <w:tblW w:w="0" w:type="auto"/>
        <w:tblInd w:w="93" w:type="dxa"/>
        <w:tblBorders>
          <w:top w:val="single" w:sz="18" w:space="0" w:color="auto"/>
          <w:bottom w:val="single" w:sz="18" w:space="0" w:color="auto"/>
        </w:tblBorders>
        <w:tblLook w:val="04A0" w:firstRow="1" w:lastRow="0" w:firstColumn="1" w:lastColumn="0" w:noHBand="0" w:noVBand="1"/>
      </w:tblPr>
      <w:tblGrid>
        <w:gridCol w:w="723"/>
        <w:gridCol w:w="2430"/>
        <w:gridCol w:w="1976"/>
      </w:tblGrid>
      <w:tr w:rsidR="00CF0407" w:rsidRPr="00CF0407" w:rsidTr="00810679">
        <w:trPr>
          <w:trHeight w:val="360"/>
        </w:trPr>
        <w:tc>
          <w:tcPr>
            <w:tcW w:w="0" w:type="auto"/>
            <w:tcBorders>
              <w:top w:val="single" w:sz="18" w:space="0" w:color="auto"/>
              <w:bottom w:val="single" w:sz="18" w:space="0" w:color="auto"/>
            </w:tcBorders>
            <w:shd w:val="clear" w:color="auto" w:fill="auto"/>
            <w:noWrap/>
            <w:vAlign w:val="center"/>
            <w:hideMark/>
          </w:tcPr>
          <w:p w:rsidR="00CF0407" w:rsidRPr="00CF0407" w:rsidRDefault="00CF0407" w:rsidP="00810679">
            <w:pPr>
              <w:ind w:left="0" w:firstLine="0"/>
              <w:jc w:val="center"/>
              <w:rPr>
                <w:rFonts w:eastAsia="Times New Roman" w:cs="Times New Roman"/>
                <w:color w:val="000000"/>
                <w:szCs w:val="24"/>
              </w:rPr>
            </w:pPr>
            <w:r w:rsidRPr="00CF0407">
              <w:rPr>
                <w:rFonts w:eastAsia="Times New Roman" w:cs="Times New Roman"/>
                <w:color w:val="000000"/>
                <w:szCs w:val="24"/>
              </w:rPr>
              <w:t>Rank</w:t>
            </w:r>
          </w:p>
        </w:tc>
        <w:tc>
          <w:tcPr>
            <w:tcW w:w="0" w:type="auto"/>
            <w:tcBorders>
              <w:top w:val="single" w:sz="18" w:space="0" w:color="auto"/>
              <w:bottom w:val="single" w:sz="18" w:space="0" w:color="auto"/>
            </w:tcBorders>
            <w:shd w:val="clear" w:color="auto" w:fill="auto"/>
            <w:noWrap/>
            <w:vAlign w:val="center"/>
            <w:hideMark/>
          </w:tcPr>
          <w:p w:rsidR="00CF0407" w:rsidRPr="00CF0407" w:rsidRDefault="00CF0407" w:rsidP="00810679">
            <w:pPr>
              <w:ind w:left="0" w:firstLine="0"/>
              <w:jc w:val="center"/>
              <w:rPr>
                <w:rFonts w:eastAsia="Times New Roman" w:cs="Times New Roman"/>
                <w:color w:val="000000"/>
                <w:szCs w:val="24"/>
              </w:rPr>
            </w:pPr>
            <w:r w:rsidRPr="00CF0407">
              <w:rPr>
                <w:rFonts w:eastAsia="Times New Roman" w:cs="Times New Roman"/>
                <w:color w:val="000000"/>
                <w:szCs w:val="24"/>
              </w:rPr>
              <w:t>Justice</w:t>
            </w:r>
          </w:p>
        </w:tc>
        <w:tc>
          <w:tcPr>
            <w:tcW w:w="0" w:type="auto"/>
            <w:tcBorders>
              <w:top w:val="single" w:sz="18" w:space="0" w:color="auto"/>
              <w:bottom w:val="single" w:sz="18" w:space="0" w:color="auto"/>
            </w:tcBorders>
            <w:shd w:val="clear" w:color="auto" w:fill="auto"/>
            <w:vAlign w:val="center"/>
            <w:hideMark/>
          </w:tcPr>
          <w:p w:rsidR="00CF0407" w:rsidRPr="00CF0407" w:rsidRDefault="00CF0407" w:rsidP="00810679">
            <w:pPr>
              <w:ind w:left="0" w:firstLine="0"/>
              <w:jc w:val="center"/>
              <w:rPr>
                <w:rFonts w:eastAsia="Times New Roman" w:cs="Times New Roman"/>
                <w:color w:val="000000"/>
                <w:szCs w:val="24"/>
              </w:rPr>
            </w:pPr>
            <w:r w:rsidRPr="00CF0407">
              <w:rPr>
                <w:rFonts w:eastAsia="Times New Roman" w:cs="Times New Roman"/>
                <w:color w:val="000000"/>
                <w:szCs w:val="24"/>
              </w:rPr>
              <w:t>Amicus Brief Diff</w:t>
            </w:r>
          </w:p>
        </w:tc>
      </w:tr>
      <w:tr w:rsidR="00CF0407" w:rsidRPr="00CF0407" w:rsidTr="00810679">
        <w:trPr>
          <w:trHeight w:val="360"/>
        </w:trPr>
        <w:tc>
          <w:tcPr>
            <w:tcW w:w="0" w:type="auto"/>
            <w:tcBorders>
              <w:top w:val="single" w:sz="18" w:space="0" w:color="auto"/>
            </w:tcBorders>
            <w:shd w:val="clear" w:color="auto" w:fill="auto"/>
            <w:noWrap/>
            <w:vAlign w:val="center"/>
            <w:hideMark/>
          </w:tcPr>
          <w:p w:rsidR="00CF0407" w:rsidRPr="00CF0407" w:rsidRDefault="00CF0407" w:rsidP="00810679">
            <w:pPr>
              <w:ind w:left="0" w:firstLine="0"/>
              <w:rPr>
                <w:rFonts w:eastAsia="Times New Roman" w:cs="Times New Roman"/>
                <w:color w:val="000000"/>
                <w:sz w:val="22"/>
              </w:rPr>
            </w:pPr>
            <w:r w:rsidRPr="00CF0407">
              <w:rPr>
                <w:rFonts w:eastAsia="Times New Roman" w:cs="Times New Roman"/>
                <w:color w:val="000000"/>
                <w:sz w:val="22"/>
              </w:rPr>
              <w:t>1</w:t>
            </w:r>
          </w:p>
        </w:tc>
        <w:tc>
          <w:tcPr>
            <w:tcW w:w="0" w:type="auto"/>
            <w:tcBorders>
              <w:top w:val="single" w:sz="18" w:space="0" w:color="auto"/>
            </w:tcBorders>
            <w:shd w:val="clear" w:color="auto" w:fill="auto"/>
            <w:noWrap/>
            <w:vAlign w:val="center"/>
            <w:hideMark/>
          </w:tcPr>
          <w:p w:rsidR="00CF0407" w:rsidRPr="00CF0407" w:rsidRDefault="00CF0407" w:rsidP="00810679">
            <w:pPr>
              <w:ind w:left="0" w:firstLine="0"/>
              <w:rPr>
                <w:rFonts w:eastAsia="Times New Roman" w:cs="Times New Roman"/>
                <w:b/>
                <w:bCs/>
                <w:color w:val="000000"/>
                <w:szCs w:val="24"/>
              </w:rPr>
            </w:pPr>
            <w:r w:rsidRPr="00CF0407">
              <w:rPr>
                <w:rFonts w:eastAsia="Times New Roman" w:cs="Times New Roman"/>
                <w:b/>
                <w:bCs/>
                <w:color w:val="000000"/>
                <w:szCs w:val="24"/>
              </w:rPr>
              <w:t>Elena Kagan</w:t>
            </w:r>
          </w:p>
        </w:tc>
        <w:tc>
          <w:tcPr>
            <w:tcW w:w="0" w:type="auto"/>
            <w:tcBorders>
              <w:top w:val="single" w:sz="18" w:space="0" w:color="auto"/>
            </w:tcBorders>
            <w:shd w:val="clear" w:color="auto" w:fill="auto"/>
            <w:noWrap/>
            <w:vAlign w:val="center"/>
            <w:hideMark/>
          </w:tcPr>
          <w:p w:rsidR="00CF0407" w:rsidRPr="00CF0407" w:rsidRDefault="00CF0407" w:rsidP="00810679">
            <w:pPr>
              <w:ind w:left="0" w:firstLine="0"/>
              <w:rPr>
                <w:rFonts w:eastAsia="Times New Roman" w:cs="Times New Roman"/>
                <w:color w:val="000000"/>
                <w:szCs w:val="24"/>
              </w:rPr>
            </w:pPr>
            <w:r w:rsidRPr="00CF0407">
              <w:rPr>
                <w:rFonts w:eastAsia="Times New Roman" w:cs="Times New Roman"/>
                <w:color w:val="000000"/>
                <w:szCs w:val="24"/>
              </w:rPr>
              <w:t>.219**</w:t>
            </w:r>
          </w:p>
        </w:tc>
      </w:tr>
      <w:tr w:rsidR="00CF0407" w:rsidRPr="00CF0407" w:rsidTr="00810679">
        <w:trPr>
          <w:trHeight w:val="360"/>
        </w:trPr>
        <w:tc>
          <w:tcPr>
            <w:tcW w:w="0" w:type="auto"/>
            <w:shd w:val="clear" w:color="auto" w:fill="auto"/>
            <w:noWrap/>
            <w:vAlign w:val="center"/>
            <w:hideMark/>
          </w:tcPr>
          <w:p w:rsidR="00CF0407" w:rsidRPr="00CF0407" w:rsidRDefault="00CF0407" w:rsidP="00810679">
            <w:pPr>
              <w:ind w:left="0" w:firstLine="0"/>
              <w:rPr>
                <w:rFonts w:eastAsia="Times New Roman" w:cs="Times New Roman"/>
                <w:color w:val="000000"/>
                <w:sz w:val="22"/>
              </w:rPr>
            </w:pPr>
            <w:r w:rsidRPr="00CF0407">
              <w:rPr>
                <w:rFonts w:eastAsia="Times New Roman" w:cs="Times New Roman"/>
                <w:color w:val="000000"/>
                <w:sz w:val="22"/>
              </w:rPr>
              <w:t>2</w:t>
            </w:r>
          </w:p>
        </w:tc>
        <w:tc>
          <w:tcPr>
            <w:tcW w:w="0" w:type="auto"/>
            <w:shd w:val="clear" w:color="auto" w:fill="auto"/>
            <w:noWrap/>
            <w:vAlign w:val="center"/>
            <w:hideMark/>
          </w:tcPr>
          <w:p w:rsidR="00CF0407" w:rsidRPr="00CF0407" w:rsidRDefault="00CF0407" w:rsidP="00810679">
            <w:pPr>
              <w:ind w:left="0" w:firstLine="0"/>
              <w:rPr>
                <w:rFonts w:eastAsia="Times New Roman" w:cs="Times New Roman"/>
                <w:b/>
                <w:bCs/>
                <w:color w:val="000000"/>
                <w:szCs w:val="24"/>
              </w:rPr>
            </w:pPr>
            <w:r w:rsidRPr="00CF0407">
              <w:rPr>
                <w:rFonts w:eastAsia="Times New Roman" w:cs="Times New Roman"/>
                <w:b/>
                <w:bCs/>
                <w:color w:val="000000"/>
                <w:szCs w:val="24"/>
              </w:rPr>
              <w:t>Anthony Kennedy</w:t>
            </w:r>
          </w:p>
        </w:tc>
        <w:tc>
          <w:tcPr>
            <w:tcW w:w="0" w:type="auto"/>
            <w:shd w:val="clear" w:color="auto" w:fill="auto"/>
            <w:noWrap/>
            <w:vAlign w:val="center"/>
            <w:hideMark/>
          </w:tcPr>
          <w:p w:rsidR="00CF0407" w:rsidRPr="00CF0407" w:rsidRDefault="007E2093" w:rsidP="00810679">
            <w:pPr>
              <w:ind w:left="0" w:firstLine="0"/>
              <w:rPr>
                <w:rFonts w:eastAsia="Times New Roman" w:cs="Times New Roman"/>
                <w:color w:val="000000"/>
                <w:szCs w:val="24"/>
              </w:rPr>
            </w:pPr>
            <w:r>
              <w:rPr>
                <w:rFonts w:eastAsia="Times New Roman" w:cs="Times New Roman"/>
                <w:color w:val="000000"/>
                <w:szCs w:val="24"/>
              </w:rPr>
              <w:t>.174</w:t>
            </w:r>
            <w:r w:rsidR="00CF0407" w:rsidRPr="00CF0407">
              <w:rPr>
                <w:rFonts w:eastAsia="Times New Roman" w:cs="Times New Roman"/>
                <w:color w:val="000000"/>
                <w:szCs w:val="24"/>
              </w:rPr>
              <w:t>****</w:t>
            </w:r>
          </w:p>
        </w:tc>
      </w:tr>
      <w:tr w:rsidR="00CF0407" w:rsidRPr="00CF0407" w:rsidTr="00810679">
        <w:trPr>
          <w:trHeight w:val="360"/>
        </w:trPr>
        <w:tc>
          <w:tcPr>
            <w:tcW w:w="0" w:type="auto"/>
            <w:shd w:val="clear" w:color="auto" w:fill="auto"/>
            <w:noWrap/>
            <w:vAlign w:val="center"/>
            <w:hideMark/>
          </w:tcPr>
          <w:p w:rsidR="00CF0407" w:rsidRPr="00CF0407" w:rsidRDefault="00CF0407" w:rsidP="00810679">
            <w:pPr>
              <w:ind w:left="0" w:firstLine="0"/>
              <w:rPr>
                <w:rFonts w:eastAsia="Times New Roman" w:cs="Times New Roman"/>
                <w:color w:val="000000"/>
                <w:sz w:val="22"/>
              </w:rPr>
            </w:pPr>
            <w:r w:rsidRPr="00CF0407">
              <w:rPr>
                <w:rFonts w:eastAsia="Times New Roman" w:cs="Times New Roman"/>
                <w:color w:val="000000"/>
                <w:sz w:val="22"/>
              </w:rPr>
              <w:t>3</w:t>
            </w:r>
          </w:p>
        </w:tc>
        <w:tc>
          <w:tcPr>
            <w:tcW w:w="0" w:type="auto"/>
            <w:shd w:val="clear" w:color="auto" w:fill="auto"/>
            <w:noWrap/>
            <w:vAlign w:val="center"/>
            <w:hideMark/>
          </w:tcPr>
          <w:p w:rsidR="00CF0407" w:rsidRPr="00CF0407" w:rsidRDefault="00CF0407" w:rsidP="00810679">
            <w:pPr>
              <w:ind w:left="0" w:firstLine="0"/>
              <w:rPr>
                <w:rFonts w:eastAsia="Times New Roman" w:cs="Times New Roman"/>
                <w:b/>
                <w:bCs/>
                <w:color w:val="000000"/>
                <w:szCs w:val="24"/>
              </w:rPr>
            </w:pPr>
            <w:r w:rsidRPr="00CF0407">
              <w:rPr>
                <w:rFonts w:eastAsia="Times New Roman" w:cs="Times New Roman"/>
                <w:b/>
                <w:bCs/>
                <w:color w:val="000000"/>
                <w:szCs w:val="24"/>
              </w:rPr>
              <w:t>David Souter</w:t>
            </w:r>
          </w:p>
        </w:tc>
        <w:tc>
          <w:tcPr>
            <w:tcW w:w="0" w:type="auto"/>
            <w:shd w:val="clear" w:color="auto" w:fill="auto"/>
            <w:noWrap/>
            <w:vAlign w:val="center"/>
            <w:hideMark/>
          </w:tcPr>
          <w:p w:rsidR="00CF0407" w:rsidRPr="00CF0407" w:rsidRDefault="00CF0407" w:rsidP="00810679">
            <w:pPr>
              <w:ind w:left="0" w:firstLine="0"/>
              <w:rPr>
                <w:rFonts w:eastAsia="Times New Roman" w:cs="Times New Roman"/>
                <w:color w:val="000000"/>
                <w:szCs w:val="24"/>
              </w:rPr>
            </w:pPr>
            <w:r w:rsidRPr="00CF0407">
              <w:rPr>
                <w:rFonts w:eastAsia="Times New Roman" w:cs="Times New Roman"/>
                <w:color w:val="000000"/>
                <w:szCs w:val="24"/>
              </w:rPr>
              <w:t>.152*</w:t>
            </w:r>
          </w:p>
        </w:tc>
      </w:tr>
      <w:tr w:rsidR="00CF0407" w:rsidRPr="00CF0407" w:rsidTr="00810679">
        <w:trPr>
          <w:trHeight w:val="360"/>
        </w:trPr>
        <w:tc>
          <w:tcPr>
            <w:tcW w:w="0" w:type="auto"/>
            <w:shd w:val="clear" w:color="auto" w:fill="auto"/>
            <w:noWrap/>
            <w:vAlign w:val="center"/>
            <w:hideMark/>
          </w:tcPr>
          <w:p w:rsidR="00CF0407" w:rsidRPr="00CF0407" w:rsidRDefault="00CF0407" w:rsidP="00810679">
            <w:pPr>
              <w:ind w:left="0" w:firstLine="0"/>
              <w:rPr>
                <w:rFonts w:eastAsia="Times New Roman" w:cs="Times New Roman"/>
                <w:color w:val="000000"/>
                <w:sz w:val="22"/>
              </w:rPr>
            </w:pPr>
            <w:r w:rsidRPr="00CF0407">
              <w:rPr>
                <w:rFonts w:eastAsia="Times New Roman" w:cs="Times New Roman"/>
                <w:color w:val="000000"/>
                <w:sz w:val="22"/>
              </w:rPr>
              <w:t>4</w:t>
            </w:r>
          </w:p>
        </w:tc>
        <w:tc>
          <w:tcPr>
            <w:tcW w:w="0" w:type="auto"/>
            <w:shd w:val="clear" w:color="auto" w:fill="auto"/>
            <w:noWrap/>
            <w:vAlign w:val="center"/>
            <w:hideMark/>
          </w:tcPr>
          <w:p w:rsidR="00CF0407" w:rsidRPr="00CF0407" w:rsidRDefault="00810679" w:rsidP="00810679">
            <w:pPr>
              <w:ind w:left="0" w:firstLine="0"/>
              <w:rPr>
                <w:rFonts w:eastAsia="Times New Roman" w:cs="Times New Roman"/>
                <w:b/>
                <w:bCs/>
                <w:color w:val="000000"/>
                <w:szCs w:val="24"/>
              </w:rPr>
            </w:pPr>
            <w:r>
              <w:rPr>
                <w:rFonts w:eastAsia="Times New Roman" w:cs="Times New Roman"/>
                <w:b/>
                <w:bCs/>
                <w:color w:val="000000"/>
                <w:szCs w:val="24"/>
              </w:rPr>
              <w:t>Stephen</w:t>
            </w:r>
            <w:r w:rsidR="00CF0407" w:rsidRPr="00CF0407">
              <w:rPr>
                <w:rFonts w:eastAsia="Times New Roman" w:cs="Times New Roman"/>
                <w:b/>
                <w:bCs/>
                <w:color w:val="000000"/>
                <w:szCs w:val="24"/>
              </w:rPr>
              <w:t xml:space="preserve"> Breyer</w:t>
            </w:r>
          </w:p>
        </w:tc>
        <w:tc>
          <w:tcPr>
            <w:tcW w:w="0" w:type="auto"/>
            <w:shd w:val="clear" w:color="auto" w:fill="auto"/>
            <w:noWrap/>
            <w:vAlign w:val="center"/>
            <w:hideMark/>
          </w:tcPr>
          <w:p w:rsidR="00CF0407" w:rsidRPr="00CF0407" w:rsidRDefault="00CF0407" w:rsidP="00810679">
            <w:pPr>
              <w:ind w:left="0" w:firstLine="0"/>
              <w:rPr>
                <w:rFonts w:eastAsia="Times New Roman" w:cs="Times New Roman"/>
                <w:color w:val="000000"/>
                <w:szCs w:val="24"/>
              </w:rPr>
            </w:pPr>
            <w:r w:rsidRPr="00CF0407">
              <w:rPr>
                <w:rFonts w:eastAsia="Times New Roman" w:cs="Times New Roman"/>
                <w:color w:val="000000"/>
                <w:szCs w:val="24"/>
              </w:rPr>
              <w:t>.122**</w:t>
            </w:r>
          </w:p>
        </w:tc>
      </w:tr>
      <w:tr w:rsidR="00CF0407" w:rsidRPr="00CF0407" w:rsidTr="00810679">
        <w:trPr>
          <w:trHeight w:val="360"/>
        </w:trPr>
        <w:tc>
          <w:tcPr>
            <w:tcW w:w="0" w:type="auto"/>
            <w:shd w:val="clear" w:color="auto" w:fill="auto"/>
            <w:noWrap/>
            <w:vAlign w:val="center"/>
            <w:hideMark/>
          </w:tcPr>
          <w:p w:rsidR="00CF0407" w:rsidRPr="00CF0407" w:rsidRDefault="00CF0407" w:rsidP="00810679">
            <w:pPr>
              <w:ind w:left="0" w:firstLine="0"/>
              <w:rPr>
                <w:rFonts w:eastAsia="Times New Roman" w:cs="Times New Roman"/>
                <w:color w:val="000000"/>
                <w:sz w:val="22"/>
              </w:rPr>
            </w:pPr>
            <w:r w:rsidRPr="00CF0407">
              <w:rPr>
                <w:rFonts w:eastAsia="Times New Roman" w:cs="Times New Roman"/>
                <w:color w:val="000000"/>
                <w:sz w:val="22"/>
              </w:rPr>
              <w:t>5</w:t>
            </w:r>
          </w:p>
        </w:tc>
        <w:tc>
          <w:tcPr>
            <w:tcW w:w="0" w:type="auto"/>
            <w:shd w:val="clear" w:color="auto" w:fill="auto"/>
            <w:noWrap/>
            <w:vAlign w:val="center"/>
            <w:hideMark/>
          </w:tcPr>
          <w:p w:rsidR="00CF0407" w:rsidRPr="00CF0407" w:rsidRDefault="00CF0407" w:rsidP="00810679">
            <w:pPr>
              <w:ind w:left="0" w:firstLine="0"/>
              <w:rPr>
                <w:rFonts w:eastAsia="Times New Roman" w:cs="Times New Roman"/>
                <w:b/>
                <w:bCs/>
                <w:color w:val="000000"/>
                <w:szCs w:val="24"/>
              </w:rPr>
            </w:pPr>
            <w:r w:rsidRPr="00CF0407">
              <w:rPr>
                <w:rFonts w:eastAsia="Times New Roman" w:cs="Times New Roman"/>
                <w:b/>
                <w:bCs/>
                <w:color w:val="000000"/>
                <w:szCs w:val="24"/>
              </w:rPr>
              <w:t>Ruth Bader Ginsberg</w:t>
            </w:r>
          </w:p>
        </w:tc>
        <w:tc>
          <w:tcPr>
            <w:tcW w:w="0" w:type="auto"/>
            <w:shd w:val="clear" w:color="auto" w:fill="auto"/>
            <w:noWrap/>
            <w:vAlign w:val="center"/>
            <w:hideMark/>
          </w:tcPr>
          <w:p w:rsidR="00CF0407" w:rsidRPr="00CF0407" w:rsidRDefault="00CF0407" w:rsidP="00810679">
            <w:pPr>
              <w:ind w:left="0" w:firstLine="0"/>
              <w:rPr>
                <w:rFonts w:eastAsia="Times New Roman" w:cs="Times New Roman"/>
                <w:color w:val="000000"/>
                <w:szCs w:val="24"/>
              </w:rPr>
            </w:pPr>
            <w:r w:rsidRPr="00CF0407">
              <w:rPr>
                <w:rFonts w:eastAsia="Times New Roman" w:cs="Times New Roman"/>
                <w:color w:val="000000"/>
                <w:szCs w:val="24"/>
              </w:rPr>
              <w:t>.112**</w:t>
            </w:r>
          </w:p>
        </w:tc>
      </w:tr>
      <w:tr w:rsidR="00CF0407" w:rsidRPr="00CF0407" w:rsidTr="00810679">
        <w:trPr>
          <w:trHeight w:val="360"/>
        </w:trPr>
        <w:tc>
          <w:tcPr>
            <w:tcW w:w="0" w:type="auto"/>
            <w:shd w:val="clear" w:color="auto" w:fill="auto"/>
            <w:noWrap/>
            <w:vAlign w:val="center"/>
            <w:hideMark/>
          </w:tcPr>
          <w:p w:rsidR="00CF0407" w:rsidRPr="00CF0407" w:rsidRDefault="00CF0407" w:rsidP="00810679">
            <w:pPr>
              <w:ind w:left="0" w:firstLine="0"/>
              <w:rPr>
                <w:rFonts w:eastAsia="Times New Roman" w:cs="Times New Roman"/>
                <w:color w:val="000000"/>
                <w:sz w:val="22"/>
              </w:rPr>
            </w:pPr>
            <w:r w:rsidRPr="00CF0407">
              <w:rPr>
                <w:rFonts w:eastAsia="Times New Roman" w:cs="Times New Roman"/>
                <w:color w:val="000000"/>
                <w:sz w:val="22"/>
              </w:rPr>
              <w:t>6</w:t>
            </w:r>
          </w:p>
        </w:tc>
        <w:tc>
          <w:tcPr>
            <w:tcW w:w="0" w:type="auto"/>
            <w:shd w:val="clear" w:color="auto" w:fill="auto"/>
            <w:noWrap/>
            <w:vAlign w:val="center"/>
            <w:hideMark/>
          </w:tcPr>
          <w:p w:rsidR="00CF0407" w:rsidRPr="00CF0407" w:rsidRDefault="007E7980" w:rsidP="00810679">
            <w:pPr>
              <w:ind w:left="0" w:firstLine="0"/>
              <w:rPr>
                <w:rFonts w:eastAsia="Times New Roman" w:cs="Times New Roman"/>
                <w:b/>
                <w:bCs/>
                <w:color w:val="000000"/>
                <w:szCs w:val="24"/>
              </w:rPr>
            </w:pPr>
            <w:r>
              <w:rPr>
                <w:rFonts w:eastAsia="Times New Roman" w:cs="Times New Roman"/>
                <w:b/>
                <w:bCs/>
                <w:color w:val="000000"/>
                <w:szCs w:val="24"/>
              </w:rPr>
              <w:t>John Paul</w:t>
            </w:r>
            <w:r w:rsidR="00CF0407" w:rsidRPr="00CF0407">
              <w:rPr>
                <w:rFonts w:eastAsia="Times New Roman" w:cs="Times New Roman"/>
                <w:b/>
                <w:bCs/>
                <w:color w:val="000000"/>
                <w:szCs w:val="24"/>
              </w:rPr>
              <w:t xml:space="preserve"> Stevens</w:t>
            </w:r>
          </w:p>
        </w:tc>
        <w:tc>
          <w:tcPr>
            <w:tcW w:w="0" w:type="auto"/>
            <w:shd w:val="clear" w:color="auto" w:fill="auto"/>
            <w:noWrap/>
            <w:vAlign w:val="center"/>
            <w:hideMark/>
          </w:tcPr>
          <w:p w:rsidR="00CF0407" w:rsidRPr="00CF0407" w:rsidRDefault="00CF0407" w:rsidP="00810679">
            <w:pPr>
              <w:ind w:left="0" w:firstLine="0"/>
              <w:rPr>
                <w:rFonts w:eastAsia="Times New Roman" w:cs="Times New Roman"/>
                <w:color w:val="000000"/>
                <w:szCs w:val="24"/>
              </w:rPr>
            </w:pPr>
            <w:r w:rsidRPr="00CF0407">
              <w:rPr>
                <w:rFonts w:eastAsia="Times New Roman" w:cs="Times New Roman"/>
                <w:color w:val="000000"/>
                <w:szCs w:val="24"/>
              </w:rPr>
              <w:t>.094</w:t>
            </w:r>
          </w:p>
        </w:tc>
      </w:tr>
      <w:tr w:rsidR="00CF0407" w:rsidRPr="00CF0407" w:rsidTr="00810679">
        <w:trPr>
          <w:trHeight w:val="360"/>
        </w:trPr>
        <w:tc>
          <w:tcPr>
            <w:tcW w:w="0" w:type="auto"/>
            <w:shd w:val="clear" w:color="auto" w:fill="auto"/>
            <w:noWrap/>
            <w:vAlign w:val="center"/>
            <w:hideMark/>
          </w:tcPr>
          <w:p w:rsidR="00CF0407" w:rsidRPr="00CF0407" w:rsidRDefault="00CF0407" w:rsidP="00810679">
            <w:pPr>
              <w:ind w:left="0" w:firstLine="0"/>
              <w:rPr>
                <w:rFonts w:eastAsia="Times New Roman" w:cs="Times New Roman"/>
                <w:color w:val="000000"/>
                <w:sz w:val="22"/>
              </w:rPr>
            </w:pPr>
            <w:r w:rsidRPr="00CF0407">
              <w:rPr>
                <w:rFonts w:eastAsia="Times New Roman" w:cs="Times New Roman"/>
                <w:color w:val="000000"/>
                <w:sz w:val="22"/>
              </w:rPr>
              <w:t>7</w:t>
            </w:r>
          </w:p>
        </w:tc>
        <w:tc>
          <w:tcPr>
            <w:tcW w:w="0" w:type="auto"/>
            <w:shd w:val="clear" w:color="auto" w:fill="auto"/>
            <w:noWrap/>
            <w:vAlign w:val="center"/>
            <w:hideMark/>
          </w:tcPr>
          <w:p w:rsidR="00CF0407" w:rsidRPr="00CF0407" w:rsidRDefault="00CF0407" w:rsidP="00810679">
            <w:pPr>
              <w:ind w:left="0" w:firstLine="0"/>
              <w:rPr>
                <w:rFonts w:eastAsia="Times New Roman" w:cs="Times New Roman"/>
                <w:b/>
                <w:bCs/>
                <w:color w:val="000000"/>
                <w:szCs w:val="24"/>
              </w:rPr>
            </w:pPr>
            <w:r w:rsidRPr="00CF0407">
              <w:rPr>
                <w:rFonts w:eastAsia="Times New Roman" w:cs="Times New Roman"/>
                <w:b/>
                <w:bCs/>
                <w:color w:val="000000"/>
                <w:szCs w:val="24"/>
              </w:rPr>
              <w:t>Sonia Sotomayor</w:t>
            </w:r>
          </w:p>
        </w:tc>
        <w:tc>
          <w:tcPr>
            <w:tcW w:w="0" w:type="auto"/>
            <w:shd w:val="clear" w:color="auto" w:fill="auto"/>
            <w:noWrap/>
            <w:vAlign w:val="center"/>
            <w:hideMark/>
          </w:tcPr>
          <w:p w:rsidR="00CF0407" w:rsidRPr="00CF0407" w:rsidRDefault="00CF0407" w:rsidP="00810679">
            <w:pPr>
              <w:ind w:left="0" w:firstLine="0"/>
              <w:rPr>
                <w:rFonts w:eastAsia="Times New Roman" w:cs="Times New Roman"/>
                <w:color w:val="000000"/>
                <w:szCs w:val="24"/>
              </w:rPr>
            </w:pPr>
            <w:r w:rsidRPr="00CF0407">
              <w:rPr>
                <w:rFonts w:eastAsia="Times New Roman" w:cs="Times New Roman"/>
                <w:color w:val="000000"/>
                <w:szCs w:val="24"/>
              </w:rPr>
              <w:t>.072</w:t>
            </w:r>
          </w:p>
        </w:tc>
      </w:tr>
      <w:tr w:rsidR="00CF0407" w:rsidRPr="00CF0407" w:rsidTr="00810679">
        <w:trPr>
          <w:trHeight w:val="360"/>
        </w:trPr>
        <w:tc>
          <w:tcPr>
            <w:tcW w:w="0" w:type="auto"/>
            <w:shd w:val="clear" w:color="auto" w:fill="auto"/>
            <w:noWrap/>
            <w:vAlign w:val="center"/>
            <w:hideMark/>
          </w:tcPr>
          <w:p w:rsidR="00CF0407" w:rsidRPr="00CF0407" w:rsidRDefault="00CF0407" w:rsidP="00810679">
            <w:pPr>
              <w:ind w:left="0" w:firstLine="0"/>
              <w:rPr>
                <w:rFonts w:eastAsia="Times New Roman" w:cs="Times New Roman"/>
                <w:color w:val="000000"/>
                <w:sz w:val="22"/>
              </w:rPr>
            </w:pPr>
            <w:r w:rsidRPr="00CF0407">
              <w:rPr>
                <w:rFonts w:eastAsia="Times New Roman" w:cs="Times New Roman"/>
                <w:color w:val="000000"/>
                <w:sz w:val="22"/>
              </w:rPr>
              <w:t>8</w:t>
            </w:r>
          </w:p>
        </w:tc>
        <w:tc>
          <w:tcPr>
            <w:tcW w:w="0" w:type="auto"/>
            <w:shd w:val="clear" w:color="auto" w:fill="auto"/>
            <w:noWrap/>
            <w:vAlign w:val="center"/>
            <w:hideMark/>
          </w:tcPr>
          <w:p w:rsidR="00CF0407" w:rsidRPr="00CF0407" w:rsidRDefault="00CF0407" w:rsidP="00810679">
            <w:pPr>
              <w:ind w:left="0" w:firstLine="0"/>
              <w:rPr>
                <w:rFonts w:eastAsia="Times New Roman" w:cs="Times New Roman"/>
                <w:b/>
                <w:bCs/>
                <w:color w:val="000000"/>
                <w:szCs w:val="24"/>
              </w:rPr>
            </w:pPr>
            <w:r w:rsidRPr="00CF0407">
              <w:rPr>
                <w:rFonts w:eastAsia="Times New Roman" w:cs="Times New Roman"/>
                <w:b/>
                <w:bCs/>
                <w:color w:val="000000"/>
                <w:szCs w:val="24"/>
              </w:rPr>
              <w:t>Samuel Alito</w:t>
            </w:r>
          </w:p>
        </w:tc>
        <w:tc>
          <w:tcPr>
            <w:tcW w:w="0" w:type="auto"/>
            <w:shd w:val="clear" w:color="auto" w:fill="auto"/>
            <w:noWrap/>
            <w:vAlign w:val="center"/>
            <w:hideMark/>
          </w:tcPr>
          <w:p w:rsidR="00CF0407" w:rsidRPr="00CF0407" w:rsidRDefault="00CF0407" w:rsidP="00810679">
            <w:pPr>
              <w:ind w:left="0" w:firstLine="0"/>
              <w:rPr>
                <w:rFonts w:eastAsia="Times New Roman" w:cs="Times New Roman"/>
                <w:color w:val="000000"/>
                <w:szCs w:val="24"/>
              </w:rPr>
            </w:pPr>
            <w:r w:rsidRPr="00CF0407">
              <w:rPr>
                <w:rFonts w:eastAsia="Times New Roman" w:cs="Times New Roman"/>
                <w:color w:val="000000"/>
                <w:szCs w:val="24"/>
              </w:rPr>
              <w:t>.064</w:t>
            </w:r>
          </w:p>
        </w:tc>
      </w:tr>
      <w:tr w:rsidR="00CF0407" w:rsidRPr="00CF0407" w:rsidTr="00810679">
        <w:trPr>
          <w:trHeight w:val="360"/>
        </w:trPr>
        <w:tc>
          <w:tcPr>
            <w:tcW w:w="0" w:type="auto"/>
            <w:shd w:val="clear" w:color="auto" w:fill="auto"/>
            <w:noWrap/>
            <w:vAlign w:val="center"/>
            <w:hideMark/>
          </w:tcPr>
          <w:p w:rsidR="00CF0407" w:rsidRPr="00CF0407" w:rsidRDefault="00CF0407" w:rsidP="00810679">
            <w:pPr>
              <w:ind w:left="0" w:firstLine="0"/>
              <w:rPr>
                <w:rFonts w:eastAsia="Times New Roman" w:cs="Times New Roman"/>
                <w:color w:val="000000"/>
                <w:sz w:val="22"/>
              </w:rPr>
            </w:pPr>
            <w:r w:rsidRPr="00CF0407">
              <w:rPr>
                <w:rFonts w:eastAsia="Times New Roman" w:cs="Times New Roman"/>
                <w:color w:val="000000"/>
                <w:sz w:val="22"/>
              </w:rPr>
              <w:t>9</w:t>
            </w:r>
          </w:p>
        </w:tc>
        <w:tc>
          <w:tcPr>
            <w:tcW w:w="0" w:type="auto"/>
            <w:shd w:val="clear" w:color="auto" w:fill="auto"/>
            <w:noWrap/>
            <w:vAlign w:val="center"/>
            <w:hideMark/>
          </w:tcPr>
          <w:p w:rsidR="00CF0407" w:rsidRPr="00CF0407" w:rsidRDefault="00CF0407" w:rsidP="00810679">
            <w:pPr>
              <w:ind w:left="0" w:firstLine="0"/>
              <w:rPr>
                <w:rFonts w:eastAsia="Times New Roman" w:cs="Times New Roman"/>
                <w:b/>
                <w:bCs/>
                <w:color w:val="000000"/>
                <w:szCs w:val="24"/>
              </w:rPr>
            </w:pPr>
            <w:r w:rsidRPr="00CF0407">
              <w:rPr>
                <w:rFonts w:eastAsia="Times New Roman" w:cs="Times New Roman"/>
                <w:b/>
                <w:bCs/>
                <w:color w:val="000000"/>
                <w:szCs w:val="24"/>
              </w:rPr>
              <w:t>John Roberts</w:t>
            </w:r>
          </w:p>
        </w:tc>
        <w:tc>
          <w:tcPr>
            <w:tcW w:w="0" w:type="auto"/>
            <w:shd w:val="clear" w:color="auto" w:fill="auto"/>
            <w:noWrap/>
            <w:vAlign w:val="center"/>
            <w:hideMark/>
          </w:tcPr>
          <w:p w:rsidR="00CF0407" w:rsidRPr="00CF0407" w:rsidRDefault="00CF0407" w:rsidP="00810679">
            <w:pPr>
              <w:ind w:left="0" w:firstLine="0"/>
              <w:rPr>
                <w:rFonts w:eastAsia="Times New Roman" w:cs="Times New Roman"/>
                <w:color w:val="000000"/>
                <w:szCs w:val="24"/>
              </w:rPr>
            </w:pPr>
            <w:r w:rsidRPr="00CF0407">
              <w:rPr>
                <w:rFonts w:eastAsia="Times New Roman" w:cs="Times New Roman"/>
                <w:color w:val="000000"/>
                <w:szCs w:val="24"/>
              </w:rPr>
              <w:t>.057</w:t>
            </w:r>
          </w:p>
        </w:tc>
      </w:tr>
      <w:tr w:rsidR="00CF0407" w:rsidRPr="00CF0407" w:rsidTr="00810679">
        <w:trPr>
          <w:trHeight w:val="360"/>
        </w:trPr>
        <w:tc>
          <w:tcPr>
            <w:tcW w:w="0" w:type="auto"/>
            <w:shd w:val="clear" w:color="auto" w:fill="auto"/>
            <w:noWrap/>
            <w:vAlign w:val="center"/>
            <w:hideMark/>
          </w:tcPr>
          <w:p w:rsidR="00CF0407" w:rsidRPr="00CF0407" w:rsidRDefault="00CF0407" w:rsidP="00810679">
            <w:pPr>
              <w:ind w:left="0" w:firstLine="0"/>
              <w:rPr>
                <w:rFonts w:eastAsia="Times New Roman" w:cs="Times New Roman"/>
                <w:color w:val="000000"/>
                <w:sz w:val="22"/>
              </w:rPr>
            </w:pPr>
            <w:r w:rsidRPr="00CF0407">
              <w:rPr>
                <w:rFonts w:eastAsia="Times New Roman" w:cs="Times New Roman"/>
                <w:color w:val="000000"/>
                <w:sz w:val="22"/>
              </w:rPr>
              <w:t>10</w:t>
            </w:r>
          </w:p>
        </w:tc>
        <w:tc>
          <w:tcPr>
            <w:tcW w:w="0" w:type="auto"/>
            <w:shd w:val="clear" w:color="auto" w:fill="auto"/>
            <w:noWrap/>
            <w:vAlign w:val="center"/>
            <w:hideMark/>
          </w:tcPr>
          <w:p w:rsidR="00CF0407" w:rsidRPr="00CF0407" w:rsidRDefault="00CF0407" w:rsidP="00810679">
            <w:pPr>
              <w:ind w:left="0" w:firstLine="0"/>
              <w:rPr>
                <w:rFonts w:eastAsia="Times New Roman" w:cs="Times New Roman"/>
                <w:b/>
                <w:bCs/>
                <w:color w:val="000000"/>
                <w:szCs w:val="24"/>
              </w:rPr>
            </w:pPr>
            <w:r w:rsidRPr="00CF0407">
              <w:rPr>
                <w:rFonts w:eastAsia="Times New Roman" w:cs="Times New Roman"/>
                <w:b/>
                <w:bCs/>
                <w:color w:val="000000"/>
                <w:szCs w:val="24"/>
              </w:rPr>
              <w:t>Clarence Thomas</w:t>
            </w:r>
          </w:p>
        </w:tc>
        <w:tc>
          <w:tcPr>
            <w:tcW w:w="0" w:type="auto"/>
            <w:shd w:val="clear" w:color="auto" w:fill="auto"/>
            <w:noWrap/>
            <w:vAlign w:val="center"/>
            <w:hideMark/>
          </w:tcPr>
          <w:p w:rsidR="00CF0407" w:rsidRPr="00CF0407" w:rsidRDefault="00CF0407" w:rsidP="00810679">
            <w:pPr>
              <w:ind w:left="0" w:firstLine="0"/>
              <w:rPr>
                <w:rFonts w:eastAsia="Times New Roman" w:cs="Times New Roman"/>
                <w:color w:val="000000"/>
                <w:szCs w:val="24"/>
              </w:rPr>
            </w:pPr>
            <w:r w:rsidRPr="00CF0407">
              <w:rPr>
                <w:rFonts w:eastAsia="Times New Roman" w:cs="Times New Roman"/>
                <w:color w:val="000000"/>
                <w:szCs w:val="24"/>
              </w:rPr>
              <w:t>.055</w:t>
            </w:r>
          </w:p>
        </w:tc>
      </w:tr>
      <w:tr w:rsidR="00CF0407" w:rsidRPr="00CF0407" w:rsidTr="00810679">
        <w:trPr>
          <w:trHeight w:val="360"/>
        </w:trPr>
        <w:tc>
          <w:tcPr>
            <w:tcW w:w="0" w:type="auto"/>
            <w:shd w:val="clear" w:color="auto" w:fill="auto"/>
            <w:noWrap/>
            <w:vAlign w:val="center"/>
            <w:hideMark/>
          </w:tcPr>
          <w:p w:rsidR="00CF0407" w:rsidRPr="00CF0407" w:rsidRDefault="00CF0407" w:rsidP="00810679">
            <w:pPr>
              <w:ind w:left="0" w:firstLine="0"/>
              <w:rPr>
                <w:rFonts w:eastAsia="Times New Roman" w:cs="Times New Roman"/>
                <w:color w:val="000000"/>
                <w:sz w:val="22"/>
              </w:rPr>
            </w:pPr>
            <w:r w:rsidRPr="00CF0407">
              <w:rPr>
                <w:rFonts w:eastAsia="Times New Roman" w:cs="Times New Roman"/>
                <w:color w:val="000000"/>
                <w:sz w:val="22"/>
              </w:rPr>
              <w:t>11</w:t>
            </w:r>
          </w:p>
        </w:tc>
        <w:tc>
          <w:tcPr>
            <w:tcW w:w="0" w:type="auto"/>
            <w:shd w:val="clear" w:color="auto" w:fill="auto"/>
            <w:noWrap/>
            <w:vAlign w:val="center"/>
            <w:hideMark/>
          </w:tcPr>
          <w:p w:rsidR="00CF0407" w:rsidRPr="00CF0407" w:rsidRDefault="00CF0407" w:rsidP="00810679">
            <w:pPr>
              <w:ind w:left="0" w:firstLine="0"/>
              <w:rPr>
                <w:rFonts w:eastAsia="Times New Roman" w:cs="Times New Roman"/>
                <w:b/>
                <w:bCs/>
                <w:color w:val="000000"/>
                <w:szCs w:val="24"/>
              </w:rPr>
            </w:pPr>
            <w:r w:rsidRPr="00CF0407">
              <w:rPr>
                <w:rFonts w:eastAsia="Times New Roman" w:cs="Times New Roman"/>
                <w:b/>
                <w:bCs/>
                <w:color w:val="000000"/>
                <w:szCs w:val="24"/>
              </w:rPr>
              <w:t>Antonin Scalia</w:t>
            </w:r>
          </w:p>
        </w:tc>
        <w:tc>
          <w:tcPr>
            <w:tcW w:w="0" w:type="auto"/>
            <w:shd w:val="clear" w:color="auto" w:fill="auto"/>
            <w:noWrap/>
            <w:vAlign w:val="center"/>
            <w:hideMark/>
          </w:tcPr>
          <w:p w:rsidR="00CF0407" w:rsidRPr="00CF0407" w:rsidRDefault="00CF0407" w:rsidP="00810679">
            <w:pPr>
              <w:ind w:left="0" w:firstLine="0"/>
              <w:rPr>
                <w:rFonts w:eastAsia="Times New Roman" w:cs="Times New Roman"/>
                <w:color w:val="000000"/>
                <w:szCs w:val="24"/>
              </w:rPr>
            </w:pPr>
            <w:r w:rsidRPr="00CF0407">
              <w:rPr>
                <w:rFonts w:eastAsia="Times New Roman" w:cs="Times New Roman"/>
                <w:color w:val="000000"/>
                <w:szCs w:val="24"/>
              </w:rPr>
              <w:t>.032</w:t>
            </w:r>
          </w:p>
        </w:tc>
      </w:tr>
    </w:tbl>
    <w:p w:rsidR="006616F5" w:rsidRPr="009E62D9" w:rsidRDefault="006616F5" w:rsidP="006616F5">
      <w:pPr>
        <w:autoSpaceDE w:val="0"/>
        <w:autoSpaceDN w:val="0"/>
        <w:adjustRightInd w:val="0"/>
        <w:ind w:left="90" w:firstLine="0"/>
        <w:rPr>
          <w:sz w:val="22"/>
        </w:rPr>
      </w:pPr>
      <w:r>
        <w:rPr>
          <w:sz w:val="22"/>
        </w:rPr>
        <w:t>*p&lt;.10 **p&lt;.05, ***p&lt;.01, ****p&lt;.001 (two-tailed)</w:t>
      </w:r>
    </w:p>
    <w:p w:rsidR="00810679" w:rsidRDefault="00810679" w:rsidP="00810679">
      <w:pPr>
        <w:spacing w:line="480" w:lineRule="auto"/>
        <w:ind w:left="0" w:firstLine="0"/>
        <w:jc w:val="both"/>
        <w:rPr>
          <w:rFonts w:cs="Times New Roman"/>
          <w:b/>
          <w:szCs w:val="24"/>
        </w:rPr>
      </w:pPr>
    </w:p>
    <w:p w:rsidR="00990916" w:rsidRDefault="00B02A59" w:rsidP="00016491">
      <w:pPr>
        <w:spacing w:line="480" w:lineRule="auto"/>
        <w:ind w:left="0" w:firstLine="0"/>
        <w:rPr>
          <w:rFonts w:cs="Times New Roman"/>
          <w:b/>
          <w:szCs w:val="24"/>
        </w:rPr>
      </w:pPr>
      <w:r>
        <w:rPr>
          <w:rFonts w:cs="Times New Roman"/>
          <w:b/>
          <w:szCs w:val="24"/>
        </w:rPr>
        <w:tab/>
      </w:r>
    </w:p>
    <w:p w:rsidR="003F2BBC" w:rsidRDefault="00B02A59" w:rsidP="00990916">
      <w:pPr>
        <w:spacing w:line="480" w:lineRule="auto"/>
        <w:ind w:left="0" w:firstLine="720"/>
        <w:rPr>
          <w:rFonts w:cs="Times New Roman"/>
          <w:szCs w:val="24"/>
        </w:rPr>
      </w:pPr>
      <w:r>
        <w:rPr>
          <w:rFonts w:cs="Times New Roman"/>
          <w:szCs w:val="24"/>
        </w:rPr>
        <w:t>Table 5.11 ranks the justices of the Roberts</w:t>
      </w:r>
      <w:r w:rsidR="008A05D4">
        <w:rPr>
          <w:rFonts w:cs="Times New Roman"/>
          <w:szCs w:val="24"/>
        </w:rPr>
        <w:t xml:space="preserve"> Court based upon the Pearson c</w:t>
      </w:r>
      <w:r>
        <w:rPr>
          <w:rFonts w:cs="Times New Roman"/>
          <w:szCs w:val="24"/>
        </w:rPr>
        <w:t xml:space="preserve">orrelation between the justice and </w:t>
      </w:r>
      <w:r>
        <w:rPr>
          <w:rFonts w:cs="Times New Roman"/>
          <w:i/>
          <w:szCs w:val="24"/>
        </w:rPr>
        <w:t xml:space="preserve">Liberal-Conservative Amicus Briefs Difference. </w:t>
      </w:r>
      <w:r w:rsidR="00FF6C9C">
        <w:rPr>
          <w:rFonts w:cs="Times New Roman"/>
          <w:szCs w:val="24"/>
        </w:rPr>
        <w:t xml:space="preserve"> Table 5.11</w:t>
      </w:r>
      <w:r w:rsidR="008A05D4">
        <w:rPr>
          <w:rFonts w:cs="Times New Roman"/>
          <w:szCs w:val="24"/>
        </w:rPr>
        <w:t xml:space="preserve"> shows that Justice Kagan has the highest Pearson correlation of the justices (.219),</w:t>
      </w:r>
      <w:r w:rsidR="00FF6C9C">
        <w:rPr>
          <w:rFonts w:cs="Times New Roman"/>
          <w:szCs w:val="24"/>
        </w:rPr>
        <w:t xml:space="preserve"> </w:t>
      </w:r>
      <w:r w:rsidR="008A05D4">
        <w:rPr>
          <w:rFonts w:cs="Times New Roman"/>
          <w:szCs w:val="24"/>
        </w:rPr>
        <w:t xml:space="preserve">suggesting </w:t>
      </w:r>
      <w:r w:rsidR="00FF6C9C">
        <w:rPr>
          <w:rFonts w:cs="Times New Roman"/>
          <w:szCs w:val="24"/>
        </w:rPr>
        <w:t xml:space="preserve">that Justice Kagan is the justice who is most </w:t>
      </w:r>
      <w:r w:rsidR="008A05D4">
        <w:rPr>
          <w:rFonts w:cs="Times New Roman"/>
          <w:szCs w:val="24"/>
        </w:rPr>
        <w:t xml:space="preserve">influenced by an ideological advantage of amicus briefs.  Justice Kennedy ranks second, with a Pearson’s correlation of .174.  </w:t>
      </w:r>
      <w:r w:rsidR="00A41B3D">
        <w:rPr>
          <w:rFonts w:cs="Times New Roman"/>
          <w:szCs w:val="24"/>
        </w:rPr>
        <w:t xml:space="preserve">Justices Souter, Breyer, and Ginsburg also show a statistically significant correlation between their votes and an ideological advantage of amicus briefs. </w:t>
      </w:r>
      <w:r w:rsidR="008A05D4">
        <w:rPr>
          <w:rFonts w:cs="Times New Roman"/>
          <w:szCs w:val="24"/>
        </w:rPr>
        <w:t xml:space="preserve">Justices Thomas and Scalia have the lowest Pearson correlation </w:t>
      </w:r>
      <w:r w:rsidR="00A41B3D">
        <w:rPr>
          <w:rFonts w:cs="Times New Roman"/>
          <w:szCs w:val="24"/>
        </w:rPr>
        <w:t>scores</w:t>
      </w:r>
      <w:r w:rsidR="00541B9F">
        <w:rPr>
          <w:rFonts w:cs="Times New Roman"/>
          <w:szCs w:val="24"/>
        </w:rPr>
        <w:t xml:space="preserve"> that are not statistically significant</w:t>
      </w:r>
      <w:r w:rsidR="00A41B3D">
        <w:rPr>
          <w:rFonts w:cs="Times New Roman"/>
          <w:szCs w:val="24"/>
        </w:rPr>
        <w:t xml:space="preserve">. </w:t>
      </w:r>
      <w:r w:rsidR="008A05D4">
        <w:rPr>
          <w:rFonts w:cs="Times New Roman"/>
          <w:szCs w:val="24"/>
        </w:rPr>
        <w:t xml:space="preserve">This is an interesting finding, as Justices Thomas and Scalia are the two most conservative justices (as measured by either Segal-Cover or Martin-Quinn scores), and as they are also the two least ideologically moderate justices according to my </w:t>
      </w:r>
      <w:r w:rsidR="008A05D4">
        <w:rPr>
          <w:rFonts w:cs="Times New Roman"/>
          <w:i/>
          <w:szCs w:val="24"/>
        </w:rPr>
        <w:t xml:space="preserve">Judicial Moderation </w:t>
      </w:r>
      <w:r w:rsidR="008A05D4">
        <w:rPr>
          <w:rFonts w:cs="Times New Roman"/>
          <w:szCs w:val="24"/>
        </w:rPr>
        <w:t xml:space="preserve">measure.  Thus, the two most conservative </w:t>
      </w:r>
      <w:r w:rsidR="00BC3CFB">
        <w:rPr>
          <w:rFonts w:cs="Times New Roman"/>
          <w:szCs w:val="24"/>
        </w:rPr>
        <w:t xml:space="preserve">(and least moderate) </w:t>
      </w:r>
      <w:r w:rsidR="008A05D4">
        <w:rPr>
          <w:rFonts w:cs="Times New Roman"/>
          <w:szCs w:val="24"/>
        </w:rPr>
        <w:t xml:space="preserve">justices </w:t>
      </w:r>
      <w:r w:rsidR="008A05D4">
        <w:rPr>
          <w:rFonts w:cs="Times New Roman"/>
          <w:szCs w:val="24"/>
        </w:rPr>
        <w:lastRenderedPageBreak/>
        <w:t xml:space="preserve">seem to be most resistant to the influence of amicus briefs. </w:t>
      </w:r>
      <w:r w:rsidR="00990916">
        <w:rPr>
          <w:rFonts w:cs="Times New Roman"/>
          <w:szCs w:val="24"/>
        </w:rPr>
        <w:t xml:space="preserve"> This confirms the findings of my </w:t>
      </w:r>
      <w:proofErr w:type="spellStart"/>
      <w:r w:rsidR="00990916">
        <w:rPr>
          <w:rFonts w:cs="Times New Roman"/>
          <w:szCs w:val="24"/>
        </w:rPr>
        <w:t>logit</w:t>
      </w:r>
      <w:proofErr w:type="spellEnd"/>
      <w:r w:rsidR="00990916">
        <w:rPr>
          <w:rFonts w:cs="Times New Roman"/>
          <w:szCs w:val="24"/>
        </w:rPr>
        <w:t xml:space="preserve"> models above.</w:t>
      </w:r>
      <w:r w:rsidR="008A05D4">
        <w:rPr>
          <w:rFonts w:cs="Times New Roman"/>
          <w:szCs w:val="24"/>
        </w:rPr>
        <w:t xml:space="preserve"> </w:t>
      </w:r>
      <w:r w:rsidR="00990916">
        <w:rPr>
          <w:rFonts w:cs="Times New Roman"/>
          <w:szCs w:val="24"/>
        </w:rPr>
        <w:t xml:space="preserve"> </w:t>
      </w:r>
      <w:r w:rsidR="008A05D4">
        <w:rPr>
          <w:rFonts w:cs="Times New Roman"/>
          <w:szCs w:val="24"/>
        </w:rPr>
        <w:t>However, the most moderate justice (Kennedy) and the third most moderate j</w:t>
      </w:r>
      <w:r w:rsidR="00BC3CFB">
        <w:rPr>
          <w:rFonts w:cs="Times New Roman"/>
          <w:szCs w:val="24"/>
        </w:rPr>
        <w:t>ustice (Kagan) evidence the greatest</w:t>
      </w:r>
      <w:r w:rsidR="008A05D4">
        <w:rPr>
          <w:rFonts w:cs="Times New Roman"/>
          <w:szCs w:val="24"/>
        </w:rPr>
        <w:t xml:space="preserve"> amicus brief influence.  </w:t>
      </w:r>
      <w:r w:rsidR="00990916">
        <w:rPr>
          <w:rFonts w:cs="Times New Roman"/>
          <w:szCs w:val="24"/>
        </w:rPr>
        <w:t xml:space="preserve">This is also consistent with the findings of the </w:t>
      </w:r>
      <w:proofErr w:type="spellStart"/>
      <w:r w:rsidR="00990916">
        <w:rPr>
          <w:rFonts w:cs="Times New Roman"/>
          <w:szCs w:val="24"/>
        </w:rPr>
        <w:t>logit</w:t>
      </w:r>
      <w:proofErr w:type="spellEnd"/>
      <w:r w:rsidR="00990916">
        <w:rPr>
          <w:rFonts w:cs="Times New Roman"/>
          <w:szCs w:val="24"/>
        </w:rPr>
        <w:t xml:space="preserve"> models included above.</w:t>
      </w:r>
      <w:r w:rsidR="008A05D4">
        <w:rPr>
          <w:rFonts w:cs="Times New Roman"/>
          <w:szCs w:val="24"/>
        </w:rPr>
        <w:t xml:space="preserve"> </w:t>
      </w:r>
    </w:p>
    <w:p w:rsidR="006616F5" w:rsidRDefault="008A05D4" w:rsidP="00016491">
      <w:pPr>
        <w:spacing w:line="480" w:lineRule="auto"/>
        <w:ind w:left="0" w:firstLine="720"/>
        <w:rPr>
          <w:rFonts w:cs="Times New Roman"/>
          <w:szCs w:val="24"/>
        </w:rPr>
      </w:pPr>
      <w:r>
        <w:rPr>
          <w:rFonts w:cs="Times New Roman"/>
          <w:szCs w:val="24"/>
        </w:rPr>
        <w:t xml:space="preserve">The influence of an ideological advantage of amicus briefs on </w:t>
      </w:r>
      <w:r w:rsidR="00A41B3D">
        <w:rPr>
          <w:rFonts w:cs="Times New Roman"/>
          <w:szCs w:val="24"/>
        </w:rPr>
        <w:t xml:space="preserve">Justice </w:t>
      </w:r>
      <w:r>
        <w:rPr>
          <w:rFonts w:cs="Times New Roman"/>
          <w:szCs w:val="24"/>
        </w:rPr>
        <w:t>Kagan is also notable as she is the newest member of the Roberts Court</w:t>
      </w:r>
      <w:r w:rsidR="003F2BBC">
        <w:rPr>
          <w:rFonts w:cs="Times New Roman"/>
          <w:szCs w:val="24"/>
        </w:rPr>
        <w:t>, joining the USSC for the 2010 term</w:t>
      </w:r>
      <w:r>
        <w:rPr>
          <w:rFonts w:cs="Times New Roman"/>
          <w:szCs w:val="24"/>
        </w:rPr>
        <w:t>.  Perhaps the “</w:t>
      </w:r>
      <w:r w:rsidR="003F2BBC">
        <w:rPr>
          <w:rFonts w:cs="Times New Roman"/>
          <w:szCs w:val="24"/>
        </w:rPr>
        <w:t>freshman effect” (or “acclimation effect”)</w:t>
      </w:r>
      <w:r>
        <w:rPr>
          <w:rFonts w:cs="Times New Roman"/>
          <w:szCs w:val="24"/>
        </w:rPr>
        <w:t xml:space="preserve"> plays a role here in making it more likely for amicus briefs to influence Justice Kagan</w:t>
      </w:r>
      <w:r w:rsidR="003F2BBC">
        <w:rPr>
          <w:rFonts w:cs="Times New Roman"/>
          <w:szCs w:val="24"/>
        </w:rPr>
        <w:t xml:space="preserve"> than the other justices.  Various studies have shown that new Supreme Court justices (“freshman” in their first couple of years on the Court) are more ideologically moderate, restrained, indecisive, and susceptible to influence than those justices who have sat on the USSC for longer periods or than that same justice at a later point in his/her career (</w:t>
      </w:r>
      <w:r w:rsidR="00A41B3D">
        <w:rPr>
          <w:rFonts w:cs="Times New Roman"/>
          <w:szCs w:val="24"/>
        </w:rPr>
        <w:t xml:space="preserve">e.g., </w:t>
      </w:r>
      <w:r w:rsidR="003F2BBC">
        <w:rPr>
          <w:rFonts w:cs="Times New Roman"/>
          <w:szCs w:val="24"/>
        </w:rPr>
        <w:t xml:space="preserve">Brenner 1983; </w:t>
      </w:r>
      <w:proofErr w:type="spellStart"/>
      <w:r w:rsidR="00A41B3D">
        <w:rPr>
          <w:rFonts w:cs="Times New Roman"/>
          <w:szCs w:val="24"/>
        </w:rPr>
        <w:t>Hagle</w:t>
      </w:r>
      <w:proofErr w:type="spellEnd"/>
      <w:r w:rsidR="00A41B3D">
        <w:rPr>
          <w:rFonts w:cs="Times New Roman"/>
          <w:szCs w:val="24"/>
        </w:rPr>
        <w:t xml:space="preserve"> </w:t>
      </w:r>
      <w:r w:rsidR="003F2BBC">
        <w:rPr>
          <w:rFonts w:cs="Times New Roman"/>
          <w:szCs w:val="24"/>
        </w:rPr>
        <w:t xml:space="preserve">1993; </w:t>
      </w:r>
      <w:r w:rsidR="00A41B3D">
        <w:rPr>
          <w:rFonts w:cs="Times New Roman"/>
          <w:szCs w:val="24"/>
        </w:rPr>
        <w:t xml:space="preserve">Hurwitz and </w:t>
      </w:r>
      <w:proofErr w:type="spellStart"/>
      <w:r w:rsidR="00A70CE1">
        <w:rPr>
          <w:rFonts w:cs="Times New Roman"/>
          <w:szCs w:val="24"/>
        </w:rPr>
        <w:t>Stefko</w:t>
      </w:r>
      <w:proofErr w:type="spellEnd"/>
      <w:r w:rsidR="00A70CE1">
        <w:rPr>
          <w:rFonts w:cs="Times New Roman"/>
          <w:szCs w:val="24"/>
        </w:rPr>
        <w:t xml:space="preserve"> 2004).</w:t>
      </w:r>
      <w:r w:rsidR="00C16453">
        <w:rPr>
          <w:rFonts w:cs="Times New Roman"/>
          <w:szCs w:val="24"/>
        </w:rPr>
        <w:t xml:space="preserve"> Thus, the significant correlation between the ideological direction of Justice Kagan’s votes and an advantage of amicus briefs in the same ideological direction may be related both to her ideological moderation, and to her newness on the Court.  Further, her susceptibility to amicus brief influence may also by related to the f</w:t>
      </w:r>
      <w:r w:rsidR="008E4DF5">
        <w:rPr>
          <w:rFonts w:cs="Times New Roman"/>
          <w:szCs w:val="24"/>
        </w:rPr>
        <w:t xml:space="preserve">act that immediately prior to her confirmation </w:t>
      </w:r>
      <w:r w:rsidR="00C16453">
        <w:rPr>
          <w:rFonts w:cs="Times New Roman"/>
          <w:szCs w:val="24"/>
        </w:rPr>
        <w:t>t</w:t>
      </w:r>
      <w:r w:rsidR="008E4DF5">
        <w:rPr>
          <w:rFonts w:cs="Times New Roman"/>
          <w:szCs w:val="24"/>
        </w:rPr>
        <w:t xml:space="preserve">o the USSC, Kagan </w:t>
      </w:r>
      <w:r w:rsidR="00C16453">
        <w:rPr>
          <w:rFonts w:cs="Times New Roman"/>
          <w:szCs w:val="24"/>
        </w:rPr>
        <w:t xml:space="preserve">served as the U.S. Solicitor General under the Obama Administration.  </w:t>
      </w:r>
      <w:r w:rsidR="00E45308">
        <w:rPr>
          <w:rFonts w:cs="Times New Roman"/>
          <w:szCs w:val="24"/>
        </w:rPr>
        <w:t>One would expect that the person who has held the highest office as the nation’s leading advocate on behalf of th</w:t>
      </w:r>
      <w:r w:rsidR="00BC3CFB">
        <w:rPr>
          <w:rFonts w:cs="Times New Roman"/>
          <w:szCs w:val="24"/>
        </w:rPr>
        <w:t>e United States before the USSC</w:t>
      </w:r>
      <w:r w:rsidR="00E45308">
        <w:rPr>
          <w:rFonts w:cs="Times New Roman"/>
          <w:szCs w:val="24"/>
        </w:rPr>
        <w:t xml:space="preserve"> would have a particular appreciation for, and be amenable to, cogent and persuasive legal arguments contained within amicus briefs in her search to reach the most accurate resolutions to cases and controversies that come before her. </w:t>
      </w:r>
    </w:p>
    <w:p w:rsidR="006616F5" w:rsidRDefault="00BC3CFB" w:rsidP="00990916">
      <w:pPr>
        <w:spacing w:line="480" w:lineRule="auto"/>
        <w:ind w:left="0" w:firstLine="720"/>
        <w:rPr>
          <w:rFonts w:cs="Times New Roman"/>
          <w:szCs w:val="24"/>
        </w:rPr>
      </w:pPr>
      <w:r>
        <w:rPr>
          <w:rFonts w:cs="Times New Roman"/>
          <w:szCs w:val="24"/>
        </w:rPr>
        <w:t>A</w:t>
      </w:r>
      <w:r w:rsidR="00E45308">
        <w:rPr>
          <w:rFonts w:cs="Times New Roman"/>
          <w:szCs w:val="24"/>
        </w:rPr>
        <w:t xml:space="preserve"> final note re</w:t>
      </w:r>
      <w:r w:rsidR="009574CF">
        <w:rPr>
          <w:rFonts w:cs="Times New Roman"/>
          <w:szCs w:val="24"/>
        </w:rPr>
        <w:t>garding Table 5.11</w:t>
      </w:r>
      <w:r>
        <w:rPr>
          <w:rFonts w:cs="Times New Roman"/>
          <w:szCs w:val="24"/>
        </w:rPr>
        <w:t xml:space="preserve"> is in order</w:t>
      </w:r>
      <w:r w:rsidR="00E45308">
        <w:rPr>
          <w:rFonts w:cs="Times New Roman"/>
          <w:szCs w:val="24"/>
        </w:rPr>
        <w:t xml:space="preserve">.  Those justices viewed as liberal, together with the consummate “swing” Justice Kennedy, are ranked 1-7, while the four justices deemed to </w:t>
      </w:r>
      <w:r w:rsidR="00E45308">
        <w:rPr>
          <w:rFonts w:cs="Times New Roman"/>
          <w:szCs w:val="24"/>
        </w:rPr>
        <w:lastRenderedPageBreak/>
        <w:t>be most conservative rank 8-11.  This would indicate that the liberal justices, as a bloc, are more receptive to amicus brief influence than are the conservatives on the Roberts Court.  This res</w:t>
      </w:r>
      <w:r w:rsidR="00A41B3D">
        <w:rPr>
          <w:rFonts w:cs="Times New Roman"/>
          <w:szCs w:val="24"/>
        </w:rPr>
        <w:t>ult may be related to a difference between liberal and conservative j</w:t>
      </w:r>
      <w:r>
        <w:rPr>
          <w:rFonts w:cs="Times New Roman"/>
          <w:szCs w:val="24"/>
        </w:rPr>
        <w:t>ustices as to how they view the judicial role</w:t>
      </w:r>
      <w:r w:rsidR="00A41B3D">
        <w:rPr>
          <w:rFonts w:cs="Times New Roman"/>
          <w:szCs w:val="24"/>
        </w:rPr>
        <w:t>, or it could simply be that the conservative justices, as a group, are less likely to vote against their ideological tendencies than liberal justices, regardless of outside attempts at influence.</w:t>
      </w:r>
      <w:r w:rsidR="00990916">
        <w:rPr>
          <w:rFonts w:cs="Times New Roman"/>
          <w:szCs w:val="24"/>
        </w:rPr>
        <w:t xml:space="preserve"> </w:t>
      </w:r>
    </w:p>
    <w:p w:rsidR="00B6457A" w:rsidRDefault="00B6457A" w:rsidP="00990916">
      <w:pPr>
        <w:spacing w:line="480" w:lineRule="auto"/>
        <w:ind w:left="0" w:firstLine="720"/>
        <w:rPr>
          <w:rFonts w:cs="Times New Roman"/>
          <w:szCs w:val="24"/>
        </w:rPr>
      </w:pPr>
      <w:r>
        <w:rPr>
          <w:rFonts w:cs="Times New Roman"/>
          <w:szCs w:val="24"/>
        </w:rPr>
        <w:t xml:space="preserve">Table 5.12 ranks the justices of the Roberts Court based upon the Pearson correlation between the justice and </w:t>
      </w:r>
      <w:r>
        <w:rPr>
          <w:rFonts w:cs="Times New Roman"/>
          <w:i/>
          <w:szCs w:val="24"/>
        </w:rPr>
        <w:t xml:space="preserve">Liberal-Conservative Amicus Cosigners Difference. </w:t>
      </w:r>
      <w:r>
        <w:rPr>
          <w:rFonts w:cs="Times New Roman"/>
          <w:szCs w:val="24"/>
        </w:rPr>
        <w:t xml:space="preserve"> Table 5.12 shows that Justice Kagan, once again, has the highest Pearson correlation of the justices (.230), suggesting that Justice Kagan is the justice who is most influenced by an ideological advantage of amicus cosigners.  Justice Kennedy, once again, ranks second, with a Pearson’s correlation of .121.  These are the only two justices who have a statistically significant relationship between the ideological direction of their vote and an ideological advantage of amicus cosigners, which should not be surprising given their high moderation levels.  Also, once again, Justices Thomas and Scalia have the lowest correlation – not surprising given their low moderation levels.  Most of the discussion surrounding Table 5.11 applies to table 5.12.  Other than these similarities, the main conclusion to draw from Table 5.12 is that, across the board, apart from Justice Kagan, the impact of amicus cosigners is less than the impact of amicus briefs on the justices, if present at all.  This finding is consistent with the interpretation of foregoing </w:t>
      </w:r>
      <w:proofErr w:type="spellStart"/>
      <w:r>
        <w:rPr>
          <w:rFonts w:cs="Times New Roman"/>
          <w:szCs w:val="24"/>
        </w:rPr>
        <w:t>logit</w:t>
      </w:r>
      <w:proofErr w:type="spellEnd"/>
      <w:r>
        <w:rPr>
          <w:rFonts w:cs="Times New Roman"/>
          <w:szCs w:val="24"/>
        </w:rPr>
        <w:t xml:space="preserve"> models.</w:t>
      </w:r>
    </w:p>
    <w:p w:rsidR="00BA3F0C" w:rsidRDefault="00B6457A" w:rsidP="00B6457A">
      <w:pPr>
        <w:spacing w:line="480" w:lineRule="auto"/>
        <w:ind w:left="0" w:firstLine="720"/>
        <w:rPr>
          <w:rFonts w:cs="Times New Roman"/>
          <w:b/>
          <w:szCs w:val="24"/>
        </w:rPr>
      </w:pPr>
      <w:r>
        <w:rPr>
          <w:rFonts w:cs="Times New Roman"/>
          <w:szCs w:val="24"/>
        </w:rPr>
        <w:t xml:space="preserve">Table 5.13 ranks the justices of the Roberts Court based upon the Pearson correlation between the justice and </w:t>
      </w:r>
      <w:r>
        <w:rPr>
          <w:rFonts w:cs="Times New Roman"/>
          <w:i/>
          <w:szCs w:val="24"/>
        </w:rPr>
        <w:t xml:space="preserve">Prestigious Liberal-Conservative Amicus Difference. </w:t>
      </w:r>
      <w:r>
        <w:rPr>
          <w:rFonts w:cs="Times New Roman"/>
          <w:szCs w:val="24"/>
        </w:rPr>
        <w:t xml:space="preserve"> Table 5.13 shows that Justice Kagan, for the third straight time, has the highest Pearson correlation (.190) of the</w:t>
      </w:r>
    </w:p>
    <w:p w:rsidR="00810679" w:rsidRDefault="00810679" w:rsidP="00810679">
      <w:pPr>
        <w:spacing w:line="480" w:lineRule="auto"/>
        <w:ind w:left="0" w:firstLine="0"/>
        <w:jc w:val="both"/>
        <w:rPr>
          <w:rFonts w:cs="Times New Roman"/>
          <w:b/>
          <w:i/>
          <w:szCs w:val="24"/>
        </w:rPr>
      </w:pPr>
      <w:proofErr w:type="gramStart"/>
      <w:r>
        <w:rPr>
          <w:rFonts w:cs="Times New Roman"/>
          <w:b/>
          <w:szCs w:val="24"/>
        </w:rPr>
        <w:lastRenderedPageBreak/>
        <w:t>Table 5.12</w:t>
      </w:r>
      <w:r w:rsidRPr="00810679">
        <w:rPr>
          <w:rFonts w:cs="Times New Roman"/>
          <w:b/>
          <w:szCs w:val="24"/>
        </w:rPr>
        <w:t>.</w:t>
      </w:r>
      <w:proofErr w:type="gramEnd"/>
      <w:r w:rsidRPr="00810679">
        <w:rPr>
          <w:rFonts w:cs="Times New Roman"/>
          <w:b/>
          <w:szCs w:val="24"/>
        </w:rPr>
        <w:t xml:space="preserve"> Ranking of Justices Based Upon Pearson Correlation </w:t>
      </w:r>
      <w:proofErr w:type="gramStart"/>
      <w:r w:rsidRPr="00810679">
        <w:rPr>
          <w:rFonts w:cs="Times New Roman"/>
          <w:b/>
          <w:szCs w:val="24"/>
        </w:rPr>
        <w:t>Between</w:t>
      </w:r>
      <w:proofErr w:type="gramEnd"/>
      <w:r w:rsidRPr="00810679">
        <w:rPr>
          <w:rFonts w:cs="Times New Roman"/>
          <w:b/>
          <w:szCs w:val="24"/>
        </w:rPr>
        <w:t xml:space="preserve"> </w:t>
      </w:r>
      <w:r w:rsidR="00426385">
        <w:rPr>
          <w:rFonts w:cs="Times New Roman"/>
          <w:b/>
          <w:szCs w:val="24"/>
        </w:rPr>
        <w:t xml:space="preserve">Ideological Direction of </w:t>
      </w:r>
      <w:r w:rsidRPr="00810679">
        <w:rPr>
          <w:rFonts w:cs="Times New Roman"/>
          <w:b/>
          <w:szCs w:val="24"/>
        </w:rPr>
        <w:t>Justice</w:t>
      </w:r>
      <w:r w:rsidR="00426385">
        <w:rPr>
          <w:rFonts w:cs="Times New Roman"/>
          <w:b/>
          <w:szCs w:val="24"/>
        </w:rPr>
        <w:t xml:space="preserve"> Vote</w:t>
      </w:r>
      <w:r w:rsidRPr="00810679">
        <w:rPr>
          <w:rFonts w:cs="Times New Roman"/>
          <w:b/>
          <w:szCs w:val="24"/>
        </w:rPr>
        <w:t xml:space="preserve"> and </w:t>
      </w:r>
      <w:r w:rsidRPr="00810679">
        <w:rPr>
          <w:rFonts w:cs="Times New Roman"/>
          <w:b/>
          <w:i/>
          <w:szCs w:val="24"/>
        </w:rPr>
        <w:t>Liberal-Cons</w:t>
      </w:r>
      <w:r>
        <w:rPr>
          <w:rFonts w:cs="Times New Roman"/>
          <w:b/>
          <w:i/>
          <w:szCs w:val="24"/>
        </w:rPr>
        <w:t>ervative Amicus Cosigner Difference</w:t>
      </w:r>
    </w:p>
    <w:tbl>
      <w:tblPr>
        <w:tblW w:w="0" w:type="auto"/>
        <w:tblInd w:w="93" w:type="dxa"/>
        <w:tblLook w:val="04A0" w:firstRow="1" w:lastRow="0" w:firstColumn="1" w:lastColumn="0" w:noHBand="0" w:noVBand="1"/>
      </w:tblPr>
      <w:tblGrid>
        <w:gridCol w:w="723"/>
        <w:gridCol w:w="2430"/>
        <w:gridCol w:w="2350"/>
      </w:tblGrid>
      <w:tr w:rsidR="00810679" w:rsidRPr="00810679" w:rsidTr="00810679">
        <w:trPr>
          <w:trHeight w:val="360"/>
        </w:trPr>
        <w:tc>
          <w:tcPr>
            <w:tcW w:w="0" w:type="auto"/>
            <w:tcBorders>
              <w:top w:val="single" w:sz="18" w:space="0" w:color="auto"/>
              <w:left w:val="nil"/>
              <w:bottom w:val="single" w:sz="18" w:space="0" w:color="auto"/>
              <w:right w:val="nil"/>
            </w:tcBorders>
            <w:vAlign w:val="center"/>
          </w:tcPr>
          <w:p w:rsidR="00810679" w:rsidRPr="00810679" w:rsidRDefault="00810679" w:rsidP="00810679">
            <w:pPr>
              <w:ind w:left="0" w:firstLine="0"/>
              <w:rPr>
                <w:rFonts w:eastAsia="Times New Roman" w:cs="Times New Roman"/>
                <w:color w:val="000000"/>
                <w:szCs w:val="24"/>
              </w:rPr>
            </w:pPr>
            <w:r>
              <w:rPr>
                <w:rFonts w:eastAsia="Times New Roman" w:cs="Times New Roman"/>
                <w:color w:val="000000"/>
                <w:szCs w:val="24"/>
              </w:rPr>
              <w:t>Rank</w:t>
            </w:r>
          </w:p>
        </w:tc>
        <w:tc>
          <w:tcPr>
            <w:tcW w:w="0" w:type="auto"/>
            <w:tcBorders>
              <w:top w:val="single" w:sz="18" w:space="0" w:color="auto"/>
              <w:left w:val="nil"/>
              <w:bottom w:val="single" w:sz="18" w:space="0" w:color="auto"/>
              <w:right w:val="nil"/>
            </w:tcBorders>
            <w:shd w:val="clear" w:color="auto" w:fill="auto"/>
            <w:noWrap/>
            <w:vAlign w:val="center"/>
            <w:hideMark/>
          </w:tcPr>
          <w:p w:rsidR="00810679" w:rsidRPr="00810679" w:rsidRDefault="00810679" w:rsidP="00810679">
            <w:pPr>
              <w:ind w:left="0" w:firstLine="0"/>
              <w:rPr>
                <w:rFonts w:eastAsia="Times New Roman" w:cs="Times New Roman"/>
                <w:color w:val="000000"/>
                <w:szCs w:val="24"/>
              </w:rPr>
            </w:pPr>
            <w:r w:rsidRPr="00810679">
              <w:rPr>
                <w:rFonts w:eastAsia="Times New Roman" w:cs="Times New Roman"/>
                <w:color w:val="000000"/>
                <w:szCs w:val="24"/>
              </w:rPr>
              <w:t>Justice</w:t>
            </w:r>
          </w:p>
        </w:tc>
        <w:tc>
          <w:tcPr>
            <w:tcW w:w="0" w:type="auto"/>
            <w:tcBorders>
              <w:top w:val="single" w:sz="18" w:space="0" w:color="auto"/>
              <w:left w:val="nil"/>
              <w:bottom w:val="single" w:sz="18" w:space="0" w:color="auto"/>
              <w:right w:val="nil"/>
            </w:tcBorders>
            <w:shd w:val="clear" w:color="auto" w:fill="auto"/>
            <w:vAlign w:val="center"/>
            <w:hideMark/>
          </w:tcPr>
          <w:p w:rsidR="00810679" w:rsidRPr="00810679" w:rsidRDefault="00810679" w:rsidP="00810679">
            <w:pPr>
              <w:ind w:left="0" w:firstLine="0"/>
              <w:rPr>
                <w:rFonts w:eastAsia="Times New Roman" w:cs="Times New Roman"/>
                <w:color w:val="000000"/>
                <w:szCs w:val="24"/>
              </w:rPr>
            </w:pPr>
            <w:r w:rsidRPr="00810679">
              <w:rPr>
                <w:rFonts w:eastAsia="Times New Roman" w:cs="Times New Roman"/>
                <w:color w:val="000000"/>
                <w:szCs w:val="24"/>
              </w:rPr>
              <w:t>Amicus Cosigner Diff</w:t>
            </w:r>
          </w:p>
        </w:tc>
      </w:tr>
      <w:tr w:rsidR="00810679" w:rsidRPr="00810679" w:rsidTr="00810679">
        <w:trPr>
          <w:trHeight w:val="360"/>
        </w:trPr>
        <w:tc>
          <w:tcPr>
            <w:tcW w:w="0" w:type="auto"/>
            <w:tcBorders>
              <w:top w:val="single" w:sz="18" w:space="0" w:color="auto"/>
              <w:left w:val="nil"/>
              <w:bottom w:val="nil"/>
              <w:right w:val="nil"/>
            </w:tcBorders>
            <w:vAlign w:val="center"/>
          </w:tcPr>
          <w:p w:rsidR="00810679" w:rsidRPr="00810679" w:rsidRDefault="00810679" w:rsidP="00810679">
            <w:pPr>
              <w:ind w:left="0" w:firstLine="0"/>
              <w:rPr>
                <w:rFonts w:eastAsia="Times New Roman" w:cs="Times New Roman"/>
                <w:bCs/>
                <w:color w:val="000000"/>
                <w:szCs w:val="24"/>
              </w:rPr>
            </w:pPr>
            <w:r>
              <w:rPr>
                <w:rFonts w:eastAsia="Times New Roman" w:cs="Times New Roman"/>
                <w:bCs/>
                <w:color w:val="000000"/>
                <w:szCs w:val="24"/>
              </w:rPr>
              <w:t>1</w:t>
            </w:r>
          </w:p>
        </w:tc>
        <w:tc>
          <w:tcPr>
            <w:tcW w:w="0" w:type="auto"/>
            <w:tcBorders>
              <w:top w:val="single" w:sz="18" w:space="0" w:color="auto"/>
              <w:left w:val="nil"/>
              <w:bottom w:val="nil"/>
              <w:right w:val="nil"/>
            </w:tcBorders>
            <w:shd w:val="clear" w:color="auto" w:fill="auto"/>
            <w:noWrap/>
            <w:vAlign w:val="center"/>
            <w:hideMark/>
          </w:tcPr>
          <w:p w:rsidR="00810679" w:rsidRPr="00810679" w:rsidRDefault="00810679" w:rsidP="00810679">
            <w:pPr>
              <w:ind w:left="0" w:firstLine="0"/>
              <w:rPr>
                <w:rFonts w:eastAsia="Times New Roman" w:cs="Times New Roman"/>
                <w:b/>
                <w:bCs/>
                <w:color w:val="000000"/>
                <w:szCs w:val="24"/>
              </w:rPr>
            </w:pPr>
            <w:r w:rsidRPr="00810679">
              <w:rPr>
                <w:rFonts w:eastAsia="Times New Roman" w:cs="Times New Roman"/>
                <w:b/>
                <w:bCs/>
                <w:color w:val="000000"/>
                <w:szCs w:val="24"/>
              </w:rPr>
              <w:t>Elena Kagan</w:t>
            </w:r>
          </w:p>
        </w:tc>
        <w:tc>
          <w:tcPr>
            <w:tcW w:w="0" w:type="auto"/>
            <w:tcBorders>
              <w:top w:val="single" w:sz="18" w:space="0" w:color="auto"/>
              <w:left w:val="nil"/>
              <w:bottom w:val="nil"/>
              <w:right w:val="nil"/>
            </w:tcBorders>
            <w:shd w:val="clear" w:color="auto" w:fill="auto"/>
            <w:noWrap/>
            <w:vAlign w:val="center"/>
            <w:hideMark/>
          </w:tcPr>
          <w:p w:rsidR="00810679" w:rsidRPr="00810679" w:rsidRDefault="00810679" w:rsidP="00810679">
            <w:pPr>
              <w:ind w:left="0" w:firstLine="0"/>
              <w:rPr>
                <w:rFonts w:eastAsia="Times New Roman" w:cs="Times New Roman"/>
                <w:color w:val="000000"/>
                <w:szCs w:val="24"/>
              </w:rPr>
            </w:pPr>
            <w:r w:rsidRPr="00810679">
              <w:rPr>
                <w:rFonts w:eastAsia="Times New Roman" w:cs="Times New Roman"/>
                <w:color w:val="000000"/>
                <w:szCs w:val="24"/>
              </w:rPr>
              <w:t>.230***</w:t>
            </w:r>
          </w:p>
        </w:tc>
      </w:tr>
      <w:tr w:rsidR="00810679" w:rsidRPr="00810679" w:rsidTr="00810679">
        <w:trPr>
          <w:trHeight w:val="360"/>
        </w:trPr>
        <w:tc>
          <w:tcPr>
            <w:tcW w:w="0" w:type="auto"/>
            <w:tcBorders>
              <w:top w:val="nil"/>
              <w:left w:val="nil"/>
              <w:bottom w:val="nil"/>
              <w:right w:val="nil"/>
            </w:tcBorders>
            <w:vAlign w:val="center"/>
          </w:tcPr>
          <w:p w:rsidR="00810679" w:rsidRPr="00810679" w:rsidRDefault="00810679" w:rsidP="00810679">
            <w:pPr>
              <w:ind w:left="0" w:firstLine="0"/>
              <w:rPr>
                <w:rFonts w:eastAsia="Times New Roman" w:cs="Times New Roman"/>
                <w:b/>
                <w:bCs/>
                <w:color w:val="000000"/>
                <w:szCs w:val="24"/>
              </w:rPr>
            </w:pPr>
            <w:r>
              <w:rPr>
                <w:rFonts w:eastAsia="Times New Roman" w:cs="Times New Roman"/>
                <w:b/>
                <w:bCs/>
                <w:color w:val="000000"/>
                <w:szCs w:val="24"/>
              </w:rPr>
              <w:t>2</w:t>
            </w:r>
          </w:p>
        </w:tc>
        <w:tc>
          <w:tcPr>
            <w:tcW w:w="0" w:type="auto"/>
            <w:tcBorders>
              <w:top w:val="nil"/>
              <w:left w:val="nil"/>
              <w:bottom w:val="nil"/>
              <w:right w:val="nil"/>
            </w:tcBorders>
            <w:shd w:val="clear" w:color="auto" w:fill="auto"/>
            <w:noWrap/>
            <w:vAlign w:val="center"/>
            <w:hideMark/>
          </w:tcPr>
          <w:p w:rsidR="00810679" w:rsidRPr="00810679" w:rsidRDefault="00810679" w:rsidP="00810679">
            <w:pPr>
              <w:ind w:left="0" w:firstLine="0"/>
              <w:rPr>
                <w:rFonts w:eastAsia="Times New Roman" w:cs="Times New Roman"/>
                <w:b/>
                <w:bCs/>
                <w:color w:val="000000"/>
                <w:szCs w:val="24"/>
              </w:rPr>
            </w:pPr>
            <w:r w:rsidRPr="00810679">
              <w:rPr>
                <w:rFonts w:eastAsia="Times New Roman" w:cs="Times New Roman"/>
                <w:b/>
                <w:bCs/>
                <w:color w:val="000000"/>
                <w:szCs w:val="24"/>
              </w:rPr>
              <w:t>Anthony Kennedy</w:t>
            </w:r>
          </w:p>
        </w:tc>
        <w:tc>
          <w:tcPr>
            <w:tcW w:w="0" w:type="auto"/>
            <w:tcBorders>
              <w:top w:val="nil"/>
              <w:left w:val="nil"/>
              <w:bottom w:val="nil"/>
              <w:right w:val="nil"/>
            </w:tcBorders>
            <w:shd w:val="clear" w:color="auto" w:fill="auto"/>
            <w:noWrap/>
            <w:vAlign w:val="center"/>
            <w:hideMark/>
          </w:tcPr>
          <w:p w:rsidR="00810679" w:rsidRPr="00810679" w:rsidRDefault="00810679" w:rsidP="00810679">
            <w:pPr>
              <w:ind w:left="0" w:firstLine="0"/>
              <w:rPr>
                <w:rFonts w:eastAsia="Times New Roman" w:cs="Times New Roman"/>
                <w:color w:val="000000"/>
                <w:szCs w:val="24"/>
              </w:rPr>
            </w:pPr>
            <w:r w:rsidRPr="00810679">
              <w:rPr>
                <w:rFonts w:eastAsia="Times New Roman" w:cs="Times New Roman"/>
                <w:color w:val="000000"/>
                <w:szCs w:val="24"/>
              </w:rPr>
              <w:t>.121**</w:t>
            </w:r>
          </w:p>
        </w:tc>
      </w:tr>
      <w:tr w:rsidR="00810679" w:rsidRPr="00810679" w:rsidTr="00810679">
        <w:trPr>
          <w:trHeight w:val="360"/>
        </w:trPr>
        <w:tc>
          <w:tcPr>
            <w:tcW w:w="0" w:type="auto"/>
            <w:tcBorders>
              <w:top w:val="nil"/>
              <w:left w:val="nil"/>
              <w:bottom w:val="nil"/>
              <w:right w:val="nil"/>
            </w:tcBorders>
            <w:vAlign w:val="center"/>
          </w:tcPr>
          <w:p w:rsidR="00810679" w:rsidRPr="00810679" w:rsidRDefault="00810679" w:rsidP="00810679">
            <w:pPr>
              <w:ind w:left="0" w:firstLine="0"/>
              <w:rPr>
                <w:rFonts w:eastAsia="Times New Roman" w:cs="Times New Roman"/>
                <w:b/>
                <w:bCs/>
                <w:color w:val="000000"/>
                <w:szCs w:val="24"/>
              </w:rPr>
            </w:pPr>
            <w:r>
              <w:rPr>
                <w:rFonts w:eastAsia="Times New Roman" w:cs="Times New Roman"/>
                <w:b/>
                <w:bCs/>
                <w:color w:val="000000"/>
                <w:szCs w:val="24"/>
              </w:rPr>
              <w:t>3</w:t>
            </w:r>
          </w:p>
        </w:tc>
        <w:tc>
          <w:tcPr>
            <w:tcW w:w="0" w:type="auto"/>
            <w:tcBorders>
              <w:top w:val="nil"/>
              <w:left w:val="nil"/>
              <w:bottom w:val="nil"/>
              <w:right w:val="nil"/>
            </w:tcBorders>
            <w:shd w:val="clear" w:color="auto" w:fill="auto"/>
            <w:noWrap/>
            <w:vAlign w:val="center"/>
            <w:hideMark/>
          </w:tcPr>
          <w:p w:rsidR="00810679" w:rsidRPr="00810679" w:rsidRDefault="00810679" w:rsidP="00810679">
            <w:pPr>
              <w:ind w:left="0" w:firstLine="0"/>
              <w:rPr>
                <w:rFonts w:eastAsia="Times New Roman" w:cs="Times New Roman"/>
                <w:b/>
                <w:bCs/>
                <w:color w:val="000000"/>
                <w:szCs w:val="24"/>
              </w:rPr>
            </w:pPr>
            <w:r w:rsidRPr="00810679">
              <w:rPr>
                <w:rFonts w:eastAsia="Times New Roman" w:cs="Times New Roman"/>
                <w:b/>
                <w:bCs/>
                <w:color w:val="000000"/>
                <w:szCs w:val="24"/>
              </w:rPr>
              <w:t>David Souter</w:t>
            </w:r>
          </w:p>
        </w:tc>
        <w:tc>
          <w:tcPr>
            <w:tcW w:w="0" w:type="auto"/>
            <w:tcBorders>
              <w:top w:val="nil"/>
              <w:left w:val="nil"/>
              <w:bottom w:val="nil"/>
              <w:right w:val="nil"/>
            </w:tcBorders>
            <w:shd w:val="clear" w:color="auto" w:fill="auto"/>
            <w:noWrap/>
            <w:vAlign w:val="center"/>
            <w:hideMark/>
          </w:tcPr>
          <w:p w:rsidR="00810679" w:rsidRPr="00810679" w:rsidRDefault="00810679" w:rsidP="00810679">
            <w:pPr>
              <w:ind w:left="0" w:firstLine="0"/>
              <w:rPr>
                <w:rFonts w:eastAsia="Times New Roman" w:cs="Times New Roman"/>
                <w:color w:val="000000"/>
                <w:szCs w:val="24"/>
              </w:rPr>
            </w:pPr>
            <w:r w:rsidRPr="00810679">
              <w:rPr>
                <w:rFonts w:eastAsia="Times New Roman" w:cs="Times New Roman"/>
                <w:color w:val="000000"/>
                <w:szCs w:val="24"/>
              </w:rPr>
              <w:t>.07</w:t>
            </w:r>
          </w:p>
        </w:tc>
      </w:tr>
      <w:tr w:rsidR="00810679" w:rsidRPr="00810679" w:rsidTr="00810679">
        <w:trPr>
          <w:trHeight w:val="360"/>
        </w:trPr>
        <w:tc>
          <w:tcPr>
            <w:tcW w:w="0" w:type="auto"/>
            <w:tcBorders>
              <w:top w:val="nil"/>
              <w:left w:val="nil"/>
              <w:bottom w:val="nil"/>
              <w:right w:val="nil"/>
            </w:tcBorders>
            <w:vAlign w:val="center"/>
          </w:tcPr>
          <w:p w:rsidR="00810679" w:rsidRPr="00810679" w:rsidRDefault="00810679" w:rsidP="00810679">
            <w:pPr>
              <w:ind w:left="0" w:firstLine="0"/>
              <w:rPr>
                <w:rFonts w:eastAsia="Times New Roman" w:cs="Times New Roman"/>
                <w:b/>
                <w:bCs/>
                <w:color w:val="000000"/>
                <w:szCs w:val="24"/>
              </w:rPr>
            </w:pPr>
            <w:r>
              <w:rPr>
                <w:rFonts w:eastAsia="Times New Roman" w:cs="Times New Roman"/>
                <w:b/>
                <w:bCs/>
                <w:color w:val="000000"/>
                <w:szCs w:val="24"/>
              </w:rPr>
              <w:t>4</w:t>
            </w:r>
          </w:p>
        </w:tc>
        <w:tc>
          <w:tcPr>
            <w:tcW w:w="0" w:type="auto"/>
            <w:tcBorders>
              <w:top w:val="nil"/>
              <w:left w:val="nil"/>
              <w:bottom w:val="nil"/>
              <w:right w:val="nil"/>
            </w:tcBorders>
            <w:shd w:val="clear" w:color="auto" w:fill="auto"/>
            <w:noWrap/>
            <w:vAlign w:val="center"/>
            <w:hideMark/>
          </w:tcPr>
          <w:p w:rsidR="00810679" w:rsidRPr="00810679" w:rsidRDefault="00810679" w:rsidP="00810679">
            <w:pPr>
              <w:ind w:left="0" w:firstLine="0"/>
              <w:rPr>
                <w:rFonts w:eastAsia="Times New Roman" w:cs="Times New Roman"/>
                <w:b/>
                <w:bCs/>
                <w:color w:val="000000"/>
                <w:szCs w:val="24"/>
              </w:rPr>
            </w:pPr>
            <w:r w:rsidRPr="00810679">
              <w:rPr>
                <w:rFonts w:eastAsia="Times New Roman" w:cs="Times New Roman"/>
                <w:b/>
                <w:bCs/>
                <w:color w:val="000000"/>
                <w:szCs w:val="24"/>
              </w:rPr>
              <w:t>Ruth Bader Ginsberg</w:t>
            </w:r>
          </w:p>
        </w:tc>
        <w:tc>
          <w:tcPr>
            <w:tcW w:w="0" w:type="auto"/>
            <w:tcBorders>
              <w:top w:val="nil"/>
              <w:left w:val="nil"/>
              <w:bottom w:val="nil"/>
              <w:right w:val="nil"/>
            </w:tcBorders>
            <w:shd w:val="clear" w:color="auto" w:fill="auto"/>
            <w:noWrap/>
            <w:vAlign w:val="center"/>
            <w:hideMark/>
          </w:tcPr>
          <w:p w:rsidR="00810679" w:rsidRPr="00810679" w:rsidRDefault="00810679" w:rsidP="00810679">
            <w:pPr>
              <w:ind w:left="0" w:firstLine="0"/>
              <w:rPr>
                <w:rFonts w:eastAsia="Times New Roman" w:cs="Times New Roman"/>
                <w:color w:val="000000"/>
                <w:szCs w:val="24"/>
              </w:rPr>
            </w:pPr>
            <w:r w:rsidRPr="00810679">
              <w:rPr>
                <w:rFonts w:eastAsia="Times New Roman" w:cs="Times New Roman"/>
                <w:color w:val="000000"/>
                <w:szCs w:val="24"/>
              </w:rPr>
              <w:t>.066</w:t>
            </w:r>
          </w:p>
        </w:tc>
      </w:tr>
      <w:tr w:rsidR="00810679" w:rsidRPr="00810679" w:rsidTr="00810679">
        <w:trPr>
          <w:trHeight w:val="360"/>
        </w:trPr>
        <w:tc>
          <w:tcPr>
            <w:tcW w:w="0" w:type="auto"/>
            <w:tcBorders>
              <w:top w:val="nil"/>
              <w:left w:val="nil"/>
              <w:bottom w:val="nil"/>
              <w:right w:val="nil"/>
            </w:tcBorders>
            <w:vAlign w:val="center"/>
          </w:tcPr>
          <w:p w:rsidR="00810679" w:rsidRPr="00810679" w:rsidRDefault="00810679" w:rsidP="00810679">
            <w:pPr>
              <w:ind w:left="0" w:firstLine="0"/>
              <w:rPr>
                <w:rFonts w:eastAsia="Times New Roman" w:cs="Times New Roman"/>
                <w:b/>
                <w:bCs/>
                <w:color w:val="000000"/>
                <w:szCs w:val="24"/>
              </w:rPr>
            </w:pPr>
            <w:r>
              <w:rPr>
                <w:rFonts w:eastAsia="Times New Roman" w:cs="Times New Roman"/>
                <w:b/>
                <w:bCs/>
                <w:color w:val="000000"/>
                <w:szCs w:val="24"/>
              </w:rPr>
              <w:t>5</w:t>
            </w:r>
          </w:p>
        </w:tc>
        <w:tc>
          <w:tcPr>
            <w:tcW w:w="0" w:type="auto"/>
            <w:tcBorders>
              <w:top w:val="nil"/>
              <w:left w:val="nil"/>
              <w:bottom w:val="nil"/>
              <w:right w:val="nil"/>
            </w:tcBorders>
            <w:shd w:val="clear" w:color="auto" w:fill="auto"/>
            <w:noWrap/>
            <w:vAlign w:val="center"/>
            <w:hideMark/>
          </w:tcPr>
          <w:p w:rsidR="00810679" w:rsidRPr="00810679" w:rsidRDefault="00810679" w:rsidP="00810679">
            <w:pPr>
              <w:ind w:left="0" w:firstLine="0"/>
              <w:rPr>
                <w:rFonts w:eastAsia="Times New Roman" w:cs="Times New Roman"/>
                <w:b/>
                <w:bCs/>
                <w:color w:val="000000"/>
                <w:szCs w:val="24"/>
              </w:rPr>
            </w:pPr>
            <w:r>
              <w:rPr>
                <w:rFonts w:eastAsia="Times New Roman" w:cs="Times New Roman"/>
                <w:b/>
                <w:bCs/>
                <w:color w:val="000000"/>
                <w:szCs w:val="24"/>
              </w:rPr>
              <w:t>Stephen</w:t>
            </w:r>
            <w:r w:rsidRPr="00810679">
              <w:rPr>
                <w:rFonts w:eastAsia="Times New Roman" w:cs="Times New Roman"/>
                <w:b/>
                <w:bCs/>
                <w:color w:val="000000"/>
                <w:szCs w:val="24"/>
              </w:rPr>
              <w:t xml:space="preserve"> Breyer</w:t>
            </w:r>
          </w:p>
        </w:tc>
        <w:tc>
          <w:tcPr>
            <w:tcW w:w="0" w:type="auto"/>
            <w:tcBorders>
              <w:top w:val="nil"/>
              <w:left w:val="nil"/>
              <w:bottom w:val="nil"/>
              <w:right w:val="nil"/>
            </w:tcBorders>
            <w:shd w:val="clear" w:color="auto" w:fill="auto"/>
            <w:noWrap/>
            <w:vAlign w:val="center"/>
            <w:hideMark/>
          </w:tcPr>
          <w:p w:rsidR="00810679" w:rsidRPr="00810679" w:rsidRDefault="00810679" w:rsidP="00810679">
            <w:pPr>
              <w:ind w:left="0" w:firstLine="0"/>
              <w:rPr>
                <w:rFonts w:eastAsia="Times New Roman" w:cs="Times New Roman"/>
                <w:color w:val="000000"/>
                <w:szCs w:val="24"/>
              </w:rPr>
            </w:pPr>
            <w:r w:rsidRPr="00810679">
              <w:rPr>
                <w:rFonts w:eastAsia="Times New Roman" w:cs="Times New Roman"/>
                <w:color w:val="000000"/>
                <w:szCs w:val="24"/>
              </w:rPr>
              <w:t>.06</w:t>
            </w:r>
          </w:p>
        </w:tc>
      </w:tr>
      <w:tr w:rsidR="00810679" w:rsidRPr="00810679" w:rsidTr="00810679">
        <w:trPr>
          <w:trHeight w:val="360"/>
        </w:trPr>
        <w:tc>
          <w:tcPr>
            <w:tcW w:w="0" w:type="auto"/>
            <w:tcBorders>
              <w:top w:val="nil"/>
              <w:left w:val="nil"/>
              <w:bottom w:val="nil"/>
              <w:right w:val="nil"/>
            </w:tcBorders>
            <w:vAlign w:val="center"/>
          </w:tcPr>
          <w:p w:rsidR="00810679" w:rsidRPr="00810679" w:rsidRDefault="00810679" w:rsidP="00810679">
            <w:pPr>
              <w:ind w:left="0" w:firstLine="0"/>
              <w:rPr>
                <w:rFonts w:eastAsia="Times New Roman" w:cs="Times New Roman"/>
                <w:b/>
                <w:bCs/>
                <w:color w:val="000000"/>
                <w:szCs w:val="24"/>
              </w:rPr>
            </w:pPr>
            <w:r>
              <w:rPr>
                <w:rFonts w:eastAsia="Times New Roman" w:cs="Times New Roman"/>
                <w:b/>
                <w:bCs/>
                <w:color w:val="000000"/>
                <w:szCs w:val="24"/>
              </w:rPr>
              <w:t>6</w:t>
            </w:r>
          </w:p>
        </w:tc>
        <w:tc>
          <w:tcPr>
            <w:tcW w:w="0" w:type="auto"/>
            <w:tcBorders>
              <w:top w:val="nil"/>
              <w:left w:val="nil"/>
              <w:bottom w:val="nil"/>
              <w:right w:val="nil"/>
            </w:tcBorders>
            <w:shd w:val="clear" w:color="auto" w:fill="auto"/>
            <w:noWrap/>
            <w:vAlign w:val="center"/>
            <w:hideMark/>
          </w:tcPr>
          <w:p w:rsidR="00810679" w:rsidRPr="00810679" w:rsidRDefault="00810679" w:rsidP="00810679">
            <w:pPr>
              <w:ind w:left="0" w:firstLine="0"/>
              <w:rPr>
                <w:rFonts w:eastAsia="Times New Roman" w:cs="Times New Roman"/>
                <w:b/>
                <w:bCs/>
                <w:color w:val="000000"/>
                <w:szCs w:val="24"/>
              </w:rPr>
            </w:pPr>
            <w:r w:rsidRPr="00810679">
              <w:rPr>
                <w:rFonts w:eastAsia="Times New Roman" w:cs="Times New Roman"/>
                <w:b/>
                <w:bCs/>
                <w:color w:val="000000"/>
                <w:szCs w:val="24"/>
              </w:rPr>
              <w:t>Sonia Sotomayor</w:t>
            </w:r>
          </w:p>
        </w:tc>
        <w:tc>
          <w:tcPr>
            <w:tcW w:w="0" w:type="auto"/>
            <w:tcBorders>
              <w:top w:val="nil"/>
              <w:left w:val="nil"/>
              <w:bottom w:val="nil"/>
              <w:right w:val="nil"/>
            </w:tcBorders>
            <w:shd w:val="clear" w:color="auto" w:fill="auto"/>
            <w:noWrap/>
            <w:vAlign w:val="center"/>
            <w:hideMark/>
          </w:tcPr>
          <w:p w:rsidR="00810679" w:rsidRPr="00810679" w:rsidRDefault="00810679" w:rsidP="00810679">
            <w:pPr>
              <w:ind w:left="0" w:firstLine="0"/>
              <w:rPr>
                <w:rFonts w:eastAsia="Times New Roman" w:cs="Times New Roman"/>
                <w:color w:val="000000"/>
                <w:szCs w:val="24"/>
              </w:rPr>
            </w:pPr>
            <w:r w:rsidRPr="00810679">
              <w:rPr>
                <w:rFonts w:eastAsia="Times New Roman" w:cs="Times New Roman"/>
                <w:color w:val="000000"/>
                <w:szCs w:val="24"/>
              </w:rPr>
              <w:t>.037</w:t>
            </w:r>
          </w:p>
        </w:tc>
      </w:tr>
      <w:tr w:rsidR="00810679" w:rsidRPr="00810679" w:rsidTr="00810679">
        <w:trPr>
          <w:trHeight w:val="360"/>
        </w:trPr>
        <w:tc>
          <w:tcPr>
            <w:tcW w:w="0" w:type="auto"/>
            <w:tcBorders>
              <w:top w:val="nil"/>
              <w:left w:val="nil"/>
              <w:bottom w:val="nil"/>
              <w:right w:val="nil"/>
            </w:tcBorders>
            <w:vAlign w:val="center"/>
          </w:tcPr>
          <w:p w:rsidR="00810679" w:rsidRPr="00810679" w:rsidRDefault="00810679" w:rsidP="00810679">
            <w:pPr>
              <w:ind w:left="0" w:firstLine="0"/>
              <w:rPr>
                <w:rFonts w:eastAsia="Times New Roman" w:cs="Times New Roman"/>
                <w:b/>
                <w:bCs/>
                <w:color w:val="000000"/>
                <w:szCs w:val="24"/>
              </w:rPr>
            </w:pPr>
            <w:r>
              <w:rPr>
                <w:rFonts w:eastAsia="Times New Roman" w:cs="Times New Roman"/>
                <w:b/>
                <w:bCs/>
                <w:color w:val="000000"/>
                <w:szCs w:val="24"/>
              </w:rPr>
              <w:t>7</w:t>
            </w:r>
          </w:p>
        </w:tc>
        <w:tc>
          <w:tcPr>
            <w:tcW w:w="0" w:type="auto"/>
            <w:tcBorders>
              <w:top w:val="nil"/>
              <w:left w:val="nil"/>
              <w:bottom w:val="nil"/>
              <w:right w:val="nil"/>
            </w:tcBorders>
            <w:shd w:val="clear" w:color="auto" w:fill="auto"/>
            <w:noWrap/>
            <w:vAlign w:val="center"/>
            <w:hideMark/>
          </w:tcPr>
          <w:p w:rsidR="00810679" w:rsidRPr="00810679" w:rsidRDefault="00810679" w:rsidP="00810679">
            <w:pPr>
              <w:ind w:left="0" w:firstLine="0"/>
              <w:rPr>
                <w:rFonts w:eastAsia="Times New Roman" w:cs="Times New Roman"/>
                <w:b/>
                <w:bCs/>
                <w:color w:val="000000"/>
                <w:szCs w:val="24"/>
              </w:rPr>
            </w:pPr>
            <w:r w:rsidRPr="00810679">
              <w:rPr>
                <w:rFonts w:eastAsia="Times New Roman" w:cs="Times New Roman"/>
                <w:b/>
                <w:bCs/>
                <w:color w:val="000000"/>
                <w:szCs w:val="24"/>
              </w:rPr>
              <w:t>John Roberts</w:t>
            </w:r>
          </w:p>
        </w:tc>
        <w:tc>
          <w:tcPr>
            <w:tcW w:w="0" w:type="auto"/>
            <w:tcBorders>
              <w:top w:val="nil"/>
              <w:left w:val="nil"/>
              <w:bottom w:val="nil"/>
              <w:right w:val="nil"/>
            </w:tcBorders>
            <w:shd w:val="clear" w:color="auto" w:fill="auto"/>
            <w:noWrap/>
            <w:vAlign w:val="center"/>
            <w:hideMark/>
          </w:tcPr>
          <w:p w:rsidR="00810679" w:rsidRPr="00810679" w:rsidRDefault="00810679" w:rsidP="00810679">
            <w:pPr>
              <w:ind w:left="0" w:firstLine="0"/>
              <w:rPr>
                <w:rFonts w:eastAsia="Times New Roman" w:cs="Times New Roman"/>
                <w:color w:val="000000"/>
                <w:szCs w:val="24"/>
              </w:rPr>
            </w:pPr>
            <w:r w:rsidRPr="00810679">
              <w:rPr>
                <w:rFonts w:eastAsia="Times New Roman" w:cs="Times New Roman"/>
                <w:color w:val="000000"/>
                <w:szCs w:val="24"/>
              </w:rPr>
              <w:t>.019</w:t>
            </w:r>
          </w:p>
        </w:tc>
      </w:tr>
      <w:tr w:rsidR="00810679" w:rsidRPr="00810679" w:rsidTr="00810679">
        <w:trPr>
          <w:trHeight w:val="360"/>
        </w:trPr>
        <w:tc>
          <w:tcPr>
            <w:tcW w:w="0" w:type="auto"/>
            <w:tcBorders>
              <w:top w:val="nil"/>
              <w:left w:val="nil"/>
              <w:bottom w:val="nil"/>
              <w:right w:val="nil"/>
            </w:tcBorders>
            <w:vAlign w:val="center"/>
          </w:tcPr>
          <w:p w:rsidR="00810679" w:rsidRPr="00810679" w:rsidRDefault="00810679" w:rsidP="00810679">
            <w:pPr>
              <w:ind w:left="0" w:firstLine="0"/>
              <w:rPr>
                <w:rFonts w:eastAsia="Times New Roman" w:cs="Times New Roman"/>
                <w:b/>
                <w:bCs/>
                <w:color w:val="000000"/>
                <w:szCs w:val="24"/>
              </w:rPr>
            </w:pPr>
            <w:r>
              <w:rPr>
                <w:rFonts w:eastAsia="Times New Roman" w:cs="Times New Roman"/>
                <w:b/>
                <w:bCs/>
                <w:color w:val="000000"/>
                <w:szCs w:val="24"/>
              </w:rPr>
              <w:t>8</w:t>
            </w:r>
          </w:p>
        </w:tc>
        <w:tc>
          <w:tcPr>
            <w:tcW w:w="0" w:type="auto"/>
            <w:tcBorders>
              <w:top w:val="nil"/>
              <w:left w:val="nil"/>
              <w:bottom w:val="nil"/>
              <w:right w:val="nil"/>
            </w:tcBorders>
            <w:shd w:val="clear" w:color="auto" w:fill="auto"/>
            <w:noWrap/>
            <w:vAlign w:val="center"/>
            <w:hideMark/>
          </w:tcPr>
          <w:p w:rsidR="00810679" w:rsidRPr="00810679" w:rsidRDefault="007E7980" w:rsidP="007E7980">
            <w:pPr>
              <w:ind w:left="0" w:firstLine="0"/>
              <w:rPr>
                <w:rFonts w:eastAsia="Times New Roman" w:cs="Times New Roman"/>
                <w:b/>
                <w:bCs/>
                <w:color w:val="000000"/>
                <w:szCs w:val="24"/>
              </w:rPr>
            </w:pPr>
            <w:r>
              <w:rPr>
                <w:rFonts w:eastAsia="Times New Roman" w:cs="Times New Roman"/>
                <w:b/>
                <w:bCs/>
                <w:color w:val="000000"/>
                <w:szCs w:val="24"/>
              </w:rPr>
              <w:t xml:space="preserve">John Paul </w:t>
            </w:r>
            <w:r w:rsidR="00810679" w:rsidRPr="00810679">
              <w:rPr>
                <w:rFonts w:eastAsia="Times New Roman" w:cs="Times New Roman"/>
                <w:b/>
                <w:bCs/>
                <w:color w:val="000000"/>
                <w:szCs w:val="24"/>
              </w:rPr>
              <w:t>Stevens</w:t>
            </w:r>
          </w:p>
        </w:tc>
        <w:tc>
          <w:tcPr>
            <w:tcW w:w="0" w:type="auto"/>
            <w:tcBorders>
              <w:top w:val="nil"/>
              <w:left w:val="nil"/>
              <w:bottom w:val="nil"/>
              <w:right w:val="nil"/>
            </w:tcBorders>
            <w:shd w:val="clear" w:color="auto" w:fill="auto"/>
            <w:noWrap/>
            <w:vAlign w:val="center"/>
            <w:hideMark/>
          </w:tcPr>
          <w:p w:rsidR="00810679" w:rsidRPr="00810679" w:rsidRDefault="00810679" w:rsidP="00810679">
            <w:pPr>
              <w:ind w:left="0" w:firstLine="0"/>
              <w:rPr>
                <w:rFonts w:eastAsia="Times New Roman" w:cs="Times New Roman"/>
                <w:color w:val="000000"/>
                <w:szCs w:val="24"/>
              </w:rPr>
            </w:pPr>
            <w:r w:rsidRPr="00810679">
              <w:rPr>
                <w:rFonts w:eastAsia="Times New Roman" w:cs="Times New Roman"/>
                <w:color w:val="000000"/>
                <w:szCs w:val="24"/>
              </w:rPr>
              <w:t>.015</w:t>
            </w:r>
          </w:p>
        </w:tc>
      </w:tr>
      <w:tr w:rsidR="00810679" w:rsidRPr="00810679" w:rsidTr="00810679">
        <w:trPr>
          <w:trHeight w:val="360"/>
        </w:trPr>
        <w:tc>
          <w:tcPr>
            <w:tcW w:w="0" w:type="auto"/>
            <w:tcBorders>
              <w:top w:val="nil"/>
              <w:left w:val="nil"/>
              <w:bottom w:val="nil"/>
              <w:right w:val="nil"/>
            </w:tcBorders>
            <w:vAlign w:val="center"/>
          </w:tcPr>
          <w:p w:rsidR="00810679" w:rsidRPr="00810679" w:rsidRDefault="00810679" w:rsidP="00810679">
            <w:pPr>
              <w:ind w:left="0" w:firstLine="0"/>
              <w:rPr>
                <w:rFonts w:eastAsia="Times New Roman" w:cs="Times New Roman"/>
                <w:b/>
                <w:bCs/>
                <w:color w:val="000000"/>
                <w:szCs w:val="24"/>
              </w:rPr>
            </w:pPr>
            <w:r>
              <w:rPr>
                <w:rFonts w:eastAsia="Times New Roman" w:cs="Times New Roman"/>
                <w:b/>
                <w:bCs/>
                <w:color w:val="000000"/>
                <w:szCs w:val="24"/>
              </w:rPr>
              <w:t>9</w:t>
            </w:r>
          </w:p>
        </w:tc>
        <w:tc>
          <w:tcPr>
            <w:tcW w:w="0" w:type="auto"/>
            <w:tcBorders>
              <w:top w:val="nil"/>
              <w:left w:val="nil"/>
              <w:bottom w:val="nil"/>
              <w:right w:val="nil"/>
            </w:tcBorders>
            <w:shd w:val="clear" w:color="auto" w:fill="auto"/>
            <w:noWrap/>
            <w:vAlign w:val="center"/>
            <w:hideMark/>
          </w:tcPr>
          <w:p w:rsidR="00810679" w:rsidRPr="00810679" w:rsidRDefault="00810679" w:rsidP="00810679">
            <w:pPr>
              <w:ind w:left="0" w:firstLine="0"/>
              <w:rPr>
                <w:rFonts w:eastAsia="Times New Roman" w:cs="Times New Roman"/>
                <w:b/>
                <w:bCs/>
                <w:color w:val="000000"/>
                <w:szCs w:val="24"/>
              </w:rPr>
            </w:pPr>
            <w:r w:rsidRPr="00810679">
              <w:rPr>
                <w:rFonts w:eastAsia="Times New Roman" w:cs="Times New Roman"/>
                <w:b/>
                <w:bCs/>
                <w:color w:val="000000"/>
                <w:szCs w:val="24"/>
              </w:rPr>
              <w:t>Samuel Alito</w:t>
            </w:r>
          </w:p>
        </w:tc>
        <w:tc>
          <w:tcPr>
            <w:tcW w:w="0" w:type="auto"/>
            <w:tcBorders>
              <w:top w:val="nil"/>
              <w:left w:val="nil"/>
              <w:bottom w:val="nil"/>
              <w:right w:val="nil"/>
            </w:tcBorders>
            <w:shd w:val="clear" w:color="auto" w:fill="auto"/>
            <w:noWrap/>
            <w:vAlign w:val="center"/>
            <w:hideMark/>
          </w:tcPr>
          <w:p w:rsidR="00810679" w:rsidRPr="00810679" w:rsidRDefault="00810679" w:rsidP="00810679">
            <w:pPr>
              <w:ind w:left="0" w:firstLine="0"/>
              <w:rPr>
                <w:rFonts w:eastAsia="Times New Roman" w:cs="Times New Roman"/>
                <w:color w:val="000000"/>
                <w:szCs w:val="24"/>
              </w:rPr>
            </w:pPr>
            <w:r w:rsidRPr="00810679">
              <w:rPr>
                <w:rFonts w:eastAsia="Times New Roman" w:cs="Times New Roman"/>
                <w:color w:val="000000"/>
                <w:szCs w:val="24"/>
              </w:rPr>
              <w:t>.005</w:t>
            </w:r>
          </w:p>
        </w:tc>
      </w:tr>
      <w:tr w:rsidR="00810679" w:rsidRPr="00810679" w:rsidTr="00810679">
        <w:trPr>
          <w:trHeight w:val="360"/>
        </w:trPr>
        <w:tc>
          <w:tcPr>
            <w:tcW w:w="0" w:type="auto"/>
            <w:tcBorders>
              <w:top w:val="nil"/>
              <w:left w:val="nil"/>
              <w:right w:val="nil"/>
            </w:tcBorders>
            <w:vAlign w:val="center"/>
          </w:tcPr>
          <w:p w:rsidR="00810679" w:rsidRPr="00810679" w:rsidRDefault="00810679" w:rsidP="00810679">
            <w:pPr>
              <w:ind w:left="0" w:firstLine="0"/>
              <w:rPr>
                <w:rFonts w:eastAsia="Times New Roman" w:cs="Times New Roman"/>
                <w:b/>
                <w:bCs/>
                <w:color w:val="000000"/>
                <w:szCs w:val="24"/>
              </w:rPr>
            </w:pPr>
            <w:r>
              <w:rPr>
                <w:rFonts w:eastAsia="Times New Roman" w:cs="Times New Roman"/>
                <w:b/>
                <w:bCs/>
                <w:color w:val="000000"/>
                <w:szCs w:val="24"/>
              </w:rPr>
              <w:t>10</w:t>
            </w:r>
          </w:p>
        </w:tc>
        <w:tc>
          <w:tcPr>
            <w:tcW w:w="0" w:type="auto"/>
            <w:tcBorders>
              <w:top w:val="nil"/>
              <w:left w:val="nil"/>
              <w:right w:val="nil"/>
            </w:tcBorders>
            <w:shd w:val="clear" w:color="auto" w:fill="auto"/>
            <w:noWrap/>
            <w:vAlign w:val="center"/>
            <w:hideMark/>
          </w:tcPr>
          <w:p w:rsidR="00810679" w:rsidRPr="00810679" w:rsidRDefault="00810679" w:rsidP="00810679">
            <w:pPr>
              <w:ind w:left="0" w:firstLine="0"/>
              <w:rPr>
                <w:rFonts w:eastAsia="Times New Roman" w:cs="Times New Roman"/>
                <w:b/>
                <w:bCs/>
                <w:color w:val="000000"/>
                <w:szCs w:val="24"/>
              </w:rPr>
            </w:pPr>
            <w:r w:rsidRPr="00810679">
              <w:rPr>
                <w:rFonts w:eastAsia="Times New Roman" w:cs="Times New Roman"/>
                <w:b/>
                <w:bCs/>
                <w:color w:val="000000"/>
                <w:szCs w:val="24"/>
              </w:rPr>
              <w:t>Clarence Thomas</w:t>
            </w:r>
          </w:p>
        </w:tc>
        <w:tc>
          <w:tcPr>
            <w:tcW w:w="0" w:type="auto"/>
            <w:tcBorders>
              <w:top w:val="nil"/>
              <w:left w:val="nil"/>
              <w:right w:val="nil"/>
            </w:tcBorders>
            <w:shd w:val="clear" w:color="auto" w:fill="auto"/>
            <w:noWrap/>
            <w:vAlign w:val="center"/>
            <w:hideMark/>
          </w:tcPr>
          <w:p w:rsidR="00810679" w:rsidRPr="00810679" w:rsidRDefault="00810679" w:rsidP="00810679">
            <w:pPr>
              <w:ind w:left="0" w:firstLine="0"/>
              <w:rPr>
                <w:rFonts w:eastAsia="Times New Roman" w:cs="Times New Roman"/>
                <w:color w:val="000000"/>
                <w:szCs w:val="24"/>
              </w:rPr>
            </w:pPr>
            <w:r w:rsidRPr="00810679">
              <w:rPr>
                <w:rFonts w:eastAsia="Times New Roman" w:cs="Times New Roman"/>
                <w:color w:val="000000"/>
                <w:szCs w:val="24"/>
              </w:rPr>
              <w:t>-.022</w:t>
            </w:r>
          </w:p>
        </w:tc>
      </w:tr>
      <w:tr w:rsidR="00810679" w:rsidRPr="00810679" w:rsidTr="00810679">
        <w:trPr>
          <w:trHeight w:val="360"/>
        </w:trPr>
        <w:tc>
          <w:tcPr>
            <w:tcW w:w="0" w:type="auto"/>
            <w:tcBorders>
              <w:left w:val="nil"/>
              <w:bottom w:val="single" w:sz="18" w:space="0" w:color="auto"/>
              <w:right w:val="nil"/>
            </w:tcBorders>
            <w:vAlign w:val="center"/>
          </w:tcPr>
          <w:p w:rsidR="00810679" w:rsidRPr="00810679" w:rsidRDefault="00810679" w:rsidP="00810679">
            <w:pPr>
              <w:ind w:left="0" w:firstLine="0"/>
              <w:rPr>
                <w:rFonts w:eastAsia="Times New Roman" w:cs="Times New Roman"/>
                <w:b/>
                <w:bCs/>
                <w:color w:val="000000"/>
                <w:szCs w:val="24"/>
              </w:rPr>
            </w:pPr>
            <w:r>
              <w:rPr>
                <w:rFonts w:eastAsia="Times New Roman" w:cs="Times New Roman"/>
                <w:b/>
                <w:bCs/>
                <w:color w:val="000000"/>
                <w:szCs w:val="24"/>
              </w:rPr>
              <w:t>11</w:t>
            </w:r>
          </w:p>
        </w:tc>
        <w:tc>
          <w:tcPr>
            <w:tcW w:w="0" w:type="auto"/>
            <w:tcBorders>
              <w:left w:val="nil"/>
              <w:bottom w:val="single" w:sz="18" w:space="0" w:color="auto"/>
              <w:right w:val="nil"/>
            </w:tcBorders>
            <w:shd w:val="clear" w:color="auto" w:fill="auto"/>
            <w:noWrap/>
            <w:vAlign w:val="center"/>
            <w:hideMark/>
          </w:tcPr>
          <w:p w:rsidR="00810679" w:rsidRPr="00810679" w:rsidRDefault="00810679" w:rsidP="00810679">
            <w:pPr>
              <w:ind w:left="0" w:firstLine="0"/>
              <w:rPr>
                <w:rFonts w:eastAsia="Times New Roman" w:cs="Times New Roman"/>
                <w:b/>
                <w:bCs/>
                <w:color w:val="000000"/>
                <w:szCs w:val="24"/>
              </w:rPr>
            </w:pPr>
            <w:r w:rsidRPr="00810679">
              <w:rPr>
                <w:rFonts w:eastAsia="Times New Roman" w:cs="Times New Roman"/>
                <w:b/>
                <w:bCs/>
                <w:color w:val="000000"/>
                <w:szCs w:val="24"/>
              </w:rPr>
              <w:t>Antonin Scalia</w:t>
            </w:r>
          </w:p>
        </w:tc>
        <w:tc>
          <w:tcPr>
            <w:tcW w:w="0" w:type="auto"/>
            <w:tcBorders>
              <w:left w:val="nil"/>
              <w:bottom w:val="single" w:sz="18" w:space="0" w:color="auto"/>
              <w:right w:val="nil"/>
            </w:tcBorders>
            <w:shd w:val="clear" w:color="auto" w:fill="auto"/>
            <w:noWrap/>
            <w:vAlign w:val="center"/>
            <w:hideMark/>
          </w:tcPr>
          <w:p w:rsidR="00810679" w:rsidRPr="00810679" w:rsidRDefault="00810679" w:rsidP="00810679">
            <w:pPr>
              <w:ind w:left="0" w:firstLine="0"/>
              <w:rPr>
                <w:rFonts w:eastAsia="Times New Roman" w:cs="Times New Roman"/>
                <w:color w:val="000000"/>
                <w:szCs w:val="24"/>
              </w:rPr>
            </w:pPr>
            <w:r w:rsidRPr="00810679">
              <w:rPr>
                <w:rFonts w:eastAsia="Times New Roman" w:cs="Times New Roman"/>
                <w:color w:val="000000"/>
                <w:szCs w:val="24"/>
              </w:rPr>
              <w:t>-.031</w:t>
            </w:r>
          </w:p>
        </w:tc>
      </w:tr>
    </w:tbl>
    <w:p w:rsidR="006616F5" w:rsidRPr="009E62D9" w:rsidRDefault="006616F5" w:rsidP="006616F5">
      <w:pPr>
        <w:autoSpaceDE w:val="0"/>
        <w:autoSpaceDN w:val="0"/>
        <w:adjustRightInd w:val="0"/>
        <w:ind w:left="90" w:firstLine="0"/>
        <w:rPr>
          <w:sz w:val="22"/>
        </w:rPr>
      </w:pPr>
      <w:r>
        <w:rPr>
          <w:sz w:val="22"/>
        </w:rPr>
        <w:t>*p&lt;.10 **p&lt;.05, ***p&lt;.01, ****p&lt;.001 (two-tailed)</w:t>
      </w:r>
    </w:p>
    <w:p w:rsidR="00F122E7" w:rsidRDefault="00F122E7" w:rsidP="00B6457A">
      <w:pPr>
        <w:spacing w:line="480" w:lineRule="auto"/>
        <w:ind w:left="0" w:firstLine="0"/>
        <w:rPr>
          <w:rFonts w:cs="Times New Roman"/>
          <w:b/>
          <w:szCs w:val="24"/>
        </w:rPr>
      </w:pPr>
    </w:p>
    <w:p w:rsidR="00B6457A" w:rsidRPr="00B6457A" w:rsidRDefault="00B6457A" w:rsidP="00B6457A">
      <w:pPr>
        <w:spacing w:line="480" w:lineRule="auto"/>
        <w:ind w:left="0" w:firstLine="0"/>
        <w:rPr>
          <w:rFonts w:cs="Times New Roman"/>
          <w:szCs w:val="24"/>
        </w:rPr>
      </w:pPr>
    </w:p>
    <w:p w:rsidR="00746400" w:rsidRPr="00810679" w:rsidRDefault="00746400" w:rsidP="00810679">
      <w:pPr>
        <w:spacing w:line="480" w:lineRule="auto"/>
        <w:ind w:left="0" w:firstLine="0"/>
        <w:jc w:val="both"/>
        <w:rPr>
          <w:rFonts w:cs="Times New Roman"/>
          <w:b/>
          <w:i/>
          <w:szCs w:val="24"/>
        </w:rPr>
      </w:pPr>
      <w:proofErr w:type="gramStart"/>
      <w:r>
        <w:rPr>
          <w:rFonts w:cs="Times New Roman"/>
          <w:b/>
          <w:szCs w:val="24"/>
        </w:rPr>
        <w:t>Table 5.13</w:t>
      </w:r>
      <w:r w:rsidRPr="00810679">
        <w:rPr>
          <w:rFonts w:cs="Times New Roman"/>
          <w:b/>
          <w:szCs w:val="24"/>
        </w:rPr>
        <w:t>.</w:t>
      </w:r>
      <w:proofErr w:type="gramEnd"/>
      <w:r w:rsidRPr="00810679">
        <w:rPr>
          <w:rFonts w:cs="Times New Roman"/>
          <w:b/>
          <w:szCs w:val="24"/>
        </w:rPr>
        <w:t xml:space="preserve"> Ranking of Justices Based Upon Pea</w:t>
      </w:r>
      <w:r w:rsidR="00426385">
        <w:rPr>
          <w:rFonts w:cs="Times New Roman"/>
          <w:b/>
          <w:szCs w:val="24"/>
        </w:rPr>
        <w:t xml:space="preserve">rson Correlation </w:t>
      </w:r>
      <w:proofErr w:type="gramStart"/>
      <w:r w:rsidR="00426385">
        <w:rPr>
          <w:rFonts w:cs="Times New Roman"/>
          <w:b/>
          <w:szCs w:val="24"/>
        </w:rPr>
        <w:t>Between</w:t>
      </w:r>
      <w:proofErr w:type="gramEnd"/>
      <w:r w:rsidR="00426385">
        <w:rPr>
          <w:rFonts w:cs="Times New Roman"/>
          <w:b/>
          <w:szCs w:val="24"/>
        </w:rPr>
        <w:t xml:space="preserve"> Ideological Direction of Justice Vote</w:t>
      </w:r>
      <w:r w:rsidRPr="00810679">
        <w:rPr>
          <w:rFonts w:cs="Times New Roman"/>
          <w:b/>
          <w:szCs w:val="24"/>
        </w:rPr>
        <w:t xml:space="preserve"> and </w:t>
      </w:r>
      <w:r>
        <w:rPr>
          <w:rFonts w:cs="Times New Roman"/>
          <w:b/>
          <w:i/>
          <w:szCs w:val="24"/>
        </w:rPr>
        <w:t xml:space="preserve">Prestigious </w:t>
      </w:r>
      <w:r w:rsidRPr="00810679">
        <w:rPr>
          <w:rFonts w:cs="Times New Roman"/>
          <w:b/>
          <w:i/>
          <w:szCs w:val="24"/>
        </w:rPr>
        <w:t>Liberal-Cons</w:t>
      </w:r>
      <w:r>
        <w:rPr>
          <w:rFonts w:cs="Times New Roman"/>
          <w:b/>
          <w:i/>
          <w:szCs w:val="24"/>
        </w:rPr>
        <w:t>ervative Amicus Difference</w:t>
      </w:r>
    </w:p>
    <w:tbl>
      <w:tblPr>
        <w:tblW w:w="0" w:type="auto"/>
        <w:tblInd w:w="93" w:type="dxa"/>
        <w:tblBorders>
          <w:top w:val="single" w:sz="18" w:space="0" w:color="auto"/>
          <w:bottom w:val="single" w:sz="18" w:space="0" w:color="auto"/>
        </w:tblBorders>
        <w:tblLook w:val="04A0" w:firstRow="1" w:lastRow="0" w:firstColumn="1" w:lastColumn="0" w:noHBand="0" w:noVBand="1"/>
      </w:tblPr>
      <w:tblGrid>
        <w:gridCol w:w="681"/>
        <w:gridCol w:w="2430"/>
        <w:gridCol w:w="2550"/>
      </w:tblGrid>
      <w:tr w:rsidR="00746400" w:rsidRPr="00746400" w:rsidTr="00746400">
        <w:trPr>
          <w:trHeight w:val="360"/>
        </w:trPr>
        <w:tc>
          <w:tcPr>
            <w:tcW w:w="0" w:type="auto"/>
            <w:tcBorders>
              <w:top w:val="single" w:sz="18" w:space="0" w:color="auto"/>
              <w:bottom w:val="single" w:sz="18" w:space="0" w:color="auto"/>
            </w:tcBorders>
            <w:shd w:val="clear" w:color="auto" w:fill="auto"/>
            <w:noWrap/>
            <w:vAlign w:val="center"/>
            <w:hideMark/>
          </w:tcPr>
          <w:p w:rsidR="00746400" w:rsidRPr="00746400" w:rsidRDefault="00746400" w:rsidP="00746400">
            <w:pPr>
              <w:ind w:left="0" w:firstLine="0"/>
              <w:rPr>
                <w:rFonts w:eastAsia="Times New Roman" w:cs="Times New Roman"/>
                <w:color w:val="000000"/>
                <w:sz w:val="22"/>
              </w:rPr>
            </w:pPr>
            <w:r w:rsidRPr="00746400">
              <w:rPr>
                <w:rFonts w:eastAsia="Times New Roman" w:cs="Times New Roman"/>
                <w:color w:val="000000"/>
                <w:sz w:val="22"/>
              </w:rPr>
              <w:t>Rank</w:t>
            </w:r>
          </w:p>
        </w:tc>
        <w:tc>
          <w:tcPr>
            <w:tcW w:w="0" w:type="auto"/>
            <w:tcBorders>
              <w:top w:val="single" w:sz="18" w:space="0" w:color="auto"/>
              <w:bottom w:val="single" w:sz="18" w:space="0" w:color="auto"/>
            </w:tcBorders>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Justice</w:t>
            </w:r>
          </w:p>
        </w:tc>
        <w:tc>
          <w:tcPr>
            <w:tcW w:w="0" w:type="auto"/>
            <w:tcBorders>
              <w:top w:val="single" w:sz="18" w:space="0" w:color="auto"/>
              <w:bottom w:val="single" w:sz="18" w:space="0" w:color="auto"/>
            </w:tcBorders>
            <w:shd w:val="clear" w:color="auto" w:fill="auto"/>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Prestigious Amicus Diff</w:t>
            </w:r>
          </w:p>
        </w:tc>
      </w:tr>
      <w:tr w:rsidR="00746400" w:rsidRPr="00746400" w:rsidTr="00746400">
        <w:trPr>
          <w:trHeight w:val="360"/>
        </w:trPr>
        <w:tc>
          <w:tcPr>
            <w:tcW w:w="0" w:type="auto"/>
            <w:tcBorders>
              <w:top w:val="single" w:sz="18" w:space="0" w:color="auto"/>
            </w:tcBorders>
            <w:shd w:val="clear" w:color="auto" w:fill="auto"/>
            <w:noWrap/>
            <w:vAlign w:val="center"/>
            <w:hideMark/>
          </w:tcPr>
          <w:p w:rsidR="00746400" w:rsidRPr="00746400" w:rsidRDefault="00746400" w:rsidP="00746400">
            <w:pPr>
              <w:ind w:left="0" w:firstLine="0"/>
              <w:rPr>
                <w:rFonts w:eastAsia="Times New Roman" w:cs="Times New Roman"/>
                <w:color w:val="000000"/>
                <w:sz w:val="22"/>
              </w:rPr>
            </w:pPr>
            <w:r w:rsidRPr="00746400">
              <w:rPr>
                <w:rFonts w:eastAsia="Times New Roman" w:cs="Times New Roman"/>
                <w:color w:val="000000"/>
                <w:sz w:val="22"/>
              </w:rPr>
              <w:t>1</w:t>
            </w:r>
          </w:p>
        </w:tc>
        <w:tc>
          <w:tcPr>
            <w:tcW w:w="0" w:type="auto"/>
            <w:tcBorders>
              <w:top w:val="single" w:sz="18" w:space="0" w:color="auto"/>
            </w:tcBorders>
            <w:shd w:val="clear" w:color="auto" w:fill="auto"/>
            <w:noWrap/>
            <w:vAlign w:val="center"/>
            <w:hideMark/>
          </w:tcPr>
          <w:p w:rsidR="00746400" w:rsidRPr="00746400" w:rsidRDefault="00746400" w:rsidP="00746400">
            <w:pPr>
              <w:ind w:left="0" w:firstLine="0"/>
              <w:rPr>
                <w:rFonts w:eastAsia="Times New Roman" w:cs="Times New Roman"/>
                <w:b/>
                <w:bCs/>
                <w:color w:val="000000"/>
                <w:szCs w:val="24"/>
              </w:rPr>
            </w:pPr>
            <w:r w:rsidRPr="00746400">
              <w:rPr>
                <w:rFonts w:eastAsia="Times New Roman" w:cs="Times New Roman"/>
                <w:b/>
                <w:bCs/>
                <w:color w:val="000000"/>
                <w:szCs w:val="24"/>
              </w:rPr>
              <w:t>Elena Kagan</w:t>
            </w:r>
          </w:p>
        </w:tc>
        <w:tc>
          <w:tcPr>
            <w:tcW w:w="0" w:type="auto"/>
            <w:tcBorders>
              <w:top w:val="single" w:sz="18" w:space="0" w:color="auto"/>
            </w:tcBorders>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.190**</w:t>
            </w:r>
          </w:p>
        </w:tc>
      </w:tr>
      <w:tr w:rsidR="00746400" w:rsidRPr="00746400" w:rsidTr="00746400">
        <w:trPr>
          <w:trHeight w:val="360"/>
        </w:trPr>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 w:val="22"/>
              </w:rPr>
            </w:pPr>
            <w:r w:rsidRPr="00746400">
              <w:rPr>
                <w:rFonts w:eastAsia="Times New Roman" w:cs="Times New Roman"/>
                <w:color w:val="000000"/>
                <w:sz w:val="22"/>
              </w:rPr>
              <w:t>2</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b/>
                <w:bCs/>
                <w:color w:val="000000"/>
                <w:szCs w:val="24"/>
              </w:rPr>
            </w:pPr>
            <w:r w:rsidRPr="00746400">
              <w:rPr>
                <w:rFonts w:eastAsia="Times New Roman" w:cs="Times New Roman"/>
                <w:b/>
                <w:bCs/>
                <w:color w:val="000000"/>
                <w:szCs w:val="24"/>
              </w:rPr>
              <w:t>Anthony Kennedy</w:t>
            </w:r>
          </w:p>
        </w:tc>
        <w:tc>
          <w:tcPr>
            <w:tcW w:w="0" w:type="auto"/>
            <w:shd w:val="clear" w:color="auto" w:fill="auto"/>
            <w:noWrap/>
            <w:vAlign w:val="center"/>
            <w:hideMark/>
          </w:tcPr>
          <w:p w:rsidR="00746400" w:rsidRPr="00746400" w:rsidRDefault="001C243D" w:rsidP="00746400">
            <w:pPr>
              <w:ind w:left="0" w:firstLine="0"/>
              <w:rPr>
                <w:rFonts w:eastAsia="Times New Roman" w:cs="Times New Roman"/>
                <w:color w:val="000000"/>
                <w:szCs w:val="24"/>
              </w:rPr>
            </w:pPr>
            <w:r>
              <w:rPr>
                <w:rFonts w:eastAsia="Times New Roman" w:cs="Times New Roman"/>
                <w:color w:val="000000"/>
                <w:szCs w:val="24"/>
              </w:rPr>
              <w:t>.100</w:t>
            </w:r>
            <w:r w:rsidR="00746400" w:rsidRPr="00746400">
              <w:rPr>
                <w:rFonts w:eastAsia="Times New Roman" w:cs="Times New Roman"/>
                <w:color w:val="000000"/>
                <w:szCs w:val="24"/>
              </w:rPr>
              <w:t>*</w:t>
            </w:r>
          </w:p>
        </w:tc>
      </w:tr>
      <w:tr w:rsidR="00746400" w:rsidRPr="00746400" w:rsidTr="00746400">
        <w:trPr>
          <w:trHeight w:val="360"/>
        </w:trPr>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 w:val="22"/>
              </w:rPr>
            </w:pPr>
            <w:r w:rsidRPr="00746400">
              <w:rPr>
                <w:rFonts w:eastAsia="Times New Roman" w:cs="Times New Roman"/>
                <w:color w:val="000000"/>
                <w:sz w:val="22"/>
              </w:rPr>
              <w:t>3</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b/>
                <w:bCs/>
                <w:color w:val="000000"/>
                <w:szCs w:val="24"/>
              </w:rPr>
            </w:pPr>
            <w:r w:rsidRPr="00746400">
              <w:rPr>
                <w:rFonts w:eastAsia="Times New Roman" w:cs="Times New Roman"/>
                <w:b/>
                <w:bCs/>
                <w:color w:val="000000"/>
                <w:szCs w:val="24"/>
              </w:rPr>
              <w:t>Sonia Sotomayor</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0.059</w:t>
            </w:r>
          </w:p>
        </w:tc>
      </w:tr>
      <w:tr w:rsidR="00746400" w:rsidRPr="00746400" w:rsidTr="00746400">
        <w:trPr>
          <w:trHeight w:val="360"/>
        </w:trPr>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 w:val="22"/>
              </w:rPr>
            </w:pPr>
            <w:r w:rsidRPr="00746400">
              <w:rPr>
                <w:rFonts w:eastAsia="Times New Roman" w:cs="Times New Roman"/>
                <w:color w:val="000000"/>
                <w:sz w:val="22"/>
              </w:rPr>
              <w:t>4</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b/>
                <w:bCs/>
                <w:color w:val="000000"/>
                <w:szCs w:val="24"/>
              </w:rPr>
            </w:pPr>
            <w:r w:rsidRPr="00746400">
              <w:rPr>
                <w:rFonts w:eastAsia="Times New Roman" w:cs="Times New Roman"/>
                <w:b/>
                <w:bCs/>
                <w:color w:val="000000"/>
                <w:szCs w:val="24"/>
              </w:rPr>
              <w:t>Ruth Bader Ginsberg</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0.026</w:t>
            </w:r>
          </w:p>
        </w:tc>
      </w:tr>
      <w:tr w:rsidR="00746400" w:rsidRPr="00746400" w:rsidTr="00746400">
        <w:trPr>
          <w:trHeight w:val="360"/>
        </w:trPr>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 w:val="22"/>
              </w:rPr>
            </w:pPr>
            <w:r w:rsidRPr="00746400">
              <w:rPr>
                <w:rFonts w:eastAsia="Times New Roman" w:cs="Times New Roman"/>
                <w:color w:val="000000"/>
                <w:sz w:val="22"/>
              </w:rPr>
              <w:t>5</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b/>
                <w:bCs/>
                <w:color w:val="000000"/>
                <w:szCs w:val="24"/>
              </w:rPr>
            </w:pPr>
            <w:r w:rsidRPr="00746400">
              <w:rPr>
                <w:rFonts w:eastAsia="Times New Roman" w:cs="Times New Roman"/>
                <w:b/>
                <w:bCs/>
                <w:color w:val="000000"/>
                <w:szCs w:val="24"/>
              </w:rPr>
              <w:t>Antonin Scalia</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0.011</w:t>
            </w:r>
          </w:p>
        </w:tc>
      </w:tr>
      <w:tr w:rsidR="00746400" w:rsidRPr="00746400" w:rsidTr="00746400">
        <w:trPr>
          <w:trHeight w:val="360"/>
        </w:trPr>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 w:val="22"/>
              </w:rPr>
            </w:pPr>
            <w:r w:rsidRPr="00746400">
              <w:rPr>
                <w:rFonts w:eastAsia="Times New Roman" w:cs="Times New Roman"/>
                <w:color w:val="000000"/>
                <w:sz w:val="22"/>
              </w:rPr>
              <w:t>6</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b/>
                <w:bCs/>
                <w:color w:val="000000"/>
                <w:szCs w:val="24"/>
              </w:rPr>
            </w:pPr>
            <w:r w:rsidRPr="00746400">
              <w:rPr>
                <w:rFonts w:eastAsia="Times New Roman" w:cs="Times New Roman"/>
                <w:b/>
                <w:bCs/>
                <w:color w:val="000000"/>
                <w:szCs w:val="24"/>
              </w:rPr>
              <w:t>John Roberts</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0.006</w:t>
            </w:r>
          </w:p>
        </w:tc>
      </w:tr>
      <w:tr w:rsidR="00746400" w:rsidRPr="00746400" w:rsidTr="00746400">
        <w:trPr>
          <w:trHeight w:val="360"/>
        </w:trPr>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 w:val="22"/>
              </w:rPr>
            </w:pPr>
            <w:r w:rsidRPr="00746400">
              <w:rPr>
                <w:rFonts w:eastAsia="Times New Roman" w:cs="Times New Roman"/>
                <w:color w:val="000000"/>
                <w:sz w:val="22"/>
              </w:rPr>
              <w:t>7</w:t>
            </w:r>
          </w:p>
        </w:tc>
        <w:tc>
          <w:tcPr>
            <w:tcW w:w="0" w:type="auto"/>
            <w:shd w:val="clear" w:color="auto" w:fill="auto"/>
            <w:noWrap/>
            <w:vAlign w:val="center"/>
            <w:hideMark/>
          </w:tcPr>
          <w:p w:rsidR="00746400" w:rsidRPr="00746400" w:rsidRDefault="007E7980" w:rsidP="00746400">
            <w:pPr>
              <w:ind w:left="0" w:firstLine="0"/>
              <w:rPr>
                <w:rFonts w:eastAsia="Times New Roman" w:cs="Times New Roman"/>
                <w:b/>
                <w:bCs/>
                <w:color w:val="000000"/>
                <w:szCs w:val="24"/>
              </w:rPr>
            </w:pPr>
            <w:r>
              <w:rPr>
                <w:rFonts w:eastAsia="Times New Roman" w:cs="Times New Roman"/>
                <w:b/>
                <w:bCs/>
                <w:color w:val="000000"/>
                <w:szCs w:val="24"/>
              </w:rPr>
              <w:t>Stephen</w:t>
            </w:r>
            <w:r w:rsidR="00746400" w:rsidRPr="00746400">
              <w:rPr>
                <w:rFonts w:eastAsia="Times New Roman" w:cs="Times New Roman"/>
                <w:b/>
                <w:bCs/>
                <w:color w:val="000000"/>
                <w:szCs w:val="24"/>
              </w:rPr>
              <w:t xml:space="preserve"> Breyer</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0.004</w:t>
            </w:r>
          </w:p>
        </w:tc>
      </w:tr>
      <w:tr w:rsidR="00746400" w:rsidRPr="00746400" w:rsidTr="00746400">
        <w:trPr>
          <w:trHeight w:val="360"/>
        </w:trPr>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 w:val="22"/>
              </w:rPr>
            </w:pPr>
            <w:r w:rsidRPr="00746400">
              <w:rPr>
                <w:rFonts w:eastAsia="Times New Roman" w:cs="Times New Roman"/>
                <w:color w:val="000000"/>
                <w:sz w:val="22"/>
              </w:rPr>
              <w:t>8</w:t>
            </w:r>
          </w:p>
        </w:tc>
        <w:tc>
          <w:tcPr>
            <w:tcW w:w="0" w:type="auto"/>
            <w:shd w:val="clear" w:color="auto" w:fill="auto"/>
            <w:noWrap/>
            <w:vAlign w:val="center"/>
            <w:hideMark/>
          </w:tcPr>
          <w:p w:rsidR="00746400" w:rsidRPr="00746400" w:rsidRDefault="007E7980" w:rsidP="00746400">
            <w:pPr>
              <w:ind w:left="0" w:firstLine="0"/>
              <w:rPr>
                <w:rFonts w:eastAsia="Times New Roman" w:cs="Times New Roman"/>
                <w:b/>
                <w:bCs/>
                <w:color w:val="000000"/>
                <w:szCs w:val="24"/>
              </w:rPr>
            </w:pPr>
            <w:r>
              <w:rPr>
                <w:rFonts w:eastAsia="Times New Roman" w:cs="Times New Roman"/>
                <w:b/>
                <w:bCs/>
                <w:color w:val="000000"/>
                <w:szCs w:val="24"/>
              </w:rPr>
              <w:t>John Paul</w:t>
            </w:r>
            <w:r w:rsidR="00746400" w:rsidRPr="00746400">
              <w:rPr>
                <w:rFonts w:eastAsia="Times New Roman" w:cs="Times New Roman"/>
                <w:b/>
                <w:bCs/>
                <w:color w:val="000000"/>
                <w:szCs w:val="24"/>
              </w:rPr>
              <w:t xml:space="preserve"> Stevens</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0.002</w:t>
            </w:r>
          </w:p>
        </w:tc>
      </w:tr>
      <w:tr w:rsidR="00746400" w:rsidRPr="00746400" w:rsidTr="00746400">
        <w:trPr>
          <w:trHeight w:val="360"/>
        </w:trPr>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 w:val="22"/>
              </w:rPr>
            </w:pPr>
            <w:r w:rsidRPr="00746400">
              <w:rPr>
                <w:rFonts w:eastAsia="Times New Roman" w:cs="Times New Roman"/>
                <w:color w:val="000000"/>
                <w:sz w:val="22"/>
              </w:rPr>
              <w:t>9</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b/>
                <w:bCs/>
                <w:color w:val="000000"/>
                <w:szCs w:val="24"/>
              </w:rPr>
            </w:pPr>
            <w:r w:rsidRPr="00746400">
              <w:rPr>
                <w:rFonts w:eastAsia="Times New Roman" w:cs="Times New Roman"/>
                <w:b/>
                <w:bCs/>
                <w:color w:val="000000"/>
                <w:szCs w:val="24"/>
              </w:rPr>
              <w:t>Clarence Thomas</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-.033</w:t>
            </w:r>
          </w:p>
        </w:tc>
      </w:tr>
      <w:tr w:rsidR="00746400" w:rsidRPr="00746400" w:rsidTr="00746400">
        <w:trPr>
          <w:trHeight w:val="360"/>
        </w:trPr>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 w:val="22"/>
              </w:rPr>
            </w:pPr>
            <w:r w:rsidRPr="00746400">
              <w:rPr>
                <w:rFonts w:eastAsia="Times New Roman" w:cs="Times New Roman"/>
                <w:color w:val="000000"/>
                <w:sz w:val="22"/>
              </w:rPr>
              <w:t>10</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b/>
                <w:bCs/>
                <w:color w:val="000000"/>
                <w:szCs w:val="24"/>
              </w:rPr>
            </w:pPr>
            <w:r w:rsidRPr="00746400">
              <w:rPr>
                <w:rFonts w:eastAsia="Times New Roman" w:cs="Times New Roman"/>
                <w:b/>
                <w:bCs/>
                <w:color w:val="000000"/>
                <w:szCs w:val="24"/>
              </w:rPr>
              <w:t>Samuel Alito</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-.052</w:t>
            </w:r>
          </w:p>
        </w:tc>
      </w:tr>
      <w:tr w:rsidR="00746400" w:rsidRPr="00746400" w:rsidTr="00746400">
        <w:trPr>
          <w:trHeight w:val="360"/>
        </w:trPr>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 w:val="22"/>
              </w:rPr>
            </w:pPr>
            <w:r w:rsidRPr="00746400">
              <w:rPr>
                <w:rFonts w:eastAsia="Times New Roman" w:cs="Times New Roman"/>
                <w:color w:val="000000"/>
                <w:sz w:val="22"/>
              </w:rPr>
              <w:t>11</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b/>
                <w:bCs/>
                <w:color w:val="000000"/>
                <w:szCs w:val="24"/>
              </w:rPr>
            </w:pPr>
            <w:r w:rsidRPr="00746400">
              <w:rPr>
                <w:rFonts w:eastAsia="Times New Roman" w:cs="Times New Roman"/>
                <w:b/>
                <w:bCs/>
                <w:color w:val="000000"/>
                <w:szCs w:val="24"/>
              </w:rPr>
              <w:t>David Souter</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-.092</w:t>
            </w:r>
          </w:p>
        </w:tc>
      </w:tr>
    </w:tbl>
    <w:p w:rsidR="00746400" w:rsidRPr="006616F5" w:rsidRDefault="006616F5" w:rsidP="006616F5">
      <w:pPr>
        <w:autoSpaceDE w:val="0"/>
        <w:autoSpaceDN w:val="0"/>
        <w:adjustRightInd w:val="0"/>
        <w:ind w:left="90" w:firstLine="0"/>
        <w:rPr>
          <w:sz w:val="22"/>
        </w:rPr>
      </w:pPr>
      <w:r>
        <w:rPr>
          <w:sz w:val="22"/>
        </w:rPr>
        <w:t>*p&lt;.10 **p&lt;.05, ***p&lt;.01, ****p&lt;.001 (two-tailed)</w:t>
      </w:r>
    </w:p>
    <w:p w:rsidR="001C243D" w:rsidRDefault="00B6457A" w:rsidP="00B6457A">
      <w:pPr>
        <w:spacing w:line="480" w:lineRule="auto"/>
        <w:ind w:left="0" w:firstLine="0"/>
        <w:rPr>
          <w:rFonts w:cs="Times New Roman"/>
          <w:szCs w:val="24"/>
        </w:rPr>
      </w:pPr>
      <w:proofErr w:type="gramStart"/>
      <w:r>
        <w:rPr>
          <w:rFonts w:cs="Times New Roman"/>
          <w:szCs w:val="24"/>
        </w:rPr>
        <w:lastRenderedPageBreak/>
        <w:t>justices</w:t>
      </w:r>
      <w:proofErr w:type="gramEnd"/>
      <w:r>
        <w:rPr>
          <w:rFonts w:cs="Times New Roman"/>
          <w:szCs w:val="24"/>
        </w:rPr>
        <w:t>,</w:t>
      </w:r>
      <w:r w:rsidRPr="00B6457A">
        <w:rPr>
          <w:rFonts w:cs="Times New Roman"/>
          <w:szCs w:val="24"/>
        </w:rPr>
        <w:t xml:space="preserve"> </w:t>
      </w:r>
      <w:r>
        <w:rPr>
          <w:rFonts w:cs="Times New Roman"/>
          <w:szCs w:val="24"/>
        </w:rPr>
        <w:t xml:space="preserve">suggesting that Justice Kagan is the justice who is most influenced by an ideological advantage of prestigious amici in a case.  </w:t>
      </w:r>
      <w:r w:rsidR="00FA436E">
        <w:rPr>
          <w:rFonts w:cs="Times New Roman"/>
          <w:szCs w:val="24"/>
        </w:rPr>
        <w:t>Likewise, Justice Kennedy</w:t>
      </w:r>
      <w:r w:rsidR="001C243D">
        <w:rPr>
          <w:rFonts w:cs="Times New Roman"/>
          <w:szCs w:val="24"/>
        </w:rPr>
        <w:t xml:space="preserve"> ranks second, with a Pearson’s correlation of .100.  Just as with the relationship between justice votes and </w:t>
      </w:r>
      <w:r w:rsidR="001C243D">
        <w:rPr>
          <w:rFonts w:cs="Times New Roman"/>
          <w:i/>
          <w:szCs w:val="24"/>
        </w:rPr>
        <w:t>Liberal-Conservative Amicus Cosigners Difference</w:t>
      </w:r>
      <w:r w:rsidR="00BC3CFB">
        <w:rPr>
          <w:rFonts w:cs="Times New Roman"/>
          <w:szCs w:val="24"/>
        </w:rPr>
        <w:t xml:space="preserve">, </w:t>
      </w:r>
      <w:r w:rsidR="001C243D">
        <w:rPr>
          <w:rFonts w:cs="Times New Roman"/>
          <w:szCs w:val="24"/>
        </w:rPr>
        <w:t xml:space="preserve">these justices are the only two who have a statistically significant relationship between the ideological direction of their vote and an ideological advantage of prestigious amicus.  If nothing else, one should be detecting a recurring theme </w:t>
      </w:r>
      <w:r w:rsidR="00BC3CFB">
        <w:rPr>
          <w:rFonts w:cs="Times New Roman"/>
          <w:szCs w:val="24"/>
        </w:rPr>
        <w:t xml:space="preserve">regarding amicus influence: </w:t>
      </w:r>
      <w:r w:rsidR="001C243D">
        <w:rPr>
          <w:rFonts w:cs="Times New Roman"/>
          <w:szCs w:val="24"/>
        </w:rPr>
        <w:t>Ju</w:t>
      </w:r>
      <w:r w:rsidR="003542B1">
        <w:rPr>
          <w:rFonts w:cs="Times New Roman"/>
          <w:szCs w:val="24"/>
        </w:rPr>
        <w:t>stices Kagan and Kennedy lead</w:t>
      </w:r>
      <w:r w:rsidR="001C243D">
        <w:rPr>
          <w:rFonts w:cs="Times New Roman"/>
          <w:szCs w:val="24"/>
        </w:rPr>
        <w:t xml:space="preserve"> the pack.  Justices Thomas, Alito, and Souter actually have negative correlations, but these are not statistically significant. </w:t>
      </w:r>
      <w:r w:rsidR="002B3508">
        <w:rPr>
          <w:rFonts w:cs="Times New Roman"/>
          <w:szCs w:val="24"/>
        </w:rPr>
        <w:t xml:space="preserve"> T</w:t>
      </w:r>
      <w:r w:rsidR="001C243D">
        <w:rPr>
          <w:rFonts w:cs="Times New Roman"/>
          <w:szCs w:val="24"/>
        </w:rPr>
        <w:t>he main co</w:t>
      </w:r>
      <w:r w:rsidR="002B3508">
        <w:rPr>
          <w:rFonts w:cs="Times New Roman"/>
          <w:szCs w:val="24"/>
        </w:rPr>
        <w:t>nclusion to draw from Table 5.13</w:t>
      </w:r>
      <w:r w:rsidR="001C243D">
        <w:rPr>
          <w:rFonts w:cs="Times New Roman"/>
          <w:szCs w:val="24"/>
        </w:rPr>
        <w:t xml:space="preserve"> is that, </w:t>
      </w:r>
      <w:r w:rsidR="002B3508">
        <w:rPr>
          <w:rFonts w:cs="Times New Roman"/>
          <w:szCs w:val="24"/>
        </w:rPr>
        <w:t xml:space="preserve">considering all cases between 2007-2011 terms, </w:t>
      </w:r>
      <w:r w:rsidR="001C243D">
        <w:rPr>
          <w:rFonts w:cs="Times New Roman"/>
          <w:szCs w:val="24"/>
        </w:rPr>
        <w:t>apart from Justice</w:t>
      </w:r>
      <w:r w:rsidR="002B3508">
        <w:rPr>
          <w:rFonts w:cs="Times New Roman"/>
          <w:szCs w:val="24"/>
        </w:rPr>
        <w:t>s</w:t>
      </w:r>
      <w:r w:rsidR="001C243D">
        <w:rPr>
          <w:rFonts w:cs="Times New Roman"/>
          <w:szCs w:val="24"/>
        </w:rPr>
        <w:t xml:space="preserve"> Kagan</w:t>
      </w:r>
      <w:r w:rsidR="002B3508">
        <w:rPr>
          <w:rFonts w:cs="Times New Roman"/>
          <w:szCs w:val="24"/>
        </w:rPr>
        <w:t xml:space="preserve"> and Kennedy</w:t>
      </w:r>
      <w:r w:rsidR="001C243D">
        <w:rPr>
          <w:rFonts w:cs="Times New Roman"/>
          <w:szCs w:val="24"/>
        </w:rPr>
        <w:t>, the</w:t>
      </w:r>
      <w:r w:rsidR="002B3508">
        <w:rPr>
          <w:rFonts w:cs="Times New Roman"/>
          <w:szCs w:val="24"/>
        </w:rPr>
        <w:t xml:space="preserve"> impact of an advantage of prestigious amici</w:t>
      </w:r>
      <w:r w:rsidR="001C243D">
        <w:rPr>
          <w:rFonts w:cs="Times New Roman"/>
          <w:szCs w:val="24"/>
        </w:rPr>
        <w:t xml:space="preserve"> </w:t>
      </w:r>
      <w:r w:rsidR="002B3508">
        <w:rPr>
          <w:rFonts w:cs="Times New Roman"/>
          <w:szCs w:val="24"/>
        </w:rPr>
        <w:t xml:space="preserve">is not discernible for justices on the Roberts Court. </w:t>
      </w:r>
      <w:r w:rsidR="00990916">
        <w:rPr>
          <w:rFonts w:cs="Times New Roman"/>
          <w:szCs w:val="24"/>
        </w:rPr>
        <w:t xml:space="preserve"> </w:t>
      </w:r>
    </w:p>
    <w:p w:rsidR="001F6F61" w:rsidRPr="00AE1F95" w:rsidRDefault="00A551BB" w:rsidP="00AE1F95">
      <w:pPr>
        <w:spacing w:line="480" w:lineRule="auto"/>
        <w:ind w:left="0" w:firstLine="720"/>
        <w:rPr>
          <w:rFonts w:cs="Times New Roman"/>
          <w:szCs w:val="24"/>
        </w:rPr>
      </w:pPr>
      <w:r>
        <w:rPr>
          <w:rFonts w:cs="Times New Roman"/>
          <w:szCs w:val="24"/>
        </w:rPr>
        <w:t xml:space="preserve">Turning to Table 5.14, one observes a different story altogether.  Looking at the Pearson’s correlation between a justices’ vote and </w:t>
      </w:r>
      <w:r w:rsidRPr="002B3508">
        <w:rPr>
          <w:rFonts w:eastAsia="Times New Roman" w:cs="Times New Roman"/>
          <w:i/>
          <w:color w:val="000000"/>
          <w:szCs w:val="24"/>
        </w:rPr>
        <w:t>SG Liberal Amicus</w:t>
      </w:r>
      <w:r>
        <w:rPr>
          <w:rFonts w:cs="Times New Roman"/>
          <w:szCs w:val="24"/>
        </w:rPr>
        <w:t xml:space="preserve">, one sees that all justices at the Roberts Court evidence a statistically significant correlation.  This indicates that all justices are statistically more likely to vote liberally when the SG files a liberal amicus brief in a case than when the SG does not file a liberal brief, even Justices Scalia and Thomas.  As expected, liberal justices tend to be more receptive to the influence of </w:t>
      </w:r>
      <w:r w:rsidRPr="002B3508">
        <w:rPr>
          <w:rFonts w:eastAsia="Times New Roman" w:cs="Times New Roman"/>
          <w:i/>
          <w:color w:val="000000"/>
          <w:szCs w:val="24"/>
        </w:rPr>
        <w:t>SG Liberal Amicus</w:t>
      </w:r>
      <w:r>
        <w:rPr>
          <w:rFonts w:eastAsia="Times New Roman" w:cs="Times New Roman"/>
          <w:i/>
          <w:color w:val="000000"/>
          <w:szCs w:val="24"/>
        </w:rPr>
        <w:t xml:space="preserve"> </w:t>
      </w:r>
      <w:r>
        <w:rPr>
          <w:rFonts w:eastAsia="Times New Roman" w:cs="Times New Roman"/>
          <w:color w:val="000000"/>
          <w:szCs w:val="24"/>
        </w:rPr>
        <w:t xml:space="preserve">than conservative justices.  Justice Sotomayor ranks first (.269), with Justices Breyer (.251) and Ginsburg (.205) following.  </w:t>
      </w:r>
      <w:r>
        <w:rPr>
          <w:rFonts w:cs="Times New Roman"/>
          <w:szCs w:val="24"/>
        </w:rPr>
        <w:t>Still, Table 5.14 demonstrates the deference that the justices give to the Solicitor General, regardless of ideology or moderation levels.  Interestingly, Justice Alito is the conservative justice who seems most responsive to the SG when the SG advocates a liberal position – ranking higher than the moderately conservative Justice Kennedy, as well as higher than liberal Justices Souter, Kagan, and Stevens.  Also worth highli</w:t>
      </w:r>
      <w:r w:rsidR="00AE1F95">
        <w:rPr>
          <w:rFonts w:cs="Times New Roman"/>
          <w:szCs w:val="24"/>
        </w:rPr>
        <w:t>ghting is the fact that Justice</w:t>
      </w:r>
    </w:p>
    <w:p w:rsidR="00746400" w:rsidRPr="00810679" w:rsidRDefault="00746400" w:rsidP="00746400">
      <w:pPr>
        <w:spacing w:line="480" w:lineRule="auto"/>
        <w:ind w:left="0" w:firstLine="0"/>
        <w:jc w:val="both"/>
        <w:rPr>
          <w:rFonts w:cs="Times New Roman"/>
          <w:b/>
          <w:i/>
          <w:szCs w:val="24"/>
        </w:rPr>
      </w:pPr>
      <w:proofErr w:type="gramStart"/>
      <w:r>
        <w:rPr>
          <w:rFonts w:cs="Times New Roman"/>
          <w:b/>
          <w:szCs w:val="24"/>
        </w:rPr>
        <w:lastRenderedPageBreak/>
        <w:t>Table 5.14</w:t>
      </w:r>
      <w:r w:rsidRPr="00810679">
        <w:rPr>
          <w:rFonts w:cs="Times New Roman"/>
          <w:b/>
          <w:szCs w:val="24"/>
        </w:rPr>
        <w:t>.</w:t>
      </w:r>
      <w:proofErr w:type="gramEnd"/>
      <w:r w:rsidRPr="00810679">
        <w:rPr>
          <w:rFonts w:cs="Times New Roman"/>
          <w:b/>
          <w:szCs w:val="24"/>
        </w:rPr>
        <w:t xml:space="preserve"> Ranking of Justices Based Upon Pear</w:t>
      </w:r>
      <w:r w:rsidR="00426385">
        <w:rPr>
          <w:rFonts w:cs="Times New Roman"/>
          <w:b/>
          <w:szCs w:val="24"/>
        </w:rPr>
        <w:t xml:space="preserve">son Correlation </w:t>
      </w:r>
      <w:proofErr w:type="gramStart"/>
      <w:r w:rsidR="00426385">
        <w:rPr>
          <w:rFonts w:cs="Times New Roman"/>
          <w:b/>
          <w:szCs w:val="24"/>
        </w:rPr>
        <w:t>Between</w:t>
      </w:r>
      <w:proofErr w:type="gramEnd"/>
      <w:r w:rsidR="00426385">
        <w:rPr>
          <w:rFonts w:cs="Times New Roman"/>
          <w:b/>
          <w:szCs w:val="24"/>
        </w:rPr>
        <w:t xml:space="preserve"> Ideological Direction of Justice Vote</w:t>
      </w:r>
      <w:r w:rsidRPr="00810679">
        <w:rPr>
          <w:rFonts w:cs="Times New Roman"/>
          <w:b/>
          <w:szCs w:val="24"/>
        </w:rPr>
        <w:t xml:space="preserve"> and </w:t>
      </w:r>
      <w:r>
        <w:rPr>
          <w:rFonts w:cs="Times New Roman"/>
          <w:b/>
          <w:i/>
          <w:szCs w:val="24"/>
        </w:rPr>
        <w:t>SG Liberal Amicus</w:t>
      </w:r>
    </w:p>
    <w:tbl>
      <w:tblPr>
        <w:tblW w:w="0" w:type="auto"/>
        <w:tblInd w:w="93" w:type="dxa"/>
        <w:tblBorders>
          <w:top w:val="single" w:sz="18" w:space="0" w:color="auto"/>
          <w:bottom w:val="single" w:sz="18" w:space="0" w:color="auto"/>
        </w:tblBorders>
        <w:tblLook w:val="04A0" w:firstRow="1" w:lastRow="0" w:firstColumn="1" w:lastColumn="0" w:noHBand="0" w:noVBand="1"/>
      </w:tblPr>
      <w:tblGrid>
        <w:gridCol w:w="723"/>
        <w:gridCol w:w="2430"/>
        <w:gridCol w:w="2083"/>
      </w:tblGrid>
      <w:tr w:rsidR="00746400" w:rsidRPr="00746400" w:rsidTr="00746400">
        <w:trPr>
          <w:trHeight w:val="360"/>
        </w:trPr>
        <w:tc>
          <w:tcPr>
            <w:tcW w:w="0" w:type="auto"/>
            <w:tcBorders>
              <w:top w:val="single" w:sz="18" w:space="0" w:color="auto"/>
              <w:bottom w:val="single" w:sz="18" w:space="0" w:color="auto"/>
            </w:tcBorders>
            <w:shd w:val="clear" w:color="auto" w:fill="auto"/>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Rank</w:t>
            </w:r>
          </w:p>
        </w:tc>
        <w:tc>
          <w:tcPr>
            <w:tcW w:w="0" w:type="auto"/>
            <w:tcBorders>
              <w:top w:val="single" w:sz="18" w:space="0" w:color="auto"/>
              <w:bottom w:val="single" w:sz="18" w:space="0" w:color="auto"/>
            </w:tcBorders>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Justice</w:t>
            </w:r>
          </w:p>
        </w:tc>
        <w:tc>
          <w:tcPr>
            <w:tcW w:w="0" w:type="auto"/>
            <w:tcBorders>
              <w:top w:val="single" w:sz="18" w:space="0" w:color="auto"/>
              <w:bottom w:val="single" w:sz="18" w:space="0" w:color="auto"/>
            </w:tcBorders>
            <w:shd w:val="clear" w:color="auto" w:fill="auto"/>
            <w:vAlign w:val="center"/>
            <w:hideMark/>
          </w:tcPr>
          <w:p w:rsidR="00746400" w:rsidRPr="00746400" w:rsidRDefault="00746400" w:rsidP="00746400">
            <w:pPr>
              <w:ind w:left="0" w:firstLine="0"/>
              <w:rPr>
                <w:rFonts w:eastAsia="Times New Roman" w:cs="Times New Roman"/>
                <w:color w:val="000000"/>
                <w:szCs w:val="24"/>
              </w:rPr>
            </w:pPr>
            <w:r>
              <w:rPr>
                <w:rFonts w:eastAsia="Times New Roman" w:cs="Times New Roman"/>
                <w:color w:val="000000"/>
                <w:szCs w:val="24"/>
              </w:rPr>
              <w:t>SG Liberal Amicus</w:t>
            </w:r>
          </w:p>
        </w:tc>
      </w:tr>
      <w:tr w:rsidR="00746400" w:rsidRPr="00746400" w:rsidTr="00746400">
        <w:trPr>
          <w:trHeight w:val="360"/>
        </w:trPr>
        <w:tc>
          <w:tcPr>
            <w:tcW w:w="0" w:type="auto"/>
            <w:tcBorders>
              <w:top w:val="single" w:sz="18" w:space="0" w:color="auto"/>
            </w:tcBorders>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1</w:t>
            </w:r>
          </w:p>
        </w:tc>
        <w:tc>
          <w:tcPr>
            <w:tcW w:w="0" w:type="auto"/>
            <w:tcBorders>
              <w:top w:val="single" w:sz="18" w:space="0" w:color="auto"/>
            </w:tcBorders>
            <w:shd w:val="clear" w:color="auto" w:fill="auto"/>
            <w:noWrap/>
            <w:vAlign w:val="center"/>
            <w:hideMark/>
          </w:tcPr>
          <w:p w:rsidR="00746400" w:rsidRPr="00746400" w:rsidRDefault="00746400" w:rsidP="00746400">
            <w:pPr>
              <w:ind w:left="0" w:firstLine="0"/>
              <w:rPr>
                <w:rFonts w:eastAsia="Times New Roman" w:cs="Times New Roman"/>
                <w:b/>
                <w:bCs/>
                <w:color w:val="000000"/>
                <w:szCs w:val="24"/>
              </w:rPr>
            </w:pPr>
            <w:r w:rsidRPr="00746400">
              <w:rPr>
                <w:rFonts w:eastAsia="Times New Roman" w:cs="Times New Roman"/>
                <w:b/>
                <w:bCs/>
                <w:color w:val="000000"/>
                <w:szCs w:val="24"/>
              </w:rPr>
              <w:t>Sonia Sotomayor</w:t>
            </w:r>
          </w:p>
        </w:tc>
        <w:tc>
          <w:tcPr>
            <w:tcW w:w="0" w:type="auto"/>
            <w:tcBorders>
              <w:top w:val="single" w:sz="18" w:space="0" w:color="auto"/>
            </w:tcBorders>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.269****</w:t>
            </w:r>
          </w:p>
        </w:tc>
      </w:tr>
      <w:tr w:rsidR="00746400" w:rsidRPr="00746400" w:rsidTr="00746400">
        <w:trPr>
          <w:trHeight w:val="360"/>
        </w:trPr>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2</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b/>
                <w:bCs/>
                <w:color w:val="000000"/>
                <w:szCs w:val="24"/>
              </w:rPr>
            </w:pPr>
            <w:r w:rsidRPr="00746400">
              <w:rPr>
                <w:rFonts w:eastAsia="Times New Roman" w:cs="Times New Roman"/>
                <w:b/>
                <w:bCs/>
                <w:color w:val="000000"/>
                <w:szCs w:val="24"/>
              </w:rPr>
              <w:t>Stephen Breyer</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.251****</w:t>
            </w:r>
          </w:p>
        </w:tc>
      </w:tr>
      <w:tr w:rsidR="00746400" w:rsidRPr="00746400" w:rsidTr="00746400">
        <w:trPr>
          <w:trHeight w:val="360"/>
        </w:trPr>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3</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b/>
                <w:bCs/>
                <w:color w:val="000000"/>
                <w:szCs w:val="24"/>
              </w:rPr>
            </w:pPr>
            <w:r w:rsidRPr="00746400">
              <w:rPr>
                <w:rFonts w:eastAsia="Times New Roman" w:cs="Times New Roman"/>
                <w:b/>
                <w:bCs/>
                <w:color w:val="000000"/>
                <w:szCs w:val="24"/>
              </w:rPr>
              <w:t>Ruth Bader Ginsberg</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.205****</w:t>
            </w:r>
          </w:p>
        </w:tc>
      </w:tr>
      <w:tr w:rsidR="00746400" w:rsidRPr="00746400" w:rsidTr="00746400">
        <w:trPr>
          <w:trHeight w:val="360"/>
        </w:trPr>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4</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b/>
                <w:bCs/>
                <w:color w:val="000000"/>
                <w:szCs w:val="24"/>
              </w:rPr>
            </w:pPr>
            <w:r w:rsidRPr="00746400">
              <w:rPr>
                <w:rFonts w:eastAsia="Times New Roman" w:cs="Times New Roman"/>
                <w:b/>
                <w:bCs/>
                <w:color w:val="000000"/>
                <w:szCs w:val="24"/>
              </w:rPr>
              <w:t>Samuel Alito</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.189****</w:t>
            </w:r>
          </w:p>
        </w:tc>
      </w:tr>
      <w:tr w:rsidR="00746400" w:rsidRPr="00746400" w:rsidTr="00746400">
        <w:trPr>
          <w:trHeight w:val="360"/>
        </w:trPr>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5</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b/>
                <w:bCs/>
                <w:color w:val="000000"/>
                <w:szCs w:val="24"/>
              </w:rPr>
            </w:pPr>
            <w:r w:rsidRPr="00746400">
              <w:rPr>
                <w:rFonts w:eastAsia="Times New Roman" w:cs="Times New Roman"/>
                <w:b/>
                <w:bCs/>
                <w:color w:val="000000"/>
                <w:szCs w:val="24"/>
              </w:rPr>
              <w:t>David Souter</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.172**</w:t>
            </w:r>
          </w:p>
        </w:tc>
      </w:tr>
      <w:tr w:rsidR="00746400" w:rsidRPr="00746400" w:rsidTr="00746400">
        <w:trPr>
          <w:trHeight w:val="360"/>
        </w:trPr>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6</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b/>
                <w:bCs/>
                <w:color w:val="000000"/>
                <w:szCs w:val="24"/>
              </w:rPr>
            </w:pPr>
            <w:r w:rsidRPr="00746400">
              <w:rPr>
                <w:rFonts w:eastAsia="Times New Roman" w:cs="Times New Roman"/>
                <w:b/>
                <w:bCs/>
                <w:color w:val="000000"/>
                <w:szCs w:val="24"/>
              </w:rPr>
              <w:t>Elena Kagan</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.163*</w:t>
            </w:r>
          </w:p>
        </w:tc>
      </w:tr>
      <w:tr w:rsidR="00746400" w:rsidRPr="00746400" w:rsidTr="00746400">
        <w:trPr>
          <w:trHeight w:val="360"/>
        </w:trPr>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7</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b/>
                <w:bCs/>
                <w:color w:val="000000"/>
                <w:szCs w:val="24"/>
              </w:rPr>
            </w:pPr>
            <w:r w:rsidRPr="00746400">
              <w:rPr>
                <w:rFonts w:eastAsia="Times New Roman" w:cs="Times New Roman"/>
                <w:b/>
                <w:bCs/>
                <w:color w:val="000000"/>
                <w:szCs w:val="24"/>
              </w:rPr>
              <w:t>Anthony Kennedy</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.148***</w:t>
            </w:r>
          </w:p>
        </w:tc>
      </w:tr>
      <w:tr w:rsidR="00746400" w:rsidRPr="00746400" w:rsidTr="00746400">
        <w:trPr>
          <w:trHeight w:val="360"/>
        </w:trPr>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8</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b/>
                <w:bCs/>
                <w:color w:val="000000"/>
                <w:szCs w:val="24"/>
              </w:rPr>
            </w:pPr>
            <w:r w:rsidRPr="00746400">
              <w:rPr>
                <w:rFonts w:eastAsia="Times New Roman" w:cs="Times New Roman"/>
                <w:b/>
                <w:bCs/>
                <w:color w:val="000000"/>
                <w:szCs w:val="24"/>
              </w:rPr>
              <w:t>John Roberts</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.146***</w:t>
            </w:r>
          </w:p>
        </w:tc>
      </w:tr>
      <w:tr w:rsidR="00746400" w:rsidRPr="00746400" w:rsidTr="00746400">
        <w:trPr>
          <w:trHeight w:val="360"/>
        </w:trPr>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9</w:t>
            </w:r>
          </w:p>
        </w:tc>
        <w:tc>
          <w:tcPr>
            <w:tcW w:w="0" w:type="auto"/>
            <w:shd w:val="clear" w:color="auto" w:fill="auto"/>
            <w:noWrap/>
            <w:vAlign w:val="center"/>
            <w:hideMark/>
          </w:tcPr>
          <w:p w:rsidR="00746400" w:rsidRPr="00746400" w:rsidRDefault="007E7980" w:rsidP="00746400">
            <w:pPr>
              <w:ind w:left="0" w:firstLine="0"/>
              <w:rPr>
                <w:rFonts w:eastAsia="Times New Roman" w:cs="Times New Roman"/>
                <w:b/>
                <w:bCs/>
                <w:color w:val="000000"/>
                <w:szCs w:val="24"/>
              </w:rPr>
            </w:pPr>
            <w:r>
              <w:rPr>
                <w:rFonts w:eastAsia="Times New Roman" w:cs="Times New Roman"/>
                <w:b/>
                <w:bCs/>
                <w:color w:val="000000"/>
                <w:szCs w:val="24"/>
              </w:rPr>
              <w:t>John Paul</w:t>
            </w:r>
            <w:r w:rsidR="00746400" w:rsidRPr="00746400">
              <w:rPr>
                <w:rFonts w:eastAsia="Times New Roman" w:cs="Times New Roman"/>
                <w:b/>
                <w:bCs/>
                <w:color w:val="000000"/>
                <w:szCs w:val="24"/>
              </w:rPr>
              <w:t xml:space="preserve"> Stevens</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.131**</w:t>
            </w:r>
          </w:p>
        </w:tc>
      </w:tr>
      <w:tr w:rsidR="00746400" w:rsidRPr="00746400" w:rsidTr="00746400">
        <w:trPr>
          <w:trHeight w:val="360"/>
        </w:trPr>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10</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b/>
                <w:bCs/>
                <w:color w:val="000000"/>
                <w:szCs w:val="24"/>
              </w:rPr>
            </w:pPr>
            <w:r w:rsidRPr="00746400">
              <w:rPr>
                <w:rFonts w:eastAsia="Times New Roman" w:cs="Times New Roman"/>
                <w:b/>
                <w:bCs/>
                <w:color w:val="000000"/>
                <w:szCs w:val="24"/>
              </w:rPr>
              <w:t>Antonin Scalia</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.106**</w:t>
            </w:r>
          </w:p>
        </w:tc>
      </w:tr>
      <w:tr w:rsidR="00746400" w:rsidRPr="00746400" w:rsidTr="00746400">
        <w:trPr>
          <w:trHeight w:val="360"/>
        </w:trPr>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11</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b/>
                <w:bCs/>
                <w:color w:val="000000"/>
                <w:szCs w:val="24"/>
              </w:rPr>
            </w:pPr>
            <w:r w:rsidRPr="00746400">
              <w:rPr>
                <w:rFonts w:eastAsia="Times New Roman" w:cs="Times New Roman"/>
                <w:b/>
                <w:bCs/>
                <w:color w:val="000000"/>
                <w:szCs w:val="24"/>
              </w:rPr>
              <w:t>Clarence Thomas</w:t>
            </w:r>
          </w:p>
        </w:tc>
        <w:tc>
          <w:tcPr>
            <w:tcW w:w="0" w:type="auto"/>
            <w:shd w:val="clear" w:color="auto" w:fill="auto"/>
            <w:noWrap/>
            <w:vAlign w:val="center"/>
            <w:hideMark/>
          </w:tcPr>
          <w:p w:rsidR="00746400" w:rsidRPr="00746400" w:rsidRDefault="00746400" w:rsidP="00746400">
            <w:pPr>
              <w:ind w:left="0" w:firstLine="0"/>
              <w:rPr>
                <w:rFonts w:eastAsia="Times New Roman" w:cs="Times New Roman"/>
                <w:color w:val="000000"/>
                <w:szCs w:val="24"/>
              </w:rPr>
            </w:pPr>
            <w:r w:rsidRPr="00746400">
              <w:rPr>
                <w:rFonts w:eastAsia="Times New Roman" w:cs="Times New Roman"/>
                <w:color w:val="000000"/>
                <w:szCs w:val="24"/>
              </w:rPr>
              <w:t>.106**</w:t>
            </w:r>
          </w:p>
        </w:tc>
      </w:tr>
    </w:tbl>
    <w:p w:rsidR="006616F5" w:rsidRPr="009E62D9" w:rsidRDefault="006616F5" w:rsidP="006616F5">
      <w:pPr>
        <w:autoSpaceDE w:val="0"/>
        <w:autoSpaceDN w:val="0"/>
        <w:adjustRightInd w:val="0"/>
        <w:ind w:left="90" w:firstLine="0"/>
        <w:rPr>
          <w:sz w:val="22"/>
        </w:rPr>
      </w:pPr>
      <w:proofErr w:type="gramStart"/>
      <w:r>
        <w:rPr>
          <w:sz w:val="22"/>
        </w:rPr>
        <w:t>*p&lt;.10 **p&lt;.05, ***p&lt;.01, ****p&lt;.001 (two</w:t>
      </w:r>
      <w:r w:rsidRPr="009E62D9">
        <w:rPr>
          <w:sz w:val="22"/>
        </w:rPr>
        <w:t>-tailed).</w:t>
      </w:r>
      <w:proofErr w:type="gramEnd"/>
    </w:p>
    <w:p w:rsidR="00746400" w:rsidRDefault="00746400" w:rsidP="00E71D36">
      <w:pPr>
        <w:spacing w:line="480" w:lineRule="auto"/>
        <w:ind w:left="0" w:firstLine="0"/>
        <w:rPr>
          <w:rFonts w:cs="Times New Roman"/>
          <w:szCs w:val="24"/>
        </w:rPr>
      </w:pPr>
    </w:p>
    <w:p w:rsidR="00AE1F95" w:rsidRDefault="00AE1F95" w:rsidP="00016491">
      <w:pPr>
        <w:spacing w:line="480" w:lineRule="auto"/>
        <w:ind w:left="0" w:firstLine="0"/>
        <w:rPr>
          <w:rFonts w:cs="Times New Roman"/>
          <w:szCs w:val="24"/>
        </w:rPr>
      </w:pPr>
    </w:p>
    <w:p w:rsidR="00BA3F0C" w:rsidRDefault="00AE1F95" w:rsidP="00016491">
      <w:pPr>
        <w:spacing w:line="480" w:lineRule="auto"/>
        <w:ind w:left="0" w:firstLine="0"/>
        <w:rPr>
          <w:rFonts w:cs="Times New Roman"/>
          <w:b/>
          <w:szCs w:val="24"/>
        </w:rPr>
      </w:pPr>
      <w:r>
        <w:rPr>
          <w:rFonts w:cs="Times New Roman"/>
          <w:szCs w:val="24"/>
        </w:rPr>
        <w:t xml:space="preserve">Kagan, the only former Solicitor General of the justices, responds significantly the persuasive attempts of the </w:t>
      </w:r>
      <w:r w:rsidRPr="002B3508">
        <w:rPr>
          <w:rFonts w:eastAsia="Times New Roman" w:cs="Times New Roman"/>
          <w:i/>
          <w:color w:val="000000"/>
          <w:szCs w:val="24"/>
        </w:rPr>
        <w:t>SG Liberal Amicus</w:t>
      </w:r>
      <w:r>
        <w:rPr>
          <w:rFonts w:eastAsia="Times New Roman" w:cs="Times New Roman"/>
          <w:i/>
          <w:color w:val="000000"/>
          <w:szCs w:val="24"/>
        </w:rPr>
        <w:t xml:space="preserve">, </w:t>
      </w:r>
      <w:r>
        <w:rPr>
          <w:rFonts w:eastAsia="Times New Roman" w:cs="Times New Roman"/>
          <w:color w:val="000000"/>
          <w:szCs w:val="24"/>
        </w:rPr>
        <w:t>but is not the leader as with the other amicus variables of interest.</w:t>
      </w:r>
      <w:r w:rsidR="002B3508">
        <w:rPr>
          <w:rFonts w:cs="Times New Roman"/>
          <w:b/>
          <w:szCs w:val="24"/>
        </w:rPr>
        <w:tab/>
      </w:r>
    </w:p>
    <w:p w:rsidR="00AE1F95" w:rsidRDefault="00AE1F95" w:rsidP="00AE1F95">
      <w:pPr>
        <w:spacing w:line="480" w:lineRule="auto"/>
        <w:ind w:left="0" w:firstLine="720"/>
        <w:rPr>
          <w:rFonts w:eastAsia="Times New Roman" w:cs="Times New Roman"/>
          <w:color w:val="000000"/>
          <w:szCs w:val="24"/>
        </w:rPr>
      </w:pPr>
      <w:r>
        <w:rPr>
          <w:rFonts w:cs="Times New Roman"/>
          <w:szCs w:val="24"/>
        </w:rPr>
        <w:t xml:space="preserve">Lastly, Table 5.15 tells a similar story in many ways to that of Table 5.14.  Looking at the Pearson’s correlation between a justices’ vote and </w:t>
      </w:r>
      <w:r>
        <w:rPr>
          <w:rFonts w:eastAsia="Times New Roman" w:cs="Times New Roman"/>
          <w:i/>
          <w:color w:val="000000"/>
          <w:szCs w:val="24"/>
        </w:rPr>
        <w:t>SG Conservative</w:t>
      </w:r>
      <w:r w:rsidRPr="002B3508">
        <w:rPr>
          <w:rFonts w:eastAsia="Times New Roman" w:cs="Times New Roman"/>
          <w:i/>
          <w:color w:val="000000"/>
          <w:szCs w:val="24"/>
        </w:rPr>
        <w:t xml:space="preserve"> Amicus</w:t>
      </w:r>
      <w:r>
        <w:rPr>
          <w:rFonts w:cs="Times New Roman"/>
          <w:szCs w:val="24"/>
        </w:rPr>
        <w:t xml:space="preserve">, one sees that all justices at the Roberts Court evidence a statistically significant correlation. The negative Pearson correlation coefficients show that all justices are statistically less likely to vote liberally when the SG files a conservative amicus brief in a case than when the SG does not file a conservative brief.   Like Table 5.14, Table 5.15 demonstrates the deference that the justices give to the SG, regardless of ideology or moderation levels.  </w:t>
      </w:r>
      <w:r>
        <w:rPr>
          <w:rFonts w:eastAsia="Times New Roman" w:cs="Times New Roman"/>
          <w:color w:val="000000"/>
          <w:szCs w:val="24"/>
        </w:rPr>
        <w:t xml:space="preserve">Noteworthy is the fact that Justice Breyer, generally considered to be liberal, demonstrates the highest correlation between his votes and </w:t>
      </w:r>
      <w:r>
        <w:rPr>
          <w:rFonts w:eastAsia="Times New Roman" w:cs="Times New Roman"/>
          <w:i/>
          <w:color w:val="000000"/>
          <w:szCs w:val="24"/>
        </w:rPr>
        <w:t xml:space="preserve">SG </w:t>
      </w:r>
      <w:r>
        <w:rPr>
          <w:rFonts w:eastAsia="Times New Roman" w:cs="Times New Roman"/>
          <w:i/>
          <w:color w:val="000000"/>
          <w:szCs w:val="24"/>
        </w:rPr>
        <w:lastRenderedPageBreak/>
        <w:t>Conservative</w:t>
      </w:r>
      <w:r w:rsidRPr="002B3508">
        <w:rPr>
          <w:rFonts w:eastAsia="Times New Roman" w:cs="Times New Roman"/>
          <w:i/>
          <w:color w:val="000000"/>
          <w:szCs w:val="24"/>
        </w:rPr>
        <w:t xml:space="preserve"> Amicus</w:t>
      </w:r>
      <w:r>
        <w:rPr>
          <w:rFonts w:eastAsia="Times New Roman" w:cs="Times New Roman"/>
          <w:color w:val="000000"/>
          <w:szCs w:val="24"/>
        </w:rPr>
        <w:t xml:space="preserve"> of all the justices.  Perhaps this can be attributed to Justice Breyer’s pragmatic jurisprudence, which emphasizes interpreting the law according to its purposes and consequences, instead of simply according to text, tradition, and precedent.  In this light, Breyer (2011) has written the following: “What does it mean for the Court to take a ‘practical’ attitude toward legal interpretation?  It means the Court will maintain strong workable relationships with other governmental institutions.  It means the Court will take into account the constitutional role of other institutions, including their responsibilities, their disabilities, and the ways in which they function.”  Given this approach, Breyer’s deferential attitude toward the interests of the Executive Branch can be explained by his stated desire to maintain a strong workable relationship with the other branches of government.   </w:t>
      </w:r>
    </w:p>
    <w:p w:rsidR="00AE1F95" w:rsidRDefault="00AE1F95" w:rsidP="00AE1F95">
      <w:pPr>
        <w:spacing w:line="480" w:lineRule="auto"/>
        <w:ind w:left="0" w:firstLine="720"/>
        <w:rPr>
          <w:rFonts w:cs="Times New Roman"/>
          <w:szCs w:val="24"/>
        </w:rPr>
      </w:pPr>
    </w:p>
    <w:p w:rsidR="00351114" w:rsidRPr="00AE1F95" w:rsidRDefault="00351114" w:rsidP="00AE1F95">
      <w:pPr>
        <w:spacing w:line="480" w:lineRule="auto"/>
        <w:ind w:left="0" w:firstLine="0"/>
        <w:rPr>
          <w:rFonts w:cs="Times New Roman"/>
          <w:szCs w:val="24"/>
        </w:rPr>
      </w:pPr>
      <w:proofErr w:type="gramStart"/>
      <w:r>
        <w:rPr>
          <w:rFonts w:cs="Times New Roman"/>
          <w:b/>
          <w:szCs w:val="24"/>
        </w:rPr>
        <w:t>Table 5.15</w:t>
      </w:r>
      <w:r w:rsidRPr="00810679">
        <w:rPr>
          <w:rFonts w:cs="Times New Roman"/>
          <w:b/>
          <w:szCs w:val="24"/>
        </w:rPr>
        <w:t>.</w:t>
      </w:r>
      <w:proofErr w:type="gramEnd"/>
      <w:r w:rsidRPr="00810679">
        <w:rPr>
          <w:rFonts w:cs="Times New Roman"/>
          <w:b/>
          <w:szCs w:val="24"/>
        </w:rPr>
        <w:t xml:space="preserve"> Ranking of Justices Based Upon Pea</w:t>
      </w:r>
      <w:r w:rsidR="00426385">
        <w:rPr>
          <w:rFonts w:cs="Times New Roman"/>
          <w:b/>
          <w:szCs w:val="24"/>
        </w:rPr>
        <w:t xml:space="preserve">rson Correlation </w:t>
      </w:r>
      <w:proofErr w:type="gramStart"/>
      <w:r w:rsidR="00426385">
        <w:rPr>
          <w:rFonts w:cs="Times New Roman"/>
          <w:b/>
          <w:szCs w:val="24"/>
        </w:rPr>
        <w:t>Between</w:t>
      </w:r>
      <w:proofErr w:type="gramEnd"/>
      <w:r w:rsidR="00426385">
        <w:rPr>
          <w:rFonts w:cs="Times New Roman"/>
          <w:b/>
          <w:szCs w:val="24"/>
        </w:rPr>
        <w:t xml:space="preserve"> Ideological Direction of Justice Vote</w:t>
      </w:r>
      <w:r w:rsidRPr="00810679">
        <w:rPr>
          <w:rFonts w:cs="Times New Roman"/>
          <w:b/>
          <w:szCs w:val="24"/>
        </w:rPr>
        <w:t xml:space="preserve"> and </w:t>
      </w:r>
      <w:r>
        <w:rPr>
          <w:rFonts w:cs="Times New Roman"/>
          <w:b/>
          <w:i/>
          <w:szCs w:val="24"/>
        </w:rPr>
        <w:t>SG Conservative Amicus</w:t>
      </w:r>
    </w:p>
    <w:tbl>
      <w:tblPr>
        <w:tblW w:w="0" w:type="auto"/>
        <w:tblInd w:w="93" w:type="dxa"/>
        <w:tblBorders>
          <w:top w:val="single" w:sz="18" w:space="0" w:color="auto"/>
          <w:bottom w:val="single" w:sz="18" w:space="0" w:color="auto"/>
        </w:tblBorders>
        <w:tblLook w:val="04A0" w:firstRow="1" w:lastRow="0" w:firstColumn="1" w:lastColumn="0" w:noHBand="0" w:noVBand="1"/>
      </w:tblPr>
      <w:tblGrid>
        <w:gridCol w:w="723"/>
        <w:gridCol w:w="2430"/>
        <w:gridCol w:w="2343"/>
      </w:tblGrid>
      <w:tr w:rsidR="00351114" w:rsidRPr="00351114" w:rsidTr="007E7980">
        <w:trPr>
          <w:trHeight w:val="360"/>
        </w:trPr>
        <w:tc>
          <w:tcPr>
            <w:tcW w:w="0" w:type="auto"/>
            <w:tcBorders>
              <w:top w:val="single" w:sz="18" w:space="0" w:color="auto"/>
              <w:bottom w:val="single" w:sz="18" w:space="0" w:color="auto"/>
            </w:tcBorders>
            <w:shd w:val="clear" w:color="auto" w:fill="auto"/>
            <w:noWrap/>
            <w:vAlign w:val="center"/>
            <w:hideMark/>
          </w:tcPr>
          <w:p w:rsidR="00351114" w:rsidRPr="00351114" w:rsidRDefault="00351114" w:rsidP="00351114">
            <w:pPr>
              <w:ind w:left="0" w:firstLine="0"/>
              <w:rPr>
                <w:rFonts w:eastAsia="Times New Roman" w:cs="Times New Roman"/>
                <w:color w:val="000000"/>
                <w:szCs w:val="24"/>
              </w:rPr>
            </w:pPr>
            <w:r w:rsidRPr="00351114">
              <w:rPr>
                <w:rFonts w:eastAsia="Times New Roman" w:cs="Times New Roman"/>
                <w:color w:val="000000"/>
                <w:szCs w:val="24"/>
              </w:rPr>
              <w:t>Rank</w:t>
            </w:r>
          </w:p>
        </w:tc>
        <w:tc>
          <w:tcPr>
            <w:tcW w:w="0" w:type="auto"/>
            <w:tcBorders>
              <w:top w:val="single" w:sz="18" w:space="0" w:color="auto"/>
              <w:bottom w:val="single" w:sz="18" w:space="0" w:color="auto"/>
            </w:tcBorders>
            <w:shd w:val="clear" w:color="auto" w:fill="auto"/>
            <w:noWrap/>
            <w:vAlign w:val="center"/>
            <w:hideMark/>
          </w:tcPr>
          <w:p w:rsidR="00351114" w:rsidRPr="00351114" w:rsidRDefault="00351114" w:rsidP="00351114">
            <w:pPr>
              <w:ind w:left="0" w:firstLine="0"/>
              <w:rPr>
                <w:rFonts w:eastAsia="Times New Roman" w:cs="Times New Roman"/>
                <w:color w:val="000000"/>
                <w:szCs w:val="24"/>
              </w:rPr>
            </w:pPr>
            <w:r w:rsidRPr="00351114">
              <w:rPr>
                <w:rFonts w:eastAsia="Times New Roman" w:cs="Times New Roman"/>
                <w:color w:val="000000"/>
                <w:szCs w:val="24"/>
              </w:rPr>
              <w:t>Justice</w:t>
            </w:r>
          </w:p>
        </w:tc>
        <w:tc>
          <w:tcPr>
            <w:tcW w:w="0" w:type="auto"/>
            <w:tcBorders>
              <w:top w:val="single" w:sz="18" w:space="0" w:color="auto"/>
              <w:bottom w:val="single" w:sz="18" w:space="0" w:color="auto"/>
            </w:tcBorders>
            <w:shd w:val="clear" w:color="auto" w:fill="auto"/>
            <w:vAlign w:val="center"/>
            <w:hideMark/>
          </w:tcPr>
          <w:p w:rsidR="00351114" w:rsidRPr="00351114" w:rsidRDefault="00351114" w:rsidP="00351114">
            <w:pPr>
              <w:ind w:left="0" w:firstLine="0"/>
              <w:rPr>
                <w:rFonts w:eastAsia="Times New Roman" w:cs="Times New Roman"/>
                <w:color w:val="000000"/>
                <w:szCs w:val="24"/>
              </w:rPr>
            </w:pPr>
            <w:r w:rsidRPr="00351114">
              <w:rPr>
                <w:rFonts w:eastAsia="Times New Roman" w:cs="Times New Roman"/>
                <w:color w:val="000000"/>
                <w:szCs w:val="24"/>
              </w:rPr>
              <w:t>SG Con Amicus Brief</w:t>
            </w:r>
          </w:p>
        </w:tc>
      </w:tr>
      <w:tr w:rsidR="00351114" w:rsidRPr="00351114" w:rsidTr="007E7980">
        <w:trPr>
          <w:trHeight w:val="360"/>
        </w:trPr>
        <w:tc>
          <w:tcPr>
            <w:tcW w:w="0" w:type="auto"/>
            <w:tcBorders>
              <w:top w:val="single" w:sz="18" w:space="0" w:color="auto"/>
            </w:tcBorders>
            <w:shd w:val="clear" w:color="auto" w:fill="auto"/>
            <w:noWrap/>
            <w:vAlign w:val="center"/>
            <w:hideMark/>
          </w:tcPr>
          <w:p w:rsidR="00351114" w:rsidRPr="00351114" w:rsidRDefault="00351114" w:rsidP="00351114">
            <w:pPr>
              <w:ind w:left="0" w:firstLine="0"/>
              <w:rPr>
                <w:rFonts w:eastAsia="Times New Roman" w:cs="Times New Roman"/>
                <w:color w:val="000000"/>
                <w:szCs w:val="24"/>
              </w:rPr>
            </w:pPr>
            <w:r w:rsidRPr="00351114">
              <w:rPr>
                <w:rFonts w:eastAsia="Times New Roman" w:cs="Times New Roman"/>
                <w:color w:val="000000"/>
                <w:szCs w:val="24"/>
              </w:rPr>
              <w:t>1</w:t>
            </w:r>
          </w:p>
        </w:tc>
        <w:tc>
          <w:tcPr>
            <w:tcW w:w="0" w:type="auto"/>
            <w:tcBorders>
              <w:top w:val="single" w:sz="18" w:space="0" w:color="auto"/>
            </w:tcBorders>
            <w:shd w:val="clear" w:color="auto" w:fill="auto"/>
            <w:noWrap/>
            <w:vAlign w:val="center"/>
            <w:hideMark/>
          </w:tcPr>
          <w:p w:rsidR="00351114" w:rsidRPr="00351114" w:rsidRDefault="007E7980" w:rsidP="00351114">
            <w:pPr>
              <w:ind w:left="0" w:firstLine="0"/>
              <w:rPr>
                <w:rFonts w:eastAsia="Times New Roman" w:cs="Times New Roman"/>
                <w:b/>
                <w:bCs/>
                <w:color w:val="000000"/>
                <w:szCs w:val="24"/>
              </w:rPr>
            </w:pPr>
            <w:r>
              <w:rPr>
                <w:rFonts w:eastAsia="Times New Roman" w:cs="Times New Roman"/>
                <w:b/>
                <w:bCs/>
                <w:color w:val="000000"/>
                <w:szCs w:val="24"/>
              </w:rPr>
              <w:t>Stephen</w:t>
            </w:r>
            <w:r w:rsidR="00351114" w:rsidRPr="00351114">
              <w:rPr>
                <w:rFonts w:eastAsia="Times New Roman" w:cs="Times New Roman"/>
                <w:b/>
                <w:bCs/>
                <w:color w:val="000000"/>
                <w:szCs w:val="24"/>
              </w:rPr>
              <w:t xml:space="preserve"> Breyer</w:t>
            </w:r>
          </w:p>
        </w:tc>
        <w:tc>
          <w:tcPr>
            <w:tcW w:w="0" w:type="auto"/>
            <w:tcBorders>
              <w:top w:val="single" w:sz="18" w:space="0" w:color="auto"/>
            </w:tcBorders>
            <w:shd w:val="clear" w:color="auto" w:fill="auto"/>
            <w:noWrap/>
            <w:vAlign w:val="center"/>
            <w:hideMark/>
          </w:tcPr>
          <w:p w:rsidR="00351114" w:rsidRPr="00351114" w:rsidRDefault="00351114" w:rsidP="00351114">
            <w:pPr>
              <w:ind w:left="0" w:firstLine="0"/>
              <w:rPr>
                <w:rFonts w:eastAsia="Times New Roman" w:cs="Times New Roman"/>
                <w:color w:val="000000"/>
                <w:szCs w:val="24"/>
              </w:rPr>
            </w:pPr>
            <w:r w:rsidRPr="00351114">
              <w:rPr>
                <w:rFonts w:eastAsia="Times New Roman" w:cs="Times New Roman"/>
                <w:color w:val="000000"/>
                <w:szCs w:val="24"/>
              </w:rPr>
              <w:t>-.232****</w:t>
            </w:r>
          </w:p>
        </w:tc>
      </w:tr>
      <w:tr w:rsidR="00351114" w:rsidRPr="00351114" w:rsidTr="007E7980">
        <w:trPr>
          <w:trHeight w:val="360"/>
        </w:trPr>
        <w:tc>
          <w:tcPr>
            <w:tcW w:w="0" w:type="auto"/>
            <w:shd w:val="clear" w:color="auto" w:fill="auto"/>
            <w:noWrap/>
            <w:vAlign w:val="center"/>
            <w:hideMark/>
          </w:tcPr>
          <w:p w:rsidR="00351114" w:rsidRPr="00351114" w:rsidRDefault="00351114" w:rsidP="00351114">
            <w:pPr>
              <w:ind w:left="0" w:firstLine="0"/>
              <w:rPr>
                <w:rFonts w:eastAsia="Times New Roman" w:cs="Times New Roman"/>
                <w:color w:val="000000"/>
                <w:szCs w:val="24"/>
              </w:rPr>
            </w:pPr>
            <w:r w:rsidRPr="00351114">
              <w:rPr>
                <w:rFonts w:eastAsia="Times New Roman" w:cs="Times New Roman"/>
                <w:color w:val="000000"/>
                <w:szCs w:val="24"/>
              </w:rPr>
              <w:t>2</w:t>
            </w:r>
          </w:p>
        </w:tc>
        <w:tc>
          <w:tcPr>
            <w:tcW w:w="0" w:type="auto"/>
            <w:shd w:val="clear" w:color="auto" w:fill="auto"/>
            <w:noWrap/>
            <w:vAlign w:val="center"/>
            <w:hideMark/>
          </w:tcPr>
          <w:p w:rsidR="00351114" w:rsidRPr="00351114" w:rsidRDefault="00351114" w:rsidP="00351114">
            <w:pPr>
              <w:ind w:left="0" w:firstLine="0"/>
              <w:rPr>
                <w:rFonts w:eastAsia="Times New Roman" w:cs="Times New Roman"/>
                <w:b/>
                <w:bCs/>
                <w:color w:val="000000"/>
                <w:szCs w:val="24"/>
              </w:rPr>
            </w:pPr>
            <w:r w:rsidRPr="00351114">
              <w:rPr>
                <w:rFonts w:eastAsia="Times New Roman" w:cs="Times New Roman"/>
                <w:b/>
                <w:bCs/>
                <w:color w:val="000000"/>
                <w:szCs w:val="24"/>
              </w:rPr>
              <w:t>Anthony Kennedy</w:t>
            </w:r>
          </w:p>
        </w:tc>
        <w:tc>
          <w:tcPr>
            <w:tcW w:w="0" w:type="auto"/>
            <w:shd w:val="clear" w:color="auto" w:fill="auto"/>
            <w:noWrap/>
            <w:vAlign w:val="center"/>
            <w:hideMark/>
          </w:tcPr>
          <w:p w:rsidR="00351114" w:rsidRPr="00351114" w:rsidRDefault="00351114" w:rsidP="00351114">
            <w:pPr>
              <w:ind w:left="0" w:firstLine="0"/>
              <w:rPr>
                <w:rFonts w:eastAsia="Times New Roman" w:cs="Times New Roman"/>
                <w:color w:val="000000"/>
                <w:szCs w:val="24"/>
              </w:rPr>
            </w:pPr>
            <w:r w:rsidRPr="00351114">
              <w:rPr>
                <w:rFonts w:eastAsia="Times New Roman" w:cs="Times New Roman"/>
                <w:color w:val="000000"/>
                <w:szCs w:val="24"/>
              </w:rPr>
              <w:t>-.228****</w:t>
            </w:r>
          </w:p>
        </w:tc>
      </w:tr>
      <w:tr w:rsidR="00351114" w:rsidRPr="00351114" w:rsidTr="007E7980">
        <w:trPr>
          <w:trHeight w:val="360"/>
        </w:trPr>
        <w:tc>
          <w:tcPr>
            <w:tcW w:w="0" w:type="auto"/>
            <w:shd w:val="clear" w:color="auto" w:fill="auto"/>
            <w:noWrap/>
            <w:vAlign w:val="center"/>
            <w:hideMark/>
          </w:tcPr>
          <w:p w:rsidR="00351114" w:rsidRPr="00351114" w:rsidRDefault="00351114" w:rsidP="00351114">
            <w:pPr>
              <w:ind w:left="0" w:firstLine="0"/>
              <w:rPr>
                <w:rFonts w:eastAsia="Times New Roman" w:cs="Times New Roman"/>
                <w:color w:val="000000"/>
                <w:szCs w:val="24"/>
              </w:rPr>
            </w:pPr>
            <w:r w:rsidRPr="00351114">
              <w:rPr>
                <w:rFonts w:eastAsia="Times New Roman" w:cs="Times New Roman"/>
                <w:color w:val="000000"/>
                <w:szCs w:val="24"/>
              </w:rPr>
              <w:t>3</w:t>
            </w:r>
          </w:p>
        </w:tc>
        <w:tc>
          <w:tcPr>
            <w:tcW w:w="0" w:type="auto"/>
            <w:shd w:val="clear" w:color="auto" w:fill="auto"/>
            <w:noWrap/>
            <w:vAlign w:val="center"/>
            <w:hideMark/>
          </w:tcPr>
          <w:p w:rsidR="00351114" w:rsidRPr="00351114" w:rsidRDefault="007E7980" w:rsidP="00351114">
            <w:pPr>
              <w:ind w:left="0" w:firstLine="0"/>
              <w:rPr>
                <w:rFonts w:eastAsia="Times New Roman" w:cs="Times New Roman"/>
                <w:b/>
                <w:bCs/>
                <w:color w:val="000000"/>
                <w:szCs w:val="24"/>
              </w:rPr>
            </w:pPr>
            <w:r>
              <w:rPr>
                <w:rFonts w:eastAsia="Times New Roman" w:cs="Times New Roman"/>
                <w:b/>
                <w:bCs/>
                <w:color w:val="000000"/>
                <w:szCs w:val="24"/>
              </w:rPr>
              <w:t>John Paul</w:t>
            </w:r>
            <w:r w:rsidR="00351114" w:rsidRPr="00351114">
              <w:rPr>
                <w:rFonts w:eastAsia="Times New Roman" w:cs="Times New Roman"/>
                <w:b/>
                <w:bCs/>
                <w:color w:val="000000"/>
                <w:szCs w:val="24"/>
              </w:rPr>
              <w:t xml:space="preserve"> Stevens</w:t>
            </w:r>
          </w:p>
        </w:tc>
        <w:tc>
          <w:tcPr>
            <w:tcW w:w="0" w:type="auto"/>
            <w:shd w:val="clear" w:color="auto" w:fill="auto"/>
            <w:noWrap/>
            <w:vAlign w:val="center"/>
            <w:hideMark/>
          </w:tcPr>
          <w:p w:rsidR="00351114" w:rsidRPr="00351114" w:rsidRDefault="00351114" w:rsidP="00351114">
            <w:pPr>
              <w:ind w:left="0" w:firstLine="0"/>
              <w:rPr>
                <w:rFonts w:eastAsia="Times New Roman" w:cs="Times New Roman"/>
                <w:color w:val="000000"/>
                <w:szCs w:val="24"/>
              </w:rPr>
            </w:pPr>
            <w:r w:rsidRPr="00351114">
              <w:rPr>
                <w:rFonts w:eastAsia="Times New Roman" w:cs="Times New Roman"/>
                <w:color w:val="000000"/>
                <w:szCs w:val="24"/>
              </w:rPr>
              <w:t>-.225****</w:t>
            </w:r>
          </w:p>
        </w:tc>
      </w:tr>
      <w:tr w:rsidR="00351114" w:rsidRPr="00351114" w:rsidTr="007E7980">
        <w:trPr>
          <w:trHeight w:val="360"/>
        </w:trPr>
        <w:tc>
          <w:tcPr>
            <w:tcW w:w="0" w:type="auto"/>
            <w:shd w:val="clear" w:color="auto" w:fill="auto"/>
            <w:noWrap/>
            <w:vAlign w:val="center"/>
            <w:hideMark/>
          </w:tcPr>
          <w:p w:rsidR="00351114" w:rsidRPr="00351114" w:rsidRDefault="00351114" w:rsidP="00351114">
            <w:pPr>
              <w:ind w:left="0" w:firstLine="0"/>
              <w:rPr>
                <w:rFonts w:eastAsia="Times New Roman" w:cs="Times New Roman"/>
                <w:color w:val="000000"/>
                <w:szCs w:val="24"/>
              </w:rPr>
            </w:pPr>
            <w:r w:rsidRPr="00351114">
              <w:rPr>
                <w:rFonts w:eastAsia="Times New Roman" w:cs="Times New Roman"/>
                <w:color w:val="000000"/>
                <w:szCs w:val="24"/>
              </w:rPr>
              <w:t>4</w:t>
            </w:r>
          </w:p>
        </w:tc>
        <w:tc>
          <w:tcPr>
            <w:tcW w:w="0" w:type="auto"/>
            <w:shd w:val="clear" w:color="auto" w:fill="auto"/>
            <w:noWrap/>
            <w:vAlign w:val="center"/>
            <w:hideMark/>
          </w:tcPr>
          <w:p w:rsidR="00351114" w:rsidRPr="00351114" w:rsidRDefault="00351114" w:rsidP="00351114">
            <w:pPr>
              <w:ind w:left="0" w:firstLine="0"/>
              <w:rPr>
                <w:rFonts w:eastAsia="Times New Roman" w:cs="Times New Roman"/>
                <w:b/>
                <w:bCs/>
                <w:color w:val="000000"/>
                <w:szCs w:val="24"/>
              </w:rPr>
            </w:pPr>
            <w:r w:rsidRPr="00351114">
              <w:rPr>
                <w:rFonts w:eastAsia="Times New Roman" w:cs="Times New Roman"/>
                <w:b/>
                <w:bCs/>
                <w:color w:val="000000"/>
                <w:szCs w:val="24"/>
              </w:rPr>
              <w:t>John Roberts</w:t>
            </w:r>
          </w:p>
        </w:tc>
        <w:tc>
          <w:tcPr>
            <w:tcW w:w="0" w:type="auto"/>
            <w:shd w:val="clear" w:color="auto" w:fill="auto"/>
            <w:noWrap/>
            <w:vAlign w:val="center"/>
            <w:hideMark/>
          </w:tcPr>
          <w:p w:rsidR="00351114" w:rsidRPr="00351114" w:rsidRDefault="00351114" w:rsidP="00351114">
            <w:pPr>
              <w:ind w:left="0" w:firstLine="0"/>
              <w:rPr>
                <w:rFonts w:eastAsia="Times New Roman" w:cs="Times New Roman"/>
                <w:color w:val="000000"/>
                <w:szCs w:val="24"/>
              </w:rPr>
            </w:pPr>
            <w:r w:rsidRPr="00351114">
              <w:rPr>
                <w:rFonts w:eastAsia="Times New Roman" w:cs="Times New Roman"/>
                <w:color w:val="000000"/>
                <w:szCs w:val="24"/>
              </w:rPr>
              <w:t>-.221****</w:t>
            </w:r>
          </w:p>
        </w:tc>
      </w:tr>
      <w:tr w:rsidR="00351114" w:rsidRPr="00351114" w:rsidTr="007E7980">
        <w:trPr>
          <w:trHeight w:val="360"/>
        </w:trPr>
        <w:tc>
          <w:tcPr>
            <w:tcW w:w="0" w:type="auto"/>
            <w:shd w:val="clear" w:color="auto" w:fill="auto"/>
            <w:noWrap/>
            <w:vAlign w:val="center"/>
            <w:hideMark/>
          </w:tcPr>
          <w:p w:rsidR="00351114" w:rsidRPr="00351114" w:rsidRDefault="00351114" w:rsidP="00351114">
            <w:pPr>
              <w:ind w:left="0" w:firstLine="0"/>
              <w:rPr>
                <w:rFonts w:eastAsia="Times New Roman" w:cs="Times New Roman"/>
                <w:color w:val="000000"/>
                <w:szCs w:val="24"/>
              </w:rPr>
            </w:pPr>
            <w:r w:rsidRPr="00351114">
              <w:rPr>
                <w:rFonts w:eastAsia="Times New Roman" w:cs="Times New Roman"/>
                <w:color w:val="000000"/>
                <w:szCs w:val="24"/>
              </w:rPr>
              <w:t>5</w:t>
            </w:r>
          </w:p>
        </w:tc>
        <w:tc>
          <w:tcPr>
            <w:tcW w:w="0" w:type="auto"/>
            <w:shd w:val="clear" w:color="auto" w:fill="auto"/>
            <w:noWrap/>
            <w:vAlign w:val="center"/>
            <w:hideMark/>
          </w:tcPr>
          <w:p w:rsidR="00351114" w:rsidRPr="00351114" w:rsidRDefault="00351114" w:rsidP="00351114">
            <w:pPr>
              <w:ind w:left="0" w:firstLine="0"/>
              <w:rPr>
                <w:rFonts w:eastAsia="Times New Roman" w:cs="Times New Roman"/>
                <w:b/>
                <w:bCs/>
                <w:color w:val="000000"/>
                <w:szCs w:val="24"/>
              </w:rPr>
            </w:pPr>
            <w:r w:rsidRPr="00351114">
              <w:rPr>
                <w:rFonts w:eastAsia="Times New Roman" w:cs="Times New Roman"/>
                <w:b/>
                <w:bCs/>
                <w:color w:val="000000"/>
                <w:szCs w:val="24"/>
              </w:rPr>
              <w:t>Samuel Alito</w:t>
            </w:r>
          </w:p>
        </w:tc>
        <w:tc>
          <w:tcPr>
            <w:tcW w:w="0" w:type="auto"/>
            <w:shd w:val="clear" w:color="auto" w:fill="auto"/>
            <w:noWrap/>
            <w:vAlign w:val="center"/>
            <w:hideMark/>
          </w:tcPr>
          <w:p w:rsidR="00351114" w:rsidRPr="00351114" w:rsidRDefault="00351114" w:rsidP="00351114">
            <w:pPr>
              <w:ind w:left="0" w:firstLine="0"/>
              <w:rPr>
                <w:rFonts w:eastAsia="Times New Roman" w:cs="Times New Roman"/>
                <w:color w:val="000000"/>
                <w:szCs w:val="24"/>
              </w:rPr>
            </w:pPr>
            <w:r w:rsidRPr="00351114">
              <w:rPr>
                <w:rFonts w:eastAsia="Times New Roman" w:cs="Times New Roman"/>
                <w:color w:val="000000"/>
                <w:szCs w:val="24"/>
              </w:rPr>
              <w:t>-.218****</w:t>
            </w:r>
          </w:p>
        </w:tc>
      </w:tr>
      <w:tr w:rsidR="00351114" w:rsidRPr="00351114" w:rsidTr="007E7980">
        <w:trPr>
          <w:trHeight w:val="360"/>
        </w:trPr>
        <w:tc>
          <w:tcPr>
            <w:tcW w:w="0" w:type="auto"/>
            <w:shd w:val="clear" w:color="auto" w:fill="auto"/>
            <w:noWrap/>
            <w:vAlign w:val="center"/>
            <w:hideMark/>
          </w:tcPr>
          <w:p w:rsidR="00351114" w:rsidRPr="00351114" w:rsidRDefault="00351114" w:rsidP="00351114">
            <w:pPr>
              <w:ind w:left="0" w:firstLine="0"/>
              <w:rPr>
                <w:rFonts w:eastAsia="Times New Roman" w:cs="Times New Roman"/>
                <w:color w:val="000000"/>
                <w:szCs w:val="24"/>
              </w:rPr>
            </w:pPr>
            <w:r w:rsidRPr="00351114">
              <w:rPr>
                <w:rFonts w:eastAsia="Times New Roman" w:cs="Times New Roman"/>
                <w:color w:val="000000"/>
                <w:szCs w:val="24"/>
              </w:rPr>
              <w:t>6</w:t>
            </w:r>
          </w:p>
        </w:tc>
        <w:tc>
          <w:tcPr>
            <w:tcW w:w="0" w:type="auto"/>
            <w:shd w:val="clear" w:color="auto" w:fill="auto"/>
            <w:noWrap/>
            <w:vAlign w:val="center"/>
            <w:hideMark/>
          </w:tcPr>
          <w:p w:rsidR="00351114" w:rsidRPr="00351114" w:rsidRDefault="00351114" w:rsidP="00351114">
            <w:pPr>
              <w:ind w:left="0" w:firstLine="0"/>
              <w:rPr>
                <w:rFonts w:eastAsia="Times New Roman" w:cs="Times New Roman"/>
                <w:b/>
                <w:bCs/>
                <w:color w:val="000000"/>
                <w:szCs w:val="24"/>
              </w:rPr>
            </w:pPr>
            <w:r w:rsidRPr="00351114">
              <w:rPr>
                <w:rFonts w:eastAsia="Times New Roman" w:cs="Times New Roman"/>
                <w:b/>
                <w:bCs/>
                <w:color w:val="000000"/>
                <w:szCs w:val="24"/>
              </w:rPr>
              <w:t>Clarence Thomas</w:t>
            </w:r>
          </w:p>
        </w:tc>
        <w:tc>
          <w:tcPr>
            <w:tcW w:w="0" w:type="auto"/>
            <w:shd w:val="clear" w:color="auto" w:fill="auto"/>
            <w:noWrap/>
            <w:vAlign w:val="center"/>
            <w:hideMark/>
          </w:tcPr>
          <w:p w:rsidR="00351114" w:rsidRPr="00351114" w:rsidRDefault="00351114" w:rsidP="00351114">
            <w:pPr>
              <w:ind w:left="0" w:firstLine="0"/>
              <w:rPr>
                <w:rFonts w:eastAsia="Times New Roman" w:cs="Times New Roman"/>
                <w:color w:val="000000"/>
                <w:szCs w:val="24"/>
              </w:rPr>
            </w:pPr>
            <w:r w:rsidRPr="00351114">
              <w:rPr>
                <w:rFonts w:eastAsia="Times New Roman" w:cs="Times New Roman"/>
                <w:color w:val="000000"/>
                <w:szCs w:val="24"/>
              </w:rPr>
              <w:t>-.190****</w:t>
            </w:r>
          </w:p>
        </w:tc>
      </w:tr>
      <w:tr w:rsidR="00351114" w:rsidRPr="00351114" w:rsidTr="007E7980">
        <w:trPr>
          <w:trHeight w:val="360"/>
        </w:trPr>
        <w:tc>
          <w:tcPr>
            <w:tcW w:w="0" w:type="auto"/>
            <w:shd w:val="clear" w:color="auto" w:fill="auto"/>
            <w:noWrap/>
            <w:vAlign w:val="center"/>
            <w:hideMark/>
          </w:tcPr>
          <w:p w:rsidR="00351114" w:rsidRPr="00351114" w:rsidRDefault="00351114" w:rsidP="00351114">
            <w:pPr>
              <w:ind w:left="0" w:firstLine="0"/>
              <w:rPr>
                <w:rFonts w:eastAsia="Times New Roman" w:cs="Times New Roman"/>
                <w:color w:val="000000"/>
                <w:szCs w:val="24"/>
              </w:rPr>
            </w:pPr>
            <w:r w:rsidRPr="00351114">
              <w:rPr>
                <w:rFonts w:eastAsia="Times New Roman" w:cs="Times New Roman"/>
                <w:color w:val="000000"/>
                <w:szCs w:val="24"/>
              </w:rPr>
              <w:t>7</w:t>
            </w:r>
          </w:p>
        </w:tc>
        <w:tc>
          <w:tcPr>
            <w:tcW w:w="0" w:type="auto"/>
            <w:shd w:val="clear" w:color="auto" w:fill="auto"/>
            <w:noWrap/>
            <w:vAlign w:val="center"/>
            <w:hideMark/>
          </w:tcPr>
          <w:p w:rsidR="00351114" w:rsidRPr="00351114" w:rsidRDefault="00351114" w:rsidP="00351114">
            <w:pPr>
              <w:ind w:left="0" w:firstLine="0"/>
              <w:rPr>
                <w:rFonts w:eastAsia="Times New Roman" w:cs="Times New Roman"/>
                <w:b/>
                <w:bCs/>
                <w:color w:val="000000"/>
                <w:szCs w:val="24"/>
              </w:rPr>
            </w:pPr>
            <w:r w:rsidRPr="00351114">
              <w:rPr>
                <w:rFonts w:eastAsia="Times New Roman" w:cs="Times New Roman"/>
                <w:b/>
                <w:bCs/>
                <w:color w:val="000000"/>
                <w:szCs w:val="24"/>
              </w:rPr>
              <w:t>Elena Kagan</w:t>
            </w:r>
          </w:p>
        </w:tc>
        <w:tc>
          <w:tcPr>
            <w:tcW w:w="0" w:type="auto"/>
            <w:shd w:val="clear" w:color="auto" w:fill="auto"/>
            <w:noWrap/>
            <w:vAlign w:val="center"/>
            <w:hideMark/>
          </w:tcPr>
          <w:p w:rsidR="00351114" w:rsidRPr="00351114" w:rsidRDefault="00351114" w:rsidP="00351114">
            <w:pPr>
              <w:ind w:left="0" w:firstLine="0"/>
              <w:rPr>
                <w:rFonts w:eastAsia="Times New Roman" w:cs="Times New Roman"/>
                <w:color w:val="000000"/>
                <w:szCs w:val="24"/>
              </w:rPr>
            </w:pPr>
            <w:r w:rsidRPr="00351114">
              <w:rPr>
                <w:rFonts w:eastAsia="Times New Roman" w:cs="Times New Roman"/>
                <w:color w:val="000000"/>
                <w:szCs w:val="24"/>
              </w:rPr>
              <w:t>-.173**</w:t>
            </w:r>
          </w:p>
        </w:tc>
      </w:tr>
      <w:tr w:rsidR="00E20C19" w:rsidRPr="00351114" w:rsidTr="007E7980">
        <w:trPr>
          <w:trHeight w:val="360"/>
        </w:trPr>
        <w:tc>
          <w:tcPr>
            <w:tcW w:w="0" w:type="auto"/>
            <w:shd w:val="clear" w:color="auto" w:fill="auto"/>
            <w:noWrap/>
            <w:vAlign w:val="center"/>
          </w:tcPr>
          <w:p w:rsidR="00E20C19" w:rsidRPr="00351114" w:rsidRDefault="00E20C19" w:rsidP="00351114">
            <w:pPr>
              <w:ind w:left="0" w:firstLine="0"/>
              <w:rPr>
                <w:rFonts w:eastAsia="Times New Roman" w:cs="Times New Roman"/>
                <w:color w:val="000000"/>
                <w:szCs w:val="24"/>
              </w:rPr>
            </w:pPr>
            <w:r>
              <w:rPr>
                <w:rFonts w:eastAsia="Times New Roman" w:cs="Times New Roman"/>
                <w:color w:val="000000"/>
                <w:szCs w:val="24"/>
              </w:rPr>
              <w:t>8</w:t>
            </w:r>
          </w:p>
        </w:tc>
        <w:tc>
          <w:tcPr>
            <w:tcW w:w="0" w:type="auto"/>
            <w:shd w:val="clear" w:color="auto" w:fill="auto"/>
            <w:noWrap/>
            <w:vAlign w:val="center"/>
          </w:tcPr>
          <w:p w:rsidR="00E20C19" w:rsidRPr="00351114" w:rsidRDefault="00E20C19" w:rsidP="00351114">
            <w:pPr>
              <w:ind w:left="0" w:firstLine="0"/>
              <w:rPr>
                <w:rFonts w:eastAsia="Times New Roman" w:cs="Times New Roman"/>
                <w:b/>
                <w:bCs/>
                <w:color w:val="000000"/>
                <w:szCs w:val="24"/>
              </w:rPr>
            </w:pPr>
            <w:r>
              <w:rPr>
                <w:rFonts w:eastAsia="Times New Roman" w:cs="Times New Roman"/>
                <w:b/>
                <w:bCs/>
                <w:color w:val="000000"/>
                <w:szCs w:val="24"/>
              </w:rPr>
              <w:t>Sonia Sotomayor</w:t>
            </w:r>
          </w:p>
        </w:tc>
        <w:tc>
          <w:tcPr>
            <w:tcW w:w="0" w:type="auto"/>
            <w:shd w:val="clear" w:color="auto" w:fill="auto"/>
            <w:noWrap/>
            <w:vAlign w:val="center"/>
          </w:tcPr>
          <w:p w:rsidR="00E20C19" w:rsidRPr="00351114" w:rsidRDefault="00E20C19" w:rsidP="00351114">
            <w:pPr>
              <w:ind w:left="0" w:firstLine="0"/>
              <w:rPr>
                <w:rFonts w:eastAsia="Times New Roman" w:cs="Times New Roman"/>
                <w:color w:val="000000"/>
                <w:szCs w:val="24"/>
              </w:rPr>
            </w:pPr>
            <w:r>
              <w:rPr>
                <w:rFonts w:eastAsia="Times New Roman" w:cs="Times New Roman"/>
                <w:color w:val="000000"/>
                <w:szCs w:val="24"/>
              </w:rPr>
              <w:t>-.163**</w:t>
            </w:r>
          </w:p>
        </w:tc>
      </w:tr>
      <w:tr w:rsidR="00351114" w:rsidRPr="00351114" w:rsidTr="007E7980">
        <w:trPr>
          <w:trHeight w:val="360"/>
        </w:trPr>
        <w:tc>
          <w:tcPr>
            <w:tcW w:w="0" w:type="auto"/>
            <w:shd w:val="clear" w:color="auto" w:fill="auto"/>
            <w:noWrap/>
            <w:vAlign w:val="center"/>
            <w:hideMark/>
          </w:tcPr>
          <w:p w:rsidR="00351114" w:rsidRPr="00351114" w:rsidRDefault="00E20C19" w:rsidP="00351114">
            <w:pPr>
              <w:ind w:left="0" w:firstLine="0"/>
              <w:rPr>
                <w:rFonts w:eastAsia="Times New Roman" w:cs="Times New Roman"/>
                <w:color w:val="000000"/>
                <w:szCs w:val="24"/>
              </w:rPr>
            </w:pPr>
            <w:r>
              <w:rPr>
                <w:rFonts w:eastAsia="Times New Roman" w:cs="Times New Roman"/>
                <w:color w:val="000000"/>
                <w:szCs w:val="24"/>
              </w:rPr>
              <w:t>9</w:t>
            </w:r>
          </w:p>
        </w:tc>
        <w:tc>
          <w:tcPr>
            <w:tcW w:w="0" w:type="auto"/>
            <w:shd w:val="clear" w:color="auto" w:fill="auto"/>
            <w:noWrap/>
            <w:vAlign w:val="center"/>
            <w:hideMark/>
          </w:tcPr>
          <w:p w:rsidR="00351114" w:rsidRPr="00351114" w:rsidRDefault="00351114" w:rsidP="00351114">
            <w:pPr>
              <w:ind w:left="0" w:firstLine="0"/>
              <w:rPr>
                <w:rFonts w:eastAsia="Times New Roman" w:cs="Times New Roman"/>
                <w:b/>
                <w:bCs/>
                <w:color w:val="000000"/>
                <w:szCs w:val="24"/>
              </w:rPr>
            </w:pPr>
            <w:r w:rsidRPr="00351114">
              <w:rPr>
                <w:rFonts w:eastAsia="Times New Roman" w:cs="Times New Roman"/>
                <w:b/>
                <w:bCs/>
                <w:color w:val="000000"/>
                <w:szCs w:val="24"/>
              </w:rPr>
              <w:t>David Souter</w:t>
            </w:r>
          </w:p>
        </w:tc>
        <w:tc>
          <w:tcPr>
            <w:tcW w:w="0" w:type="auto"/>
            <w:shd w:val="clear" w:color="auto" w:fill="auto"/>
            <w:noWrap/>
            <w:vAlign w:val="center"/>
            <w:hideMark/>
          </w:tcPr>
          <w:p w:rsidR="00351114" w:rsidRPr="00351114" w:rsidRDefault="00351114" w:rsidP="00351114">
            <w:pPr>
              <w:ind w:left="0" w:firstLine="0"/>
              <w:rPr>
                <w:rFonts w:eastAsia="Times New Roman" w:cs="Times New Roman"/>
                <w:color w:val="000000"/>
                <w:szCs w:val="24"/>
              </w:rPr>
            </w:pPr>
            <w:r w:rsidRPr="00351114">
              <w:rPr>
                <w:rFonts w:eastAsia="Times New Roman" w:cs="Times New Roman"/>
                <w:color w:val="000000"/>
                <w:szCs w:val="24"/>
              </w:rPr>
              <w:t>-.159**</w:t>
            </w:r>
          </w:p>
        </w:tc>
      </w:tr>
      <w:tr w:rsidR="00351114" w:rsidRPr="00351114" w:rsidTr="007E7980">
        <w:trPr>
          <w:trHeight w:val="360"/>
        </w:trPr>
        <w:tc>
          <w:tcPr>
            <w:tcW w:w="0" w:type="auto"/>
            <w:shd w:val="clear" w:color="auto" w:fill="auto"/>
            <w:noWrap/>
            <w:vAlign w:val="center"/>
            <w:hideMark/>
          </w:tcPr>
          <w:p w:rsidR="00351114" w:rsidRPr="00351114" w:rsidRDefault="00E20C19" w:rsidP="00351114">
            <w:pPr>
              <w:ind w:left="0" w:firstLine="0"/>
              <w:rPr>
                <w:rFonts w:eastAsia="Times New Roman" w:cs="Times New Roman"/>
                <w:color w:val="000000"/>
                <w:szCs w:val="24"/>
              </w:rPr>
            </w:pPr>
            <w:r>
              <w:rPr>
                <w:rFonts w:eastAsia="Times New Roman" w:cs="Times New Roman"/>
                <w:color w:val="000000"/>
                <w:szCs w:val="24"/>
              </w:rPr>
              <w:t>10</w:t>
            </w:r>
          </w:p>
        </w:tc>
        <w:tc>
          <w:tcPr>
            <w:tcW w:w="0" w:type="auto"/>
            <w:shd w:val="clear" w:color="auto" w:fill="auto"/>
            <w:noWrap/>
            <w:vAlign w:val="center"/>
            <w:hideMark/>
          </w:tcPr>
          <w:p w:rsidR="00351114" w:rsidRPr="00351114" w:rsidRDefault="00351114" w:rsidP="00351114">
            <w:pPr>
              <w:ind w:left="0" w:firstLine="0"/>
              <w:rPr>
                <w:rFonts w:eastAsia="Times New Roman" w:cs="Times New Roman"/>
                <w:b/>
                <w:bCs/>
                <w:color w:val="000000"/>
                <w:szCs w:val="24"/>
              </w:rPr>
            </w:pPr>
            <w:r w:rsidRPr="00351114">
              <w:rPr>
                <w:rFonts w:eastAsia="Times New Roman" w:cs="Times New Roman"/>
                <w:b/>
                <w:bCs/>
                <w:color w:val="000000"/>
                <w:szCs w:val="24"/>
              </w:rPr>
              <w:t>Antonin Scalia</w:t>
            </w:r>
          </w:p>
        </w:tc>
        <w:tc>
          <w:tcPr>
            <w:tcW w:w="0" w:type="auto"/>
            <w:shd w:val="clear" w:color="auto" w:fill="auto"/>
            <w:noWrap/>
            <w:vAlign w:val="center"/>
            <w:hideMark/>
          </w:tcPr>
          <w:p w:rsidR="00351114" w:rsidRPr="00351114" w:rsidRDefault="00351114" w:rsidP="00351114">
            <w:pPr>
              <w:ind w:left="0" w:firstLine="0"/>
              <w:rPr>
                <w:rFonts w:eastAsia="Times New Roman" w:cs="Times New Roman"/>
                <w:color w:val="000000"/>
                <w:szCs w:val="24"/>
              </w:rPr>
            </w:pPr>
            <w:r w:rsidRPr="00351114">
              <w:rPr>
                <w:rFonts w:eastAsia="Times New Roman" w:cs="Times New Roman"/>
                <w:color w:val="000000"/>
                <w:szCs w:val="24"/>
              </w:rPr>
              <w:t>-.159**</w:t>
            </w:r>
          </w:p>
        </w:tc>
      </w:tr>
      <w:tr w:rsidR="00351114" w:rsidRPr="00351114" w:rsidTr="007E7980">
        <w:trPr>
          <w:trHeight w:val="360"/>
        </w:trPr>
        <w:tc>
          <w:tcPr>
            <w:tcW w:w="0" w:type="auto"/>
            <w:shd w:val="clear" w:color="auto" w:fill="auto"/>
            <w:noWrap/>
            <w:vAlign w:val="center"/>
            <w:hideMark/>
          </w:tcPr>
          <w:p w:rsidR="00351114" w:rsidRPr="00351114" w:rsidRDefault="00E20C19" w:rsidP="00351114">
            <w:pPr>
              <w:ind w:left="0" w:firstLine="0"/>
              <w:rPr>
                <w:rFonts w:eastAsia="Times New Roman" w:cs="Times New Roman"/>
                <w:color w:val="000000"/>
                <w:szCs w:val="24"/>
              </w:rPr>
            </w:pPr>
            <w:r>
              <w:rPr>
                <w:rFonts w:eastAsia="Times New Roman" w:cs="Times New Roman"/>
                <w:color w:val="000000"/>
                <w:szCs w:val="24"/>
              </w:rPr>
              <w:t>11</w:t>
            </w:r>
          </w:p>
        </w:tc>
        <w:tc>
          <w:tcPr>
            <w:tcW w:w="0" w:type="auto"/>
            <w:shd w:val="clear" w:color="auto" w:fill="auto"/>
            <w:noWrap/>
            <w:vAlign w:val="center"/>
            <w:hideMark/>
          </w:tcPr>
          <w:p w:rsidR="00351114" w:rsidRPr="00351114" w:rsidRDefault="00351114" w:rsidP="00351114">
            <w:pPr>
              <w:ind w:left="0" w:firstLine="0"/>
              <w:rPr>
                <w:rFonts w:eastAsia="Times New Roman" w:cs="Times New Roman"/>
                <w:b/>
                <w:bCs/>
                <w:color w:val="000000"/>
                <w:szCs w:val="24"/>
              </w:rPr>
            </w:pPr>
            <w:r w:rsidRPr="00351114">
              <w:rPr>
                <w:rFonts w:eastAsia="Times New Roman" w:cs="Times New Roman"/>
                <w:b/>
                <w:bCs/>
                <w:color w:val="000000"/>
                <w:szCs w:val="24"/>
              </w:rPr>
              <w:t>Ruth Bader Ginsberg</w:t>
            </w:r>
          </w:p>
        </w:tc>
        <w:tc>
          <w:tcPr>
            <w:tcW w:w="0" w:type="auto"/>
            <w:shd w:val="clear" w:color="auto" w:fill="auto"/>
            <w:noWrap/>
            <w:vAlign w:val="center"/>
            <w:hideMark/>
          </w:tcPr>
          <w:p w:rsidR="00351114" w:rsidRPr="00351114" w:rsidRDefault="00351114" w:rsidP="00351114">
            <w:pPr>
              <w:ind w:left="0" w:firstLine="0"/>
              <w:rPr>
                <w:rFonts w:eastAsia="Times New Roman" w:cs="Times New Roman"/>
                <w:color w:val="000000"/>
                <w:szCs w:val="24"/>
              </w:rPr>
            </w:pPr>
            <w:r w:rsidRPr="00351114">
              <w:rPr>
                <w:rFonts w:eastAsia="Times New Roman" w:cs="Times New Roman"/>
                <w:color w:val="000000"/>
                <w:szCs w:val="24"/>
              </w:rPr>
              <w:t>-.109**</w:t>
            </w:r>
          </w:p>
        </w:tc>
      </w:tr>
    </w:tbl>
    <w:p w:rsidR="006616F5" w:rsidRPr="009E62D9" w:rsidRDefault="006616F5" w:rsidP="006616F5">
      <w:pPr>
        <w:autoSpaceDE w:val="0"/>
        <w:autoSpaceDN w:val="0"/>
        <w:adjustRightInd w:val="0"/>
        <w:ind w:left="90" w:firstLine="0"/>
        <w:rPr>
          <w:sz w:val="22"/>
        </w:rPr>
      </w:pPr>
      <w:r>
        <w:rPr>
          <w:sz w:val="22"/>
        </w:rPr>
        <w:t>*p&lt;.10 **p&lt;.05, ***p&lt;.01, ****p&lt;.001 (two-tailed)</w:t>
      </w:r>
    </w:p>
    <w:p w:rsidR="00746400" w:rsidRDefault="00746400" w:rsidP="00E71D36">
      <w:pPr>
        <w:spacing w:line="480" w:lineRule="auto"/>
        <w:ind w:left="0" w:firstLine="0"/>
        <w:rPr>
          <w:rFonts w:cs="Times New Roman"/>
          <w:szCs w:val="24"/>
        </w:rPr>
      </w:pPr>
    </w:p>
    <w:p w:rsidR="00AE1F95" w:rsidRDefault="00AE1F95" w:rsidP="004F76B8">
      <w:pPr>
        <w:spacing w:line="480" w:lineRule="auto"/>
        <w:ind w:left="0" w:firstLine="720"/>
        <w:jc w:val="both"/>
        <w:rPr>
          <w:rFonts w:cs="Times New Roman"/>
          <w:szCs w:val="24"/>
        </w:rPr>
      </w:pPr>
    </w:p>
    <w:p w:rsidR="00AE1F95" w:rsidRDefault="00AE1F95" w:rsidP="00AE1F95">
      <w:pPr>
        <w:spacing w:line="480" w:lineRule="auto"/>
        <w:ind w:left="0" w:firstLine="720"/>
        <w:rPr>
          <w:rFonts w:cs="Times New Roman"/>
          <w:szCs w:val="24"/>
        </w:rPr>
      </w:pPr>
      <w:r>
        <w:rPr>
          <w:rFonts w:eastAsia="Times New Roman" w:cs="Times New Roman"/>
          <w:color w:val="000000"/>
          <w:szCs w:val="24"/>
        </w:rPr>
        <w:lastRenderedPageBreak/>
        <w:t xml:space="preserve">Also of consequence is the fact that, while Justice Kennedy’s votes significantly correlate with both the </w:t>
      </w:r>
      <w:r>
        <w:rPr>
          <w:rFonts w:eastAsia="Times New Roman" w:cs="Times New Roman"/>
          <w:i/>
          <w:color w:val="000000"/>
          <w:szCs w:val="24"/>
        </w:rPr>
        <w:t xml:space="preserve">SG Liberal Amicus </w:t>
      </w:r>
      <w:r>
        <w:rPr>
          <w:rFonts w:eastAsia="Times New Roman" w:cs="Times New Roman"/>
          <w:color w:val="000000"/>
          <w:szCs w:val="24"/>
        </w:rPr>
        <w:t xml:space="preserve">and </w:t>
      </w:r>
      <w:r>
        <w:rPr>
          <w:rFonts w:eastAsia="Times New Roman" w:cs="Times New Roman"/>
          <w:i/>
          <w:color w:val="000000"/>
          <w:szCs w:val="24"/>
        </w:rPr>
        <w:t>SG Conservative Amicus</w:t>
      </w:r>
      <w:r>
        <w:rPr>
          <w:rFonts w:eastAsia="Times New Roman" w:cs="Times New Roman"/>
          <w:color w:val="000000"/>
          <w:szCs w:val="24"/>
        </w:rPr>
        <w:t xml:space="preserve"> variables, the correlation is stronger when the SG advocates the conservative position.  This correlation may help to explain the conservative bent of the Roberts Court, as the “swing” justice on the Roberts Court is a little more impacted by the persuasion attempts of the conservative SG than the liberal SG.</w:t>
      </w:r>
    </w:p>
    <w:p w:rsidR="00C77A99" w:rsidRDefault="004F76B8" w:rsidP="004F76B8">
      <w:pPr>
        <w:spacing w:line="480" w:lineRule="auto"/>
        <w:ind w:left="0" w:firstLine="720"/>
        <w:jc w:val="both"/>
        <w:rPr>
          <w:rFonts w:cs="Times New Roman"/>
          <w:szCs w:val="24"/>
        </w:rPr>
      </w:pPr>
      <w:r>
        <w:rPr>
          <w:rFonts w:cs="Times New Roman"/>
          <w:szCs w:val="24"/>
        </w:rPr>
        <w:t>Together, Tables 5.14 and 5.15, provide strong evidence of the SG’s impact on the justices of the Roberts Court.</w:t>
      </w:r>
      <w:r w:rsidR="00A9105A">
        <w:rPr>
          <w:rFonts w:cs="Times New Roman"/>
          <w:szCs w:val="24"/>
        </w:rPr>
        <w:t xml:space="preserve">  These two tables</w:t>
      </w:r>
      <w:r w:rsidR="00C77A99">
        <w:rPr>
          <w:rFonts w:cs="Times New Roman"/>
          <w:szCs w:val="24"/>
        </w:rPr>
        <w:t xml:space="preserve"> suggest</w:t>
      </w:r>
      <w:r w:rsidR="00A9105A">
        <w:rPr>
          <w:rFonts w:cs="Times New Roman"/>
          <w:szCs w:val="24"/>
        </w:rPr>
        <w:t xml:space="preserve"> that the Roberts Court is similar to its predecessors in terms of the deference it affords the SG.</w:t>
      </w:r>
      <w:r>
        <w:rPr>
          <w:rFonts w:cs="Times New Roman"/>
          <w:szCs w:val="24"/>
        </w:rPr>
        <w:t xml:space="preserve"> </w:t>
      </w:r>
      <w:r w:rsidR="009D106B">
        <w:rPr>
          <w:rFonts w:cs="Times New Roman"/>
          <w:szCs w:val="24"/>
        </w:rPr>
        <w:t xml:space="preserve"> </w:t>
      </w:r>
      <w:r w:rsidR="00A9105A">
        <w:rPr>
          <w:rFonts w:cs="Times New Roman"/>
          <w:szCs w:val="24"/>
        </w:rPr>
        <w:t>Further, t</w:t>
      </w:r>
      <w:r w:rsidR="009D106B">
        <w:rPr>
          <w:rFonts w:cs="Times New Roman"/>
          <w:szCs w:val="24"/>
        </w:rPr>
        <w:t>hese tables</w:t>
      </w:r>
      <w:r>
        <w:rPr>
          <w:rFonts w:cs="Times New Roman"/>
          <w:szCs w:val="24"/>
        </w:rPr>
        <w:t xml:space="preserve"> indicate that the justices respect and respond to the arguments of the SG when the</w:t>
      </w:r>
      <w:r w:rsidR="009D106B">
        <w:rPr>
          <w:rFonts w:cs="Times New Roman"/>
          <w:szCs w:val="24"/>
        </w:rPr>
        <w:t xml:space="preserve"> SG appears as an amicus, irrespective of judicial ideology.</w:t>
      </w:r>
      <w:r w:rsidR="00990916">
        <w:rPr>
          <w:rFonts w:cs="Times New Roman"/>
          <w:szCs w:val="24"/>
        </w:rPr>
        <w:t xml:space="preserve">  This finding is generally consistent with</w:t>
      </w:r>
      <w:r w:rsidR="003A7A51">
        <w:rPr>
          <w:rFonts w:cs="Times New Roman"/>
          <w:szCs w:val="24"/>
        </w:rPr>
        <w:t xml:space="preserve"> the results of my </w:t>
      </w:r>
      <w:proofErr w:type="spellStart"/>
      <w:r w:rsidR="003A7A51">
        <w:rPr>
          <w:rFonts w:cs="Times New Roman"/>
          <w:szCs w:val="24"/>
        </w:rPr>
        <w:t>logit</w:t>
      </w:r>
      <w:proofErr w:type="spellEnd"/>
      <w:r w:rsidR="003A7A51">
        <w:rPr>
          <w:rFonts w:cs="Times New Roman"/>
          <w:szCs w:val="24"/>
        </w:rPr>
        <w:t xml:space="preserve"> models, and </w:t>
      </w:r>
      <w:r w:rsidR="009D106B">
        <w:rPr>
          <w:rFonts w:cs="Times New Roman"/>
          <w:szCs w:val="24"/>
        </w:rPr>
        <w:t xml:space="preserve">makes sense in the context of a separation of powers model of judicial decision making </w:t>
      </w:r>
      <w:r w:rsidR="003A7A51">
        <w:rPr>
          <w:rFonts w:cs="Times New Roman"/>
          <w:szCs w:val="24"/>
        </w:rPr>
        <w:t xml:space="preserve">(e.g., Epstein and Knight 1999).  This model </w:t>
      </w:r>
      <w:r w:rsidR="009D106B">
        <w:rPr>
          <w:rFonts w:cs="Times New Roman"/>
          <w:szCs w:val="24"/>
        </w:rPr>
        <w:t>argues that the justices generally endeavor to avoid disposing of cases in a manner which is inconsistent with the preferences of the other branches of government</w:t>
      </w:r>
      <w:r w:rsidR="00B32417">
        <w:rPr>
          <w:rFonts w:cs="Times New Roman"/>
          <w:szCs w:val="24"/>
        </w:rPr>
        <w:t>. This is so</w:t>
      </w:r>
      <w:r w:rsidR="00A9105A">
        <w:rPr>
          <w:rFonts w:cs="Times New Roman"/>
          <w:szCs w:val="24"/>
        </w:rPr>
        <w:t xml:space="preserve"> because the USSC depends, in part, on the </w:t>
      </w:r>
      <w:r w:rsidR="00A9105A" w:rsidRPr="008C7067">
        <w:rPr>
          <w:szCs w:val="24"/>
        </w:rPr>
        <w:t xml:space="preserve">support of the other branches to compensate for its political weaknesses (Dahl 1957; </w:t>
      </w:r>
      <w:proofErr w:type="spellStart"/>
      <w:r w:rsidR="00A9105A" w:rsidRPr="008C7067">
        <w:rPr>
          <w:szCs w:val="24"/>
        </w:rPr>
        <w:t>Flemming</w:t>
      </w:r>
      <w:proofErr w:type="spellEnd"/>
      <w:r w:rsidR="00A9105A" w:rsidRPr="008C7067">
        <w:rPr>
          <w:szCs w:val="24"/>
        </w:rPr>
        <w:t xml:space="preserve"> and </w:t>
      </w:r>
      <w:r w:rsidR="00A9105A">
        <w:rPr>
          <w:szCs w:val="24"/>
        </w:rPr>
        <w:t xml:space="preserve">Wood 1997). </w:t>
      </w:r>
      <w:r w:rsidR="00C77A99">
        <w:rPr>
          <w:rFonts w:cs="Times New Roman"/>
          <w:szCs w:val="24"/>
        </w:rPr>
        <w:t>Therefore, it is understandable that the justices would be receptive to the SG, who represents the interests of the Executive branch before the USSC.</w:t>
      </w:r>
    </w:p>
    <w:p w:rsidR="00B32417" w:rsidRDefault="00C77A99" w:rsidP="00541B9F">
      <w:pPr>
        <w:spacing w:line="480" w:lineRule="auto"/>
        <w:ind w:left="0" w:firstLine="720"/>
        <w:jc w:val="both"/>
        <w:rPr>
          <w:rFonts w:eastAsia="Calibri" w:cs="Times New Roman"/>
        </w:rPr>
      </w:pPr>
      <w:r>
        <w:rPr>
          <w:rFonts w:cs="Times New Roman"/>
          <w:szCs w:val="24"/>
        </w:rPr>
        <w:t>Further</w:t>
      </w:r>
      <w:r w:rsidR="00AA53C5">
        <w:rPr>
          <w:rFonts w:cs="Times New Roman"/>
          <w:szCs w:val="24"/>
        </w:rPr>
        <w:t xml:space="preserve">, the impact of the SG as amicus on the ideological direction of the justice votes is consistent with Funston’s (1975) conclusion that </w:t>
      </w:r>
      <w:r w:rsidR="00AA53C5">
        <w:t xml:space="preserve">the USSC </w:t>
      </w:r>
      <w:r w:rsidR="00C03862">
        <w:rPr>
          <w:rFonts w:eastAsia="Calibri" w:cs="Times New Roman"/>
        </w:rPr>
        <w:t xml:space="preserve">is </w:t>
      </w:r>
      <w:r w:rsidR="00AA53C5">
        <w:rPr>
          <w:rFonts w:eastAsia="Calibri" w:cs="Times New Roman"/>
        </w:rPr>
        <w:t>primarily a legitimating agency.</w:t>
      </w:r>
      <w:r>
        <w:rPr>
          <w:rFonts w:eastAsia="Calibri" w:cs="Times New Roman"/>
        </w:rPr>
        <w:t xml:space="preserve"> Funston shows that d</w:t>
      </w:r>
      <w:r w:rsidR="00AA53C5">
        <w:rPr>
          <w:rFonts w:eastAsia="Calibri" w:cs="Times New Roman"/>
        </w:rPr>
        <w:t xml:space="preserve">uring periods of national partisan and </w:t>
      </w:r>
      <w:r>
        <w:rPr>
          <w:rFonts w:eastAsia="Calibri" w:cs="Times New Roman"/>
        </w:rPr>
        <w:t>electoral realignment, the USSC</w:t>
      </w:r>
      <w:r w:rsidR="00AA53C5">
        <w:rPr>
          <w:rFonts w:eastAsia="Calibri" w:cs="Times New Roman"/>
        </w:rPr>
        <w:t xml:space="preserve"> is more likely to declare federal legislation unconstitutional (805), but over time throu</w:t>
      </w:r>
      <w:r>
        <w:rPr>
          <w:rFonts w:eastAsia="Calibri" w:cs="Times New Roman"/>
        </w:rPr>
        <w:t>gh justice replacement the USSC</w:t>
      </w:r>
      <w:r w:rsidR="00AA53C5">
        <w:rPr>
          <w:rFonts w:eastAsia="Calibri" w:cs="Times New Roman"/>
        </w:rPr>
        <w:t xml:space="preserve"> comes back in line with law-making majorities.  </w:t>
      </w:r>
      <w:r>
        <w:rPr>
          <w:rFonts w:eastAsia="Calibri" w:cs="Times New Roman"/>
        </w:rPr>
        <w:t xml:space="preserve">Funston concludes that </w:t>
      </w:r>
      <w:r w:rsidR="00AA53C5">
        <w:rPr>
          <w:rFonts w:eastAsia="Calibri" w:cs="Times New Roman"/>
        </w:rPr>
        <w:t xml:space="preserve">the </w:t>
      </w:r>
      <w:r w:rsidR="00AA53C5" w:rsidRPr="00FB754E">
        <w:rPr>
          <w:rFonts w:eastAsia="Calibri" w:cs="Times New Roman"/>
        </w:rPr>
        <w:t xml:space="preserve">“traditional concept of the Court as the champion of minority rights against majority </w:t>
      </w:r>
      <w:r w:rsidR="00AA53C5" w:rsidRPr="00FB754E">
        <w:rPr>
          <w:rFonts w:eastAsia="Calibri" w:cs="Times New Roman"/>
        </w:rPr>
        <w:lastRenderedPageBreak/>
        <w:t xml:space="preserve">demands is </w:t>
      </w:r>
      <w:r w:rsidR="00AA53C5" w:rsidRPr="00FB754E">
        <w:rPr>
          <w:rFonts w:eastAsia="Calibri" w:cs="Times New Roman"/>
          <w:i/>
        </w:rPr>
        <w:t xml:space="preserve">largely </w:t>
      </w:r>
      <w:r>
        <w:rPr>
          <w:rFonts w:eastAsia="Calibri" w:cs="Times New Roman"/>
        </w:rPr>
        <w:t>incorrect” (809), and that t</w:t>
      </w:r>
      <w:r w:rsidR="00AA53C5">
        <w:rPr>
          <w:rFonts w:eastAsia="Calibri" w:cs="Times New Roman"/>
        </w:rPr>
        <w:t>he Court’s po</w:t>
      </w:r>
      <w:r w:rsidR="00541B9F">
        <w:rPr>
          <w:rFonts w:eastAsia="Calibri" w:cs="Times New Roman"/>
        </w:rPr>
        <w:t>wer to annul is what gives its</w:t>
      </w:r>
      <w:r w:rsidR="00AA53C5">
        <w:rPr>
          <w:rFonts w:eastAsia="Calibri" w:cs="Times New Roman"/>
        </w:rPr>
        <w:t xml:space="preserve"> validation worth.  In this light, </w:t>
      </w:r>
      <w:r w:rsidR="00AA53C5">
        <w:rPr>
          <w:rFonts w:eastAsia="Calibri" w:cs="Times New Roman"/>
          <w:i/>
        </w:rPr>
        <w:t>McCulloch v. Maryland</w:t>
      </w:r>
      <w:r w:rsidR="00541B9F">
        <w:rPr>
          <w:rFonts w:eastAsia="Calibri" w:cs="Times New Roman"/>
        </w:rPr>
        <w:t xml:space="preserve"> (1819)</w:t>
      </w:r>
      <w:r w:rsidR="00B32417">
        <w:rPr>
          <w:rFonts w:eastAsia="Calibri" w:cs="Times New Roman"/>
        </w:rPr>
        <w:t>, upholding the expansion of federal powers under the Necessary and Proper clause,</w:t>
      </w:r>
      <w:r w:rsidR="00AA53C5">
        <w:rPr>
          <w:rFonts w:eastAsia="Calibri" w:cs="Times New Roman"/>
        </w:rPr>
        <w:t xml:space="preserve"> and not </w:t>
      </w:r>
      <w:r w:rsidR="00AA53C5">
        <w:rPr>
          <w:rFonts w:eastAsia="Calibri" w:cs="Times New Roman"/>
          <w:i/>
        </w:rPr>
        <w:t>Marbury v. Madison</w:t>
      </w:r>
      <w:r w:rsidR="00541B9F">
        <w:rPr>
          <w:rFonts w:eastAsia="Calibri" w:cs="Times New Roman"/>
        </w:rPr>
        <w:t xml:space="preserve"> (1</w:t>
      </w:r>
      <w:r w:rsidR="00ED4D94">
        <w:rPr>
          <w:rFonts w:eastAsia="Calibri" w:cs="Times New Roman"/>
        </w:rPr>
        <w:t>8</w:t>
      </w:r>
      <w:r w:rsidR="00541B9F">
        <w:rPr>
          <w:rFonts w:eastAsia="Calibri" w:cs="Times New Roman"/>
        </w:rPr>
        <w:t>03)</w:t>
      </w:r>
      <w:r w:rsidR="00B32417">
        <w:rPr>
          <w:rFonts w:eastAsia="Calibri" w:cs="Times New Roman"/>
        </w:rPr>
        <w:t>, asserting the USSC’s</w:t>
      </w:r>
      <w:r w:rsidR="00AA53C5">
        <w:rPr>
          <w:rFonts w:eastAsia="Calibri" w:cs="Times New Roman"/>
        </w:rPr>
        <w:t xml:space="preserve"> </w:t>
      </w:r>
      <w:r w:rsidR="00B32417">
        <w:rPr>
          <w:rFonts w:eastAsia="Calibri" w:cs="Times New Roman"/>
        </w:rPr>
        <w:t xml:space="preserve">authority to declare federal laws unconstitutional, </w:t>
      </w:r>
      <w:r w:rsidR="00AA53C5">
        <w:rPr>
          <w:rFonts w:eastAsia="Calibri" w:cs="Times New Roman"/>
        </w:rPr>
        <w:t xml:space="preserve">is really the most important case in American </w:t>
      </w:r>
      <w:r>
        <w:rPr>
          <w:rFonts w:eastAsia="Calibri" w:cs="Times New Roman"/>
        </w:rPr>
        <w:t>constitutional law (</w:t>
      </w:r>
      <w:r w:rsidR="00AA53C5">
        <w:rPr>
          <w:rFonts w:eastAsia="Calibri" w:cs="Times New Roman"/>
        </w:rPr>
        <w:t xml:space="preserve">809).  </w:t>
      </w:r>
    </w:p>
    <w:p w:rsidR="00FE5810" w:rsidRPr="002B3508" w:rsidRDefault="00C77A99" w:rsidP="00541B9F">
      <w:pPr>
        <w:spacing w:line="480" w:lineRule="auto"/>
        <w:ind w:left="0" w:firstLine="720"/>
        <w:jc w:val="both"/>
        <w:rPr>
          <w:rFonts w:cs="Times New Roman"/>
          <w:szCs w:val="24"/>
        </w:rPr>
      </w:pPr>
      <w:r>
        <w:rPr>
          <w:rFonts w:cs="Times New Roman"/>
          <w:szCs w:val="24"/>
        </w:rPr>
        <w:t>Lastly, t</w:t>
      </w:r>
      <w:r w:rsidR="009D106B">
        <w:rPr>
          <w:rFonts w:cs="Times New Roman"/>
          <w:szCs w:val="24"/>
        </w:rPr>
        <w:t>his finding</w:t>
      </w:r>
      <w:r>
        <w:rPr>
          <w:rFonts w:cs="Times New Roman"/>
          <w:szCs w:val="24"/>
        </w:rPr>
        <w:t xml:space="preserve"> of a significant correlation between SG amicus persuasion attempts and justice votes</w:t>
      </w:r>
      <w:r w:rsidR="009D106B">
        <w:rPr>
          <w:rFonts w:cs="Times New Roman"/>
          <w:szCs w:val="24"/>
        </w:rPr>
        <w:t xml:space="preserve"> also provides an indication that the Roberts Court may</w:t>
      </w:r>
      <w:r w:rsidR="00A9105A">
        <w:rPr>
          <w:rFonts w:cs="Times New Roman"/>
          <w:szCs w:val="24"/>
        </w:rPr>
        <w:t xml:space="preserve"> </w:t>
      </w:r>
      <w:r w:rsidR="009D106B">
        <w:rPr>
          <w:rFonts w:cs="Times New Roman"/>
          <w:szCs w:val="24"/>
        </w:rPr>
        <w:t xml:space="preserve">be fulfilling the Chief Justice’s </w:t>
      </w:r>
      <w:r w:rsidR="00A9105A">
        <w:rPr>
          <w:rFonts w:cs="Times New Roman"/>
          <w:szCs w:val="24"/>
        </w:rPr>
        <w:t xml:space="preserve">stated </w:t>
      </w:r>
      <w:r w:rsidR="009D106B">
        <w:rPr>
          <w:rFonts w:cs="Times New Roman"/>
          <w:szCs w:val="24"/>
        </w:rPr>
        <w:t>goal</w:t>
      </w:r>
      <w:r w:rsidR="00A9105A">
        <w:rPr>
          <w:rFonts w:cs="Times New Roman"/>
          <w:szCs w:val="24"/>
        </w:rPr>
        <w:t xml:space="preserve"> of guiding a Court that is modest and restrained, that proceeds with humility, and that issues decisions that respect the other branches of government as co-equals.</w:t>
      </w:r>
    </w:p>
    <w:p w:rsidR="00746400" w:rsidRPr="000A4321" w:rsidRDefault="00746400" w:rsidP="00E71D36">
      <w:pPr>
        <w:spacing w:line="480" w:lineRule="auto"/>
        <w:ind w:left="0" w:firstLine="0"/>
        <w:rPr>
          <w:rFonts w:cs="Times New Roman"/>
          <w:b/>
          <w:szCs w:val="24"/>
        </w:rPr>
      </w:pPr>
    </w:p>
    <w:p w:rsidR="000A4321" w:rsidRPr="000A4321" w:rsidRDefault="005B74B1" w:rsidP="000A4321">
      <w:pPr>
        <w:pStyle w:val="ListParagraph"/>
        <w:numPr>
          <w:ilvl w:val="0"/>
          <w:numId w:val="39"/>
        </w:numPr>
        <w:spacing w:line="480" w:lineRule="auto"/>
        <w:rPr>
          <w:rFonts w:cs="Times New Roman"/>
          <w:b/>
          <w:szCs w:val="24"/>
        </w:rPr>
      </w:pPr>
      <w:r>
        <w:rPr>
          <w:rFonts w:cs="Times New Roman"/>
          <w:b/>
          <w:szCs w:val="24"/>
        </w:rPr>
        <w:t>Conclusions</w:t>
      </w:r>
      <w:r w:rsidR="00B46895">
        <w:rPr>
          <w:rFonts w:cs="Times New Roman"/>
          <w:b/>
          <w:szCs w:val="24"/>
        </w:rPr>
        <w:t xml:space="preserve"> and Implications</w:t>
      </w:r>
    </w:p>
    <w:p w:rsidR="00746400" w:rsidRDefault="003C1AB9" w:rsidP="00534EB6">
      <w:pPr>
        <w:spacing w:line="480" w:lineRule="auto"/>
        <w:ind w:left="0" w:firstLine="720"/>
        <w:rPr>
          <w:rFonts w:cs="Times New Roman"/>
          <w:szCs w:val="24"/>
        </w:rPr>
      </w:pPr>
      <w:r>
        <w:rPr>
          <w:rFonts w:cs="Times New Roman"/>
          <w:szCs w:val="24"/>
        </w:rPr>
        <w:t>T</w:t>
      </w:r>
      <w:r w:rsidR="003542B1">
        <w:rPr>
          <w:rFonts w:cs="Times New Roman"/>
          <w:szCs w:val="24"/>
        </w:rPr>
        <w:t>he interpretation</w:t>
      </w:r>
      <w:r w:rsidR="003A7A51">
        <w:rPr>
          <w:rFonts w:cs="Times New Roman"/>
          <w:szCs w:val="24"/>
        </w:rPr>
        <w:t xml:space="preserve"> of</w:t>
      </w:r>
      <w:r w:rsidR="003542B1">
        <w:rPr>
          <w:rFonts w:cs="Times New Roman"/>
          <w:szCs w:val="24"/>
        </w:rPr>
        <w:t xml:space="preserve"> </w:t>
      </w:r>
      <w:r w:rsidR="003A7A51">
        <w:rPr>
          <w:rFonts w:cs="Times New Roman"/>
          <w:szCs w:val="24"/>
        </w:rPr>
        <w:t xml:space="preserve">the </w:t>
      </w:r>
      <w:proofErr w:type="spellStart"/>
      <w:r w:rsidR="003A7A51">
        <w:rPr>
          <w:rFonts w:cs="Times New Roman"/>
          <w:szCs w:val="24"/>
        </w:rPr>
        <w:t>logit</w:t>
      </w:r>
      <w:proofErr w:type="spellEnd"/>
      <w:r w:rsidR="003A7A51">
        <w:rPr>
          <w:rFonts w:cs="Times New Roman"/>
          <w:szCs w:val="24"/>
        </w:rPr>
        <w:t xml:space="preserve"> models</w:t>
      </w:r>
      <w:r w:rsidR="00BA3F0C">
        <w:rPr>
          <w:rFonts w:cs="Times New Roman"/>
          <w:szCs w:val="24"/>
        </w:rPr>
        <w:t>, marginal effects graphs, predicted probabilities tables,</w:t>
      </w:r>
      <w:r w:rsidR="003A7A51">
        <w:rPr>
          <w:rFonts w:cs="Times New Roman"/>
          <w:szCs w:val="24"/>
        </w:rPr>
        <w:t xml:space="preserve"> and </w:t>
      </w:r>
      <w:r w:rsidR="003542B1">
        <w:rPr>
          <w:rFonts w:cs="Times New Roman"/>
          <w:szCs w:val="24"/>
        </w:rPr>
        <w:t>the Pearson correlation tables</w:t>
      </w:r>
      <w:r w:rsidR="003A7A51">
        <w:rPr>
          <w:rFonts w:cs="Times New Roman"/>
          <w:szCs w:val="24"/>
        </w:rPr>
        <w:t xml:space="preserve"> provided in this chapter</w:t>
      </w:r>
      <w:r w:rsidR="00A938BC">
        <w:rPr>
          <w:rFonts w:cs="Times New Roman"/>
          <w:szCs w:val="24"/>
        </w:rPr>
        <w:t xml:space="preserve"> lead to </w:t>
      </w:r>
      <w:r w:rsidR="00BA3F0C">
        <w:rPr>
          <w:rFonts w:cs="Times New Roman"/>
          <w:szCs w:val="24"/>
        </w:rPr>
        <w:t>five</w:t>
      </w:r>
      <w:r w:rsidR="003542B1">
        <w:rPr>
          <w:rFonts w:cs="Times New Roman"/>
          <w:szCs w:val="24"/>
        </w:rPr>
        <w:t xml:space="preserve"> </w:t>
      </w:r>
      <w:r w:rsidR="00DA41AE">
        <w:rPr>
          <w:rFonts w:cs="Times New Roman"/>
          <w:szCs w:val="24"/>
        </w:rPr>
        <w:t xml:space="preserve">basic </w:t>
      </w:r>
      <w:r w:rsidR="003542B1">
        <w:rPr>
          <w:rFonts w:cs="Times New Roman"/>
          <w:szCs w:val="24"/>
        </w:rPr>
        <w:t>conclusions r</w:t>
      </w:r>
      <w:r w:rsidR="00DA41AE">
        <w:rPr>
          <w:rFonts w:cs="Times New Roman"/>
          <w:szCs w:val="24"/>
        </w:rPr>
        <w:t xml:space="preserve">egarding amicus impact at the Roberts Court.  First, </w:t>
      </w:r>
      <w:r w:rsidR="00534EB6">
        <w:rPr>
          <w:rFonts w:cs="Times New Roman"/>
          <w:szCs w:val="24"/>
        </w:rPr>
        <w:t>when the SG files an amicus brief</w:t>
      </w:r>
      <w:r w:rsidR="00DA41AE">
        <w:rPr>
          <w:rFonts w:cs="Times New Roman"/>
          <w:szCs w:val="24"/>
        </w:rPr>
        <w:t>,</w:t>
      </w:r>
      <w:r w:rsidR="003A7A51">
        <w:rPr>
          <w:rFonts w:cs="Times New Roman"/>
          <w:szCs w:val="24"/>
        </w:rPr>
        <w:t xml:space="preserve"> that brief is likely to significantly impact the direction of a justice’s</w:t>
      </w:r>
      <w:r w:rsidR="00DA41AE">
        <w:rPr>
          <w:rFonts w:cs="Times New Roman"/>
          <w:szCs w:val="24"/>
        </w:rPr>
        <w:t xml:space="preserve"> vote, regardless of ideology.  </w:t>
      </w:r>
      <w:r w:rsidR="00534EB6">
        <w:rPr>
          <w:rFonts w:cs="Times New Roman"/>
          <w:szCs w:val="24"/>
        </w:rPr>
        <w:t xml:space="preserve">This evidences the deference the </w:t>
      </w:r>
      <w:proofErr w:type="gramStart"/>
      <w:r w:rsidR="00534EB6">
        <w:rPr>
          <w:rFonts w:cs="Times New Roman"/>
          <w:szCs w:val="24"/>
        </w:rPr>
        <w:t>justices</w:t>
      </w:r>
      <w:proofErr w:type="gramEnd"/>
      <w:r w:rsidR="00534EB6">
        <w:rPr>
          <w:rFonts w:cs="Times New Roman"/>
          <w:szCs w:val="24"/>
        </w:rPr>
        <w:t xml:space="preserve"> accord to the Executive branch.  </w:t>
      </w:r>
      <w:r w:rsidR="00DA41AE">
        <w:rPr>
          <w:rFonts w:cs="Times New Roman"/>
          <w:szCs w:val="24"/>
        </w:rPr>
        <w:t xml:space="preserve">Second, </w:t>
      </w:r>
      <w:r w:rsidR="003A7A51">
        <w:rPr>
          <w:rFonts w:cs="Times New Roman"/>
          <w:szCs w:val="24"/>
        </w:rPr>
        <w:t xml:space="preserve">an advantage of amicus briefs in a case, whether total or prestigious, typically impacts the </w:t>
      </w:r>
      <w:r w:rsidR="00534EB6">
        <w:rPr>
          <w:rFonts w:cs="Times New Roman"/>
          <w:szCs w:val="24"/>
        </w:rPr>
        <w:t xml:space="preserve">justices </w:t>
      </w:r>
      <w:r w:rsidR="003A7A51">
        <w:rPr>
          <w:rFonts w:cs="Times New Roman"/>
          <w:szCs w:val="24"/>
        </w:rPr>
        <w:t xml:space="preserve">more </w:t>
      </w:r>
      <w:r w:rsidR="00DA41AE">
        <w:rPr>
          <w:rFonts w:cs="Times New Roman"/>
          <w:szCs w:val="24"/>
        </w:rPr>
        <w:t>than an advantage of amicus cosigner</w:t>
      </w:r>
      <w:r w:rsidR="00BA3F0C">
        <w:rPr>
          <w:rFonts w:cs="Times New Roman"/>
          <w:szCs w:val="24"/>
        </w:rPr>
        <w:t xml:space="preserve">s.  Third, </w:t>
      </w:r>
      <w:r w:rsidR="00534EB6">
        <w:rPr>
          <w:rFonts w:cs="Times New Roman"/>
          <w:szCs w:val="24"/>
        </w:rPr>
        <w:t>this</w:t>
      </w:r>
      <w:r w:rsidR="00BA3F0C">
        <w:rPr>
          <w:rFonts w:cs="Times New Roman"/>
          <w:szCs w:val="24"/>
        </w:rPr>
        <w:t xml:space="preserve"> amicus brief</w:t>
      </w:r>
      <w:r w:rsidR="00534EB6">
        <w:rPr>
          <w:rFonts w:cs="Times New Roman"/>
          <w:szCs w:val="24"/>
        </w:rPr>
        <w:t xml:space="preserve"> imp</w:t>
      </w:r>
      <w:r w:rsidR="00BA3F0C">
        <w:rPr>
          <w:rFonts w:cs="Times New Roman"/>
          <w:szCs w:val="24"/>
        </w:rPr>
        <w:t>act is more pronounced</w:t>
      </w:r>
      <w:r w:rsidR="00534EB6">
        <w:rPr>
          <w:rFonts w:cs="Times New Roman"/>
          <w:szCs w:val="24"/>
        </w:rPr>
        <w:t xml:space="preserve"> for</w:t>
      </w:r>
      <w:r w:rsidR="003A7A51">
        <w:rPr>
          <w:rFonts w:cs="Times New Roman"/>
          <w:szCs w:val="24"/>
        </w:rPr>
        <w:t xml:space="preserve"> moderate justices</w:t>
      </w:r>
      <w:r w:rsidR="00BA3F0C">
        <w:rPr>
          <w:rFonts w:cs="Times New Roman"/>
          <w:szCs w:val="24"/>
        </w:rPr>
        <w:t xml:space="preserve"> than less moderate ones.  </w:t>
      </w:r>
      <w:r w:rsidR="00B46895">
        <w:rPr>
          <w:rFonts w:cs="Times New Roman"/>
          <w:szCs w:val="24"/>
        </w:rPr>
        <w:t xml:space="preserve">Specifically, </w:t>
      </w:r>
      <w:r w:rsidR="00DA41AE">
        <w:rPr>
          <w:rFonts w:cs="Times New Roman"/>
          <w:szCs w:val="24"/>
        </w:rPr>
        <w:t>Justices Kagan and Kenn</w:t>
      </w:r>
      <w:r w:rsidR="00BA3F0C">
        <w:rPr>
          <w:rFonts w:cs="Times New Roman"/>
          <w:szCs w:val="24"/>
        </w:rPr>
        <w:t>edy are the two justices who appear to be</w:t>
      </w:r>
      <w:r w:rsidR="00DA41AE">
        <w:rPr>
          <w:rFonts w:cs="Times New Roman"/>
          <w:szCs w:val="24"/>
        </w:rPr>
        <w:t xml:space="preserve"> most swayed by the pers</w:t>
      </w:r>
      <w:r w:rsidR="00534EB6">
        <w:rPr>
          <w:rFonts w:cs="Times New Roman"/>
          <w:szCs w:val="24"/>
        </w:rPr>
        <w:t xml:space="preserve">uasion attempts of amici, and they </w:t>
      </w:r>
      <w:r w:rsidR="00DA41AE">
        <w:rPr>
          <w:rFonts w:cs="Times New Roman"/>
          <w:szCs w:val="24"/>
        </w:rPr>
        <w:t>are the only two justices who respond significantly to each of the amicus variables of interest</w:t>
      </w:r>
      <w:r w:rsidR="003A7A51">
        <w:rPr>
          <w:rFonts w:cs="Times New Roman"/>
          <w:szCs w:val="24"/>
        </w:rPr>
        <w:t>, according to the Pearson’s correlation tables</w:t>
      </w:r>
      <w:r w:rsidR="00DA41AE">
        <w:rPr>
          <w:rFonts w:cs="Times New Roman"/>
          <w:szCs w:val="24"/>
        </w:rPr>
        <w:t xml:space="preserve">.  I interpret this finding as further support for my hypotheses that moderate justices are those most likely to be impacted by amici.  In Justice Kagan’s case, amicus </w:t>
      </w:r>
      <w:r w:rsidR="00DA41AE">
        <w:rPr>
          <w:rFonts w:cs="Times New Roman"/>
          <w:szCs w:val="24"/>
        </w:rPr>
        <w:lastRenderedPageBreak/>
        <w:t>impact may also be attributable to the documented “freshman” (or “acclimation”) effect</w:t>
      </w:r>
      <w:r w:rsidR="00534EB6">
        <w:rPr>
          <w:rFonts w:cs="Times New Roman"/>
          <w:szCs w:val="24"/>
        </w:rPr>
        <w:t>, as well as to her former position as Solicitor General</w:t>
      </w:r>
      <w:r w:rsidR="00DA41AE">
        <w:rPr>
          <w:rFonts w:cs="Times New Roman"/>
          <w:szCs w:val="24"/>
        </w:rPr>
        <w:t xml:space="preserve">.  </w:t>
      </w:r>
      <w:r w:rsidR="00BA3F0C">
        <w:rPr>
          <w:rFonts w:cs="Times New Roman"/>
          <w:szCs w:val="24"/>
        </w:rPr>
        <w:t>Fourth, the greater the ideological disparity of amicus briefs in a case, the greater the impact on</w:t>
      </w:r>
      <w:r w:rsidR="00EE799D">
        <w:rPr>
          <w:rFonts w:cs="Times New Roman"/>
          <w:szCs w:val="24"/>
        </w:rPr>
        <w:t xml:space="preserve"> the direction of the</w:t>
      </w:r>
      <w:r w:rsidR="00BA3F0C">
        <w:rPr>
          <w:rFonts w:cs="Times New Roman"/>
          <w:szCs w:val="24"/>
        </w:rPr>
        <w:t xml:space="preserve"> </w:t>
      </w:r>
      <w:r w:rsidR="00EE799D">
        <w:rPr>
          <w:rFonts w:cs="Times New Roman"/>
          <w:szCs w:val="24"/>
        </w:rPr>
        <w:t>justices’ votes</w:t>
      </w:r>
      <w:r w:rsidR="00BA3F0C">
        <w:rPr>
          <w:rFonts w:cs="Times New Roman"/>
          <w:szCs w:val="24"/>
        </w:rPr>
        <w:t>. Fifth</w:t>
      </w:r>
      <w:r w:rsidR="00716EDA">
        <w:rPr>
          <w:rFonts w:cs="Times New Roman"/>
          <w:szCs w:val="24"/>
        </w:rPr>
        <w:t xml:space="preserve"> and finally, while the attitudinal model still best captures t</w:t>
      </w:r>
      <w:r w:rsidR="00704415">
        <w:rPr>
          <w:rFonts w:cs="Times New Roman"/>
          <w:szCs w:val="24"/>
        </w:rPr>
        <w:t>he reality of judicial decision-</w:t>
      </w:r>
      <w:r w:rsidR="00716EDA">
        <w:rPr>
          <w:rFonts w:cs="Times New Roman"/>
          <w:szCs w:val="24"/>
        </w:rPr>
        <w:t>making at the Roberts Court, the legal persuasion model best captures the reality of amicus impact.  In varied contexts, the justices respond</w:t>
      </w:r>
      <w:r w:rsidR="000477F5">
        <w:rPr>
          <w:rFonts w:cs="Times New Roman"/>
          <w:szCs w:val="24"/>
        </w:rPr>
        <w:t xml:space="preserve"> positively</w:t>
      </w:r>
      <w:r w:rsidR="00716EDA">
        <w:rPr>
          <w:rFonts w:cs="Times New Roman"/>
          <w:szCs w:val="24"/>
        </w:rPr>
        <w:t xml:space="preserve"> to the persuasive attempts of</w:t>
      </w:r>
      <w:r w:rsidR="000477F5">
        <w:rPr>
          <w:rFonts w:cs="Times New Roman"/>
          <w:szCs w:val="24"/>
        </w:rPr>
        <w:t xml:space="preserve"> amici, and this impact is apparent </w:t>
      </w:r>
      <w:r w:rsidR="00716EDA">
        <w:rPr>
          <w:rFonts w:cs="Times New Roman"/>
          <w:szCs w:val="24"/>
        </w:rPr>
        <w:t>across most levels of judicial ideology.</w:t>
      </w:r>
      <w:r w:rsidR="000477F5">
        <w:rPr>
          <w:rFonts w:cs="Times New Roman"/>
          <w:szCs w:val="24"/>
        </w:rPr>
        <w:t xml:space="preserve">  </w:t>
      </w:r>
    </w:p>
    <w:p w:rsidR="004B5958" w:rsidRDefault="00B46895" w:rsidP="00B00F81">
      <w:pPr>
        <w:spacing w:line="480" w:lineRule="auto"/>
        <w:ind w:left="0" w:firstLine="0"/>
        <w:rPr>
          <w:rFonts w:cs="Times New Roman"/>
          <w:szCs w:val="24"/>
        </w:rPr>
      </w:pPr>
      <w:r>
        <w:rPr>
          <w:rFonts w:cs="Times New Roman"/>
          <w:szCs w:val="24"/>
        </w:rPr>
        <w:tab/>
      </w:r>
      <w:r w:rsidR="000A0BDD">
        <w:rPr>
          <w:rFonts w:cs="Times New Roman"/>
          <w:szCs w:val="24"/>
        </w:rPr>
        <w:t xml:space="preserve">I think that </w:t>
      </w:r>
      <w:r w:rsidR="009154FB">
        <w:rPr>
          <w:rFonts w:cs="Times New Roman"/>
          <w:szCs w:val="24"/>
        </w:rPr>
        <w:t>four</w:t>
      </w:r>
      <w:r w:rsidR="00CF7A9E">
        <w:rPr>
          <w:rFonts w:cs="Times New Roman"/>
          <w:szCs w:val="24"/>
        </w:rPr>
        <w:t xml:space="preserve"> basic implications flow from</w:t>
      </w:r>
      <w:r w:rsidR="004B5958">
        <w:rPr>
          <w:rFonts w:cs="Times New Roman"/>
          <w:szCs w:val="24"/>
        </w:rPr>
        <w:t xml:space="preserve"> the findings of this chapter</w:t>
      </w:r>
      <w:r w:rsidR="00FE3E12">
        <w:rPr>
          <w:rFonts w:cs="Times New Roman"/>
          <w:szCs w:val="24"/>
        </w:rPr>
        <w:t xml:space="preserve"> that </w:t>
      </w:r>
      <w:r w:rsidR="00686A21">
        <w:rPr>
          <w:rFonts w:cs="Times New Roman"/>
          <w:szCs w:val="24"/>
        </w:rPr>
        <w:t xml:space="preserve">are particularly relevant to </w:t>
      </w:r>
      <w:r w:rsidR="000A0BDD">
        <w:rPr>
          <w:rFonts w:cs="Times New Roman"/>
          <w:szCs w:val="24"/>
        </w:rPr>
        <w:t>l</w:t>
      </w:r>
      <w:r w:rsidR="00686A21">
        <w:rPr>
          <w:rFonts w:cs="Times New Roman"/>
          <w:szCs w:val="24"/>
        </w:rPr>
        <w:t xml:space="preserve">egal practitioners and scholars.  First, </w:t>
      </w:r>
      <w:r w:rsidR="009C7352">
        <w:rPr>
          <w:rFonts w:cs="Times New Roman"/>
          <w:szCs w:val="24"/>
        </w:rPr>
        <w:t>a party or amicus seeking to</w:t>
      </w:r>
      <w:r w:rsidR="00686A21">
        <w:rPr>
          <w:rFonts w:cs="Times New Roman"/>
          <w:szCs w:val="24"/>
        </w:rPr>
        <w:t xml:space="preserve"> have </w:t>
      </w:r>
      <w:r w:rsidR="009C7352">
        <w:rPr>
          <w:rFonts w:cs="Times New Roman"/>
          <w:szCs w:val="24"/>
        </w:rPr>
        <w:t xml:space="preserve">maximum impact on the justices should attempt to coordinate with other amici, urging them </w:t>
      </w:r>
      <w:r w:rsidR="00686A21">
        <w:rPr>
          <w:rFonts w:cs="Times New Roman"/>
          <w:szCs w:val="24"/>
        </w:rPr>
        <w:t>to file as many separate briefs as possible in support of the</w:t>
      </w:r>
      <w:r w:rsidR="009C7352">
        <w:rPr>
          <w:rFonts w:cs="Times New Roman"/>
          <w:szCs w:val="24"/>
        </w:rPr>
        <w:t>ir</w:t>
      </w:r>
      <w:r w:rsidR="00686A21">
        <w:rPr>
          <w:rFonts w:cs="Times New Roman"/>
          <w:szCs w:val="24"/>
        </w:rPr>
        <w:t xml:space="preserve"> preferred party in a case.   Marshaling a coalition of amicus briefs in a case is more effective than marshaling a coalition of amicus cosigners.  This is because a</w:t>
      </w:r>
      <w:r w:rsidR="003718CE">
        <w:rPr>
          <w:rFonts w:cs="Times New Roman"/>
          <w:szCs w:val="24"/>
        </w:rPr>
        <w:t>micus briefs</w:t>
      </w:r>
      <w:r w:rsidR="00686A21">
        <w:rPr>
          <w:rFonts w:cs="Times New Roman"/>
          <w:szCs w:val="24"/>
        </w:rPr>
        <w:t xml:space="preserve"> matter more for their informational content than for the number of amici that sign on</w:t>
      </w:r>
      <w:r w:rsidR="003718CE">
        <w:rPr>
          <w:rFonts w:cs="Times New Roman"/>
          <w:szCs w:val="24"/>
        </w:rPr>
        <w:t>to the b</w:t>
      </w:r>
      <w:r w:rsidR="00D55196">
        <w:rPr>
          <w:rFonts w:cs="Times New Roman"/>
          <w:szCs w:val="24"/>
        </w:rPr>
        <w:t xml:space="preserve">riefs.  </w:t>
      </w:r>
      <w:r w:rsidR="00527163">
        <w:rPr>
          <w:rFonts w:cs="Times New Roman"/>
          <w:szCs w:val="24"/>
        </w:rPr>
        <w:t xml:space="preserve">Inundating the justices with information in the form of multiple amicus briefs appears to be an effective strategy, despite the concerns of some about information overload.  </w:t>
      </w:r>
      <w:r w:rsidR="009154FB">
        <w:rPr>
          <w:rFonts w:cs="Times New Roman"/>
          <w:szCs w:val="24"/>
        </w:rPr>
        <w:t xml:space="preserve"> </w:t>
      </w:r>
    </w:p>
    <w:p w:rsidR="004B5958" w:rsidRDefault="00D55196" w:rsidP="004B5958">
      <w:pPr>
        <w:spacing w:line="480" w:lineRule="auto"/>
        <w:ind w:left="0" w:firstLine="720"/>
        <w:rPr>
          <w:rFonts w:cs="Times New Roman"/>
          <w:szCs w:val="24"/>
        </w:rPr>
      </w:pPr>
      <w:r>
        <w:rPr>
          <w:rFonts w:cs="Times New Roman"/>
          <w:szCs w:val="24"/>
        </w:rPr>
        <w:t>Second, a party or amicus seeking maximum impact on the justices should attempt to persuade as many prestigious amici as possible to file briefs supporting their preferred position, and the marshaling of these prestigious amici should be given priority</w:t>
      </w:r>
      <w:r w:rsidR="00777B44">
        <w:rPr>
          <w:rFonts w:cs="Times New Roman"/>
          <w:szCs w:val="24"/>
        </w:rPr>
        <w:t xml:space="preserve"> over other amici</w:t>
      </w:r>
      <w:r>
        <w:rPr>
          <w:rFonts w:cs="Times New Roman"/>
          <w:szCs w:val="24"/>
        </w:rPr>
        <w:t xml:space="preserve">.  This is because those amici with </w:t>
      </w:r>
      <w:r w:rsidR="00777B44">
        <w:rPr>
          <w:rFonts w:cs="Times New Roman"/>
          <w:szCs w:val="24"/>
        </w:rPr>
        <w:t>more</w:t>
      </w:r>
      <w:r>
        <w:rPr>
          <w:rFonts w:cs="Times New Roman"/>
          <w:szCs w:val="24"/>
        </w:rPr>
        <w:t xml:space="preserve"> power, experience, and prestige appea</w:t>
      </w:r>
      <w:r w:rsidR="00777B44">
        <w:rPr>
          <w:rFonts w:cs="Times New Roman"/>
          <w:szCs w:val="24"/>
        </w:rPr>
        <w:t>r to have more</w:t>
      </w:r>
      <w:r>
        <w:rPr>
          <w:rFonts w:cs="Times New Roman"/>
          <w:szCs w:val="24"/>
        </w:rPr>
        <w:t xml:space="preserve"> sway over the justices. </w:t>
      </w:r>
      <w:r w:rsidR="009D1F7F">
        <w:rPr>
          <w:rFonts w:cs="Times New Roman"/>
          <w:szCs w:val="24"/>
        </w:rPr>
        <w:t xml:space="preserve"> </w:t>
      </w:r>
      <w:r w:rsidR="009154FB">
        <w:rPr>
          <w:rFonts w:cs="Times New Roman"/>
          <w:szCs w:val="24"/>
        </w:rPr>
        <w:t xml:space="preserve"> All of the USSC’s friends are not created equal.  </w:t>
      </w:r>
      <w:r>
        <w:rPr>
          <w:rFonts w:cs="Times New Roman"/>
          <w:szCs w:val="24"/>
        </w:rPr>
        <w:t xml:space="preserve">Third, and relatedly, a party or amicus seeking maximum impact on the justices should attempt to persuade the SG </w:t>
      </w:r>
      <w:r w:rsidR="00777B44">
        <w:rPr>
          <w:rFonts w:cs="Times New Roman"/>
          <w:szCs w:val="24"/>
        </w:rPr>
        <w:t>and as many</w:t>
      </w:r>
      <w:r>
        <w:rPr>
          <w:rFonts w:cs="Times New Roman"/>
          <w:szCs w:val="24"/>
        </w:rPr>
        <w:t xml:space="preserve"> </w:t>
      </w:r>
      <w:r>
        <w:rPr>
          <w:rFonts w:cs="Times New Roman"/>
          <w:szCs w:val="24"/>
        </w:rPr>
        <w:lastRenderedPageBreak/>
        <w:t>state gove</w:t>
      </w:r>
      <w:r w:rsidR="00777B44">
        <w:rPr>
          <w:rFonts w:cs="Times New Roman"/>
          <w:szCs w:val="24"/>
        </w:rPr>
        <w:t>rnments as possible to file</w:t>
      </w:r>
      <w:r>
        <w:rPr>
          <w:rFonts w:cs="Times New Roman"/>
          <w:szCs w:val="24"/>
        </w:rPr>
        <w:t xml:space="preserve"> amicus brief</w:t>
      </w:r>
      <w:r w:rsidR="00777B44">
        <w:rPr>
          <w:rFonts w:cs="Times New Roman"/>
          <w:szCs w:val="24"/>
        </w:rPr>
        <w:t>s</w:t>
      </w:r>
      <w:r>
        <w:rPr>
          <w:rFonts w:cs="Times New Roman"/>
          <w:szCs w:val="24"/>
        </w:rPr>
        <w:t xml:space="preserve"> in support of their preferred position, as the SG </w:t>
      </w:r>
      <w:r w:rsidR="00777B44">
        <w:rPr>
          <w:rFonts w:cs="Times New Roman"/>
          <w:szCs w:val="24"/>
        </w:rPr>
        <w:t xml:space="preserve">and state governments have </w:t>
      </w:r>
      <w:r>
        <w:rPr>
          <w:rFonts w:cs="Times New Roman"/>
          <w:szCs w:val="24"/>
        </w:rPr>
        <w:t>high</w:t>
      </w:r>
      <w:r w:rsidR="00777B44">
        <w:rPr>
          <w:rFonts w:cs="Times New Roman"/>
          <w:szCs w:val="24"/>
        </w:rPr>
        <w:t>er</w:t>
      </w:r>
      <w:r>
        <w:rPr>
          <w:rFonts w:cs="Times New Roman"/>
          <w:szCs w:val="24"/>
        </w:rPr>
        <w:t xml:space="preserve"> success rates at the USSC</w:t>
      </w:r>
      <w:r w:rsidR="00777B44">
        <w:rPr>
          <w:rFonts w:cs="Times New Roman"/>
          <w:szCs w:val="24"/>
        </w:rPr>
        <w:t xml:space="preserve"> than most amici</w:t>
      </w:r>
      <w:r>
        <w:rPr>
          <w:rFonts w:cs="Times New Roman"/>
          <w:szCs w:val="24"/>
        </w:rPr>
        <w:t>.</w:t>
      </w:r>
      <w:r w:rsidR="00777B44">
        <w:rPr>
          <w:rFonts w:cs="Times New Roman"/>
          <w:szCs w:val="24"/>
        </w:rPr>
        <w:t xml:space="preserve">  </w:t>
      </w:r>
    </w:p>
    <w:p w:rsidR="00016491" w:rsidRPr="004B5958" w:rsidRDefault="00777B44" w:rsidP="004B5958">
      <w:pPr>
        <w:spacing w:line="480" w:lineRule="auto"/>
        <w:ind w:left="0" w:firstLine="720"/>
        <w:rPr>
          <w:rFonts w:cs="Times New Roman"/>
          <w:szCs w:val="24"/>
        </w:rPr>
      </w:pPr>
      <w:r>
        <w:rPr>
          <w:rFonts w:cs="Times New Roman"/>
          <w:szCs w:val="24"/>
        </w:rPr>
        <w:t>Fourth</w:t>
      </w:r>
      <w:r w:rsidR="003F4A45">
        <w:rPr>
          <w:rFonts w:cs="Times New Roman"/>
          <w:szCs w:val="24"/>
        </w:rPr>
        <w:t xml:space="preserve"> and finally</w:t>
      </w:r>
      <w:r>
        <w:rPr>
          <w:rFonts w:cs="Times New Roman"/>
          <w:szCs w:val="24"/>
        </w:rPr>
        <w:t>,</w:t>
      </w:r>
      <w:r w:rsidR="009D1F7F">
        <w:rPr>
          <w:rFonts w:cs="Times New Roman"/>
          <w:szCs w:val="24"/>
        </w:rPr>
        <w:t xml:space="preserve"> given the tendency for moderate justices to be more responsive to amicus influence, an a</w:t>
      </w:r>
      <w:r w:rsidR="009154FB">
        <w:rPr>
          <w:rFonts w:cs="Times New Roman"/>
          <w:szCs w:val="24"/>
        </w:rPr>
        <w:t xml:space="preserve">micus </w:t>
      </w:r>
      <w:r w:rsidR="009D1F7F">
        <w:rPr>
          <w:rFonts w:cs="Times New Roman"/>
          <w:szCs w:val="24"/>
        </w:rPr>
        <w:t>should attempt to tailor the arguments and information contained in its brief to capture the attention of and appeal to th</w:t>
      </w:r>
      <w:r w:rsidR="004B5958">
        <w:rPr>
          <w:rFonts w:cs="Times New Roman"/>
          <w:szCs w:val="24"/>
        </w:rPr>
        <w:t>e moderate justices,</w:t>
      </w:r>
      <w:r w:rsidR="009D1F7F">
        <w:rPr>
          <w:rFonts w:cs="Times New Roman"/>
          <w:szCs w:val="24"/>
        </w:rPr>
        <w:t xml:space="preserve"> most notably current Justices Kenn</w:t>
      </w:r>
      <w:r w:rsidR="004B5958">
        <w:rPr>
          <w:rFonts w:cs="Times New Roman"/>
          <w:szCs w:val="24"/>
        </w:rPr>
        <w:t>edy and Kagan</w:t>
      </w:r>
      <w:r w:rsidR="009D1F7F">
        <w:rPr>
          <w:rFonts w:cs="Times New Roman"/>
          <w:szCs w:val="24"/>
        </w:rPr>
        <w:t xml:space="preserve">. </w:t>
      </w:r>
      <w:r w:rsidR="005B74B1">
        <w:rPr>
          <w:rFonts w:cs="Times New Roman"/>
          <w:szCs w:val="24"/>
        </w:rPr>
        <w:t xml:space="preserve"> An amicus’ efforts are </w:t>
      </w:r>
      <w:r w:rsidR="004577C2">
        <w:rPr>
          <w:rFonts w:cs="Times New Roman"/>
          <w:szCs w:val="24"/>
        </w:rPr>
        <w:t xml:space="preserve">best spent on crafting arguments tailored to convince those justices most likely to be </w:t>
      </w:r>
      <w:proofErr w:type="gramStart"/>
      <w:r w:rsidR="004577C2">
        <w:rPr>
          <w:rFonts w:cs="Times New Roman"/>
          <w:szCs w:val="24"/>
        </w:rPr>
        <w:t>swayed,</w:t>
      </w:r>
      <w:proofErr w:type="gramEnd"/>
      <w:r w:rsidR="004577C2">
        <w:rPr>
          <w:rFonts w:cs="Times New Roman"/>
          <w:szCs w:val="24"/>
        </w:rPr>
        <w:t xml:space="preserve"> and less time and energy</w:t>
      </w:r>
      <w:r w:rsidR="005B74B1">
        <w:rPr>
          <w:rFonts w:cs="Times New Roman"/>
          <w:szCs w:val="24"/>
        </w:rPr>
        <w:t xml:space="preserve"> should be devoted</w:t>
      </w:r>
      <w:r w:rsidR="004577C2">
        <w:rPr>
          <w:rFonts w:cs="Times New Roman"/>
          <w:szCs w:val="24"/>
        </w:rPr>
        <w:t xml:space="preserve"> to trying to persuade those justices that are m</w:t>
      </w:r>
      <w:r w:rsidR="005B74B1">
        <w:rPr>
          <w:rFonts w:cs="Times New Roman"/>
          <w:szCs w:val="24"/>
        </w:rPr>
        <w:t>ore extreme in their ideologies, as t</w:t>
      </w:r>
      <w:r w:rsidR="009154FB">
        <w:rPr>
          <w:rFonts w:cs="Times New Roman"/>
          <w:szCs w:val="24"/>
        </w:rPr>
        <w:t>hey are less likely to be moved.</w:t>
      </w:r>
      <w:r w:rsidR="00D55196">
        <w:rPr>
          <w:rFonts w:cs="Times New Roman"/>
          <w:szCs w:val="24"/>
        </w:rPr>
        <w:t xml:space="preserve"> </w:t>
      </w:r>
    </w:p>
    <w:p w:rsidR="001F6F61" w:rsidRDefault="001F6F61" w:rsidP="00B00F81">
      <w:pPr>
        <w:spacing w:line="480" w:lineRule="auto"/>
        <w:ind w:left="0" w:firstLine="0"/>
        <w:rPr>
          <w:rFonts w:cs="Times New Roman"/>
          <w:b/>
          <w:sz w:val="32"/>
          <w:szCs w:val="32"/>
        </w:rPr>
      </w:pPr>
    </w:p>
    <w:p w:rsidR="00480D88" w:rsidRDefault="00480D88" w:rsidP="00B00F81">
      <w:pPr>
        <w:spacing w:line="480" w:lineRule="auto"/>
        <w:ind w:left="0" w:firstLine="0"/>
        <w:rPr>
          <w:rFonts w:cs="Times New Roman"/>
          <w:b/>
          <w:sz w:val="32"/>
          <w:szCs w:val="32"/>
        </w:rPr>
      </w:pPr>
    </w:p>
    <w:p w:rsidR="00ED4D94" w:rsidRDefault="00ED4D94" w:rsidP="00B00F81">
      <w:pPr>
        <w:spacing w:line="480" w:lineRule="auto"/>
        <w:ind w:left="0" w:firstLine="0"/>
        <w:rPr>
          <w:rFonts w:cs="Times New Roman"/>
          <w:b/>
          <w:sz w:val="32"/>
          <w:szCs w:val="32"/>
        </w:rPr>
      </w:pPr>
    </w:p>
    <w:p w:rsidR="00EE799D" w:rsidRDefault="00EE799D" w:rsidP="00B00F81">
      <w:pPr>
        <w:spacing w:line="480" w:lineRule="auto"/>
        <w:ind w:left="0" w:firstLine="0"/>
        <w:rPr>
          <w:rFonts w:cs="Times New Roman"/>
          <w:b/>
          <w:sz w:val="32"/>
          <w:szCs w:val="32"/>
        </w:rPr>
      </w:pPr>
    </w:p>
    <w:p w:rsidR="00EE799D" w:rsidRDefault="00EE799D" w:rsidP="00B00F81">
      <w:pPr>
        <w:spacing w:line="480" w:lineRule="auto"/>
        <w:ind w:left="0" w:firstLine="0"/>
        <w:rPr>
          <w:rFonts w:cs="Times New Roman"/>
          <w:b/>
          <w:sz w:val="32"/>
          <w:szCs w:val="32"/>
        </w:rPr>
      </w:pPr>
    </w:p>
    <w:p w:rsidR="00EE799D" w:rsidRDefault="00EE799D" w:rsidP="00B00F81">
      <w:pPr>
        <w:spacing w:line="480" w:lineRule="auto"/>
        <w:ind w:left="0" w:firstLine="0"/>
        <w:rPr>
          <w:rFonts w:cs="Times New Roman"/>
          <w:b/>
          <w:sz w:val="32"/>
          <w:szCs w:val="32"/>
        </w:rPr>
      </w:pPr>
    </w:p>
    <w:p w:rsidR="00EE799D" w:rsidRDefault="00EE799D" w:rsidP="00B00F81">
      <w:pPr>
        <w:spacing w:line="480" w:lineRule="auto"/>
        <w:ind w:left="0" w:firstLine="0"/>
        <w:rPr>
          <w:rFonts w:cs="Times New Roman"/>
          <w:b/>
          <w:sz w:val="32"/>
          <w:szCs w:val="32"/>
        </w:rPr>
      </w:pPr>
    </w:p>
    <w:p w:rsidR="00EE799D" w:rsidRDefault="00EE799D" w:rsidP="00B00F81">
      <w:pPr>
        <w:spacing w:line="480" w:lineRule="auto"/>
        <w:ind w:left="0" w:firstLine="0"/>
        <w:rPr>
          <w:rFonts w:cs="Times New Roman"/>
          <w:b/>
          <w:sz w:val="32"/>
          <w:szCs w:val="32"/>
        </w:rPr>
      </w:pPr>
    </w:p>
    <w:p w:rsidR="00EE799D" w:rsidRDefault="00EE799D" w:rsidP="00B00F81">
      <w:pPr>
        <w:spacing w:line="480" w:lineRule="auto"/>
        <w:ind w:left="0" w:firstLine="0"/>
        <w:rPr>
          <w:rFonts w:cs="Times New Roman"/>
          <w:b/>
          <w:sz w:val="32"/>
          <w:szCs w:val="32"/>
        </w:rPr>
      </w:pPr>
    </w:p>
    <w:p w:rsidR="00EE799D" w:rsidRDefault="00EE799D" w:rsidP="00B00F81">
      <w:pPr>
        <w:spacing w:line="480" w:lineRule="auto"/>
        <w:ind w:left="0" w:firstLine="0"/>
        <w:rPr>
          <w:rFonts w:cs="Times New Roman"/>
          <w:b/>
          <w:sz w:val="32"/>
          <w:szCs w:val="32"/>
        </w:rPr>
      </w:pPr>
    </w:p>
    <w:p w:rsidR="008A5C0E" w:rsidRDefault="008A5C0E" w:rsidP="00B00F81">
      <w:pPr>
        <w:spacing w:line="480" w:lineRule="auto"/>
        <w:ind w:left="0" w:firstLine="0"/>
        <w:rPr>
          <w:rFonts w:cs="Times New Roman"/>
          <w:b/>
          <w:sz w:val="32"/>
          <w:szCs w:val="32"/>
        </w:rPr>
      </w:pPr>
    </w:p>
    <w:p w:rsidR="00B00F81" w:rsidRDefault="00E77CF3" w:rsidP="00E77CF3">
      <w:pPr>
        <w:spacing w:line="480" w:lineRule="auto"/>
        <w:ind w:left="0" w:firstLine="0"/>
        <w:jc w:val="center"/>
        <w:rPr>
          <w:b/>
          <w:sz w:val="32"/>
          <w:szCs w:val="32"/>
        </w:rPr>
      </w:pPr>
      <w:r>
        <w:rPr>
          <w:rFonts w:cs="Times New Roman"/>
          <w:b/>
          <w:sz w:val="32"/>
          <w:szCs w:val="32"/>
        </w:rPr>
        <w:lastRenderedPageBreak/>
        <w:t>Chapter 6</w:t>
      </w:r>
      <w:r w:rsidR="00B00F81" w:rsidRPr="00B00F81">
        <w:rPr>
          <w:rFonts w:cs="Times New Roman"/>
          <w:sz w:val="32"/>
          <w:szCs w:val="32"/>
        </w:rPr>
        <w:t xml:space="preserve">: </w:t>
      </w:r>
      <w:r w:rsidR="00785DEE">
        <w:rPr>
          <w:b/>
          <w:sz w:val="32"/>
          <w:szCs w:val="32"/>
        </w:rPr>
        <w:t>Conclusion</w:t>
      </w:r>
    </w:p>
    <w:p w:rsidR="00955F6E" w:rsidRDefault="00955F6E" w:rsidP="00955F6E">
      <w:pPr>
        <w:spacing w:line="480" w:lineRule="auto"/>
        <w:ind w:left="0" w:firstLine="720"/>
        <w:rPr>
          <w:szCs w:val="24"/>
        </w:rPr>
      </w:pPr>
      <w:r>
        <w:rPr>
          <w:szCs w:val="24"/>
        </w:rPr>
        <w:t xml:space="preserve">According to </w:t>
      </w:r>
      <w:proofErr w:type="spellStart"/>
      <w:r>
        <w:rPr>
          <w:szCs w:val="24"/>
        </w:rPr>
        <w:t>Sunstein</w:t>
      </w:r>
      <w:proofErr w:type="spellEnd"/>
      <w:r>
        <w:rPr>
          <w:szCs w:val="24"/>
        </w:rPr>
        <w:t xml:space="preserve"> (2003, 150), the greatest invention of the Founders of our democratic-republic consisted in “their skepticism about homogeneity, their enthusiasm for disagreement and diversity, and their effort to accommodate and to structure that diversity.”  The Founders purposed to design a deliberative democracy, “one which combined accountability to the people with a measure of reflection and reason-giving” (150).  </w:t>
      </w:r>
      <w:proofErr w:type="gramStart"/>
      <w:r>
        <w:rPr>
          <w:szCs w:val="24"/>
        </w:rPr>
        <w:t>With this in mind, the institutions of the Constitution “reflect a fear of conformity, cascade effects, and polarization, creating a range of checks on ill-considered judgments that emerge from these processes” (150).</w:t>
      </w:r>
      <w:proofErr w:type="gramEnd"/>
      <w:r>
        <w:rPr>
          <w:szCs w:val="24"/>
        </w:rPr>
        <w:t xml:space="preserve"> </w:t>
      </w:r>
    </w:p>
    <w:p w:rsidR="00955F6E" w:rsidRDefault="00955F6E" w:rsidP="00955F6E">
      <w:pPr>
        <w:spacing w:line="480" w:lineRule="auto"/>
        <w:ind w:left="0" w:firstLine="720"/>
        <w:rPr>
          <w:szCs w:val="24"/>
        </w:rPr>
      </w:pPr>
      <w:r>
        <w:rPr>
          <w:szCs w:val="24"/>
        </w:rPr>
        <w:t xml:space="preserve">In </w:t>
      </w:r>
      <w:r>
        <w:rPr>
          <w:i/>
          <w:szCs w:val="24"/>
        </w:rPr>
        <w:t>Federalist</w:t>
      </w:r>
      <w:r w:rsidRPr="008545CF">
        <w:rPr>
          <w:i/>
          <w:szCs w:val="24"/>
        </w:rPr>
        <w:t xml:space="preserve"> No</w:t>
      </w:r>
      <w:r>
        <w:rPr>
          <w:i/>
          <w:szCs w:val="24"/>
        </w:rPr>
        <w:t>s</w:t>
      </w:r>
      <w:r w:rsidRPr="008545CF">
        <w:rPr>
          <w:i/>
          <w:szCs w:val="24"/>
        </w:rPr>
        <w:t>. 10</w:t>
      </w:r>
      <w:r>
        <w:rPr>
          <w:i/>
          <w:szCs w:val="24"/>
        </w:rPr>
        <w:t xml:space="preserve"> </w:t>
      </w:r>
      <w:r>
        <w:rPr>
          <w:szCs w:val="24"/>
        </w:rPr>
        <w:t xml:space="preserve">and </w:t>
      </w:r>
      <w:r>
        <w:rPr>
          <w:i/>
          <w:szCs w:val="24"/>
        </w:rPr>
        <w:t>51</w:t>
      </w:r>
      <w:r>
        <w:rPr>
          <w:szCs w:val="24"/>
        </w:rPr>
        <w:t xml:space="preserve"> (1788), James Madison confronted the threats posed by factions and special interest groups to minority rights and to the effective functioning of a democratic-republic. Madison’s solution to the problem posed by factions was novel and somewhat counterintuitive:  first you multiply them, then you divide them, and by doing this you can control their ill effects:</w:t>
      </w:r>
    </w:p>
    <w:p w:rsidR="00955F6E" w:rsidRDefault="00955F6E" w:rsidP="00955F6E">
      <w:pPr>
        <w:ind w:firstLine="0"/>
        <w:rPr>
          <w:szCs w:val="24"/>
        </w:rPr>
      </w:pPr>
      <w:r>
        <w:rPr>
          <w:szCs w:val="24"/>
        </w:rPr>
        <w:t>Whilst all authority in it will be derived from and dependent upon the society, the society itself will be broken into so many parts, interests and classes of citizens, that the rights of individuals or of the minority, will be in little danger from interested combinations of the majority.  In a free government, the security for civil rights must be the same as for religious rights.  It consists in the one case in the multiplicity of interests, and in the other, in the multiplicity of sects.  The degree of security in both will depend on the number of interests and sects; and this may be presumed to depend upon the extent of the country and number of people comprehended under the same government.</w:t>
      </w:r>
    </w:p>
    <w:p w:rsidR="00955F6E" w:rsidRPr="00B045AE" w:rsidRDefault="00955F6E" w:rsidP="00955F6E">
      <w:pPr>
        <w:ind w:firstLine="0"/>
        <w:rPr>
          <w:szCs w:val="24"/>
        </w:rPr>
      </w:pPr>
    </w:p>
    <w:p w:rsidR="00955F6E" w:rsidRDefault="00955F6E" w:rsidP="00955F6E">
      <w:pPr>
        <w:spacing w:line="480" w:lineRule="auto"/>
        <w:ind w:left="0" w:firstLine="720"/>
        <w:rPr>
          <w:szCs w:val="24"/>
        </w:rPr>
      </w:pPr>
      <w:r>
        <w:rPr>
          <w:szCs w:val="24"/>
        </w:rPr>
        <w:t xml:space="preserve">Thus, </w:t>
      </w:r>
      <w:r w:rsidRPr="00ED532E">
        <w:rPr>
          <w:i/>
          <w:szCs w:val="24"/>
        </w:rPr>
        <w:t xml:space="preserve">The Federalist </w:t>
      </w:r>
      <w:r>
        <w:rPr>
          <w:szCs w:val="24"/>
        </w:rPr>
        <w:t xml:space="preserve">envisioned a large, extended republic as an antidote to the tyranny of factions and as essential to the success of federalism.  Madison wrote in </w:t>
      </w:r>
      <w:r w:rsidRPr="00825162">
        <w:rPr>
          <w:i/>
          <w:szCs w:val="24"/>
        </w:rPr>
        <w:t>Fed. No. 10</w:t>
      </w:r>
      <w:r>
        <w:rPr>
          <w:szCs w:val="24"/>
        </w:rPr>
        <w:t>:</w:t>
      </w:r>
    </w:p>
    <w:p w:rsidR="00955F6E" w:rsidRDefault="00955F6E" w:rsidP="00955F6E">
      <w:pPr>
        <w:ind w:firstLine="0"/>
        <w:rPr>
          <w:szCs w:val="24"/>
        </w:rPr>
      </w:pPr>
      <w:r>
        <w:rPr>
          <w:szCs w:val="24"/>
        </w:rPr>
        <w:t>Extend the sphere, and you take in a greater variety of parties and interests; you make it less probable that a majority of the whole will have a common motive to invade the rights of other citizens; or if such a common motive exists, it will be more difficult for all who feel it to discover their own strength, and to act in unison with each other.</w:t>
      </w:r>
    </w:p>
    <w:p w:rsidR="00955F6E" w:rsidRDefault="00955F6E" w:rsidP="00DF55E5">
      <w:pPr>
        <w:ind w:left="0" w:firstLine="0"/>
        <w:rPr>
          <w:szCs w:val="24"/>
        </w:rPr>
      </w:pPr>
    </w:p>
    <w:p w:rsidR="00955F6E" w:rsidRDefault="00955F6E" w:rsidP="00955F6E">
      <w:pPr>
        <w:spacing w:line="480" w:lineRule="auto"/>
        <w:ind w:left="0" w:firstLine="720"/>
        <w:rPr>
          <w:szCs w:val="24"/>
        </w:rPr>
      </w:pPr>
      <w:r>
        <w:rPr>
          <w:szCs w:val="24"/>
        </w:rPr>
        <w:lastRenderedPageBreak/>
        <w:t xml:space="preserve">By increasing their number, factions are forced to compromise and form coalitions to accomplish their goals.  This has the effect of diluting power so no one faction can control another.  In this way, the democratic-republic envisioned by our Founders checks the potential tyranny of factions by multiplying and dispersing them.  Thus, a basic Founding idea was to design a system that, taking the realities of human nature as given, encouraged the formation of a pluralistic society in which no one interest group could easily dominate, yet in which deliberation amongst “We the people” and accountability to “We the people” was encouraged. </w:t>
      </w:r>
    </w:p>
    <w:p w:rsidR="00955F6E" w:rsidRDefault="00955F6E" w:rsidP="00955F6E">
      <w:pPr>
        <w:spacing w:line="480" w:lineRule="auto"/>
        <w:ind w:left="0" w:firstLine="720"/>
        <w:rPr>
          <w:szCs w:val="24"/>
        </w:rPr>
      </w:pPr>
      <w:r>
        <w:rPr>
          <w:szCs w:val="24"/>
        </w:rPr>
        <w:t>Amicus curiae participation in the judicial process is a natural and welcome manifestation of this intended design.   Amici curiae briefs serve two core functions that are critical to the healthy functioning of a deliberative democratic-republic. First, amici curiae are, by nature, reason-giving:  they provide arguments and evidence to support the positions they advance.  They are meant to be more than mere opinions or bald assertions of self-interest; rather, they are meant to provide reasons that judges (and fellow citizens) can, in principle, accept as persuasive upon deliberation.  Second, amicus curiae briefs are a vehicle by which interest groups and individuals of all stripes bring their concerns, perspectives, and policy preferences before the courts (and fellow citizens) for consideration.  In this way, amici curiae promote the free exchange of ideas, which is an essential basis for wise legal and policy judgments and, ultimately, governmental accountability.</w:t>
      </w:r>
    </w:p>
    <w:p w:rsidR="00733188" w:rsidRDefault="00733188" w:rsidP="00733188">
      <w:pPr>
        <w:spacing w:line="480" w:lineRule="auto"/>
        <w:ind w:left="0" w:firstLine="0"/>
        <w:rPr>
          <w:szCs w:val="24"/>
        </w:rPr>
      </w:pPr>
    </w:p>
    <w:p w:rsidR="006A782D" w:rsidRPr="006A782D" w:rsidRDefault="006A782D" w:rsidP="006A782D">
      <w:pPr>
        <w:pStyle w:val="ListParagraph"/>
        <w:numPr>
          <w:ilvl w:val="0"/>
          <w:numId w:val="40"/>
        </w:numPr>
        <w:spacing w:line="480" w:lineRule="auto"/>
        <w:rPr>
          <w:b/>
          <w:szCs w:val="24"/>
        </w:rPr>
      </w:pPr>
      <w:r w:rsidRPr="006A782D">
        <w:rPr>
          <w:b/>
          <w:szCs w:val="24"/>
        </w:rPr>
        <w:t>Summary of Chapters</w:t>
      </w:r>
    </w:p>
    <w:p w:rsidR="00955F6E" w:rsidRDefault="00B577FB" w:rsidP="00955F6E">
      <w:pPr>
        <w:spacing w:line="480" w:lineRule="auto"/>
        <w:ind w:left="0" w:firstLine="720"/>
        <w:rPr>
          <w:szCs w:val="24"/>
        </w:rPr>
      </w:pPr>
      <w:r>
        <w:rPr>
          <w:szCs w:val="24"/>
        </w:rPr>
        <w:t>Chapter</w:t>
      </w:r>
      <w:r w:rsidR="00955F6E">
        <w:rPr>
          <w:szCs w:val="24"/>
        </w:rPr>
        <w:t xml:space="preserve"> 1 provided a review of the literature pertaining to the function and influence of amicus curiae in our society.  First, the evolution of the role of the amicus curiae in American history from “friend of the court” to “friend of the party” was highlighted, along with reasons for </w:t>
      </w:r>
      <w:r w:rsidR="00955F6E">
        <w:rPr>
          <w:szCs w:val="24"/>
        </w:rPr>
        <w:lastRenderedPageBreak/>
        <w:t xml:space="preserve">this evolution. Second, the essential function of amici as information bearers was described.  Third, attention was drawn to the continuing debate amongst scholars over the value of amicus curiae practice, and whether amici enhance </w:t>
      </w:r>
      <w:r w:rsidR="00DF55E5">
        <w:rPr>
          <w:szCs w:val="24"/>
        </w:rPr>
        <w:t xml:space="preserve">or impair </w:t>
      </w:r>
      <w:r w:rsidR="00955F6E">
        <w:rPr>
          <w:szCs w:val="24"/>
        </w:rPr>
        <w:t>the functioning of our legal and political systems. Fourth, the liberal rules governing amicus participation were described.  Fifth, the increasing presence of amici curiae at the USSC was shown, highlighting the growing phenomenon of counteractive lobbying by intere</w:t>
      </w:r>
      <w:r w:rsidR="00DF55E5">
        <w:rPr>
          <w:szCs w:val="24"/>
        </w:rPr>
        <w:t>st groups and its implications.</w:t>
      </w:r>
      <w:r w:rsidR="009B1411">
        <w:rPr>
          <w:szCs w:val="24"/>
        </w:rPr>
        <w:t xml:space="preserve">  Amicus participation has accompanied over 90 percent of cases over the last couple of decades, and it tends to be relatively ideologically balanced.</w:t>
      </w:r>
      <w:r w:rsidR="00DF55E5">
        <w:rPr>
          <w:szCs w:val="24"/>
        </w:rPr>
        <w:t xml:space="preserve">  </w:t>
      </w:r>
      <w:r w:rsidR="009B1411">
        <w:rPr>
          <w:szCs w:val="24"/>
        </w:rPr>
        <w:t>Sixth</w:t>
      </w:r>
      <w:r w:rsidR="00DF55E5">
        <w:rPr>
          <w:szCs w:val="24"/>
        </w:rPr>
        <w:t xml:space="preserve">, </w:t>
      </w:r>
      <w:r w:rsidR="009B1411">
        <w:rPr>
          <w:szCs w:val="24"/>
        </w:rPr>
        <w:t xml:space="preserve">it was </w:t>
      </w:r>
      <w:r w:rsidR="003C1AB9">
        <w:rPr>
          <w:szCs w:val="24"/>
        </w:rPr>
        <w:t>shown that certain amicus</w:t>
      </w:r>
      <w:r w:rsidR="009B1411">
        <w:rPr>
          <w:szCs w:val="24"/>
        </w:rPr>
        <w:t xml:space="preserve"> </w:t>
      </w:r>
      <w:r w:rsidR="00955F6E">
        <w:rPr>
          <w:szCs w:val="24"/>
        </w:rPr>
        <w:t>participants</w:t>
      </w:r>
      <w:r w:rsidR="00DF55E5">
        <w:rPr>
          <w:szCs w:val="24"/>
        </w:rPr>
        <w:t xml:space="preserve"> </w:t>
      </w:r>
      <w:r w:rsidR="009B1411">
        <w:rPr>
          <w:szCs w:val="24"/>
        </w:rPr>
        <w:t>stand out in te</w:t>
      </w:r>
      <w:r w:rsidR="003C1AB9">
        <w:rPr>
          <w:szCs w:val="24"/>
        </w:rPr>
        <w:t xml:space="preserve">rms of their frequency of </w:t>
      </w:r>
      <w:r w:rsidR="009B1411">
        <w:rPr>
          <w:szCs w:val="24"/>
        </w:rPr>
        <w:t>appearance before the</w:t>
      </w:r>
      <w:r w:rsidR="003C1AB9">
        <w:rPr>
          <w:szCs w:val="24"/>
        </w:rPr>
        <w:t xml:space="preserve"> USSC in the last three decades –</w:t>
      </w:r>
      <w:r w:rsidR="00D555D5">
        <w:rPr>
          <w:szCs w:val="24"/>
        </w:rPr>
        <w:t xml:space="preserve"> e.g., </w:t>
      </w:r>
      <w:r w:rsidR="009B1411">
        <w:rPr>
          <w:szCs w:val="24"/>
        </w:rPr>
        <w:t xml:space="preserve">the ACLU, </w:t>
      </w:r>
      <w:r w:rsidR="009B1411">
        <w:t>the NACDL, the Chamber of Commerce, the Washington Legal Foundation, and the Pacific Legal Foundation</w:t>
      </w:r>
      <w:r w:rsidR="009B1411">
        <w:rPr>
          <w:szCs w:val="24"/>
        </w:rPr>
        <w:t>.  Seventh</w:t>
      </w:r>
      <w:r>
        <w:rPr>
          <w:szCs w:val="24"/>
        </w:rPr>
        <w:t>, Chapter</w:t>
      </w:r>
      <w:r w:rsidR="00955F6E">
        <w:rPr>
          <w:szCs w:val="24"/>
        </w:rPr>
        <w:t xml:space="preserve"> 1 described the often collaborative natur</w:t>
      </w:r>
      <w:r w:rsidR="009B1411">
        <w:rPr>
          <w:szCs w:val="24"/>
        </w:rPr>
        <w:t>e of amicus enterprise.  Eighth</w:t>
      </w:r>
      <w:r>
        <w:rPr>
          <w:szCs w:val="24"/>
        </w:rPr>
        <w:t>, Chapter</w:t>
      </w:r>
      <w:r w:rsidR="00955F6E">
        <w:rPr>
          <w:szCs w:val="24"/>
        </w:rPr>
        <w:t xml:space="preserve"> 1 provided a number of reasons why interest groups file briefs and the various strategies they employ in this effort. </w:t>
      </w:r>
    </w:p>
    <w:p w:rsidR="00955F6E" w:rsidRDefault="00955F6E" w:rsidP="00955F6E">
      <w:pPr>
        <w:spacing w:line="480" w:lineRule="auto"/>
        <w:ind w:left="0" w:firstLine="720"/>
        <w:rPr>
          <w:szCs w:val="24"/>
        </w:rPr>
      </w:pPr>
      <w:r>
        <w:rPr>
          <w:szCs w:val="24"/>
        </w:rPr>
        <w:t>The bulk</w:t>
      </w:r>
      <w:r w:rsidR="00B577FB">
        <w:rPr>
          <w:szCs w:val="24"/>
        </w:rPr>
        <w:t xml:space="preserve"> of the literature review in Chapter</w:t>
      </w:r>
      <w:r>
        <w:rPr>
          <w:szCs w:val="24"/>
        </w:rPr>
        <w:t xml:space="preserve"> 1</w:t>
      </w:r>
      <w:r w:rsidR="009B1411">
        <w:rPr>
          <w:szCs w:val="24"/>
        </w:rPr>
        <w:t>, however,</w:t>
      </w:r>
      <w:r>
        <w:rPr>
          <w:szCs w:val="24"/>
        </w:rPr>
        <w:t xml:space="preserve"> focused on the thorny issue of whether or not amicus cur</w:t>
      </w:r>
      <w:r w:rsidR="00854CC0">
        <w:rPr>
          <w:szCs w:val="24"/>
        </w:rPr>
        <w:t>iae influence judicial decision-</w:t>
      </w:r>
      <w:r>
        <w:rPr>
          <w:szCs w:val="24"/>
        </w:rPr>
        <w:t>making, and if so, what theory best accounts for this influence.  The basic conclusions that can</w:t>
      </w:r>
      <w:r w:rsidR="009B1411">
        <w:rPr>
          <w:szCs w:val="24"/>
        </w:rPr>
        <w:t xml:space="preserve"> be</w:t>
      </w:r>
      <w:r>
        <w:rPr>
          <w:szCs w:val="24"/>
        </w:rPr>
        <w:t xml:space="preserve"> gleaned from this literature </w:t>
      </w:r>
      <w:r w:rsidR="009B1411">
        <w:rPr>
          <w:szCs w:val="24"/>
        </w:rPr>
        <w:t>re</w:t>
      </w:r>
      <w:r>
        <w:rPr>
          <w:szCs w:val="24"/>
        </w:rPr>
        <w:t>view are as follows.  First, it is typically difficult to detect whether or not amicus curiae influence the way justices vote because judges rarely provi</w:t>
      </w:r>
      <w:r w:rsidR="001F1860">
        <w:rPr>
          <w:szCs w:val="24"/>
        </w:rPr>
        <w:t>de a window into their decision-</w:t>
      </w:r>
      <w:r>
        <w:rPr>
          <w:szCs w:val="24"/>
        </w:rPr>
        <w:t xml:space="preserve">making process.  The statements of judges themselves are </w:t>
      </w:r>
      <w:r w:rsidR="00733188">
        <w:rPr>
          <w:szCs w:val="24"/>
        </w:rPr>
        <w:t>cagey</w:t>
      </w:r>
      <w:r>
        <w:rPr>
          <w:szCs w:val="24"/>
        </w:rPr>
        <w:t xml:space="preserve"> and sometimes at odds with one another regarding the usefulness and efficacy of amicus curiae.  Second, studies are mixed regarding whether or not, the degree to which, and in what context amici influence judges, but the weight of the literature indicates that amici can and do impact the judicial process.  Examples of amicus influence in specific USSC cases, and in specific issue areas, abound.  The two most extensive </w:t>
      </w:r>
      <w:r>
        <w:rPr>
          <w:szCs w:val="24"/>
        </w:rPr>
        <w:lastRenderedPageBreak/>
        <w:t xml:space="preserve">and rigorous studies to date on amicus influence demonstrate that a litigant’s winning percentages can be enhanced with the aid of amicus briefs (Kearney and Merrill (2000), and that justices across the ideological spectrum respond to the persuasive attempts of amici by becoming more likely to vote consistently with the position advanced by the amicus than they otherwise would be (Collins 2008).  Third, pointing to amicus citation rates in judicial opinions is a valid indicator of amicus influence, but it is a rather crude measure, as it can be misleading, and often fails to capture amicus impact.  </w:t>
      </w:r>
    </w:p>
    <w:p w:rsidR="00955F6E" w:rsidRDefault="00955F6E" w:rsidP="00955F6E">
      <w:pPr>
        <w:spacing w:line="480" w:lineRule="auto"/>
        <w:ind w:left="0" w:firstLine="720"/>
        <w:rPr>
          <w:rFonts w:cs="Times New Roman"/>
          <w:szCs w:val="24"/>
        </w:rPr>
      </w:pPr>
      <w:r>
        <w:rPr>
          <w:szCs w:val="24"/>
        </w:rPr>
        <w:t>Fourth, the prevailing view is that the potential impact of an amicus is related to its pr</w:t>
      </w:r>
      <w:r w:rsidR="00A05282">
        <w:rPr>
          <w:szCs w:val="24"/>
        </w:rPr>
        <w:t xml:space="preserve">estige, power, and experience. </w:t>
      </w:r>
      <w:r>
        <w:rPr>
          <w:szCs w:val="24"/>
        </w:rPr>
        <w:t>It could be said that not all amici are create</w:t>
      </w:r>
      <w:r w:rsidR="003C1AB9">
        <w:rPr>
          <w:szCs w:val="24"/>
        </w:rPr>
        <w:t>d equal in the eyes of the USSC</w:t>
      </w:r>
      <w:r>
        <w:rPr>
          <w:szCs w:val="24"/>
        </w:rPr>
        <w:t>.  For example, widespread agreement exists on the prominence and effectiveness of the Solicitor General as an amicus participant before the USSC.</w:t>
      </w:r>
      <w:r w:rsidR="00A05282">
        <w:rPr>
          <w:szCs w:val="24"/>
        </w:rPr>
        <w:t xml:space="preserve">  Other “repeat players” or “institutional litigants”, such as the states, the ACLU, the ALF-CIO, and the Chamber of Commerce also are seen as more persuasive.</w:t>
      </w:r>
      <w:r>
        <w:rPr>
          <w:szCs w:val="24"/>
        </w:rPr>
        <w:t xml:space="preserve"> Fifth, amicus impact has also been found to be related to </w:t>
      </w:r>
      <w:r>
        <w:rPr>
          <w:rFonts w:cs="Times New Roman"/>
          <w:szCs w:val="24"/>
        </w:rPr>
        <w:t xml:space="preserve">the salience of the case, the resources of the party whom the amicus supports, the disparity in the number of briefs offered by each side, whether or not the amicus collaborated with others, and the ideology of the justice reading the brief – with those at the ideological center being most persuadable.  </w:t>
      </w:r>
      <w:r w:rsidR="00A05282">
        <w:rPr>
          <w:szCs w:val="24"/>
        </w:rPr>
        <w:t>Finally</w:t>
      </w:r>
      <w:r>
        <w:rPr>
          <w:szCs w:val="24"/>
        </w:rPr>
        <w:t xml:space="preserve">, </w:t>
      </w:r>
      <w:r>
        <w:rPr>
          <w:rFonts w:cs="Times New Roman"/>
          <w:szCs w:val="24"/>
        </w:rPr>
        <w:t>although fewer studies explore amicus activity and influence in the state and lower federal courts than in the USSC, and although amicus activity is not as widespread in these courts, similar conclusions have been reached about amicus influence in these courts.</w:t>
      </w:r>
    </w:p>
    <w:p w:rsidR="00955F6E" w:rsidRDefault="00A05282" w:rsidP="00955F6E">
      <w:pPr>
        <w:spacing w:line="480" w:lineRule="auto"/>
        <w:ind w:left="0" w:firstLine="720"/>
        <w:rPr>
          <w:rFonts w:cs="Times New Roman"/>
          <w:szCs w:val="24"/>
        </w:rPr>
      </w:pPr>
      <w:r>
        <w:rPr>
          <w:rFonts w:cs="Times New Roman"/>
          <w:szCs w:val="24"/>
        </w:rPr>
        <w:t>T</w:t>
      </w:r>
      <w:r w:rsidR="00B577FB">
        <w:rPr>
          <w:rFonts w:cs="Times New Roman"/>
          <w:szCs w:val="24"/>
        </w:rPr>
        <w:t xml:space="preserve">he remainder of Chapter </w:t>
      </w:r>
      <w:r w:rsidR="00955F6E">
        <w:rPr>
          <w:rFonts w:cs="Times New Roman"/>
          <w:szCs w:val="24"/>
        </w:rPr>
        <w:t>1 is devoted to the question of what model of judicial decision</w:t>
      </w:r>
      <w:r w:rsidR="003C1AB9">
        <w:rPr>
          <w:rFonts w:cs="Times New Roman"/>
          <w:szCs w:val="24"/>
        </w:rPr>
        <w:t>-</w:t>
      </w:r>
      <w:r w:rsidR="00955F6E">
        <w:rPr>
          <w:rFonts w:cs="Times New Roman"/>
          <w:szCs w:val="24"/>
        </w:rPr>
        <w:t xml:space="preserve">making – the attitudinal model, the legal model, or the interest group model – best accounts for amicus influence.  According to the attitudinal model, amicus briefs should have either no </w:t>
      </w:r>
      <w:r w:rsidR="00955F6E">
        <w:rPr>
          <w:rFonts w:cs="Times New Roman"/>
          <w:szCs w:val="24"/>
        </w:rPr>
        <w:lastRenderedPageBreak/>
        <w:t>influence on judicial decisions, or should have influence insofar as they reinforce a judge’s ideology.   According to the legal model, amicus briefs should influence judges regardless of ideology, as justices seek to reach the most accurate legal conclusions and amicus briefs can provide helpful information in this regard.  According to the interest group model, amicus briefs should influence judges who are concerned with the institutional legitimacy and representativeness of the court, as amici serve as barometers of public opinion and an indication of the array of social interests involved in the litigati</w:t>
      </w:r>
      <w:r>
        <w:rPr>
          <w:rFonts w:cs="Times New Roman"/>
          <w:szCs w:val="24"/>
        </w:rPr>
        <w:t xml:space="preserve">on.  While not discounting the </w:t>
      </w:r>
      <w:r w:rsidR="00955F6E">
        <w:rPr>
          <w:rFonts w:cs="Times New Roman"/>
          <w:szCs w:val="24"/>
        </w:rPr>
        <w:t>predictive accuracy of the attitudinal model nor the importance of public opinion, the authors of the leading empirical studies addressing this question (e.g. Collins 2008; 2007; 2004; Kearney and Merrill 2000) conclude that the legal model best explains the impact of amici curiae: amicus briefs matter insofar as the provide legally relevant information that assists judges in reaching the most accurate resolution</w:t>
      </w:r>
      <w:r>
        <w:rPr>
          <w:rFonts w:cs="Times New Roman"/>
          <w:szCs w:val="24"/>
        </w:rPr>
        <w:t>s</w:t>
      </w:r>
      <w:r w:rsidR="00955F6E">
        <w:rPr>
          <w:rFonts w:cs="Times New Roman"/>
          <w:szCs w:val="24"/>
        </w:rPr>
        <w:t>.</w:t>
      </w:r>
    </w:p>
    <w:p w:rsidR="00955F6E" w:rsidRDefault="00B577FB" w:rsidP="00955F6E">
      <w:pPr>
        <w:spacing w:line="480" w:lineRule="auto"/>
        <w:ind w:left="0" w:firstLine="720"/>
        <w:rPr>
          <w:rFonts w:cs="Times New Roman"/>
          <w:szCs w:val="24"/>
        </w:rPr>
      </w:pPr>
      <w:r>
        <w:rPr>
          <w:rFonts w:cs="Times New Roman"/>
          <w:szCs w:val="24"/>
        </w:rPr>
        <w:t>Chapter</w:t>
      </w:r>
      <w:r w:rsidR="00955F6E">
        <w:rPr>
          <w:rFonts w:cs="Times New Roman"/>
          <w:szCs w:val="24"/>
        </w:rPr>
        <w:t xml:space="preserve"> 2 provided an overview of the Roberts Court:  its justices, its ideological orientation, its major decisions, its supporters and critics, its impact on particular areas of the law, and how it compares with prior Courts.  To supplement this discussion, statistics</w:t>
      </w:r>
      <w:r w:rsidR="00A05282">
        <w:rPr>
          <w:rFonts w:cs="Times New Roman"/>
          <w:szCs w:val="24"/>
        </w:rPr>
        <w:t xml:space="preserve"> and charts</w:t>
      </w:r>
      <w:r w:rsidR="00955F6E">
        <w:rPr>
          <w:rFonts w:cs="Times New Roman"/>
          <w:szCs w:val="24"/>
        </w:rPr>
        <w:t xml:space="preserve"> describing the Roberts Court were listed.  The jury of scholarly opinion is divided on whether the Roberts Court has lived up to the Chief Justice’s pledge </w:t>
      </w:r>
      <w:r w:rsidR="00955F6E">
        <w:rPr>
          <w:szCs w:val="24"/>
        </w:rPr>
        <w:t>to be respectful of the other branches of government as co-equals, to make a renewed push for consensus, to reach narrow rulings designed to build broad coalitions, and to seek a jurisprudence characterized by modesty and humility.</w:t>
      </w:r>
      <w:r w:rsidR="00955F6E">
        <w:rPr>
          <w:rFonts w:cs="Times New Roman"/>
          <w:szCs w:val="24"/>
        </w:rPr>
        <w:t xml:space="preserve">  What can be concluded is that the Roberts Court </w:t>
      </w:r>
      <w:proofErr w:type="gramStart"/>
      <w:r w:rsidR="00955F6E">
        <w:rPr>
          <w:rFonts w:cs="Times New Roman"/>
          <w:szCs w:val="24"/>
        </w:rPr>
        <w:t>is</w:t>
      </w:r>
      <w:proofErr w:type="gramEnd"/>
      <w:r w:rsidR="00955F6E">
        <w:rPr>
          <w:rFonts w:cs="Times New Roman"/>
          <w:szCs w:val="24"/>
        </w:rPr>
        <w:t xml:space="preserve"> more like its predecessor Courts than it is different.   It is a modestly conservative Court which issues fewer decisions than its predecessors.  It exercises as much, if not more, restraint than prior Courts.  While it issues a higher percentage of 5-4 decisions that past Courts, it also issues a high percentage of unanimous </w:t>
      </w:r>
      <w:r w:rsidR="00955F6E">
        <w:rPr>
          <w:rFonts w:cs="Times New Roman"/>
          <w:szCs w:val="24"/>
        </w:rPr>
        <w:lastRenderedPageBreak/>
        <w:t>decisions.  Lastly, and most relevant to this study, it is an amicus batt</w:t>
      </w:r>
      <w:r w:rsidR="00A05282">
        <w:rPr>
          <w:rFonts w:cs="Times New Roman"/>
          <w:szCs w:val="24"/>
        </w:rPr>
        <w:t>leground, attracting more friendly</w:t>
      </w:r>
      <w:r w:rsidR="00955F6E">
        <w:rPr>
          <w:rFonts w:cs="Times New Roman"/>
          <w:szCs w:val="24"/>
        </w:rPr>
        <w:t xml:space="preserve"> fire than any prior Court in our nation’s history. </w:t>
      </w:r>
    </w:p>
    <w:p w:rsidR="00955F6E" w:rsidRDefault="00B577FB" w:rsidP="00955F6E">
      <w:pPr>
        <w:spacing w:line="480" w:lineRule="auto"/>
        <w:ind w:left="0" w:firstLine="720"/>
        <w:rPr>
          <w:rFonts w:cs="Times New Roman"/>
          <w:szCs w:val="24"/>
        </w:rPr>
      </w:pPr>
      <w:r>
        <w:rPr>
          <w:rFonts w:cs="Times New Roman"/>
          <w:szCs w:val="24"/>
        </w:rPr>
        <w:t>Chapter</w:t>
      </w:r>
      <w:r w:rsidR="00955F6E">
        <w:rPr>
          <w:rFonts w:cs="Times New Roman"/>
          <w:szCs w:val="24"/>
        </w:rPr>
        <w:t xml:space="preserve"> 3 set forth my </w:t>
      </w:r>
      <w:proofErr w:type="gramStart"/>
      <w:r w:rsidR="00955F6E">
        <w:rPr>
          <w:rFonts w:cs="Times New Roman"/>
          <w:szCs w:val="24"/>
        </w:rPr>
        <w:t>hypotheses,</w:t>
      </w:r>
      <w:proofErr w:type="gramEnd"/>
      <w:r w:rsidR="00955F6E">
        <w:rPr>
          <w:rFonts w:cs="Times New Roman"/>
          <w:szCs w:val="24"/>
        </w:rPr>
        <w:t xml:space="preserve"> described the process by which I collected amicus data, and detailed the methodology by which I tested for amicus impact at the Roberts Court.  I hypothesized that an ideological advantage of amicus briefs would influence the way </w:t>
      </w:r>
      <w:proofErr w:type="gramStart"/>
      <w:r w:rsidR="00955F6E">
        <w:rPr>
          <w:rFonts w:cs="Times New Roman"/>
          <w:szCs w:val="24"/>
        </w:rPr>
        <w:t>justices</w:t>
      </w:r>
      <w:proofErr w:type="gramEnd"/>
      <w:r w:rsidR="00955F6E">
        <w:rPr>
          <w:rFonts w:cs="Times New Roman"/>
          <w:szCs w:val="24"/>
        </w:rPr>
        <w:t xml:space="preserve"> vote, independent of judicial ideology (information/legal persuasion hypotheses). I also hypothesized that an ideological advantage of amicus cosigners in a case would influence justice votes, independent of ideology (affected groups hypothesis).  My median justice hypotheses stated that the influence of amicus briefs and cosigners would become more pronounced as the justice</w:t>
      </w:r>
      <w:r w:rsidR="00D555D5">
        <w:rPr>
          <w:rFonts w:cs="Times New Roman"/>
          <w:szCs w:val="24"/>
        </w:rPr>
        <w:t>s</w:t>
      </w:r>
      <w:r w:rsidR="00955F6E">
        <w:rPr>
          <w:rFonts w:cs="Times New Roman"/>
          <w:szCs w:val="24"/>
        </w:rPr>
        <w:t xml:space="preserve"> became more moderate.  My political salience hypotheses stated that amicus influence woul</w:t>
      </w:r>
      <w:r w:rsidR="00A05282">
        <w:rPr>
          <w:rFonts w:cs="Times New Roman"/>
          <w:szCs w:val="24"/>
        </w:rPr>
        <w:t xml:space="preserve">d be less in salient cases, as </w:t>
      </w:r>
      <w:r w:rsidR="00D555D5">
        <w:rPr>
          <w:rFonts w:cs="Times New Roman"/>
          <w:szCs w:val="24"/>
        </w:rPr>
        <w:t xml:space="preserve">only </w:t>
      </w:r>
      <w:r w:rsidR="00A05282">
        <w:rPr>
          <w:rFonts w:cs="Times New Roman"/>
          <w:szCs w:val="24"/>
        </w:rPr>
        <w:t>the justices</w:t>
      </w:r>
      <w:r w:rsidR="00955F6E">
        <w:rPr>
          <w:rFonts w:cs="Times New Roman"/>
          <w:szCs w:val="24"/>
        </w:rPr>
        <w:t xml:space="preserve"> that were on the same ideological side as the amicus brief advantage would succumb to amicus influence</w:t>
      </w:r>
      <w:r w:rsidR="00D555D5">
        <w:rPr>
          <w:rFonts w:cs="Times New Roman"/>
          <w:szCs w:val="24"/>
        </w:rPr>
        <w:t>, due to the strong influence of judicial attitudes in salient cases</w:t>
      </w:r>
      <w:r w:rsidR="00A05282">
        <w:rPr>
          <w:rFonts w:cs="Times New Roman"/>
          <w:szCs w:val="24"/>
        </w:rPr>
        <w:t>.  Lastly, my prestigious amicus</w:t>
      </w:r>
      <w:r w:rsidR="00955F6E">
        <w:rPr>
          <w:rFonts w:cs="Times New Roman"/>
          <w:szCs w:val="24"/>
        </w:rPr>
        <w:t xml:space="preserve"> hypotheses stated that an ideological advantage of prestigious amici would increase the likelihood that justices would vote in the </w:t>
      </w:r>
      <w:r w:rsidR="00EA3322">
        <w:rPr>
          <w:rFonts w:cs="Times New Roman"/>
          <w:szCs w:val="24"/>
        </w:rPr>
        <w:t xml:space="preserve">ideological </w:t>
      </w:r>
      <w:r w:rsidR="00955F6E">
        <w:rPr>
          <w:rFonts w:cs="Times New Roman"/>
          <w:szCs w:val="24"/>
        </w:rPr>
        <w:t>direction of the prestigious amicus advantage.</w:t>
      </w:r>
    </w:p>
    <w:p w:rsidR="00955F6E" w:rsidRDefault="00955F6E" w:rsidP="00955F6E">
      <w:pPr>
        <w:spacing w:line="480" w:lineRule="auto"/>
        <w:ind w:left="0" w:firstLine="720"/>
        <w:rPr>
          <w:rFonts w:cs="Times New Roman"/>
          <w:szCs w:val="24"/>
        </w:rPr>
      </w:pPr>
      <w:r>
        <w:rPr>
          <w:rFonts w:cs="Times New Roman"/>
          <w:szCs w:val="24"/>
        </w:rPr>
        <w:t>To test these hypotheses,</w:t>
      </w:r>
      <w:r w:rsidRPr="00B577FB">
        <w:rPr>
          <w:rFonts w:cs="Times New Roman"/>
          <w:szCs w:val="24"/>
        </w:rPr>
        <w:t xml:space="preserve"> </w:t>
      </w:r>
      <w:r w:rsidR="00B577FB" w:rsidRPr="00B577FB">
        <w:rPr>
          <w:rFonts w:cs="Times New Roman"/>
          <w:szCs w:val="24"/>
        </w:rPr>
        <w:t>I estimated 11</w:t>
      </w:r>
      <w:r w:rsidRPr="00B577FB">
        <w:rPr>
          <w:rFonts w:cs="Times New Roman"/>
          <w:szCs w:val="24"/>
        </w:rPr>
        <w:t xml:space="preserve"> separate </w:t>
      </w:r>
      <w:proofErr w:type="spellStart"/>
      <w:r w:rsidRPr="00B577FB">
        <w:rPr>
          <w:rFonts w:cs="Times New Roman"/>
          <w:szCs w:val="24"/>
        </w:rPr>
        <w:t>logit</w:t>
      </w:r>
      <w:proofErr w:type="spellEnd"/>
      <w:r w:rsidRPr="00B577FB">
        <w:rPr>
          <w:rFonts w:cs="Times New Roman"/>
          <w:szCs w:val="24"/>
        </w:rPr>
        <w:t xml:space="preserve"> models,</w:t>
      </w:r>
      <w:r>
        <w:rPr>
          <w:rFonts w:cs="Times New Roman"/>
          <w:szCs w:val="24"/>
        </w:rPr>
        <w:t xml:space="preserve"> with the ideological direction of the justice vote as my dependent variable.  Controlling for other known </w:t>
      </w:r>
      <w:r w:rsidR="001F1860">
        <w:rPr>
          <w:rFonts w:cs="Times New Roman"/>
          <w:szCs w:val="24"/>
        </w:rPr>
        <w:t>predictors of judicial decision-</w:t>
      </w:r>
      <w:r>
        <w:rPr>
          <w:rFonts w:cs="Times New Roman"/>
          <w:szCs w:val="24"/>
        </w:rPr>
        <w:t>making</w:t>
      </w:r>
      <w:r w:rsidR="00D555D5">
        <w:rPr>
          <w:rFonts w:cs="Times New Roman"/>
          <w:szCs w:val="24"/>
        </w:rPr>
        <w:t xml:space="preserve"> (i.e., judicial ideology; party resources; lower court decision direction)</w:t>
      </w:r>
      <w:r w:rsidR="00E47925">
        <w:rPr>
          <w:rFonts w:cs="Times New Roman"/>
          <w:szCs w:val="24"/>
        </w:rPr>
        <w:t>, these separate models examine</w:t>
      </w:r>
      <w:r>
        <w:rPr>
          <w:rFonts w:cs="Times New Roman"/>
          <w:szCs w:val="24"/>
        </w:rPr>
        <w:t xml:space="preserve"> amicus influence in </w:t>
      </w:r>
      <w:r w:rsidR="00EA3322">
        <w:rPr>
          <w:rFonts w:cs="Times New Roman"/>
          <w:szCs w:val="24"/>
        </w:rPr>
        <w:t>all cases, in salient cases</w:t>
      </w:r>
      <w:r>
        <w:rPr>
          <w:rFonts w:cs="Times New Roman"/>
          <w:szCs w:val="24"/>
        </w:rPr>
        <w:t xml:space="preserve">, </w:t>
      </w:r>
      <w:r w:rsidR="00EA3322">
        <w:rPr>
          <w:rFonts w:cs="Times New Roman"/>
          <w:szCs w:val="24"/>
        </w:rPr>
        <w:t>in criminal procedure cases</w:t>
      </w:r>
      <w:r>
        <w:rPr>
          <w:rFonts w:cs="Times New Roman"/>
          <w:szCs w:val="24"/>
        </w:rPr>
        <w:t>, in civil</w:t>
      </w:r>
      <w:r w:rsidR="00EA3322">
        <w:rPr>
          <w:rFonts w:cs="Times New Roman"/>
          <w:szCs w:val="24"/>
        </w:rPr>
        <w:t xml:space="preserve"> rights and liberties cases, in economics cases</w:t>
      </w:r>
      <w:r>
        <w:rPr>
          <w:rFonts w:cs="Times New Roman"/>
          <w:szCs w:val="24"/>
        </w:rPr>
        <w:t>, in judicial</w:t>
      </w:r>
      <w:r w:rsidR="00EA3322">
        <w:rPr>
          <w:rFonts w:cs="Times New Roman"/>
          <w:szCs w:val="24"/>
        </w:rPr>
        <w:t xml:space="preserve"> power and federalism cases, on</w:t>
      </w:r>
      <w:r>
        <w:rPr>
          <w:rFonts w:cs="Times New Roman"/>
          <w:szCs w:val="24"/>
        </w:rPr>
        <w:t xml:space="preserve"> liberal</w:t>
      </w:r>
      <w:r w:rsidR="00EA3322">
        <w:rPr>
          <w:rFonts w:cs="Times New Roman"/>
          <w:szCs w:val="24"/>
        </w:rPr>
        <w:t xml:space="preserve"> justices in all cases, on </w:t>
      </w:r>
      <w:r>
        <w:rPr>
          <w:rFonts w:cs="Times New Roman"/>
          <w:szCs w:val="24"/>
        </w:rPr>
        <w:t>conservative justices in all</w:t>
      </w:r>
      <w:r w:rsidR="00EA3322">
        <w:rPr>
          <w:rFonts w:cs="Times New Roman"/>
          <w:szCs w:val="24"/>
        </w:rPr>
        <w:t xml:space="preserve"> cases, on </w:t>
      </w:r>
      <w:r>
        <w:rPr>
          <w:rFonts w:cs="Times New Roman"/>
          <w:szCs w:val="24"/>
        </w:rPr>
        <w:t>liberal justice</w:t>
      </w:r>
      <w:r w:rsidR="00EA3322">
        <w:rPr>
          <w:rFonts w:cs="Times New Roman"/>
          <w:szCs w:val="24"/>
        </w:rPr>
        <w:t xml:space="preserve">s in salient cases, and on </w:t>
      </w:r>
      <w:r>
        <w:rPr>
          <w:rFonts w:cs="Times New Roman"/>
          <w:szCs w:val="24"/>
        </w:rPr>
        <w:t xml:space="preserve">conservative justices in salient cases.  </w:t>
      </w:r>
    </w:p>
    <w:p w:rsidR="000D1E37" w:rsidRDefault="00B577FB" w:rsidP="00955F6E">
      <w:pPr>
        <w:spacing w:line="480" w:lineRule="auto"/>
        <w:ind w:left="0" w:firstLine="0"/>
        <w:rPr>
          <w:szCs w:val="24"/>
        </w:rPr>
      </w:pPr>
      <w:r>
        <w:rPr>
          <w:rFonts w:cs="Times New Roman"/>
          <w:szCs w:val="24"/>
        </w:rPr>
        <w:lastRenderedPageBreak/>
        <w:tab/>
        <w:t>Chapter</w:t>
      </w:r>
      <w:r w:rsidR="00955F6E">
        <w:rPr>
          <w:rFonts w:cs="Times New Roman"/>
          <w:szCs w:val="24"/>
        </w:rPr>
        <w:t xml:space="preserve"> 4 discussed my findings regarding amicus participation during the 2007-2011 terms of the Roberts Court.</w:t>
      </w:r>
      <w:r w:rsidR="00523BCE">
        <w:rPr>
          <w:rFonts w:cs="Times New Roman"/>
          <w:szCs w:val="24"/>
        </w:rPr>
        <w:t xml:space="preserve">  A plethora of information regarding the participation levels of amici by issue area, by term, by case, and by amicus category was provided.   I highli</w:t>
      </w:r>
      <w:r w:rsidR="000D1E37">
        <w:rPr>
          <w:rFonts w:cs="Times New Roman"/>
          <w:szCs w:val="24"/>
        </w:rPr>
        <w:t>ght here some</w:t>
      </w:r>
      <w:r w:rsidR="00523BCE">
        <w:rPr>
          <w:rFonts w:cs="Times New Roman"/>
          <w:szCs w:val="24"/>
        </w:rPr>
        <w:t xml:space="preserve"> particularly noteworthy conclusions.  First, amicus participation is virtually ubiquitous at the Roberts Court</w:t>
      </w:r>
      <w:r w:rsidR="00205AAA">
        <w:rPr>
          <w:rFonts w:cs="Times New Roman"/>
          <w:szCs w:val="24"/>
        </w:rPr>
        <w:t xml:space="preserve">.  On average, over 96 percent of the cases at the Roberts Court have amicus participation, over 9 amicus briefs are filed per case, and over 61 amici on average participate in each case. In total, over 3,600 amicus briefs, and over 24,400 cosigners participated in just five terms of the Roberts Court.  </w:t>
      </w:r>
      <w:r w:rsidR="00523BCE">
        <w:rPr>
          <w:rFonts w:cs="Times New Roman"/>
          <w:szCs w:val="24"/>
        </w:rPr>
        <w:t>Second, while</w:t>
      </w:r>
      <w:r w:rsidR="000E406C">
        <w:rPr>
          <w:rFonts w:cs="Times New Roman"/>
          <w:szCs w:val="24"/>
        </w:rPr>
        <w:t xml:space="preserve"> more liberal amici</w:t>
      </w:r>
      <w:r w:rsidR="00523BCE">
        <w:rPr>
          <w:rFonts w:cs="Times New Roman"/>
          <w:szCs w:val="24"/>
        </w:rPr>
        <w:t xml:space="preserve"> participate at the Roberts Court than conservative amici, the overall levels are relatively balanced, thus confirming the existence of an amicus “arms race” at the Roberts Court.  Third, amici participate in significant numbers across all issue areas at the Roberts Court. </w:t>
      </w:r>
      <w:r w:rsidR="00205AAA">
        <w:rPr>
          <w:rFonts w:cs="Times New Roman"/>
          <w:szCs w:val="24"/>
        </w:rPr>
        <w:t xml:space="preserve"> </w:t>
      </w:r>
      <w:r w:rsidR="00523BCE">
        <w:rPr>
          <w:rFonts w:cs="Times New Roman"/>
          <w:szCs w:val="24"/>
        </w:rPr>
        <w:t>Fourth, amici frequently act in coalition wi</w:t>
      </w:r>
      <w:r w:rsidR="000E406C">
        <w:rPr>
          <w:rFonts w:cs="Times New Roman"/>
          <w:szCs w:val="24"/>
        </w:rPr>
        <w:t>th one another:  f</w:t>
      </w:r>
      <w:r w:rsidR="000E406C">
        <w:rPr>
          <w:szCs w:val="24"/>
        </w:rPr>
        <w:t xml:space="preserve">or every one amicus brief that is filed, </w:t>
      </w:r>
      <w:proofErr w:type="gramStart"/>
      <w:r w:rsidR="000E406C">
        <w:rPr>
          <w:szCs w:val="24"/>
        </w:rPr>
        <w:t>an average of 6.7 amici cosign</w:t>
      </w:r>
      <w:proofErr w:type="gramEnd"/>
      <w:r w:rsidR="000E406C">
        <w:rPr>
          <w:szCs w:val="24"/>
        </w:rPr>
        <w:t xml:space="preserve"> such briefs at the Roberts Court.  Fifth, individuals</w:t>
      </w:r>
      <w:r w:rsidR="00205AAA">
        <w:rPr>
          <w:szCs w:val="24"/>
        </w:rPr>
        <w:t xml:space="preserve"> are increasing as a percentage of total amici, and</w:t>
      </w:r>
      <w:r w:rsidR="000E406C">
        <w:rPr>
          <w:szCs w:val="24"/>
        </w:rPr>
        <w:t xml:space="preserve"> are the most frequent amicus </w:t>
      </w:r>
      <w:r w:rsidR="00E5461E">
        <w:rPr>
          <w:szCs w:val="24"/>
        </w:rPr>
        <w:t>category</w:t>
      </w:r>
      <w:r w:rsidR="000E406C">
        <w:rPr>
          <w:szCs w:val="24"/>
        </w:rPr>
        <w:t xml:space="preserve"> at the Roberts Court, accounting for 47 percent of total amici. However, these individuals typically collaborate together on briefs, for example “brief of economics scholars”, “brief of law scholars”, “brief of state legislators”, etc.   </w:t>
      </w:r>
    </w:p>
    <w:p w:rsidR="00955F6E" w:rsidRDefault="00B577FB" w:rsidP="00955F6E">
      <w:pPr>
        <w:spacing w:line="480" w:lineRule="auto"/>
        <w:ind w:left="0" w:firstLine="0"/>
        <w:rPr>
          <w:szCs w:val="24"/>
        </w:rPr>
      </w:pPr>
      <w:r>
        <w:rPr>
          <w:szCs w:val="24"/>
        </w:rPr>
        <w:tab/>
        <w:t>Chapter</w:t>
      </w:r>
      <w:r w:rsidR="000D1E37">
        <w:rPr>
          <w:szCs w:val="24"/>
        </w:rPr>
        <w:t xml:space="preserve"> 4 also listed the most frequent amicus participants of ten tracked prestigious interest groups at the Roberts Court, with the NACDL, Chamber of Commerce, and ACLU ranking as the top three.  Of these ten groups, t</w:t>
      </w:r>
      <w:r w:rsidR="000B7759">
        <w:rPr>
          <w:szCs w:val="24"/>
        </w:rPr>
        <w:t xml:space="preserve">he NACDL, ACLU, and AARP were the most frequent liberal amici; while the Chamber of Commerce, Washington Legal Foundation, and Pacific Legal Foundation were the most frequent conservative amici.   Lastly, Ch. 4 showed those tracked amici who had the highest winning percentage at the Roberts Court.   As expected, the Solicitor General was the most successful amicus, supporting the winning position in 72 </w:t>
      </w:r>
      <w:r w:rsidR="000B7759">
        <w:rPr>
          <w:szCs w:val="24"/>
        </w:rPr>
        <w:lastRenderedPageBreak/>
        <w:t xml:space="preserve">percent of its cases, followed, in order, by the Pacific Legal Foundation (71 percent), American Bar Association (69 percent), the States (62 percent), and Washington Legal Foundation (60 percent).  </w:t>
      </w:r>
      <w:r w:rsidR="00754015">
        <w:rPr>
          <w:szCs w:val="24"/>
        </w:rPr>
        <w:t xml:space="preserve"> While these winning percentages do not necessarily prove amicus impact, they do indicate suc</w:t>
      </w:r>
      <w:r>
        <w:rPr>
          <w:szCs w:val="24"/>
        </w:rPr>
        <w:t>h.   In sum, Chapter</w:t>
      </w:r>
      <w:r w:rsidR="00E1672F">
        <w:rPr>
          <w:szCs w:val="24"/>
        </w:rPr>
        <w:t xml:space="preserve"> 4 shows</w:t>
      </w:r>
      <w:r w:rsidR="00754015">
        <w:rPr>
          <w:szCs w:val="24"/>
        </w:rPr>
        <w:t xml:space="preserve"> that prestigious conservative amici tend to fare better than their liberal counterparts, but that liberal amici do not seem to think that lobbying the</w:t>
      </w:r>
      <w:r w:rsidR="006A782D">
        <w:rPr>
          <w:szCs w:val="24"/>
        </w:rPr>
        <w:t xml:space="preserve"> modestly conservative</w:t>
      </w:r>
      <w:r w:rsidR="00754015">
        <w:rPr>
          <w:szCs w:val="24"/>
        </w:rPr>
        <w:t xml:space="preserve"> Roberts Court is a lost cause, as they still participate at higher rates than conservative amici.</w:t>
      </w:r>
    </w:p>
    <w:p w:rsidR="007B67F0" w:rsidRDefault="00B577FB" w:rsidP="00037223">
      <w:pPr>
        <w:spacing w:line="480" w:lineRule="auto"/>
        <w:ind w:left="0" w:firstLine="720"/>
        <w:rPr>
          <w:szCs w:val="24"/>
        </w:rPr>
      </w:pPr>
      <w:r>
        <w:rPr>
          <w:szCs w:val="24"/>
        </w:rPr>
        <w:t>The main goal of Chapter</w:t>
      </w:r>
      <w:r w:rsidR="00E1672F">
        <w:rPr>
          <w:szCs w:val="24"/>
        </w:rPr>
        <w:t xml:space="preserve"> 5 was to assess the impact of amicus curiae at the Roberts Court.  </w:t>
      </w:r>
      <w:r w:rsidR="000477F5">
        <w:rPr>
          <w:szCs w:val="24"/>
        </w:rPr>
        <w:t xml:space="preserve"> Through the presentation and interpretation of various </w:t>
      </w:r>
      <w:proofErr w:type="spellStart"/>
      <w:r w:rsidR="000477F5">
        <w:rPr>
          <w:szCs w:val="24"/>
        </w:rPr>
        <w:t>logit</w:t>
      </w:r>
      <w:proofErr w:type="spellEnd"/>
      <w:r w:rsidR="000477F5">
        <w:rPr>
          <w:szCs w:val="24"/>
        </w:rPr>
        <w:t xml:space="preserve"> models</w:t>
      </w:r>
      <w:r>
        <w:rPr>
          <w:szCs w:val="24"/>
        </w:rPr>
        <w:t>, marginal effects graphs, predicted probabilities tables,</w:t>
      </w:r>
      <w:r w:rsidR="000477F5">
        <w:rPr>
          <w:szCs w:val="24"/>
        </w:rPr>
        <w:t xml:space="preserve"> and Pearson’s correlation tables, I attempted to discern if, when, how, and to what degree amici</w:t>
      </w:r>
      <w:r w:rsidR="00CB71D2">
        <w:rPr>
          <w:szCs w:val="24"/>
        </w:rPr>
        <w:t xml:space="preserve"> influence the ideological direction of justice votes.</w:t>
      </w:r>
      <w:r w:rsidR="000477F5">
        <w:rPr>
          <w:szCs w:val="24"/>
        </w:rPr>
        <w:t xml:space="preserve"> </w:t>
      </w:r>
      <w:r>
        <w:rPr>
          <w:szCs w:val="24"/>
        </w:rPr>
        <w:t xml:space="preserve"> The totality of Chapter</w:t>
      </w:r>
      <w:r w:rsidR="00733188">
        <w:rPr>
          <w:szCs w:val="24"/>
        </w:rPr>
        <w:t xml:space="preserve"> 5 demonstrates that amicus curiae</w:t>
      </w:r>
      <w:r w:rsidR="0018031D">
        <w:rPr>
          <w:szCs w:val="24"/>
        </w:rPr>
        <w:t xml:space="preserve"> </w:t>
      </w:r>
      <w:r w:rsidR="00733188">
        <w:rPr>
          <w:szCs w:val="24"/>
        </w:rPr>
        <w:t xml:space="preserve">do </w:t>
      </w:r>
      <w:r w:rsidR="0018031D">
        <w:rPr>
          <w:szCs w:val="24"/>
        </w:rPr>
        <w:t>matter</w:t>
      </w:r>
      <w:r w:rsidR="00733188">
        <w:rPr>
          <w:szCs w:val="24"/>
        </w:rPr>
        <w:t>, and that when, how, and to what degree they matter depends on</w:t>
      </w:r>
      <w:r w:rsidRPr="00B577FB">
        <w:rPr>
          <w:szCs w:val="24"/>
        </w:rPr>
        <w:t xml:space="preserve"> </w:t>
      </w:r>
      <w:r>
        <w:rPr>
          <w:szCs w:val="24"/>
        </w:rPr>
        <w:t>the level of amicus brief disparity in the case,</w:t>
      </w:r>
      <w:r w:rsidR="00733188">
        <w:rPr>
          <w:szCs w:val="24"/>
        </w:rPr>
        <w:t xml:space="preserve"> the</w:t>
      </w:r>
      <w:r w:rsidR="00037223">
        <w:rPr>
          <w:szCs w:val="24"/>
        </w:rPr>
        <w:t xml:space="preserve"> ideology of the justice,</w:t>
      </w:r>
      <w:r>
        <w:rPr>
          <w:szCs w:val="24"/>
        </w:rPr>
        <w:t xml:space="preserve"> </w:t>
      </w:r>
      <w:r w:rsidR="00037223">
        <w:rPr>
          <w:szCs w:val="24"/>
        </w:rPr>
        <w:t>the</w:t>
      </w:r>
      <w:r w:rsidR="00733188">
        <w:rPr>
          <w:szCs w:val="24"/>
        </w:rPr>
        <w:t xml:space="preserve"> issue area of the case, and the prestige of the amicus participants involved.  </w:t>
      </w:r>
      <w:r>
        <w:rPr>
          <w:szCs w:val="24"/>
        </w:rPr>
        <w:t xml:space="preserve"> Not surprisingly, the greater the numerical amicus brief advantage in a case, the greater the impact of those briefs.  </w:t>
      </w:r>
      <w:r w:rsidR="00037223">
        <w:rPr>
          <w:szCs w:val="24"/>
        </w:rPr>
        <w:t xml:space="preserve">Moderate justices, as a rule, are more influenced by amicus briefs than more ideologically extreme justices. Justices Kennedy, the “swing” justice, and Kagan, the “freshman” justice, appear to be the two justices on the Roberts Court most influenced by amicus briefs.  </w:t>
      </w:r>
      <w:r w:rsidR="00733188">
        <w:rPr>
          <w:szCs w:val="24"/>
        </w:rPr>
        <w:t>Salient cases</w:t>
      </w:r>
      <w:r w:rsidR="00037223">
        <w:rPr>
          <w:szCs w:val="24"/>
        </w:rPr>
        <w:t xml:space="preserve">, as well as those </w:t>
      </w:r>
      <w:r w:rsidR="00733188">
        <w:rPr>
          <w:szCs w:val="24"/>
        </w:rPr>
        <w:t>involving criminal procedure</w:t>
      </w:r>
      <w:r w:rsidR="00037223">
        <w:rPr>
          <w:szCs w:val="24"/>
        </w:rPr>
        <w:t>,</w:t>
      </w:r>
      <w:r w:rsidR="00733188">
        <w:rPr>
          <w:szCs w:val="24"/>
        </w:rPr>
        <w:t xml:space="preserve"> are most susceptible to the influence of an ideological advantage of amicus briefs.  Civil rights and liberties cases are the only category of cases amenable to amicus cosigner influence.  Justice votes in </w:t>
      </w:r>
      <w:r w:rsidR="00037223">
        <w:rPr>
          <w:szCs w:val="24"/>
        </w:rPr>
        <w:t xml:space="preserve">salient cases, </w:t>
      </w:r>
      <w:r w:rsidR="00733188">
        <w:rPr>
          <w:szCs w:val="24"/>
        </w:rPr>
        <w:t>civil rights and liberties</w:t>
      </w:r>
      <w:r w:rsidR="00037223">
        <w:rPr>
          <w:szCs w:val="24"/>
        </w:rPr>
        <w:t xml:space="preserve"> cases</w:t>
      </w:r>
      <w:r w:rsidR="00733188">
        <w:rPr>
          <w:szCs w:val="24"/>
        </w:rPr>
        <w:t>, economics</w:t>
      </w:r>
      <w:r w:rsidR="00037223">
        <w:rPr>
          <w:szCs w:val="24"/>
        </w:rPr>
        <w:t xml:space="preserve"> cases</w:t>
      </w:r>
      <w:r w:rsidR="00733188">
        <w:rPr>
          <w:szCs w:val="24"/>
        </w:rPr>
        <w:t xml:space="preserve">, </w:t>
      </w:r>
      <w:r w:rsidR="00037223">
        <w:rPr>
          <w:szCs w:val="24"/>
        </w:rPr>
        <w:t>and judicial power and federalism cases</w:t>
      </w:r>
      <w:r w:rsidR="00733188">
        <w:rPr>
          <w:szCs w:val="24"/>
        </w:rPr>
        <w:t xml:space="preserve"> </w:t>
      </w:r>
      <w:r w:rsidR="00037223">
        <w:rPr>
          <w:szCs w:val="24"/>
        </w:rPr>
        <w:t xml:space="preserve">are </w:t>
      </w:r>
      <w:r w:rsidR="00733188">
        <w:rPr>
          <w:szCs w:val="24"/>
        </w:rPr>
        <w:lastRenderedPageBreak/>
        <w:t>influenced by</w:t>
      </w:r>
      <w:r w:rsidR="00037223">
        <w:rPr>
          <w:szCs w:val="24"/>
        </w:rPr>
        <w:t xml:space="preserve"> an ideological advantage of prestigious amici.</w:t>
      </w:r>
      <w:r w:rsidR="00733188">
        <w:rPr>
          <w:szCs w:val="24"/>
        </w:rPr>
        <w:t xml:space="preserve"> </w:t>
      </w:r>
      <w:r w:rsidR="00037223">
        <w:rPr>
          <w:szCs w:val="24"/>
        </w:rPr>
        <w:t xml:space="preserve"> And the SG as amicus has a consistent and powerful impact on justice votes, irrespective of judicial ideology.</w:t>
      </w:r>
    </w:p>
    <w:p w:rsidR="00037223" w:rsidRPr="007B67F0" w:rsidRDefault="007B67F0" w:rsidP="007B67F0">
      <w:pPr>
        <w:spacing w:line="480" w:lineRule="auto"/>
        <w:ind w:left="0" w:firstLine="720"/>
        <w:rPr>
          <w:rFonts w:cs="Times New Roman"/>
          <w:color w:val="FF0000"/>
          <w:szCs w:val="24"/>
        </w:rPr>
      </w:pPr>
      <w:r>
        <w:rPr>
          <w:szCs w:val="24"/>
        </w:rPr>
        <w:t>Four basic but significant implications for legal academics and practitioners were drawn from the results of Chapter 5</w:t>
      </w:r>
      <w:r w:rsidRPr="007B67F0">
        <w:rPr>
          <w:szCs w:val="24"/>
        </w:rPr>
        <w:t xml:space="preserve">.   First, </w:t>
      </w:r>
      <w:r w:rsidRPr="007B67F0">
        <w:rPr>
          <w:rFonts w:cs="Times New Roman"/>
          <w:szCs w:val="24"/>
        </w:rPr>
        <w:t>a party or amicus seeking to have maximum impact on the justices should attempt to coordinate with other amici, urging them to file as many separate briefs as possible in support of their preferred party in a case.  Second, a party or amicus seeking maximum impact on the justices should attempt to persuade as many prestigious amici as possible to file briefs supporting their preferred position, and the marshaling of these prestigious amici should be given priority over other amici.  Third, a party or amicus seeking maximum impact on the justices should attempt to persuade the SG and as many state governments as possible to file amicus briefs in support of their preferred position, as the SG and state governments have higher success rates at the USSC than most amici.  Fourth and finally, an amicus should attempt to tailor the arguments and information contained in its brief to capture the attention of and appeal to the moderate justices, as t</w:t>
      </w:r>
      <w:r>
        <w:rPr>
          <w:rFonts w:cs="Times New Roman"/>
          <w:szCs w:val="24"/>
        </w:rPr>
        <w:t xml:space="preserve">hose justices are the ones </w:t>
      </w:r>
      <w:r w:rsidRPr="007B67F0">
        <w:rPr>
          <w:rFonts w:cs="Times New Roman"/>
          <w:szCs w:val="24"/>
        </w:rPr>
        <w:t>most likely to be swayed.</w:t>
      </w:r>
    </w:p>
    <w:p w:rsidR="00916EE2" w:rsidRDefault="00DC7960" w:rsidP="00037223">
      <w:pPr>
        <w:spacing w:line="480" w:lineRule="auto"/>
        <w:ind w:left="0" w:firstLine="720"/>
        <w:rPr>
          <w:szCs w:val="24"/>
        </w:rPr>
      </w:pPr>
      <w:r>
        <w:rPr>
          <w:szCs w:val="24"/>
        </w:rPr>
        <w:t xml:space="preserve">My findings of amicus brief advantage influence support my information/legal persuasion hypotheses.  My findings regarding the influence of amicus brief advantage on moderate justices support my median justice information/legal persuasion hypotheses.  My findings of prestigious amici advantage support my prestigious amicus hypotheses.  On the other hand, except for civil rights and liberties cases, none of my affected </w:t>
      </w:r>
      <w:proofErr w:type="gramStart"/>
      <w:r>
        <w:rPr>
          <w:szCs w:val="24"/>
        </w:rPr>
        <w:t>groups</w:t>
      </w:r>
      <w:proofErr w:type="gramEnd"/>
      <w:r>
        <w:rPr>
          <w:szCs w:val="24"/>
        </w:rPr>
        <w:t xml:space="preserve"> hypotheses were supported.  Also, my political salience attitudinal hypotheses were only partially supported.  The influence of amicus briefs in salient cases was not limited to those justices ideologically congruent with the briefs, as </w:t>
      </w:r>
      <w:r>
        <w:rPr>
          <w:szCs w:val="24"/>
        </w:rPr>
        <w:lastRenderedPageBreak/>
        <w:t xml:space="preserve">I expected, but bridged the ideological divide.  Thus, the information/legal persuasion hypotheses are also applicable to salient cases. </w:t>
      </w:r>
    </w:p>
    <w:p w:rsidR="00037223" w:rsidRDefault="00037223" w:rsidP="000B50E6">
      <w:pPr>
        <w:spacing w:line="480" w:lineRule="auto"/>
        <w:ind w:left="0" w:firstLine="720"/>
        <w:rPr>
          <w:szCs w:val="24"/>
        </w:rPr>
      </w:pPr>
      <w:r>
        <w:rPr>
          <w:szCs w:val="24"/>
        </w:rPr>
        <w:t>While not discounting the importance of the attitudinal model of judicial decision-making, these findings regarding amicus influence at the Roberts Court</w:t>
      </w:r>
      <w:r w:rsidR="000B50E6">
        <w:rPr>
          <w:szCs w:val="24"/>
        </w:rPr>
        <w:t xml:space="preserve"> lend credence to Collins’ (2008)</w:t>
      </w:r>
      <w:r>
        <w:rPr>
          <w:szCs w:val="24"/>
        </w:rPr>
        <w:t xml:space="preserve"> “legal persuasion”</w:t>
      </w:r>
      <w:r w:rsidR="000B4121">
        <w:rPr>
          <w:szCs w:val="24"/>
        </w:rPr>
        <w:t xml:space="preserve"> model</w:t>
      </w:r>
      <w:r>
        <w:rPr>
          <w:szCs w:val="24"/>
        </w:rPr>
        <w:t xml:space="preserve">. </w:t>
      </w:r>
      <w:r>
        <w:t xml:space="preserve"> Amici provide the justices with myriad information</w:t>
      </w:r>
      <w:r w:rsidR="000B50E6">
        <w:t xml:space="preserve"> and arguments</w:t>
      </w:r>
      <w:r>
        <w:t xml:space="preserve"> regarding the correct application of the law in a case, and highlight diverse perspect</w:t>
      </w:r>
      <w:r w:rsidR="000B4121">
        <w:t>ives on the broader policy implications at stake</w:t>
      </w:r>
      <w:r>
        <w:t>.</w:t>
      </w:r>
      <w:r w:rsidR="000B50E6">
        <w:t xml:space="preserve">  </w:t>
      </w:r>
      <w:r w:rsidR="000B50E6" w:rsidRPr="000B50E6">
        <w:rPr>
          <w:szCs w:val="24"/>
        </w:rPr>
        <w:t>Due to the subjective and indeterminate nature of the law, the justices</w:t>
      </w:r>
      <w:r w:rsidR="000B50E6">
        <w:rPr>
          <w:color w:val="0070C0"/>
          <w:szCs w:val="24"/>
        </w:rPr>
        <w:t xml:space="preserve"> </w:t>
      </w:r>
      <w:r w:rsidR="000B50E6">
        <w:t>exp</w:t>
      </w:r>
      <w:r w:rsidR="000B4121">
        <w:t>lore alternative avenues</w:t>
      </w:r>
      <w:r w:rsidR="000B50E6">
        <w:t xml:space="preserve"> to reach what they believe to be the correct decision in a case.  It is in this context that the justices are most ripe for amicus influence.  Justices use amicus briefs to aid their efforts to reach the best and most accurate legal conclusions.  The justices of the Roberts Court, in various contexts and in diverse ways, are influenced by the information they receive from amici, including information about both the legal and broader policy consequences of their decisions.</w:t>
      </w:r>
      <w:r>
        <w:rPr>
          <w:szCs w:val="24"/>
        </w:rPr>
        <w:t xml:space="preserve">  </w:t>
      </w:r>
    </w:p>
    <w:p w:rsidR="00293313" w:rsidRDefault="00293313" w:rsidP="00B577FB">
      <w:pPr>
        <w:spacing w:line="480" w:lineRule="auto"/>
        <w:ind w:left="0" w:firstLine="0"/>
        <w:rPr>
          <w:szCs w:val="24"/>
        </w:rPr>
      </w:pPr>
    </w:p>
    <w:p w:rsidR="00E77CF3" w:rsidRPr="00E77CF3" w:rsidRDefault="00E77CF3" w:rsidP="00E77CF3">
      <w:pPr>
        <w:pStyle w:val="ListParagraph"/>
        <w:numPr>
          <w:ilvl w:val="0"/>
          <w:numId w:val="40"/>
        </w:numPr>
        <w:spacing w:line="480" w:lineRule="auto"/>
        <w:rPr>
          <w:b/>
          <w:szCs w:val="24"/>
        </w:rPr>
      </w:pPr>
      <w:r w:rsidRPr="00E77CF3">
        <w:rPr>
          <w:b/>
          <w:szCs w:val="24"/>
        </w:rPr>
        <w:t>Areas of Future Research</w:t>
      </w:r>
    </w:p>
    <w:p w:rsidR="00C81187" w:rsidRDefault="00813203" w:rsidP="00754DBF">
      <w:pPr>
        <w:spacing w:line="480" w:lineRule="auto"/>
        <w:ind w:left="0" w:firstLine="720"/>
        <w:rPr>
          <w:szCs w:val="24"/>
        </w:rPr>
      </w:pPr>
      <w:r>
        <w:rPr>
          <w:szCs w:val="24"/>
        </w:rPr>
        <w:t>Fut</w:t>
      </w:r>
      <w:r w:rsidR="004352DA">
        <w:rPr>
          <w:szCs w:val="24"/>
        </w:rPr>
        <w:t>ure research should focus on when and how</w:t>
      </w:r>
      <w:r>
        <w:rPr>
          <w:szCs w:val="24"/>
        </w:rPr>
        <w:t xml:space="preserve"> amicus briefs actually shape the contents of the USSC’s opinions.  Due to the </w:t>
      </w:r>
      <w:r w:rsidR="00754DBF">
        <w:rPr>
          <w:szCs w:val="24"/>
        </w:rPr>
        <w:t xml:space="preserve">quantitative </w:t>
      </w:r>
      <w:r>
        <w:rPr>
          <w:szCs w:val="24"/>
        </w:rPr>
        <w:t xml:space="preserve">nature of this study, </w:t>
      </w:r>
      <w:r w:rsidR="004352DA">
        <w:rPr>
          <w:szCs w:val="24"/>
        </w:rPr>
        <w:t xml:space="preserve">I was unable </w:t>
      </w:r>
      <w:r>
        <w:rPr>
          <w:szCs w:val="24"/>
        </w:rPr>
        <w:t>to evaluate the content of amicus briefs to determine when and how the briefs themselves impact the justice’s opinions and legal reasoning</w:t>
      </w:r>
      <w:r w:rsidR="004352DA">
        <w:rPr>
          <w:szCs w:val="24"/>
        </w:rPr>
        <w:t xml:space="preserve"> (apart from the</w:t>
      </w:r>
      <w:r w:rsidR="00C9637A">
        <w:rPr>
          <w:szCs w:val="24"/>
        </w:rPr>
        <w:t xml:space="preserve"> brief</w:t>
      </w:r>
      <w:r w:rsidR="004352DA">
        <w:rPr>
          <w:szCs w:val="24"/>
        </w:rPr>
        <w:t xml:space="preserve"> analysis provided in Ch.1 regarding the impact of amicus briefs in the PPACA case)</w:t>
      </w:r>
      <w:r w:rsidR="00C9637A">
        <w:rPr>
          <w:szCs w:val="24"/>
        </w:rPr>
        <w:t xml:space="preserve">.  For example, what kinds of arguments and information included in amicus briefs are most influential in shaping judicial opinions?  </w:t>
      </w:r>
      <w:r w:rsidR="00C81187">
        <w:rPr>
          <w:szCs w:val="24"/>
        </w:rPr>
        <w:t xml:space="preserve">In addition, based upon my findings regarding the susceptibility of moderate justices to amicus influence, future </w:t>
      </w:r>
      <w:r w:rsidR="00C81187">
        <w:rPr>
          <w:szCs w:val="24"/>
        </w:rPr>
        <w:lastRenderedPageBreak/>
        <w:t xml:space="preserve">research should explore whether or not amici tailor their arguments specifically to persuade the moderate or median justices on the USSC, and if so, how successful these efforts have been.  </w:t>
      </w:r>
    </w:p>
    <w:p w:rsidR="00786660" w:rsidRDefault="00754DBF" w:rsidP="00754DBF">
      <w:pPr>
        <w:spacing w:line="480" w:lineRule="auto"/>
        <w:ind w:left="0" w:firstLine="720"/>
        <w:rPr>
          <w:szCs w:val="24"/>
        </w:rPr>
      </w:pPr>
      <w:r>
        <w:rPr>
          <w:szCs w:val="24"/>
        </w:rPr>
        <w:t>Future research should also expand the focus beyond the governments and ten prestigious amicus groups that I tracked in this study to determine the winning percentage and influence of o</w:t>
      </w:r>
      <w:r w:rsidR="00C9637A">
        <w:rPr>
          <w:szCs w:val="24"/>
        </w:rPr>
        <w:t>ther</w:t>
      </w:r>
      <w:r>
        <w:rPr>
          <w:szCs w:val="24"/>
        </w:rPr>
        <w:t xml:space="preserve"> amicus groups at the USSC</w:t>
      </w:r>
      <w:r w:rsidR="00C81187">
        <w:rPr>
          <w:szCs w:val="24"/>
        </w:rPr>
        <w:t>, in particular those amici who</w:t>
      </w:r>
      <w:r w:rsidR="001D3869">
        <w:rPr>
          <w:szCs w:val="24"/>
        </w:rPr>
        <w:t>m</w:t>
      </w:r>
      <w:r w:rsidR="00C81187">
        <w:rPr>
          <w:szCs w:val="24"/>
        </w:rPr>
        <w:t xml:space="preserve"> the USSC appoints or invites to participate</w:t>
      </w:r>
      <w:r>
        <w:rPr>
          <w:szCs w:val="24"/>
        </w:rPr>
        <w:t xml:space="preserve">.  Additionally, future research should examine more clearly the context in which prestigious amici are most and least likely to influence the USSC.   For example, are prestigious amici more or less likely to influence justice votes when the overall amicus participation in the case is ideologically </w:t>
      </w:r>
      <w:r w:rsidR="00C9637A">
        <w:rPr>
          <w:szCs w:val="24"/>
        </w:rPr>
        <w:t>balanced or when it is lopsided?</w:t>
      </w:r>
      <w:r>
        <w:rPr>
          <w:szCs w:val="24"/>
        </w:rPr>
        <w:t xml:space="preserve">  </w:t>
      </w:r>
      <w:r w:rsidR="00C9637A">
        <w:rPr>
          <w:szCs w:val="24"/>
        </w:rPr>
        <w:t xml:space="preserve"> </w:t>
      </w:r>
      <w:r>
        <w:rPr>
          <w:szCs w:val="24"/>
        </w:rPr>
        <w:t xml:space="preserve">Further, </w:t>
      </w:r>
      <w:r w:rsidR="00C9637A">
        <w:t>studies should address whether amicus briefs are more influential when they</w:t>
      </w:r>
      <w:r w:rsidR="00C81187">
        <w:t xml:space="preserve"> are collaborative in nature</w:t>
      </w:r>
      <w:r w:rsidR="00C9637A">
        <w:t xml:space="preserve"> (have multiple cosigners), or rather when they stand alone (are only filed by one amicus group).  Lastly, additional research should be </w:t>
      </w:r>
      <w:r w:rsidR="00C9637A">
        <w:rPr>
          <w:szCs w:val="24"/>
        </w:rPr>
        <w:t xml:space="preserve">devoted to exploring the participation and impact of </w:t>
      </w:r>
      <w:r>
        <w:rPr>
          <w:szCs w:val="24"/>
        </w:rPr>
        <w:t>amici in state supreme courts</w:t>
      </w:r>
      <w:r w:rsidR="00C9637A">
        <w:rPr>
          <w:szCs w:val="24"/>
        </w:rPr>
        <w:t xml:space="preserve">, as this is an area that is underexplored and seemingly underappreciated. </w:t>
      </w:r>
    </w:p>
    <w:p w:rsidR="008D6C6A" w:rsidRPr="00813203" w:rsidRDefault="00786660" w:rsidP="00754DBF">
      <w:pPr>
        <w:spacing w:line="480" w:lineRule="auto"/>
        <w:ind w:left="0" w:firstLine="720"/>
        <w:rPr>
          <w:color w:val="0070C0"/>
          <w:szCs w:val="24"/>
        </w:rPr>
      </w:pPr>
      <w:r>
        <w:rPr>
          <w:szCs w:val="24"/>
        </w:rPr>
        <w:t>In conclusion</w:t>
      </w:r>
      <w:r w:rsidR="008A4758">
        <w:t xml:space="preserve">, the Roberts Court </w:t>
      </w:r>
      <w:proofErr w:type="gramStart"/>
      <w:r w:rsidR="008A4758">
        <w:t>is</w:t>
      </w:r>
      <w:proofErr w:type="gramEnd"/>
      <w:r w:rsidR="008A4758">
        <w:t xml:space="preserve"> akin to a </w:t>
      </w:r>
      <w:r w:rsidR="00FD32C7">
        <w:t xml:space="preserve">“friendly” </w:t>
      </w:r>
      <w:r w:rsidR="0009290B">
        <w:t>firing range, where amici</w:t>
      </w:r>
      <w:r w:rsidR="008A4758">
        <w:t xml:space="preserve"> curiae target the justices in their pursuit of hitting their policy goals and impacting the development of the law.  The black robes worn by the justices </w:t>
      </w:r>
      <w:r w:rsidR="00B24332">
        <w:t>of the Roberts Court are like</w:t>
      </w:r>
      <w:r w:rsidR="008A4758">
        <w:t xml:space="preserve"> “bullet-proof vests</w:t>
      </w:r>
      <w:r w:rsidR="00B24332">
        <w:t xml:space="preserve">”, </w:t>
      </w:r>
      <w:r w:rsidR="008A4758">
        <w:t>symbolizing the justices’ impartiality, fidelity to the law, and imperviousness to social pressures</w:t>
      </w:r>
      <w:r w:rsidR="00FD32C7">
        <w:t>. Amici</w:t>
      </w:r>
      <w:r w:rsidR="008A4758">
        <w:t xml:space="preserve"> curiae attempt to penetrate</w:t>
      </w:r>
      <w:r w:rsidR="00FD32C7">
        <w:t xml:space="preserve"> </w:t>
      </w:r>
      <w:r w:rsidR="008A4758">
        <w:t>these “vests”</w:t>
      </w:r>
      <w:r w:rsidR="00B24332">
        <w:t>,</w:t>
      </w:r>
      <w:r w:rsidR="008A4758">
        <w:t xml:space="preserve"> </w:t>
      </w:r>
      <w:r w:rsidR="00FD32C7">
        <w:t xml:space="preserve">finding the areas of susceptibility, </w:t>
      </w:r>
      <w:r w:rsidR="008A4758">
        <w:t>by</w:t>
      </w:r>
      <w:r w:rsidR="00FD32C7">
        <w:t xml:space="preserve"> strategically</w:t>
      </w:r>
      <w:r w:rsidR="008A4758">
        <w:t xml:space="preserve"> firing “bullets” (amicus briefs) </w:t>
      </w:r>
      <w:r w:rsidR="00FD32C7">
        <w:t xml:space="preserve">designed for maximum impact, designed to convince the justice that the amici’s preference is the right course of action, the action most consistent with the letter and the spirit of the law.   </w:t>
      </w:r>
    </w:p>
    <w:p w:rsidR="00ED4D94" w:rsidRDefault="00ED4D94" w:rsidP="007B67F0">
      <w:pPr>
        <w:spacing w:line="480" w:lineRule="auto"/>
        <w:ind w:left="0" w:firstLine="0"/>
        <w:rPr>
          <w:rFonts w:cs="Times New Roman"/>
          <w:b/>
          <w:szCs w:val="24"/>
        </w:rPr>
      </w:pPr>
    </w:p>
    <w:p w:rsidR="00ED4D94" w:rsidRDefault="00ED4D94" w:rsidP="000E3C4B">
      <w:pPr>
        <w:spacing w:line="480" w:lineRule="auto"/>
        <w:jc w:val="center"/>
        <w:rPr>
          <w:rFonts w:cs="Times New Roman"/>
          <w:b/>
          <w:szCs w:val="24"/>
        </w:rPr>
      </w:pPr>
    </w:p>
    <w:p w:rsidR="003B0920" w:rsidRPr="002C44B3" w:rsidRDefault="002C44B3" w:rsidP="000E3C4B">
      <w:pPr>
        <w:spacing w:line="480" w:lineRule="auto"/>
        <w:jc w:val="center"/>
        <w:rPr>
          <w:rFonts w:cs="Times New Roman"/>
          <w:b/>
          <w:sz w:val="32"/>
          <w:szCs w:val="32"/>
        </w:rPr>
      </w:pPr>
      <w:r>
        <w:rPr>
          <w:rFonts w:cs="Times New Roman"/>
          <w:b/>
          <w:sz w:val="32"/>
          <w:szCs w:val="32"/>
        </w:rPr>
        <w:lastRenderedPageBreak/>
        <w:t>List of References</w:t>
      </w:r>
    </w:p>
    <w:p w:rsidR="003B0920" w:rsidRDefault="003B0920" w:rsidP="000E3C4B">
      <w:pPr>
        <w:spacing w:line="480" w:lineRule="auto"/>
        <w:jc w:val="center"/>
        <w:rPr>
          <w:rFonts w:cs="Times New Roman"/>
          <w:b/>
          <w:szCs w:val="24"/>
        </w:rPr>
      </w:pPr>
    </w:p>
    <w:p w:rsidR="003B0920" w:rsidRDefault="003B0920" w:rsidP="000E3C4B">
      <w:pPr>
        <w:spacing w:line="480" w:lineRule="auto"/>
        <w:jc w:val="center"/>
        <w:rPr>
          <w:rFonts w:cs="Times New Roman"/>
          <w:b/>
          <w:szCs w:val="24"/>
        </w:rPr>
      </w:pPr>
    </w:p>
    <w:p w:rsidR="003B0920" w:rsidRDefault="003B0920" w:rsidP="000E3C4B">
      <w:pPr>
        <w:spacing w:line="480" w:lineRule="auto"/>
        <w:jc w:val="center"/>
        <w:rPr>
          <w:rFonts w:cs="Times New Roman"/>
          <w:b/>
          <w:szCs w:val="24"/>
        </w:rPr>
      </w:pPr>
    </w:p>
    <w:p w:rsidR="003B0920" w:rsidRDefault="003B0920" w:rsidP="000E3C4B">
      <w:pPr>
        <w:spacing w:line="480" w:lineRule="auto"/>
        <w:jc w:val="center"/>
        <w:rPr>
          <w:rFonts w:cs="Times New Roman"/>
          <w:b/>
          <w:szCs w:val="24"/>
        </w:rPr>
      </w:pPr>
    </w:p>
    <w:p w:rsidR="003B0920" w:rsidRDefault="003B0920" w:rsidP="000E3C4B">
      <w:pPr>
        <w:spacing w:line="480" w:lineRule="auto"/>
        <w:jc w:val="center"/>
        <w:rPr>
          <w:rFonts w:cs="Times New Roman"/>
          <w:b/>
          <w:szCs w:val="24"/>
        </w:rPr>
      </w:pPr>
    </w:p>
    <w:p w:rsidR="003B0920" w:rsidRDefault="003B0920" w:rsidP="000E3C4B">
      <w:pPr>
        <w:spacing w:line="480" w:lineRule="auto"/>
        <w:jc w:val="center"/>
        <w:rPr>
          <w:rFonts w:cs="Times New Roman"/>
          <w:b/>
          <w:szCs w:val="24"/>
        </w:rPr>
      </w:pPr>
    </w:p>
    <w:p w:rsidR="003B0920" w:rsidRDefault="003B0920" w:rsidP="000E3C4B">
      <w:pPr>
        <w:spacing w:line="480" w:lineRule="auto"/>
        <w:jc w:val="center"/>
        <w:rPr>
          <w:rFonts w:cs="Times New Roman"/>
          <w:b/>
          <w:szCs w:val="24"/>
        </w:rPr>
      </w:pPr>
    </w:p>
    <w:p w:rsidR="003B0920" w:rsidRDefault="003B0920" w:rsidP="000E3C4B">
      <w:pPr>
        <w:spacing w:line="480" w:lineRule="auto"/>
        <w:jc w:val="center"/>
        <w:rPr>
          <w:rFonts w:cs="Times New Roman"/>
          <w:b/>
          <w:szCs w:val="24"/>
        </w:rPr>
      </w:pPr>
    </w:p>
    <w:p w:rsidR="003B0920" w:rsidRDefault="003B0920" w:rsidP="000E3C4B">
      <w:pPr>
        <w:spacing w:line="480" w:lineRule="auto"/>
        <w:jc w:val="center"/>
        <w:rPr>
          <w:rFonts w:cs="Times New Roman"/>
          <w:b/>
          <w:szCs w:val="24"/>
        </w:rPr>
      </w:pPr>
    </w:p>
    <w:p w:rsidR="003B0920" w:rsidRDefault="003B0920" w:rsidP="000E3C4B">
      <w:pPr>
        <w:spacing w:line="480" w:lineRule="auto"/>
        <w:jc w:val="center"/>
        <w:rPr>
          <w:rFonts w:cs="Times New Roman"/>
          <w:b/>
          <w:szCs w:val="24"/>
        </w:rPr>
      </w:pPr>
    </w:p>
    <w:p w:rsidR="003B0920" w:rsidRDefault="003B0920" w:rsidP="000E3C4B">
      <w:pPr>
        <w:spacing w:line="480" w:lineRule="auto"/>
        <w:jc w:val="center"/>
        <w:rPr>
          <w:rFonts w:cs="Times New Roman"/>
          <w:b/>
          <w:szCs w:val="24"/>
        </w:rPr>
      </w:pPr>
    </w:p>
    <w:p w:rsidR="003B0920" w:rsidRDefault="003B0920" w:rsidP="000E3C4B">
      <w:pPr>
        <w:spacing w:line="480" w:lineRule="auto"/>
        <w:jc w:val="center"/>
        <w:rPr>
          <w:rFonts w:cs="Times New Roman"/>
          <w:b/>
          <w:szCs w:val="24"/>
        </w:rPr>
      </w:pPr>
    </w:p>
    <w:p w:rsidR="003B0920" w:rsidRDefault="003B0920" w:rsidP="000E3C4B">
      <w:pPr>
        <w:spacing w:line="480" w:lineRule="auto"/>
        <w:jc w:val="center"/>
        <w:rPr>
          <w:rFonts w:cs="Times New Roman"/>
          <w:b/>
          <w:szCs w:val="24"/>
        </w:rPr>
      </w:pPr>
    </w:p>
    <w:p w:rsidR="003B0920" w:rsidRDefault="003B0920" w:rsidP="000E3C4B">
      <w:pPr>
        <w:spacing w:line="480" w:lineRule="auto"/>
        <w:jc w:val="center"/>
        <w:rPr>
          <w:rFonts w:cs="Times New Roman"/>
          <w:b/>
          <w:szCs w:val="24"/>
        </w:rPr>
      </w:pPr>
    </w:p>
    <w:p w:rsidR="003B0920" w:rsidRDefault="003B0920" w:rsidP="000E3C4B">
      <w:pPr>
        <w:spacing w:line="480" w:lineRule="auto"/>
        <w:jc w:val="center"/>
        <w:rPr>
          <w:rFonts w:cs="Times New Roman"/>
          <w:b/>
          <w:szCs w:val="24"/>
        </w:rPr>
      </w:pPr>
    </w:p>
    <w:p w:rsidR="003B0920" w:rsidRDefault="003B0920" w:rsidP="000E3C4B">
      <w:pPr>
        <w:spacing w:line="480" w:lineRule="auto"/>
        <w:jc w:val="center"/>
        <w:rPr>
          <w:rFonts w:cs="Times New Roman"/>
          <w:b/>
          <w:szCs w:val="24"/>
        </w:rPr>
      </w:pPr>
    </w:p>
    <w:p w:rsidR="003B0920" w:rsidRDefault="003B0920" w:rsidP="000E3C4B">
      <w:pPr>
        <w:spacing w:line="480" w:lineRule="auto"/>
        <w:jc w:val="center"/>
        <w:rPr>
          <w:rFonts w:cs="Times New Roman"/>
          <w:b/>
          <w:szCs w:val="24"/>
        </w:rPr>
      </w:pPr>
    </w:p>
    <w:p w:rsidR="003B0920" w:rsidRDefault="003B0920" w:rsidP="000E3C4B">
      <w:pPr>
        <w:spacing w:line="480" w:lineRule="auto"/>
        <w:jc w:val="center"/>
        <w:rPr>
          <w:rFonts w:cs="Times New Roman"/>
          <w:b/>
          <w:szCs w:val="24"/>
        </w:rPr>
      </w:pPr>
    </w:p>
    <w:p w:rsidR="003B0920" w:rsidRDefault="003B0920" w:rsidP="000E3C4B">
      <w:pPr>
        <w:spacing w:line="480" w:lineRule="auto"/>
        <w:jc w:val="center"/>
        <w:rPr>
          <w:rFonts w:cs="Times New Roman"/>
          <w:b/>
          <w:szCs w:val="24"/>
        </w:rPr>
      </w:pPr>
    </w:p>
    <w:p w:rsidR="003B0920" w:rsidRDefault="003B0920" w:rsidP="000E3C4B">
      <w:pPr>
        <w:spacing w:line="480" w:lineRule="auto"/>
        <w:jc w:val="center"/>
        <w:rPr>
          <w:rFonts w:cs="Times New Roman"/>
          <w:b/>
          <w:szCs w:val="24"/>
        </w:rPr>
      </w:pPr>
    </w:p>
    <w:p w:rsidR="003B0920" w:rsidRDefault="003B0920" w:rsidP="005F67DF">
      <w:pPr>
        <w:spacing w:line="480" w:lineRule="auto"/>
        <w:ind w:hanging="720"/>
        <w:contextualSpacing/>
        <w:rPr>
          <w:rFonts w:cs="Times New Roman"/>
          <w:b/>
          <w:szCs w:val="24"/>
        </w:rPr>
      </w:pPr>
    </w:p>
    <w:p w:rsidR="002C44B3" w:rsidRDefault="002C44B3" w:rsidP="005F67DF">
      <w:pPr>
        <w:spacing w:line="480" w:lineRule="auto"/>
        <w:ind w:hanging="720"/>
        <w:contextualSpacing/>
        <w:rPr>
          <w:rFonts w:cs="Times New Roman"/>
          <w:i/>
          <w:szCs w:val="24"/>
        </w:rPr>
      </w:pPr>
    </w:p>
    <w:p w:rsidR="005F67DF" w:rsidRPr="00E6676F" w:rsidRDefault="005F67DF" w:rsidP="005F67DF">
      <w:pPr>
        <w:spacing w:line="480" w:lineRule="auto"/>
        <w:ind w:hanging="720"/>
        <w:contextualSpacing/>
        <w:rPr>
          <w:rFonts w:cs="Times New Roman"/>
          <w:szCs w:val="24"/>
        </w:rPr>
      </w:pPr>
      <w:r w:rsidRPr="00E6676F">
        <w:rPr>
          <w:rFonts w:cs="Times New Roman"/>
          <w:i/>
          <w:szCs w:val="24"/>
        </w:rPr>
        <w:lastRenderedPageBreak/>
        <w:t>Ah How alias</w:t>
      </w:r>
      <w:r>
        <w:rPr>
          <w:rFonts w:cs="Times New Roman"/>
          <w:i/>
          <w:szCs w:val="24"/>
        </w:rPr>
        <w:t xml:space="preserve"> Louie Ah How. v. United States. </w:t>
      </w:r>
      <w:r>
        <w:rPr>
          <w:rFonts w:cs="Times New Roman"/>
          <w:szCs w:val="24"/>
        </w:rPr>
        <w:t>1904. 193 U.S. 65.</w:t>
      </w:r>
    </w:p>
    <w:p w:rsidR="005F67DF" w:rsidRPr="000F6B0D" w:rsidRDefault="005F67DF" w:rsidP="005F67DF">
      <w:pPr>
        <w:spacing w:line="480" w:lineRule="auto"/>
        <w:ind w:hanging="720"/>
        <w:contextualSpacing/>
        <w:rPr>
          <w:rFonts w:cs="Times New Roman"/>
          <w:szCs w:val="24"/>
        </w:rPr>
      </w:pPr>
      <w:proofErr w:type="gramStart"/>
      <w:r w:rsidRPr="000F6B0D">
        <w:rPr>
          <w:rFonts w:cs="Times New Roman"/>
          <w:i/>
          <w:szCs w:val="24"/>
        </w:rPr>
        <w:t xml:space="preserve">Ali </w:t>
      </w:r>
      <w:proofErr w:type="spellStart"/>
      <w:r w:rsidRPr="000F6B0D">
        <w:rPr>
          <w:rFonts w:cs="Times New Roman"/>
          <w:i/>
          <w:szCs w:val="24"/>
        </w:rPr>
        <w:t>Samantar</w:t>
      </w:r>
      <w:proofErr w:type="spellEnd"/>
      <w:r w:rsidRPr="000F6B0D">
        <w:rPr>
          <w:rFonts w:cs="Times New Roman"/>
          <w:i/>
          <w:szCs w:val="24"/>
        </w:rPr>
        <w:t xml:space="preserve"> v. Yousef.</w:t>
      </w:r>
      <w:proofErr w:type="gramEnd"/>
      <w:r w:rsidRPr="000F6B0D">
        <w:rPr>
          <w:rFonts w:cs="Times New Roman"/>
          <w:i/>
          <w:szCs w:val="24"/>
        </w:rPr>
        <w:t xml:space="preserve"> </w:t>
      </w:r>
      <w:r>
        <w:rPr>
          <w:rFonts w:cs="Times New Roman"/>
          <w:szCs w:val="24"/>
        </w:rPr>
        <w:t>2010. 560 U.S. 305.</w:t>
      </w:r>
      <w:r w:rsidRPr="000F6B0D">
        <w:rPr>
          <w:rFonts w:cs="Times New Roman"/>
          <w:szCs w:val="24"/>
        </w:rPr>
        <w:t xml:space="preserve"> </w:t>
      </w:r>
    </w:p>
    <w:p w:rsidR="005F67DF" w:rsidRDefault="005F67DF" w:rsidP="005F67DF">
      <w:pPr>
        <w:ind w:hanging="720"/>
        <w:contextualSpacing/>
        <w:rPr>
          <w:rFonts w:cs="Times New Roman"/>
          <w:szCs w:val="24"/>
        </w:rPr>
      </w:pPr>
      <w:r w:rsidRPr="00E6676F">
        <w:rPr>
          <w:rFonts w:cs="Times New Roman"/>
          <w:i/>
          <w:szCs w:val="24"/>
        </w:rPr>
        <w:t>Arizona Free Enterprise Club’s Freedom Club PAC</w:t>
      </w:r>
      <w:r w:rsidRPr="00E6676F">
        <w:rPr>
          <w:rFonts w:cs="Times New Roman"/>
          <w:szCs w:val="24"/>
        </w:rPr>
        <w:t xml:space="preserve"> </w:t>
      </w:r>
      <w:r w:rsidRPr="005D3052">
        <w:rPr>
          <w:rFonts w:cs="Times New Roman"/>
          <w:i/>
          <w:szCs w:val="24"/>
        </w:rPr>
        <w:t>v.</w:t>
      </w:r>
      <w:r w:rsidRPr="00E6676F">
        <w:rPr>
          <w:rFonts w:cs="Times New Roman"/>
          <w:szCs w:val="24"/>
        </w:rPr>
        <w:t xml:space="preserve"> </w:t>
      </w:r>
      <w:r w:rsidRPr="00E6676F">
        <w:rPr>
          <w:rFonts w:cs="Times New Roman"/>
          <w:i/>
          <w:szCs w:val="24"/>
        </w:rPr>
        <w:t>Bennett</w:t>
      </w:r>
      <w:r>
        <w:rPr>
          <w:rFonts w:cs="Times New Roman"/>
          <w:szCs w:val="24"/>
        </w:rPr>
        <w:t>. 2011. 564 U.S. __, 131 S. Ct. 2806.</w:t>
      </w:r>
    </w:p>
    <w:p w:rsidR="005F67DF" w:rsidRPr="00E6676F" w:rsidRDefault="005F67DF" w:rsidP="005F67DF">
      <w:pPr>
        <w:ind w:hanging="720"/>
        <w:contextualSpacing/>
        <w:rPr>
          <w:rFonts w:cs="Times New Roman"/>
          <w:szCs w:val="24"/>
        </w:rPr>
      </w:pPr>
    </w:p>
    <w:p w:rsidR="005F67DF" w:rsidRPr="000F6B0D" w:rsidRDefault="005F67DF" w:rsidP="005F67DF">
      <w:pPr>
        <w:spacing w:line="480" w:lineRule="auto"/>
        <w:ind w:hanging="720"/>
        <w:contextualSpacing/>
        <w:rPr>
          <w:rFonts w:cs="Times New Roman"/>
          <w:i/>
          <w:szCs w:val="24"/>
        </w:rPr>
      </w:pPr>
      <w:proofErr w:type="gramStart"/>
      <w:r w:rsidRPr="000F6B0D">
        <w:rPr>
          <w:rFonts w:cs="Times New Roman"/>
          <w:i/>
          <w:szCs w:val="24"/>
        </w:rPr>
        <w:t>Arizona v. United States.</w:t>
      </w:r>
      <w:proofErr w:type="gramEnd"/>
      <w:r w:rsidRPr="000F6B0D">
        <w:rPr>
          <w:rFonts w:cs="Times New Roman"/>
          <w:i/>
          <w:szCs w:val="24"/>
        </w:rPr>
        <w:t xml:space="preserve"> </w:t>
      </w:r>
      <w:r>
        <w:rPr>
          <w:rFonts w:cs="Times New Roman"/>
          <w:szCs w:val="24"/>
        </w:rPr>
        <w:t>2012. 567 U.S. __, 132 S. Ct. 2492.</w:t>
      </w:r>
    </w:p>
    <w:p w:rsidR="005F67DF" w:rsidRDefault="005F67DF" w:rsidP="005F67DF">
      <w:pPr>
        <w:spacing w:line="480" w:lineRule="auto"/>
        <w:ind w:hanging="720"/>
        <w:contextualSpacing/>
        <w:rPr>
          <w:rFonts w:cs="Times New Roman"/>
          <w:szCs w:val="24"/>
        </w:rPr>
      </w:pPr>
      <w:proofErr w:type="gramStart"/>
      <w:r>
        <w:rPr>
          <w:rFonts w:cs="Times New Roman"/>
          <w:i/>
          <w:szCs w:val="24"/>
        </w:rPr>
        <w:t>AT&amp;T Mobility v. Concepcion.</w:t>
      </w:r>
      <w:proofErr w:type="gramEnd"/>
      <w:r>
        <w:rPr>
          <w:rFonts w:cs="Times New Roman"/>
          <w:i/>
          <w:szCs w:val="24"/>
        </w:rPr>
        <w:t xml:space="preserve"> </w:t>
      </w:r>
      <w:r>
        <w:rPr>
          <w:rFonts w:cs="Times New Roman"/>
          <w:szCs w:val="24"/>
        </w:rPr>
        <w:t>2011. 563 U.S. __, 131 S. Ct. 1740.</w:t>
      </w:r>
    </w:p>
    <w:p w:rsidR="005F67DF" w:rsidRPr="00E6676F" w:rsidRDefault="005F67DF" w:rsidP="005F67DF">
      <w:pPr>
        <w:spacing w:line="480" w:lineRule="auto"/>
        <w:ind w:hanging="720"/>
        <w:contextualSpacing/>
        <w:rPr>
          <w:rFonts w:cs="Times New Roman"/>
          <w:szCs w:val="24"/>
        </w:rPr>
      </w:pPr>
      <w:r w:rsidRPr="000F6B0D">
        <w:rPr>
          <w:rFonts w:cs="Times New Roman"/>
          <w:i/>
          <w:szCs w:val="24"/>
        </w:rPr>
        <w:t>Beard v. Banks</w:t>
      </w:r>
      <w:r>
        <w:rPr>
          <w:rFonts w:cs="Times New Roman"/>
          <w:szCs w:val="24"/>
        </w:rPr>
        <w:t xml:space="preserve">. </w:t>
      </w:r>
      <w:r w:rsidRPr="000F6B0D">
        <w:rPr>
          <w:rFonts w:cs="Times New Roman"/>
          <w:szCs w:val="24"/>
        </w:rPr>
        <w:t>2006</w:t>
      </w:r>
      <w:r>
        <w:rPr>
          <w:rFonts w:cs="Times New Roman"/>
          <w:szCs w:val="24"/>
        </w:rPr>
        <w:t>. 548 U.S. 521.</w:t>
      </w:r>
    </w:p>
    <w:p w:rsidR="005F67DF" w:rsidRPr="00C62E6D" w:rsidRDefault="005F67DF" w:rsidP="005F67DF">
      <w:pPr>
        <w:spacing w:line="480" w:lineRule="auto"/>
        <w:ind w:hanging="720"/>
        <w:contextualSpacing/>
        <w:rPr>
          <w:rFonts w:cs="Times New Roman"/>
          <w:szCs w:val="24"/>
        </w:rPr>
      </w:pPr>
      <w:proofErr w:type="spellStart"/>
      <w:proofErr w:type="gramStart"/>
      <w:r w:rsidRPr="00C62E6D">
        <w:rPr>
          <w:rFonts w:cs="Times New Roman"/>
          <w:i/>
          <w:szCs w:val="24"/>
        </w:rPr>
        <w:t>Bilski</w:t>
      </w:r>
      <w:proofErr w:type="spellEnd"/>
      <w:r w:rsidRPr="00C62E6D">
        <w:rPr>
          <w:rFonts w:cs="Times New Roman"/>
          <w:i/>
          <w:szCs w:val="24"/>
        </w:rPr>
        <w:t xml:space="preserve"> v. </w:t>
      </w:r>
      <w:proofErr w:type="spellStart"/>
      <w:r w:rsidRPr="00C62E6D">
        <w:rPr>
          <w:rFonts w:cs="Times New Roman"/>
          <w:i/>
          <w:szCs w:val="24"/>
        </w:rPr>
        <w:t>Kappos</w:t>
      </w:r>
      <w:proofErr w:type="spellEnd"/>
      <w:r>
        <w:rPr>
          <w:rFonts w:cs="Times New Roman"/>
          <w:szCs w:val="24"/>
        </w:rPr>
        <w:t>.</w:t>
      </w:r>
      <w:proofErr w:type="gramEnd"/>
      <w:r>
        <w:rPr>
          <w:rFonts w:cs="Times New Roman"/>
          <w:szCs w:val="24"/>
        </w:rPr>
        <w:t xml:space="preserve"> 2010. 561 U.S. __, 130 S. Ct. 3218.</w:t>
      </w:r>
    </w:p>
    <w:p w:rsidR="005F67DF" w:rsidRDefault="005F67DF" w:rsidP="005F67DF">
      <w:pPr>
        <w:spacing w:line="480" w:lineRule="auto"/>
        <w:ind w:hanging="720"/>
        <w:contextualSpacing/>
        <w:rPr>
          <w:rFonts w:cs="Times New Roman"/>
          <w:iCs/>
          <w:szCs w:val="24"/>
        </w:rPr>
      </w:pPr>
      <w:proofErr w:type="spellStart"/>
      <w:proofErr w:type="gramStart"/>
      <w:r w:rsidRPr="00E6676F">
        <w:rPr>
          <w:rFonts w:cs="Times New Roman"/>
          <w:i/>
          <w:iCs/>
          <w:szCs w:val="24"/>
        </w:rPr>
        <w:t>Boumediene</w:t>
      </w:r>
      <w:proofErr w:type="spellEnd"/>
      <w:r w:rsidRPr="00E6676F">
        <w:rPr>
          <w:rFonts w:cs="Times New Roman"/>
          <w:i/>
          <w:iCs/>
          <w:szCs w:val="24"/>
        </w:rPr>
        <w:t xml:space="preserve"> v. Bush</w:t>
      </w:r>
      <w:r>
        <w:rPr>
          <w:rFonts w:cs="Times New Roman"/>
          <w:iCs/>
          <w:szCs w:val="24"/>
        </w:rPr>
        <w:t>.</w:t>
      </w:r>
      <w:proofErr w:type="gramEnd"/>
      <w:r>
        <w:rPr>
          <w:rFonts w:cs="Times New Roman"/>
          <w:iCs/>
          <w:szCs w:val="24"/>
        </w:rPr>
        <w:t xml:space="preserve"> 2008. 553 U.S. 723.</w:t>
      </w:r>
    </w:p>
    <w:p w:rsidR="005F67DF" w:rsidRPr="00916B38" w:rsidRDefault="005F67DF" w:rsidP="005F67DF">
      <w:pPr>
        <w:spacing w:line="480" w:lineRule="auto"/>
        <w:ind w:hanging="720"/>
        <w:contextualSpacing/>
        <w:rPr>
          <w:rFonts w:cs="Times New Roman"/>
          <w:iCs/>
          <w:szCs w:val="24"/>
        </w:rPr>
      </w:pPr>
      <w:proofErr w:type="gramStart"/>
      <w:r w:rsidRPr="00E6676F">
        <w:rPr>
          <w:rFonts w:cs="Times New Roman"/>
          <w:i/>
          <w:szCs w:val="24"/>
        </w:rPr>
        <w:t>Brown v. Board of Education of Topeka</w:t>
      </w:r>
      <w:r>
        <w:rPr>
          <w:rFonts w:cs="Times New Roman"/>
          <w:szCs w:val="24"/>
        </w:rPr>
        <w:t>.</w:t>
      </w:r>
      <w:proofErr w:type="gramEnd"/>
      <w:r>
        <w:rPr>
          <w:rFonts w:cs="Times New Roman"/>
          <w:szCs w:val="24"/>
        </w:rPr>
        <w:t xml:space="preserve"> 1954. 347 U.S. 483.</w:t>
      </w:r>
    </w:p>
    <w:p w:rsidR="005F67DF" w:rsidRPr="00E6676F" w:rsidRDefault="005F67DF" w:rsidP="005F67DF">
      <w:pPr>
        <w:spacing w:line="480" w:lineRule="auto"/>
        <w:ind w:hanging="720"/>
        <w:contextualSpacing/>
        <w:rPr>
          <w:rFonts w:cs="Times New Roman"/>
          <w:szCs w:val="24"/>
        </w:rPr>
      </w:pPr>
      <w:proofErr w:type="gramStart"/>
      <w:r w:rsidRPr="00E6676F">
        <w:rPr>
          <w:rFonts w:cs="Times New Roman"/>
          <w:i/>
          <w:szCs w:val="24"/>
        </w:rPr>
        <w:t>Brown v. Entertainment Merchants Association</w:t>
      </w:r>
      <w:r>
        <w:rPr>
          <w:rFonts w:cs="Times New Roman"/>
          <w:szCs w:val="24"/>
        </w:rPr>
        <w:t>.</w:t>
      </w:r>
      <w:proofErr w:type="gramEnd"/>
      <w:r>
        <w:rPr>
          <w:rFonts w:cs="Times New Roman"/>
          <w:szCs w:val="24"/>
        </w:rPr>
        <w:t xml:space="preserve"> 2011. 564 U.S. __, 131 S. Ct. 2729.</w:t>
      </w:r>
    </w:p>
    <w:p w:rsidR="005F67DF" w:rsidRPr="00E6676F" w:rsidRDefault="005F67DF" w:rsidP="005F67DF">
      <w:pPr>
        <w:spacing w:line="480" w:lineRule="auto"/>
        <w:ind w:hanging="720"/>
        <w:contextualSpacing/>
        <w:rPr>
          <w:rFonts w:cs="Times New Roman"/>
          <w:szCs w:val="24"/>
        </w:rPr>
      </w:pPr>
      <w:proofErr w:type="gramStart"/>
      <w:r>
        <w:rPr>
          <w:rFonts w:cs="Times New Roman"/>
          <w:i/>
          <w:szCs w:val="24"/>
        </w:rPr>
        <w:t>Brown v. Plata.</w:t>
      </w:r>
      <w:proofErr w:type="gramEnd"/>
      <w:r>
        <w:rPr>
          <w:rFonts w:cs="Times New Roman"/>
          <w:i/>
          <w:szCs w:val="24"/>
        </w:rPr>
        <w:t xml:space="preserve"> </w:t>
      </w:r>
      <w:r>
        <w:rPr>
          <w:rFonts w:cs="Times New Roman"/>
          <w:szCs w:val="24"/>
        </w:rPr>
        <w:t>2011. 563 U.S. __, 131 S. Ct. 1910.</w:t>
      </w:r>
    </w:p>
    <w:p w:rsidR="005F67DF" w:rsidRPr="00C62E6D" w:rsidRDefault="005F67DF" w:rsidP="005F67DF">
      <w:pPr>
        <w:spacing w:line="480" w:lineRule="auto"/>
        <w:ind w:hanging="720"/>
        <w:contextualSpacing/>
        <w:rPr>
          <w:rFonts w:cs="Times New Roman"/>
          <w:szCs w:val="24"/>
        </w:rPr>
      </w:pPr>
      <w:proofErr w:type="gramStart"/>
      <w:r w:rsidRPr="00C62E6D">
        <w:rPr>
          <w:rFonts w:cs="Times New Roman"/>
          <w:i/>
          <w:szCs w:val="24"/>
        </w:rPr>
        <w:t>Christian Legal Society v. Martinez</w:t>
      </w:r>
      <w:r>
        <w:rPr>
          <w:rFonts w:cs="Times New Roman"/>
          <w:szCs w:val="24"/>
        </w:rPr>
        <w:t>.</w:t>
      </w:r>
      <w:proofErr w:type="gramEnd"/>
      <w:r>
        <w:rPr>
          <w:rFonts w:cs="Times New Roman"/>
          <w:szCs w:val="24"/>
        </w:rPr>
        <w:t xml:space="preserve"> 2010. 561 U.S. __, 130 S. Ct. 2971.</w:t>
      </w:r>
    </w:p>
    <w:p w:rsidR="005F67DF" w:rsidRPr="00C62E6D" w:rsidRDefault="005F67DF" w:rsidP="005F67DF">
      <w:pPr>
        <w:spacing w:line="480" w:lineRule="auto"/>
        <w:ind w:hanging="720"/>
        <w:contextualSpacing/>
        <w:rPr>
          <w:rFonts w:cs="Times New Roman"/>
          <w:szCs w:val="24"/>
        </w:rPr>
      </w:pPr>
      <w:r>
        <w:rPr>
          <w:rFonts w:cs="Times New Roman"/>
          <w:i/>
          <w:szCs w:val="24"/>
        </w:rPr>
        <w:t>Citizens United v. FEC</w:t>
      </w:r>
      <w:r>
        <w:rPr>
          <w:rFonts w:cs="Times New Roman"/>
          <w:szCs w:val="24"/>
        </w:rPr>
        <w:t xml:space="preserve">. 2010. </w:t>
      </w:r>
      <w:proofErr w:type="gramStart"/>
      <w:r>
        <w:rPr>
          <w:rFonts w:cs="Times New Roman"/>
          <w:szCs w:val="24"/>
        </w:rPr>
        <w:t>558 U.S. 310.</w:t>
      </w:r>
      <w:proofErr w:type="gramEnd"/>
    </w:p>
    <w:p w:rsidR="005F67DF" w:rsidRPr="00E6676F" w:rsidRDefault="005F67DF" w:rsidP="005F67DF">
      <w:pPr>
        <w:spacing w:line="480" w:lineRule="auto"/>
        <w:ind w:hanging="720"/>
        <w:contextualSpacing/>
        <w:rPr>
          <w:rFonts w:cs="Times New Roman"/>
          <w:szCs w:val="24"/>
        </w:rPr>
      </w:pPr>
      <w:proofErr w:type="gramStart"/>
      <w:r w:rsidRPr="00E6676F">
        <w:rPr>
          <w:rFonts w:cs="Times New Roman"/>
          <w:i/>
          <w:szCs w:val="24"/>
        </w:rPr>
        <w:t>Davis v. FEC</w:t>
      </w:r>
      <w:r>
        <w:rPr>
          <w:rFonts w:cs="Times New Roman"/>
          <w:szCs w:val="24"/>
        </w:rPr>
        <w:t>. 2008.</w:t>
      </w:r>
      <w:proofErr w:type="gramEnd"/>
      <w:r>
        <w:rPr>
          <w:rFonts w:cs="Times New Roman"/>
          <w:szCs w:val="24"/>
        </w:rPr>
        <w:t xml:space="preserve"> </w:t>
      </w:r>
      <w:proofErr w:type="gramStart"/>
      <w:r>
        <w:rPr>
          <w:rFonts w:cs="Times New Roman"/>
          <w:szCs w:val="24"/>
        </w:rPr>
        <w:t>554 U.S. 724.</w:t>
      </w:r>
      <w:proofErr w:type="gramEnd"/>
    </w:p>
    <w:p w:rsidR="005F67DF" w:rsidRPr="00E6676F" w:rsidRDefault="005F67DF" w:rsidP="005F67DF">
      <w:pPr>
        <w:spacing w:line="480" w:lineRule="auto"/>
        <w:ind w:hanging="720"/>
        <w:contextualSpacing/>
        <w:rPr>
          <w:rFonts w:cs="Times New Roman"/>
          <w:szCs w:val="24"/>
        </w:rPr>
      </w:pPr>
      <w:proofErr w:type="gramStart"/>
      <w:r w:rsidRPr="00E6676F">
        <w:rPr>
          <w:rFonts w:cs="Times New Roman"/>
          <w:i/>
          <w:szCs w:val="24"/>
        </w:rPr>
        <w:t>Department of Health and Human Services v. Florida</w:t>
      </w:r>
      <w:r>
        <w:rPr>
          <w:rFonts w:cs="Times New Roman"/>
          <w:szCs w:val="24"/>
        </w:rPr>
        <w:t>.</w:t>
      </w:r>
      <w:proofErr w:type="gramEnd"/>
      <w:r>
        <w:rPr>
          <w:rFonts w:cs="Times New Roman"/>
          <w:szCs w:val="24"/>
        </w:rPr>
        <w:t xml:space="preserve"> 2012. 567 U.S. __, Docket No.</w:t>
      </w:r>
      <w:r w:rsidRPr="00E6676F">
        <w:rPr>
          <w:rFonts w:cs="Times New Roman"/>
          <w:i/>
          <w:szCs w:val="24"/>
        </w:rPr>
        <w:t xml:space="preserve"> </w:t>
      </w:r>
      <w:r>
        <w:rPr>
          <w:rFonts w:cs="Times New Roman"/>
          <w:szCs w:val="24"/>
        </w:rPr>
        <w:t xml:space="preserve">11-398. </w:t>
      </w:r>
    </w:p>
    <w:p w:rsidR="005F67DF" w:rsidRPr="006E6077" w:rsidRDefault="005F67DF" w:rsidP="005F67DF">
      <w:pPr>
        <w:spacing w:line="480" w:lineRule="auto"/>
        <w:ind w:hanging="720"/>
        <w:contextualSpacing/>
        <w:rPr>
          <w:rFonts w:cs="Times New Roman"/>
          <w:iCs/>
          <w:szCs w:val="24"/>
        </w:rPr>
      </w:pPr>
      <w:proofErr w:type="gramStart"/>
      <w:r>
        <w:rPr>
          <w:rFonts w:cs="Times New Roman"/>
          <w:i/>
          <w:iCs/>
          <w:szCs w:val="24"/>
        </w:rPr>
        <w:t xml:space="preserve">District of Columbia v. </w:t>
      </w:r>
      <w:r w:rsidRPr="006E6077">
        <w:rPr>
          <w:rFonts w:cs="Times New Roman"/>
          <w:iCs/>
          <w:szCs w:val="24"/>
        </w:rPr>
        <w:t>Heller</w:t>
      </w:r>
      <w:r>
        <w:rPr>
          <w:rFonts w:cs="Times New Roman"/>
          <w:iCs/>
          <w:szCs w:val="24"/>
        </w:rPr>
        <w:t>.</w:t>
      </w:r>
      <w:proofErr w:type="gramEnd"/>
      <w:r>
        <w:rPr>
          <w:rFonts w:cs="Times New Roman"/>
          <w:iCs/>
          <w:szCs w:val="24"/>
        </w:rPr>
        <w:t xml:space="preserve"> </w:t>
      </w:r>
      <w:r w:rsidRPr="006E6077">
        <w:rPr>
          <w:rFonts w:cs="Times New Roman"/>
          <w:iCs/>
          <w:szCs w:val="24"/>
        </w:rPr>
        <w:t>2008</w:t>
      </w:r>
      <w:r>
        <w:rPr>
          <w:rFonts w:cs="Times New Roman"/>
          <w:iCs/>
          <w:szCs w:val="24"/>
        </w:rPr>
        <w:t>. 554 U.S. 570.</w:t>
      </w:r>
    </w:p>
    <w:p w:rsidR="005F67DF" w:rsidRPr="006E6077" w:rsidRDefault="005F67DF" w:rsidP="005F67DF">
      <w:pPr>
        <w:spacing w:line="480" w:lineRule="auto"/>
        <w:ind w:hanging="720"/>
        <w:contextualSpacing/>
        <w:rPr>
          <w:rFonts w:cs="Times New Roman"/>
          <w:iCs/>
          <w:szCs w:val="24"/>
        </w:rPr>
      </w:pPr>
      <w:proofErr w:type="gramStart"/>
      <w:r>
        <w:rPr>
          <w:rFonts w:cs="Times New Roman"/>
          <w:i/>
          <w:szCs w:val="24"/>
        </w:rPr>
        <w:t>Doe v. Bolton.</w:t>
      </w:r>
      <w:proofErr w:type="gramEnd"/>
      <w:r>
        <w:rPr>
          <w:rFonts w:cs="Times New Roman"/>
          <w:i/>
          <w:szCs w:val="24"/>
        </w:rPr>
        <w:t xml:space="preserve"> </w:t>
      </w:r>
      <w:r>
        <w:rPr>
          <w:rFonts w:cs="Times New Roman"/>
          <w:szCs w:val="24"/>
        </w:rPr>
        <w:t>1973. 410 U.S. 179.</w:t>
      </w:r>
    </w:p>
    <w:p w:rsidR="005F67DF" w:rsidRDefault="005F67DF" w:rsidP="005F67DF">
      <w:pPr>
        <w:spacing w:line="480" w:lineRule="auto"/>
        <w:ind w:hanging="720"/>
        <w:contextualSpacing/>
        <w:rPr>
          <w:rFonts w:cs="Times New Roman"/>
          <w:szCs w:val="24"/>
        </w:rPr>
      </w:pPr>
      <w:proofErr w:type="gramStart"/>
      <w:r w:rsidRPr="00E6676F">
        <w:rPr>
          <w:rFonts w:cs="Times New Roman"/>
          <w:i/>
          <w:szCs w:val="24"/>
        </w:rPr>
        <w:t>Dorsey v. United States</w:t>
      </w:r>
      <w:r>
        <w:rPr>
          <w:rFonts w:cs="Times New Roman"/>
          <w:szCs w:val="24"/>
        </w:rPr>
        <w:t>.</w:t>
      </w:r>
      <w:proofErr w:type="gramEnd"/>
      <w:r>
        <w:rPr>
          <w:rFonts w:cs="Times New Roman"/>
          <w:szCs w:val="24"/>
        </w:rPr>
        <w:t xml:space="preserve"> 2011. 567 U.S. __, 132 S. Ct. 2321.</w:t>
      </w:r>
    </w:p>
    <w:p w:rsidR="005F67DF" w:rsidRPr="006E6077" w:rsidRDefault="005F67DF" w:rsidP="005F67DF">
      <w:pPr>
        <w:spacing w:line="480" w:lineRule="auto"/>
        <w:ind w:hanging="720"/>
        <w:contextualSpacing/>
        <w:rPr>
          <w:rFonts w:cs="Times New Roman"/>
          <w:szCs w:val="24"/>
        </w:rPr>
      </w:pPr>
      <w:proofErr w:type="gramStart"/>
      <w:r>
        <w:rPr>
          <w:rFonts w:cs="Times New Roman"/>
          <w:i/>
          <w:szCs w:val="24"/>
        </w:rPr>
        <w:t>Epperson v. Arkansas</w:t>
      </w:r>
      <w:r>
        <w:rPr>
          <w:rFonts w:cs="Times New Roman"/>
          <w:szCs w:val="24"/>
        </w:rPr>
        <w:t>.</w:t>
      </w:r>
      <w:proofErr w:type="gramEnd"/>
      <w:r>
        <w:rPr>
          <w:rFonts w:cs="Times New Roman"/>
          <w:szCs w:val="24"/>
        </w:rPr>
        <w:t xml:space="preserve"> 1968. 393 U.S. 97.</w:t>
      </w:r>
    </w:p>
    <w:p w:rsidR="005F67DF" w:rsidRDefault="005F67DF" w:rsidP="005F67DF">
      <w:pPr>
        <w:ind w:hanging="720"/>
        <w:contextualSpacing/>
        <w:rPr>
          <w:rFonts w:cs="Times New Roman"/>
          <w:szCs w:val="24"/>
        </w:rPr>
      </w:pPr>
      <w:proofErr w:type="gramStart"/>
      <w:r w:rsidRPr="00E6676F">
        <w:rPr>
          <w:rFonts w:cs="Times New Roman"/>
          <w:i/>
          <w:szCs w:val="24"/>
        </w:rPr>
        <w:t>Florence v. Board of Chosen F</w:t>
      </w:r>
      <w:r>
        <w:rPr>
          <w:rFonts w:cs="Times New Roman"/>
          <w:i/>
          <w:szCs w:val="24"/>
        </w:rPr>
        <w:t xml:space="preserve">reeholders of Burlington </w:t>
      </w:r>
      <w:r w:rsidRPr="006E6077">
        <w:rPr>
          <w:rFonts w:cs="Times New Roman"/>
          <w:szCs w:val="24"/>
        </w:rPr>
        <w:t>County</w:t>
      </w:r>
      <w:r>
        <w:rPr>
          <w:rFonts w:cs="Times New Roman"/>
          <w:szCs w:val="24"/>
        </w:rPr>
        <w:t>.</w:t>
      </w:r>
      <w:proofErr w:type="gramEnd"/>
      <w:r>
        <w:rPr>
          <w:rFonts w:cs="Times New Roman"/>
          <w:szCs w:val="24"/>
        </w:rPr>
        <w:t xml:space="preserve"> 2</w:t>
      </w:r>
      <w:r w:rsidRPr="006E6077">
        <w:rPr>
          <w:rFonts w:cs="Times New Roman"/>
          <w:szCs w:val="24"/>
        </w:rPr>
        <w:t>012</w:t>
      </w:r>
      <w:r>
        <w:rPr>
          <w:rFonts w:cs="Times New Roman"/>
          <w:szCs w:val="24"/>
        </w:rPr>
        <w:t>. 566 U.S. __, 132 S. Ct. 1510.</w:t>
      </w:r>
    </w:p>
    <w:p w:rsidR="005F67DF" w:rsidRPr="00E6676F" w:rsidRDefault="005F67DF" w:rsidP="005F67DF">
      <w:pPr>
        <w:ind w:hanging="720"/>
        <w:contextualSpacing/>
        <w:rPr>
          <w:rFonts w:cs="Times New Roman"/>
          <w:szCs w:val="24"/>
        </w:rPr>
      </w:pPr>
    </w:p>
    <w:p w:rsidR="005F67DF" w:rsidRPr="00E6676F" w:rsidRDefault="005F67DF" w:rsidP="005F67DF">
      <w:pPr>
        <w:spacing w:line="480" w:lineRule="auto"/>
        <w:ind w:hanging="720"/>
        <w:contextualSpacing/>
        <w:rPr>
          <w:rFonts w:cs="Times New Roman"/>
          <w:szCs w:val="24"/>
        </w:rPr>
      </w:pPr>
      <w:proofErr w:type="gramStart"/>
      <w:r>
        <w:rPr>
          <w:rFonts w:cs="Times New Roman"/>
          <w:i/>
          <w:szCs w:val="24"/>
        </w:rPr>
        <w:t>Florida v. Harris</w:t>
      </w:r>
      <w:r>
        <w:rPr>
          <w:rFonts w:cs="Times New Roman"/>
          <w:szCs w:val="24"/>
        </w:rPr>
        <w:t>.</w:t>
      </w:r>
      <w:proofErr w:type="gramEnd"/>
      <w:r>
        <w:rPr>
          <w:rFonts w:cs="Times New Roman"/>
          <w:szCs w:val="24"/>
        </w:rPr>
        <w:t xml:space="preserve"> 2013. 568 U.S. __.</w:t>
      </w:r>
    </w:p>
    <w:p w:rsidR="005F67DF" w:rsidRPr="00E6676F" w:rsidRDefault="005F67DF" w:rsidP="005F67DF">
      <w:pPr>
        <w:spacing w:line="480" w:lineRule="auto"/>
        <w:ind w:left="0" w:firstLine="0"/>
        <w:contextualSpacing/>
        <w:rPr>
          <w:rFonts w:cs="Times New Roman"/>
          <w:szCs w:val="24"/>
        </w:rPr>
      </w:pPr>
      <w:proofErr w:type="gramStart"/>
      <w:r>
        <w:rPr>
          <w:rFonts w:cs="Times New Roman"/>
          <w:i/>
          <w:szCs w:val="24"/>
        </w:rPr>
        <w:t xml:space="preserve">Florida v. </w:t>
      </w:r>
      <w:proofErr w:type="spellStart"/>
      <w:r w:rsidRPr="006E6077">
        <w:rPr>
          <w:rFonts w:cs="Times New Roman"/>
          <w:szCs w:val="24"/>
        </w:rPr>
        <w:t>Jardines</w:t>
      </w:r>
      <w:proofErr w:type="spellEnd"/>
      <w:r>
        <w:rPr>
          <w:rFonts w:cs="Times New Roman"/>
          <w:szCs w:val="24"/>
        </w:rPr>
        <w:t>.</w:t>
      </w:r>
      <w:proofErr w:type="gramEnd"/>
      <w:r>
        <w:rPr>
          <w:rFonts w:cs="Times New Roman"/>
          <w:szCs w:val="24"/>
        </w:rPr>
        <w:t xml:space="preserve"> </w:t>
      </w:r>
      <w:r w:rsidRPr="006E6077">
        <w:rPr>
          <w:rFonts w:cs="Times New Roman"/>
          <w:szCs w:val="24"/>
        </w:rPr>
        <w:t>2013</w:t>
      </w:r>
      <w:r>
        <w:rPr>
          <w:rFonts w:cs="Times New Roman"/>
          <w:szCs w:val="24"/>
        </w:rPr>
        <w:t xml:space="preserve">. 569 U.S. 1. </w:t>
      </w:r>
    </w:p>
    <w:p w:rsidR="005F67DF" w:rsidRPr="00E6676F" w:rsidRDefault="005F67DF" w:rsidP="005F67DF">
      <w:pPr>
        <w:spacing w:line="480" w:lineRule="auto"/>
        <w:ind w:hanging="720"/>
        <w:contextualSpacing/>
        <w:rPr>
          <w:rFonts w:cs="Times New Roman"/>
          <w:b/>
          <w:szCs w:val="24"/>
        </w:rPr>
      </w:pPr>
      <w:proofErr w:type="gramStart"/>
      <w:r>
        <w:rPr>
          <w:rFonts w:cs="Times New Roman"/>
          <w:i/>
          <w:szCs w:val="24"/>
        </w:rPr>
        <w:lastRenderedPageBreak/>
        <w:t>Florida v</w:t>
      </w:r>
      <w:r w:rsidRPr="00E6676F">
        <w:rPr>
          <w:rFonts w:cs="Times New Roman"/>
          <w:i/>
          <w:szCs w:val="24"/>
        </w:rPr>
        <w:t>. Departme</w:t>
      </w:r>
      <w:r>
        <w:rPr>
          <w:rFonts w:cs="Times New Roman"/>
          <w:i/>
          <w:szCs w:val="24"/>
        </w:rPr>
        <w:t>nt of Health and Human Services</w:t>
      </w:r>
      <w:r>
        <w:rPr>
          <w:rFonts w:cs="Times New Roman"/>
          <w:szCs w:val="24"/>
        </w:rPr>
        <w:t>.</w:t>
      </w:r>
      <w:proofErr w:type="gramEnd"/>
      <w:r>
        <w:rPr>
          <w:rFonts w:cs="Times New Roman"/>
          <w:szCs w:val="24"/>
        </w:rPr>
        <w:t xml:space="preserve"> 2012. 567 U.S. __, Docket No. 11-400.</w:t>
      </w:r>
    </w:p>
    <w:p w:rsidR="005F67DF" w:rsidRPr="00E6676F" w:rsidRDefault="005F67DF" w:rsidP="005F67DF">
      <w:pPr>
        <w:spacing w:line="480" w:lineRule="auto"/>
        <w:ind w:hanging="720"/>
        <w:contextualSpacing/>
        <w:rPr>
          <w:rFonts w:cs="Times New Roman"/>
          <w:szCs w:val="24"/>
        </w:rPr>
      </w:pPr>
      <w:proofErr w:type="spellStart"/>
      <w:proofErr w:type="gramStart"/>
      <w:r>
        <w:rPr>
          <w:rFonts w:cs="Times New Roman"/>
          <w:i/>
          <w:szCs w:val="24"/>
        </w:rPr>
        <w:t>Garcetti</w:t>
      </w:r>
      <w:proofErr w:type="spellEnd"/>
      <w:r>
        <w:rPr>
          <w:rFonts w:cs="Times New Roman"/>
          <w:i/>
          <w:szCs w:val="24"/>
        </w:rPr>
        <w:t xml:space="preserve"> v. </w:t>
      </w:r>
      <w:r w:rsidRPr="006E6077">
        <w:rPr>
          <w:rFonts w:cs="Times New Roman"/>
          <w:szCs w:val="24"/>
        </w:rPr>
        <w:t>Ceballos</w:t>
      </w:r>
      <w:r>
        <w:rPr>
          <w:rFonts w:cs="Times New Roman"/>
          <w:szCs w:val="24"/>
        </w:rPr>
        <w:t>.</w:t>
      </w:r>
      <w:proofErr w:type="gramEnd"/>
      <w:r>
        <w:rPr>
          <w:rFonts w:cs="Times New Roman"/>
          <w:szCs w:val="24"/>
        </w:rPr>
        <w:t xml:space="preserve"> </w:t>
      </w:r>
      <w:r w:rsidRPr="006E6077">
        <w:rPr>
          <w:rFonts w:cs="Times New Roman"/>
          <w:szCs w:val="24"/>
        </w:rPr>
        <w:t>2006</w:t>
      </w:r>
      <w:r>
        <w:rPr>
          <w:rFonts w:cs="Times New Roman"/>
          <w:szCs w:val="24"/>
        </w:rPr>
        <w:t>. 547 U.S. 410.</w:t>
      </w:r>
    </w:p>
    <w:p w:rsidR="005F67DF" w:rsidRPr="00E6676F" w:rsidRDefault="005F67DF" w:rsidP="005F67DF">
      <w:pPr>
        <w:spacing w:line="480" w:lineRule="auto"/>
        <w:ind w:hanging="720"/>
        <w:contextualSpacing/>
        <w:rPr>
          <w:rFonts w:cs="Times New Roman"/>
          <w:szCs w:val="24"/>
        </w:rPr>
      </w:pPr>
      <w:proofErr w:type="gramStart"/>
      <w:r>
        <w:rPr>
          <w:rFonts w:cs="Times New Roman"/>
          <w:i/>
          <w:szCs w:val="24"/>
        </w:rPr>
        <w:t xml:space="preserve">Gonzalez v. </w:t>
      </w:r>
      <w:r w:rsidRPr="006E6077">
        <w:rPr>
          <w:rFonts w:cs="Times New Roman"/>
          <w:szCs w:val="24"/>
        </w:rPr>
        <w:t>Oregon</w:t>
      </w:r>
      <w:r>
        <w:rPr>
          <w:rFonts w:cs="Times New Roman"/>
          <w:szCs w:val="24"/>
        </w:rPr>
        <w:t>.</w:t>
      </w:r>
      <w:proofErr w:type="gramEnd"/>
      <w:r>
        <w:rPr>
          <w:rFonts w:cs="Times New Roman"/>
          <w:szCs w:val="24"/>
        </w:rPr>
        <w:t xml:space="preserve"> </w:t>
      </w:r>
      <w:r w:rsidRPr="006E6077">
        <w:rPr>
          <w:rFonts w:cs="Times New Roman"/>
          <w:szCs w:val="24"/>
        </w:rPr>
        <w:t>2006</w:t>
      </w:r>
      <w:r>
        <w:rPr>
          <w:rFonts w:cs="Times New Roman"/>
          <w:szCs w:val="24"/>
        </w:rPr>
        <w:t>. 546 U.S. 243.</w:t>
      </w:r>
    </w:p>
    <w:p w:rsidR="005F67DF" w:rsidRDefault="005F67DF" w:rsidP="005F67DF">
      <w:pPr>
        <w:spacing w:line="480" w:lineRule="auto"/>
        <w:ind w:hanging="720"/>
        <w:contextualSpacing/>
        <w:rPr>
          <w:rFonts w:cs="Times New Roman"/>
          <w:szCs w:val="24"/>
        </w:rPr>
      </w:pPr>
      <w:proofErr w:type="gramStart"/>
      <w:r>
        <w:rPr>
          <w:rFonts w:cs="Times New Roman"/>
          <w:i/>
          <w:szCs w:val="24"/>
        </w:rPr>
        <w:t xml:space="preserve">Graham v. </w:t>
      </w:r>
      <w:r w:rsidRPr="006E6077">
        <w:rPr>
          <w:rFonts w:cs="Times New Roman"/>
          <w:szCs w:val="24"/>
        </w:rPr>
        <w:t>Florida</w:t>
      </w:r>
      <w:r>
        <w:rPr>
          <w:rFonts w:cs="Times New Roman"/>
          <w:szCs w:val="24"/>
        </w:rPr>
        <w:t>.</w:t>
      </w:r>
      <w:proofErr w:type="gramEnd"/>
      <w:r>
        <w:rPr>
          <w:rFonts w:cs="Times New Roman"/>
          <w:szCs w:val="24"/>
        </w:rPr>
        <w:t xml:space="preserve"> </w:t>
      </w:r>
      <w:r w:rsidRPr="006E6077">
        <w:rPr>
          <w:rFonts w:cs="Times New Roman"/>
          <w:szCs w:val="24"/>
        </w:rPr>
        <w:t>2010</w:t>
      </w:r>
      <w:r>
        <w:rPr>
          <w:rFonts w:cs="Times New Roman"/>
          <w:szCs w:val="24"/>
        </w:rPr>
        <w:t>. 560 U.S. 48.</w:t>
      </w:r>
    </w:p>
    <w:p w:rsidR="005F67DF" w:rsidRPr="00CB18EC" w:rsidRDefault="005F67DF" w:rsidP="005F67DF">
      <w:pPr>
        <w:spacing w:line="480" w:lineRule="auto"/>
        <w:ind w:hanging="720"/>
        <w:contextualSpacing/>
        <w:rPr>
          <w:rFonts w:cs="Times New Roman"/>
          <w:szCs w:val="24"/>
        </w:rPr>
      </w:pPr>
      <w:proofErr w:type="spellStart"/>
      <w:proofErr w:type="gramStart"/>
      <w:r>
        <w:rPr>
          <w:rFonts w:cs="Times New Roman"/>
          <w:i/>
          <w:szCs w:val="24"/>
        </w:rPr>
        <w:t>Gratz</w:t>
      </w:r>
      <w:proofErr w:type="spellEnd"/>
      <w:r>
        <w:rPr>
          <w:rFonts w:cs="Times New Roman"/>
          <w:i/>
          <w:szCs w:val="24"/>
        </w:rPr>
        <w:t xml:space="preserve"> v. Bollinger</w:t>
      </w:r>
      <w:r>
        <w:rPr>
          <w:rFonts w:cs="Times New Roman"/>
          <w:szCs w:val="24"/>
        </w:rPr>
        <w:t>.</w:t>
      </w:r>
      <w:proofErr w:type="gramEnd"/>
      <w:r>
        <w:rPr>
          <w:rFonts w:cs="Times New Roman"/>
          <w:szCs w:val="24"/>
        </w:rPr>
        <w:t xml:space="preserve"> 2003. 539 U.S. 244.</w:t>
      </w:r>
    </w:p>
    <w:p w:rsidR="005F67DF" w:rsidRDefault="005F67DF" w:rsidP="005F67DF">
      <w:pPr>
        <w:spacing w:line="480" w:lineRule="auto"/>
        <w:ind w:hanging="720"/>
        <w:contextualSpacing/>
        <w:rPr>
          <w:rFonts w:cs="Times New Roman"/>
          <w:szCs w:val="24"/>
        </w:rPr>
      </w:pPr>
      <w:proofErr w:type="gramStart"/>
      <w:r w:rsidRPr="00E6676F">
        <w:rPr>
          <w:rFonts w:cs="Times New Roman"/>
          <w:i/>
          <w:szCs w:val="24"/>
        </w:rPr>
        <w:t>Green v. Biddle</w:t>
      </w:r>
      <w:r>
        <w:rPr>
          <w:rFonts w:cs="Times New Roman"/>
          <w:szCs w:val="24"/>
        </w:rPr>
        <w:t>.</w:t>
      </w:r>
      <w:proofErr w:type="gramEnd"/>
      <w:r>
        <w:rPr>
          <w:rFonts w:cs="Times New Roman"/>
          <w:szCs w:val="24"/>
        </w:rPr>
        <w:t xml:space="preserve"> 1823. 21 U.S. 1.</w:t>
      </w:r>
    </w:p>
    <w:p w:rsidR="005F67DF" w:rsidRPr="00E6676F" w:rsidRDefault="005F67DF" w:rsidP="005F67DF">
      <w:pPr>
        <w:spacing w:line="480" w:lineRule="auto"/>
        <w:ind w:hanging="720"/>
        <w:contextualSpacing/>
        <w:rPr>
          <w:rFonts w:cs="Times New Roman"/>
          <w:szCs w:val="24"/>
        </w:rPr>
      </w:pPr>
      <w:proofErr w:type="spellStart"/>
      <w:proofErr w:type="gramStart"/>
      <w:r w:rsidRPr="00E6676F">
        <w:rPr>
          <w:rFonts w:cs="Times New Roman"/>
          <w:i/>
          <w:szCs w:val="24"/>
        </w:rPr>
        <w:t>Grutter</w:t>
      </w:r>
      <w:proofErr w:type="spellEnd"/>
      <w:r w:rsidRPr="00E6676F">
        <w:rPr>
          <w:rFonts w:cs="Times New Roman"/>
          <w:i/>
          <w:szCs w:val="24"/>
        </w:rPr>
        <w:t xml:space="preserve"> v. Bollinger</w:t>
      </w:r>
      <w:r>
        <w:rPr>
          <w:rFonts w:cs="Times New Roman"/>
          <w:szCs w:val="24"/>
        </w:rPr>
        <w:t>.</w:t>
      </w:r>
      <w:proofErr w:type="gramEnd"/>
      <w:r>
        <w:rPr>
          <w:rFonts w:cs="Times New Roman"/>
          <w:szCs w:val="24"/>
        </w:rPr>
        <w:t xml:space="preserve"> 2003. 539 U.S. 306.</w:t>
      </w:r>
    </w:p>
    <w:p w:rsidR="005F67DF" w:rsidRPr="00E6676F" w:rsidRDefault="005F67DF" w:rsidP="005F67DF">
      <w:pPr>
        <w:spacing w:line="480" w:lineRule="auto"/>
        <w:ind w:hanging="720"/>
        <w:contextualSpacing/>
        <w:rPr>
          <w:rFonts w:cs="Times New Roman"/>
          <w:iCs/>
          <w:szCs w:val="24"/>
        </w:rPr>
      </w:pPr>
      <w:proofErr w:type="spellStart"/>
      <w:proofErr w:type="gramStart"/>
      <w:r>
        <w:rPr>
          <w:rFonts w:cs="Times New Roman"/>
          <w:i/>
          <w:iCs/>
          <w:szCs w:val="24"/>
        </w:rPr>
        <w:t>Hamdan</w:t>
      </w:r>
      <w:proofErr w:type="spellEnd"/>
      <w:r>
        <w:rPr>
          <w:rFonts w:cs="Times New Roman"/>
          <w:i/>
          <w:iCs/>
          <w:szCs w:val="24"/>
        </w:rPr>
        <w:t xml:space="preserve"> v. Rumsfeld.</w:t>
      </w:r>
      <w:proofErr w:type="gramEnd"/>
      <w:r>
        <w:rPr>
          <w:rFonts w:cs="Times New Roman"/>
          <w:i/>
          <w:iCs/>
          <w:szCs w:val="24"/>
        </w:rPr>
        <w:t xml:space="preserve"> </w:t>
      </w:r>
      <w:r>
        <w:rPr>
          <w:rFonts w:cs="Times New Roman"/>
          <w:iCs/>
          <w:szCs w:val="24"/>
        </w:rPr>
        <w:t>2006. 548 U.S. 557.</w:t>
      </w:r>
    </w:p>
    <w:p w:rsidR="005F67DF" w:rsidRPr="00E6676F" w:rsidRDefault="005F67DF" w:rsidP="005F67DF">
      <w:pPr>
        <w:spacing w:line="480" w:lineRule="auto"/>
        <w:ind w:hanging="720"/>
        <w:contextualSpacing/>
        <w:rPr>
          <w:rFonts w:cs="Times New Roman"/>
          <w:szCs w:val="24"/>
        </w:rPr>
      </w:pPr>
      <w:proofErr w:type="gramStart"/>
      <w:r w:rsidRPr="00E6676F">
        <w:rPr>
          <w:rFonts w:cs="Times New Roman"/>
          <w:i/>
          <w:szCs w:val="24"/>
        </w:rPr>
        <w:t>Hill v. United States</w:t>
      </w:r>
      <w:r>
        <w:rPr>
          <w:rFonts w:cs="Times New Roman"/>
          <w:szCs w:val="24"/>
        </w:rPr>
        <w:t>.</w:t>
      </w:r>
      <w:proofErr w:type="gramEnd"/>
      <w:r>
        <w:rPr>
          <w:rFonts w:cs="Times New Roman"/>
          <w:szCs w:val="24"/>
        </w:rPr>
        <w:t xml:space="preserve"> 2011. 567 U.S. __, 132 S. Ct. 2321, Docket No. 11-5721.</w:t>
      </w:r>
    </w:p>
    <w:p w:rsidR="005F67DF" w:rsidRPr="00E6676F" w:rsidRDefault="005F67DF" w:rsidP="005F67DF">
      <w:pPr>
        <w:spacing w:line="480" w:lineRule="auto"/>
        <w:ind w:hanging="720"/>
        <w:contextualSpacing/>
        <w:rPr>
          <w:rFonts w:cs="Times New Roman"/>
          <w:iCs/>
          <w:szCs w:val="24"/>
        </w:rPr>
      </w:pPr>
      <w:proofErr w:type="gramStart"/>
      <w:r>
        <w:rPr>
          <w:rFonts w:cs="Times New Roman"/>
          <w:i/>
          <w:iCs/>
          <w:szCs w:val="24"/>
        </w:rPr>
        <w:t>Hollingsworth v. Perry</w:t>
      </w:r>
      <w:r>
        <w:rPr>
          <w:rFonts w:cs="Times New Roman"/>
          <w:iCs/>
          <w:szCs w:val="24"/>
        </w:rPr>
        <w:t>.</w:t>
      </w:r>
      <w:proofErr w:type="gramEnd"/>
      <w:r>
        <w:rPr>
          <w:rFonts w:cs="Times New Roman"/>
          <w:iCs/>
          <w:szCs w:val="24"/>
        </w:rPr>
        <w:t xml:space="preserve"> 2013. 570 U.S. __, 133 S. Ct. 2652, Docket No. 12-144.</w:t>
      </w:r>
    </w:p>
    <w:p w:rsidR="005F67DF" w:rsidRPr="00E6676F" w:rsidRDefault="005F67DF" w:rsidP="005F67DF">
      <w:pPr>
        <w:spacing w:line="480" w:lineRule="auto"/>
        <w:ind w:hanging="720"/>
        <w:contextualSpacing/>
        <w:rPr>
          <w:rFonts w:cs="Times New Roman"/>
          <w:szCs w:val="24"/>
        </w:rPr>
      </w:pPr>
      <w:proofErr w:type="gramStart"/>
      <w:r w:rsidRPr="00E6676F">
        <w:rPr>
          <w:rFonts w:cs="Times New Roman"/>
          <w:i/>
          <w:szCs w:val="24"/>
        </w:rPr>
        <w:t>Hudson v. Michigan</w:t>
      </w:r>
      <w:r>
        <w:rPr>
          <w:rFonts w:cs="Times New Roman"/>
          <w:szCs w:val="24"/>
        </w:rPr>
        <w:t>.</w:t>
      </w:r>
      <w:proofErr w:type="gramEnd"/>
      <w:r>
        <w:rPr>
          <w:rFonts w:cs="Times New Roman"/>
          <w:szCs w:val="24"/>
        </w:rPr>
        <w:t xml:space="preserve"> 2006. 547 U.S. 586.</w:t>
      </w:r>
    </w:p>
    <w:p w:rsidR="005F67DF" w:rsidRPr="00E6676F" w:rsidRDefault="005F67DF" w:rsidP="005F67DF">
      <w:pPr>
        <w:spacing w:line="480" w:lineRule="auto"/>
        <w:ind w:hanging="720"/>
        <w:contextualSpacing/>
        <w:rPr>
          <w:rFonts w:cs="Times New Roman"/>
          <w:szCs w:val="24"/>
        </w:rPr>
      </w:pPr>
      <w:proofErr w:type="spellStart"/>
      <w:proofErr w:type="gramStart"/>
      <w:r w:rsidRPr="00E6676F">
        <w:rPr>
          <w:rFonts w:cs="Times New Roman"/>
          <w:i/>
          <w:szCs w:val="24"/>
        </w:rPr>
        <w:t>Jaffee</w:t>
      </w:r>
      <w:proofErr w:type="spellEnd"/>
      <w:r w:rsidRPr="00E6676F">
        <w:rPr>
          <w:rFonts w:cs="Times New Roman"/>
          <w:i/>
          <w:szCs w:val="24"/>
        </w:rPr>
        <w:t xml:space="preserve"> v. Redmond</w:t>
      </w:r>
      <w:r>
        <w:rPr>
          <w:rFonts w:cs="Times New Roman"/>
          <w:szCs w:val="24"/>
        </w:rPr>
        <w:t>.</w:t>
      </w:r>
      <w:proofErr w:type="gramEnd"/>
      <w:r>
        <w:rPr>
          <w:rFonts w:cs="Times New Roman"/>
          <w:szCs w:val="24"/>
        </w:rPr>
        <w:t xml:space="preserve"> 1996. </w:t>
      </w:r>
      <w:r w:rsidRPr="00E6676F">
        <w:rPr>
          <w:rFonts w:cs="Times New Roman"/>
          <w:szCs w:val="24"/>
        </w:rPr>
        <w:t>518 U.S. 1</w:t>
      </w:r>
      <w:r>
        <w:rPr>
          <w:rFonts w:cs="Times New Roman"/>
          <w:szCs w:val="24"/>
        </w:rPr>
        <w:t>.</w:t>
      </w:r>
    </w:p>
    <w:p w:rsidR="005F67DF" w:rsidRPr="00E6676F" w:rsidRDefault="005F67DF" w:rsidP="005F67DF">
      <w:pPr>
        <w:spacing w:line="480" w:lineRule="auto"/>
        <w:ind w:hanging="720"/>
        <w:contextualSpacing/>
        <w:rPr>
          <w:rFonts w:cs="Times New Roman"/>
          <w:b/>
          <w:szCs w:val="24"/>
        </w:rPr>
      </w:pPr>
      <w:proofErr w:type="gramStart"/>
      <w:r w:rsidRPr="00E6676F">
        <w:rPr>
          <w:rFonts w:cs="Times New Roman"/>
          <w:i/>
          <w:szCs w:val="24"/>
        </w:rPr>
        <w:t>Jones v. Flowers</w:t>
      </w:r>
      <w:r>
        <w:rPr>
          <w:rFonts w:cs="Times New Roman"/>
          <w:szCs w:val="24"/>
        </w:rPr>
        <w:t>.</w:t>
      </w:r>
      <w:proofErr w:type="gramEnd"/>
      <w:r>
        <w:rPr>
          <w:rFonts w:cs="Times New Roman"/>
          <w:szCs w:val="24"/>
        </w:rPr>
        <w:t xml:space="preserve"> 2006. 547 U.S. 220.</w:t>
      </w:r>
    </w:p>
    <w:p w:rsidR="005F67DF" w:rsidRPr="00E6676F" w:rsidRDefault="005F67DF" w:rsidP="005F67DF">
      <w:pPr>
        <w:spacing w:line="480" w:lineRule="auto"/>
        <w:ind w:hanging="720"/>
        <w:contextualSpacing/>
        <w:rPr>
          <w:rFonts w:cs="Times New Roman"/>
          <w:szCs w:val="24"/>
        </w:rPr>
      </w:pPr>
      <w:proofErr w:type="gramStart"/>
      <w:r>
        <w:rPr>
          <w:rFonts w:cs="Times New Roman"/>
          <w:i/>
          <w:szCs w:val="24"/>
        </w:rPr>
        <w:t>Kennedy v. Louisiana.</w:t>
      </w:r>
      <w:proofErr w:type="gramEnd"/>
      <w:r>
        <w:rPr>
          <w:rFonts w:cs="Times New Roman"/>
          <w:i/>
          <w:szCs w:val="24"/>
        </w:rPr>
        <w:t xml:space="preserve"> </w:t>
      </w:r>
      <w:r>
        <w:rPr>
          <w:rFonts w:cs="Times New Roman"/>
          <w:szCs w:val="24"/>
        </w:rPr>
        <w:t>2008. 554 U.S. 407.</w:t>
      </w:r>
    </w:p>
    <w:p w:rsidR="005F67DF" w:rsidRDefault="005F67DF" w:rsidP="005F67DF">
      <w:pPr>
        <w:spacing w:line="480" w:lineRule="auto"/>
        <w:ind w:hanging="720"/>
        <w:contextualSpacing/>
        <w:rPr>
          <w:rFonts w:cs="Times New Roman"/>
          <w:szCs w:val="24"/>
        </w:rPr>
      </w:pPr>
      <w:proofErr w:type="spellStart"/>
      <w:proofErr w:type="gramStart"/>
      <w:r>
        <w:rPr>
          <w:rFonts w:cs="Times New Roman"/>
          <w:i/>
          <w:szCs w:val="24"/>
        </w:rPr>
        <w:t>Kiobel</w:t>
      </w:r>
      <w:proofErr w:type="spellEnd"/>
      <w:r>
        <w:rPr>
          <w:rFonts w:cs="Times New Roman"/>
          <w:i/>
          <w:szCs w:val="24"/>
        </w:rPr>
        <w:t xml:space="preserve"> v. Royal Dutch Petroleum</w:t>
      </w:r>
      <w:r w:rsidRPr="00E6676F">
        <w:rPr>
          <w:rFonts w:cs="Times New Roman"/>
          <w:i/>
          <w:szCs w:val="24"/>
        </w:rPr>
        <w:t xml:space="preserve"> Co. </w:t>
      </w:r>
      <w:r>
        <w:rPr>
          <w:rFonts w:cs="Times New Roman"/>
          <w:szCs w:val="24"/>
        </w:rPr>
        <w:t>2013.</w:t>
      </w:r>
      <w:proofErr w:type="gramEnd"/>
      <w:r>
        <w:rPr>
          <w:rFonts w:cs="Times New Roman"/>
          <w:szCs w:val="24"/>
        </w:rPr>
        <w:t xml:space="preserve"> </w:t>
      </w:r>
      <w:proofErr w:type="gramStart"/>
      <w:r>
        <w:rPr>
          <w:rFonts w:cs="Times New Roman"/>
          <w:szCs w:val="24"/>
        </w:rPr>
        <w:t>569 U.S. __, 133 S. Ct. 1659.</w:t>
      </w:r>
      <w:proofErr w:type="gramEnd"/>
    </w:p>
    <w:p w:rsidR="005F67DF" w:rsidRDefault="005F67DF" w:rsidP="005F67DF">
      <w:pPr>
        <w:spacing w:line="480" w:lineRule="auto"/>
        <w:ind w:hanging="720"/>
        <w:contextualSpacing/>
        <w:rPr>
          <w:rFonts w:cs="Times New Roman"/>
          <w:szCs w:val="24"/>
        </w:rPr>
      </w:pPr>
      <w:proofErr w:type="gramStart"/>
      <w:r>
        <w:rPr>
          <w:rFonts w:cs="Times New Roman"/>
          <w:i/>
          <w:szCs w:val="24"/>
        </w:rPr>
        <w:t>Lawrence v. Texas.</w:t>
      </w:r>
      <w:proofErr w:type="gramEnd"/>
      <w:r>
        <w:rPr>
          <w:rFonts w:cs="Times New Roman"/>
          <w:i/>
          <w:szCs w:val="24"/>
        </w:rPr>
        <w:t xml:space="preserve"> </w:t>
      </w:r>
      <w:r>
        <w:rPr>
          <w:rFonts w:cs="Times New Roman"/>
          <w:szCs w:val="24"/>
        </w:rPr>
        <w:t>2003. 539 U.S. 558.</w:t>
      </w:r>
    </w:p>
    <w:p w:rsidR="005F67DF" w:rsidRDefault="005F67DF" w:rsidP="005F67DF">
      <w:pPr>
        <w:spacing w:line="480" w:lineRule="auto"/>
        <w:ind w:hanging="720"/>
        <w:contextualSpacing/>
        <w:rPr>
          <w:rFonts w:cs="Times New Roman"/>
          <w:szCs w:val="24"/>
        </w:rPr>
      </w:pPr>
      <w:proofErr w:type="spellStart"/>
      <w:proofErr w:type="gramStart"/>
      <w:r w:rsidRPr="00E6676F">
        <w:rPr>
          <w:rFonts w:cs="Times New Roman"/>
          <w:i/>
          <w:szCs w:val="24"/>
        </w:rPr>
        <w:t>Mapp</w:t>
      </w:r>
      <w:proofErr w:type="spellEnd"/>
      <w:r>
        <w:rPr>
          <w:rFonts w:cs="Times New Roman"/>
          <w:i/>
          <w:szCs w:val="24"/>
        </w:rPr>
        <w:t xml:space="preserve"> v. </w:t>
      </w:r>
      <w:r w:rsidRPr="003D1CA3">
        <w:rPr>
          <w:rFonts w:cs="Times New Roman"/>
          <w:szCs w:val="24"/>
        </w:rPr>
        <w:t>Ohio</w:t>
      </w:r>
      <w:r>
        <w:rPr>
          <w:rFonts w:cs="Times New Roman"/>
          <w:szCs w:val="24"/>
        </w:rPr>
        <w:t>.</w:t>
      </w:r>
      <w:proofErr w:type="gramEnd"/>
      <w:r>
        <w:rPr>
          <w:rFonts w:cs="Times New Roman"/>
          <w:szCs w:val="24"/>
        </w:rPr>
        <w:t xml:space="preserve"> </w:t>
      </w:r>
      <w:r w:rsidRPr="003D1CA3">
        <w:rPr>
          <w:rFonts w:cs="Times New Roman"/>
          <w:szCs w:val="24"/>
        </w:rPr>
        <w:t>1961</w:t>
      </w:r>
      <w:r>
        <w:rPr>
          <w:rFonts w:cs="Times New Roman"/>
          <w:szCs w:val="24"/>
        </w:rPr>
        <w:t>. 367 U.S. 643.</w:t>
      </w:r>
    </w:p>
    <w:p w:rsidR="005F67DF" w:rsidRPr="00E6676F" w:rsidRDefault="005F67DF" w:rsidP="005F67DF">
      <w:pPr>
        <w:spacing w:line="480" w:lineRule="auto"/>
        <w:ind w:hanging="720"/>
        <w:contextualSpacing/>
        <w:rPr>
          <w:rFonts w:cs="Times New Roman"/>
          <w:szCs w:val="24"/>
        </w:rPr>
      </w:pPr>
      <w:proofErr w:type="gramStart"/>
      <w:r w:rsidRPr="00E6676F">
        <w:rPr>
          <w:rFonts w:eastAsia="Calibri" w:cs="Times New Roman"/>
          <w:i/>
          <w:szCs w:val="24"/>
        </w:rPr>
        <w:t>Marbury v. Madison</w:t>
      </w:r>
      <w:r>
        <w:rPr>
          <w:rFonts w:eastAsia="Calibri" w:cs="Times New Roman"/>
          <w:szCs w:val="24"/>
        </w:rPr>
        <w:t>.</w:t>
      </w:r>
      <w:proofErr w:type="gramEnd"/>
      <w:r>
        <w:rPr>
          <w:rFonts w:eastAsia="Calibri" w:cs="Times New Roman"/>
          <w:szCs w:val="24"/>
        </w:rPr>
        <w:t xml:space="preserve"> 1803. 5 U.S. 137.</w:t>
      </w:r>
    </w:p>
    <w:p w:rsidR="005F67DF" w:rsidRPr="00E6676F" w:rsidRDefault="005F67DF" w:rsidP="005F67DF">
      <w:pPr>
        <w:spacing w:line="480" w:lineRule="auto"/>
        <w:ind w:hanging="720"/>
        <w:contextualSpacing/>
        <w:rPr>
          <w:rFonts w:cs="Times New Roman"/>
          <w:szCs w:val="24"/>
        </w:rPr>
      </w:pPr>
      <w:proofErr w:type="gramStart"/>
      <w:r>
        <w:rPr>
          <w:rFonts w:cs="Times New Roman"/>
          <w:i/>
          <w:szCs w:val="24"/>
        </w:rPr>
        <w:t xml:space="preserve">Maryland v. </w:t>
      </w:r>
      <w:r w:rsidRPr="003D1CA3">
        <w:rPr>
          <w:rFonts w:cs="Times New Roman"/>
          <w:szCs w:val="24"/>
        </w:rPr>
        <w:t>King</w:t>
      </w:r>
      <w:r>
        <w:rPr>
          <w:rFonts w:cs="Times New Roman"/>
          <w:szCs w:val="24"/>
        </w:rPr>
        <w:t>.</w:t>
      </w:r>
      <w:proofErr w:type="gramEnd"/>
      <w:r>
        <w:rPr>
          <w:rFonts w:cs="Times New Roman"/>
          <w:szCs w:val="24"/>
        </w:rPr>
        <w:t xml:space="preserve"> </w:t>
      </w:r>
      <w:r w:rsidRPr="003D1CA3">
        <w:rPr>
          <w:rFonts w:cs="Times New Roman"/>
          <w:szCs w:val="24"/>
        </w:rPr>
        <w:t>2013</w:t>
      </w:r>
      <w:r>
        <w:rPr>
          <w:rFonts w:cs="Times New Roman"/>
          <w:szCs w:val="24"/>
        </w:rPr>
        <w:t>. 569 U.S. __, 133 S. Ct. 1958.</w:t>
      </w:r>
    </w:p>
    <w:p w:rsidR="005F67DF" w:rsidRPr="00E6676F" w:rsidRDefault="005F67DF" w:rsidP="005F67DF">
      <w:pPr>
        <w:spacing w:line="480" w:lineRule="auto"/>
        <w:ind w:hanging="720"/>
        <w:contextualSpacing/>
        <w:rPr>
          <w:rFonts w:eastAsia="Calibri" w:cs="Times New Roman"/>
          <w:szCs w:val="24"/>
        </w:rPr>
      </w:pPr>
      <w:proofErr w:type="gramStart"/>
      <w:r w:rsidRPr="00E6676F">
        <w:rPr>
          <w:rFonts w:eastAsia="Calibri" w:cs="Times New Roman"/>
          <w:i/>
          <w:szCs w:val="24"/>
        </w:rPr>
        <w:t>McCulloch v. Maryland</w:t>
      </w:r>
      <w:r>
        <w:rPr>
          <w:rFonts w:eastAsia="Calibri" w:cs="Times New Roman"/>
          <w:szCs w:val="24"/>
        </w:rPr>
        <w:t>.</w:t>
      </w:r>
      <w:proofErr w:type="gramEnd"/>
      <w:r>
        <w:rPr>
          <w:rFonts w:eastAsia="Calibri" w:cs="Times New Roman"/>
          <w:szCs w:val="24"/>
        </w:rPr>
        <w:t xml:space="preserve"> 1819. 17 U.S. 316.</w:t>
      </w:r>
    </w:p>
    <w:p w:rsidR="005F67DF" w:rsidRPr="003D1CA3" w:rsidRDefault="005F67DF" w:rsidP="005F67DF">
      <w:pPr>
        <w:spacing w:line="480" w:lineRule="auto"/>
        <w:ind w:hanging="720"/>
        <w:contextualSpacing/>
        <w:rPr>
          <w:rFonts w:cs="Times New Roman"/>
          <w:iCs/>
          <w:szCs w:val="24"/>
        </w:rPr>
      </w:pPr>
      <w:proofErr w:type="gramStart"/>
      <w:r w:rsidRPr="003D1CA3">
        <w:rPr>
          <w:rFonts w:cs="Times New Roman"/>
          <w:i/>
          <w:iCs/>
          <w:szCs w:val="24"/>
        </w:rPr>
        <w:t>McDonald v. City of Chicago.</w:t>
      </w:r>
      <w:proofErr w:type="gramEnd"/>
      <w:r w:rsidRPr="003D1CA3">
        <w:rPr>
          <w:rFonts w:cs="Times New Roman"/>
          <w:i/>
          <w:iCs/>
          <w:szCs w:val="24"/>
        </w:rPr>
        <w:t xml:space="preserve"> </w:t>
      </w:r>
      <w:r w:rsidRPr="003D1CA3">
        <w:rPr>
          <w:rFonts w:cs="Times New Roman"/>
          <w:iCs/>
          <w:szCs w:val="24"/>
        </w:rPr>
        <w:t>2010. 561 U.S. 3025.</w:t>
      </w:r>
    </w:p>
    <w:p w:rsidR="005F67DF" w:rsidRPr="003D1CA3" w:rsidRDefault="005F67DF" w:rsidP="005F67DF">
      <w:pPr>
        <w:spacing w:line="480" w:lineRule="auto"/>
        <w:ind w:hanging="720"/>
        <w:contextualSpacing/>
        <w:rPr>
          <w:rFonts w:cs="Times New Roman"/>
          <w:szCs w:val="24"/>
        </w:rPr>
      </w:pPr>
      <w:proofErr w:type="gramStart"/>
      <w:r w:rsidRPr="003D1CA3">
        <w:rPr>
          <w:rFonts w:cs="Times New Roman"/>
          <w:i/>
          <w:szCs w:val="24"/>
        </w:rPr>
        <w:t>Medellin v. Texas</w:t>
      </w:r>
      <w:r w:rsidRPr="003D1CA3">
        <w:rPr>
          <w:rFonts w:cs="Times New Roman"/>
          <w:szCs w:val="24"/>
        </w:rPr>
        <w:t>.</w:t>
      </w:r>
      <w:proofErr w:type="gramEnd"/>
      <w:r w:rsidRPr="003D1CA3">
        <w:rPr>
          <w:rFonts w:cs="Times New Roman"/>
          <w:szCs w:val="24"/>
        </w:rPr>
        <w:t xml:space="preserve"> 2008. 552 U.S. 491.</w:t>
      </w:r>
    </w:p>
    <w:p w:rsidR="00A3683C" w:rsidRDefault="005F67DF" w:rsidP="00A3683C">
      <w:pPr>
        <w:spacing w:line="480" w:lineRule="auto"/>
        <w:ind w:left="0" w:firstLine="0"/>
        <w:contextualSpacing/>
        <w:rPr>
          <w:rFonts w:cs="Times New Roman"/>
          <w:szCs w:val="24"/>
        </w:rPr>
      </w:pPr>
      <w:proofErr w:type="gramStart"/>
      <w:r>
        <w:rPr>
          <w:rFonts w:cs="Times New Roman"/>
          <w:i/>
          <w:szCs w:val="24"/>
        </w:rPr>
        <w:t>Metromedia, Inc. v. San Diego.</w:t>
      </w:r>
      <w:proofErr w:type="gramEnd"/>
      <w:r>
        <w:rPr>
          <w:rFonts w:cs="Times New Roman"/>
          <w:i/>
          <w:szCs w:val="24"/>
        </w:rPr>
        <w:t xml:space="preserve"> </w:t>
      </w:r>
      <w:r>
        <w:rPr>
          <w:rFonts w:cs="Times New Roman"/>
          <w:szCs w:val="24"/>
        </w:rPr>
        <w:t>1981. 453 U.S. 490.</w:t>
      </w:r>
    </w:p>
    <w:p w:rsidR="005F67DF" w:rsidRPr="003D1CA3" w:rsidRDefault="005F67DF" w:rsidP="00A3683C">
      <w:pPr>
        <w:spacing w:line="480" w:lineRule="auto"/>
        <w:ind w:left="0" w:firstLine="0"/>
        <w:contextualSpacing/>
        <w:rPr>
          <w:rFonts w:cs="Times New Roman"/>
          <w:szCs w:val="24"/>
        </w:rPr>
      </w:pPr>
      <w:proofErr w:type="gramStart"/>
      <w:r w:rsidRPr="003D1CA3">
        <w:rPr>
          <w:rFonts w:cs="Times New Roman"/>
          <w:i/>
          <w:szCs w:val="24"/>
        </w:rPr>
        <w:lastRenderedPageBreak/>
        <w:t>Microsoft v. i4i Limited Partnership</w:t>
      </w:r>
      <w:r>
        <w:rPr>
          <w:rFonts w:cs="Times New Roman"/>
          <w:szCs w:val="24"/>
        </w:rPr>
        <w:t>.</w:t>
      </w:r>
      <w:proofErr w:type="gramEnd"/>
      <w:r>
        <w:rPr>
          <w:rFonts w:cs="Times New Roman"/>
          <w:szCs w:val="24"/>
        </w:rPr>
        <w:t xml:space="preserve"> 2011. 564 U.S. __, 131 S. Ct. 2238.</w:t>
      </w:r>
    </w:p>
    <w:p w:rsidR="005F67DF" w:rsidRPr="003D1CA3" w:rsidRDefault="005F67DF" w:rsidP="005F67DF">
      <w:pPr>
        <w:spacing w:line="480" w:lineRule="auto"/>
        <w:ind w:hanging="720"/>
        <w:contextualSpacing/>
        <w:rPr>
          <w:rFonts w:cs="Times New Roman"/>
          <w:szCs w:val="24"/>
        </w:rPr>
      </w:pPr>
      <w:proofErr w:type="gramStart"/>
      <w:r>
        <w:rPr>
          <w:rFonts w:cs="Times New Roman"/>
          <w:i/>
          <w:szCs w:val="24"/>
        </w:rPr>
        <w:t>Miller v. Alabama</w:t>
      </w:r>
      <w:r>
        <w:rPr>
          <w:rFonts w:cs="Times New Roman"/>
          <w:szCs w:val="24"/>
        </w:rPr>
        <w:t>.</w:t>
      </w:r>
      <w:proofErr w:type="gramEnd"/>
      <w:r>
        <w:rPr>
          <w:rFonts w:cs="Times New Roman"/>
          <w:szCs w:val="24"/>
        </w:rPr>
        <w:t xml:space="preserve"> 2012. 567 U.S. __, 132 S. Ct. 2455.</w:t>
      </w:r>
    </w:p>
    <w:p w:rsidR="005F67DF" w:rsidRPr="003D1CA3" w:rsidRDefault="005F67DF" w:rsidP="005F67DF">
      <w:pPr>
        <w:spacing w:line="480" w:lineRule="auto"/>
        <w:ind w:hanging="720"/>
        <w:contextualSpacing/>
        <w:rPr>
          <w:rFonts w:cs="Times New Roman"/>
          <w:szCs w:val="24"/>
        </w:rPr>
      </w:pPr>
      <w:proofErr w:type="spellStart"/>
      <w:proofErr w:type="gramStart"/>
      <w:r w:rsidRPr="003D1CA3">
        <w:rPr>
          <w:rFonts w:cs="Times New Roman"/>
          <w:i/>
          <w:szCs w:val="24"/>
        </w:rPr>
        <w:t>Minneci</w:t>
      </w:r>
      <w:proofErr w:type="spellEnd"/>
      <w:r w:rsidRPr="003D1CA3">
        <w:rPr>
          <w:rFonts w:cs="Times New Roman"/>
          <w:i/>
          <w:szCs w:val="24"/>
        </w:rPr>
        <w:t xml:space="preserve"> v. Pollard</w:t>
      </w:r>
      <w:r w:rsidRPr="003D1CA3">
        <w:rPr>
          <w:rFonts w:cs="Times New Roman"/>
          <w:szCs w:val="24"/>
        </w:rPr>
        <w:t>.</w:t>
      </w:r>
      <w:proofErr w:type="gramEnd"/>
      <w:r w:rsidRPr="003D1CA3">
        <w:rPr>
          <w:rFonts w:cs="Times New Roman"/>
          <w:szCs w:val="24"/>
        </w:rPr>
        <w:t xml:space="preserve"> 2012. 565 U.S.</w:t>
      </w:r>
      <w:r>
        <w:rPr>
          <w:rFonts w:cs="Times New Roman"/>
          <w:szCs w:val="24"/>
        </w:rPr>
        <w:t xml:space="preserve"> __, 132 S. Ct. 617.</w:t>
      </w:r>
    </w:p>
    <w:p w:rsidR="005F67DF" w:rsidRPr="00E6676F" w:rsidRDefault="005F67DF" w:rsidP="005F67DF">
      <w:pPr>
        <w:spacing w:line="480" w:lineRule="auto"/>
        <w:ind w:hanging="720"/>
        <w:contextualSpacing/>
        <w:rPr>
          <w:rFonts w:cs="Times New Roman"/>
          <w:szCs w:val="24"/>
        </w:rPr>
      </w:pPr>
      <w:proofErr w:type="gramStart"/>
      <w:r w:rsidRPr="00E6676F">
        <w:rPr>
          <w:rFonts w:cs="Times New Roman"/>
          <w:i/>
          <w:szCs w:val="24"/>
        </w:rPr>
        <w:t>Missouri v. McNeely</w:t>
      </w:r>
      <w:r>
        <w:rPr>
          <w:rFonts w:cs="Times New Roman"/>
          <w:szCs w:val="24"/>
        </w:rPr>
        <w:t>.</w:t>
      </w:r>
      <w:proofErr w:type="gramEnd"/>
      <w:r>
        <w:rPr>
          <w:rFonts w:cs="Times New Roman"/>
          <w:szCs w:val="24"/>
        </w:rPr>
        <w:t xml:space="preserve"> 2013. 133 S. Ct. 832.</w:t>
      </w:r>
    </w:p>
    <w:p w:rsidR="005F67DF" w:rsidRPr="00B15B7C" w:rsidRDefault="005F67DF" w:rsidP="005F67DF">
      <w:pPr>
        <w:spacing w:line="480" w:lineRule="auto"/>
        <w:ind w:hanging="720"/>
        <w:contextualSpacing/>
        <w:rPr>
          <w:rFonts w:cs="Times New Roman"/>
          <w:szCs w:val="24"/>
        </w:rPr>
      </w:pPr>
      <w:proofErr w:type="gramStart"/>
      <w:r w:rsidRPr="00B15B7C">
        <w:rPr>
          <w:rFonts w:cs="Times New Roman"/>
          <w:i/>
          <w:szCs w:val="24"/>
        </w:rPr>
        <w:t>Morrison v. National Australia Bank Ltd.</w:t>
      </w:r>
      <w:r>
        <w:rPr>
          <w:rFonts w:cs="Times New Roman"/>
          <w:szCs w:val="24"/>
        </w:rPr>
        <w:t xml:space="preserve"> 2010.</w:t>
      </w:r>
      <w:proofErr w:type="gramEnd"/>
      <w:r>
        <w:rPr>
          <w:rFonts w:cs="Times New Roman"/>
          <w:szCs w:val="24"/>
        </w:rPr>
        <w:t xml:space="preserve"> </w:t>
      </w:r>
      <w:proofErr w:type="gramStart"/>
      <w:r>
        <w:rPr>
          <w:rFonts w:cs="Times New Roman"/>
          <w:szCs w:val="24"/>
        </w:rPr>
        <w:t>561 U.S.</w:t>
      </w:r>
      <w:proofErr w:type="gramEnd"/>
      <w:r>
        <w:rPr>
          <w:rFonts w:cs="Times New Roman"/>
          <w:szCs w:val="24"/>
        </w:rPr>
        <w:t xml:space="preserve">  </w:t>
      </w:r>
      <w:proofErr w:type="gramStart"/>
      <w:r>
        <w:rPr>
          <w:rFonts w:cs="Times New Roman"/>
          <w:szCs w:val="24"/>
        </w:rPr>
        <w:t>__, 130 S. Ct. 2869.</w:t>
      </w:r>
      <w:proofErr w:type="gramEnd"/>
    </w:p>
    <w:p w:rsidR="005F67DF" w:rsidRPr="00B15B7C" w:rsidRDefault="005F67DF" w:rsidP="005F67DF">
      <w:pPr>
        <w:spacing w:line="480" w:lineRule="auto"/>
        <w:ind w:hanging="720"/>
        <w:contextualSpacing/>
        <w:rPr>
          <w:rFonts w:cs="Times New Roman"/>
          <w:szCs w:val="24"/>
        </w:rPr>
      </w:pPr>
      <w:proofErr w:type="gramStart"/>
      <w:r>
        <w:rPr>
          <w:rFonts w:cs="Times New Roman"/>
          <w:i/>
          <w:szCs w:val="24"/>
        </w:rPr>
        <w:t>Morse v. Frederick</w:t>
      </w:r>
      <w:r>
        <w:rPr>
          <w:rFonts w:cs="Times New Roman"/>
          <w:szCs w:val="24"/>
        </w:rPr>
        <w:t>.</w:t>
      </w:r>
      <w:proofErr w:type="gramEnd"/>
      <w:r>
        <w:rPr>
          <w:rFonts w:cs="Times New Roman"/>
          <w:szCs w:val="24"/>
        </w:rPr>
        <w:t xml:space="preserve"> 2007. 551 U.S. 393.</w:t>
      </w:r>
    </w:p>
    <w:p w:rsidR="005F67DF" w:rsidRPr="006A0B48" w:rsidRDefault="005F67DF" w:rsidP="005F67DF">
      <w:pPr>
        <w:spacing w:line="480" w:lineRule="auto"/>
        <w:ind w:hanging="720"/>
        <w:contextualSpacing/>
        <w:rPr>
          <w:rFonts w:cs="Times New Roman"/>
          <w:szCs w:val="24"/>
        </w:rPr>
      </w:pPr>
      <w:proofErr w:type="gramStart"/>
      <w:r>
        <w:rPr>
          <w:rFonts w:cs="Times New Roman"/>
          <w:i/>
          <w:szCs w:val="24"/>
        </w:rPr>
        <w:t>Muller v. Oregon</w:t>
      </w:r>
      <w:r>
        <w:rPr>
          <w:rFonts w:cs="Times New Roman"/>
          <w:szCs w:val="24"/>
        </w:rPr>
        <w:t>.</w:t>
      </w:r>
      <w:proofErr w:type="gramEnd"/>
      <w:r>
        <w:rPr>
          <w:rFonts w:cs="Times New Roman"/>
          <w:szCs w:val="24"/>
        </w:rPr>
        <w:t xml:space="preserve"> 1908. 208 U.S. 412.</w:t>
      </w:r>
    </w:p>
    <w:p w:rsidR="005F67DF" w:rsidRDefault="005F67DF" w:rsidP="005F67DF">
      <w:pPr>
        <w:ind w:hanging="720"/>
        <w:contextualSpacing/>
        <w:rPr>
          <w:rFonts w:cs="Times New Roman"/>
          <w:szCs w:val="24"/>
        </w:rPr>
      </w:pPr>
      <w:proofErr w:type="gramStart"/>
      <w:r w:rsidRPr="00E6676F">
        <w:rPr>
          <w:rFonts w:cs="Times New Roman"/>
          <w:i/>
          <w:szCs w:val="24"/>
        </w:rPr>
        <w:t>National Federation of I</w:t>
      </w:r>
      <w:r>
        <w:rPr>
          <w:rFonts w:cs="Times New Roman"/>
          <w:i/>
          <w:szCs w:val="24"/>
        </w:rPr>
        <w:t xml:space="preserve">ndependent Business v. </w:t>
      </w:r>
      <w:proofErr w:type="spellStart"/>
      <w:r>
        <w:rPr>
          <w:rFonts w:cs="Times New Roman"/>
          <w:i/>
          <w:szCs w:val="24"/>
        </w:rPr>
        <w:t>Sebelius</w:t>
      </w:r>
      <w:proofErr w:type="spellEnd"/>
      <w:r>
        <w:rPr>
          <w:rFonts w:cs="Times New Roman"/>
          <w:szCs w:val="24"/>
        </w:rPr>
        <w:t>.</w:t>
      </w:r>
      <w:proofErr w:type="gramEnd"/>
      <w:r>
        <w:rPr>
          <w:rFonts w:cs="Times New Roman"/>
          <w:szCs w:val="24"/>
        </w:rPr>
        <w:t xml:space="preserve"> 2012. 567 U.S. __, 132 S. Ct. 603, Docket No. 11-393.</w:t>
      </w:r>
      <w:r w:rsidRPr="00E6676F">
        <w:rPr>
          <w:rFonts w:cs="Times New Roman"/>
          <w:szCs w:val="24"/>
        </w:rPr>
        <w:t xml:space="preserve"> </w:t>
      </w:r>
    </w:p>
    <w:p w:rsidR="005F67DF" w:rsidRPr="00E6676F" w:rsidRDefault="005F67DF" w:rsidP="005F67DF">
      <w:pPr>
        <w:ind w:hanging="720"/>
        <w:contextualSpacing/>
        <w:rPr>
          <w:rFonts w:cs="Times New Roman"/>
          <w:szCs w:val="24"/>
        </w:rPr>
      </w:pPr>
    </w:p>
    <w:p w:rsidR="005F67DF" w:rsidRPr="006A0B48" w:rsidRDefault="005F67DF" w:rsidP="005F67DF">
      <w:pPr>
        <w:spacing w:line="480" w:lineRule="auto"/>
        <w:ind w:hanging="720"/>
        <w:contextualSpacing/>
        <w:rPr>
          <w:rFonts w:cs="Times New Roman"/>
          <w:szCs w:val="24"/>
        </w:rPr>
      </w:pPr>
      <w:proofErr w:type="gramStart"/>
      <w:r w:rsidRPr="00E6676F">
        <w:rPr>
          <w:rFonts w:cs="Times New Roman"/>
          <w:i/>
          <w:szCs w:val="24"/>
        </w:rPr>
        <w:t>Nati</w:t>
      </w:r>
      <w:r>
        <w:rPr>
          <w:rFonts w:cs="Times New Roman"/>
          <w:i/>
          <w:szCs w:val="24"/>
        </w:rPr>
        <w:t>onal Meat Association v. Harris</w:t>
      </w:r>
      <w:r>
        <w:rPr>
          <w:rFonts w:cs="Times New Roman"/>
          <w:szCs w:val="24"/>
        </w:rPr>
        <w:t>.</w:t>
      </w:r>
      <w:proofErr w:type="gramEnd"/>
      <w:r>
        <w:rPr>
          <w:rFonts w:cs="Times New Roman"/>
          <w:szCs w:val="24"/>
        </w:rPr>
        <w:t xml:space="preserve"> 2012. 565 U.S. __, 132 S. Ct. 965.</w:t>
      </w:r>
    </w:p>
    <w:p w:rsidR="005F67DF" w:rsidRPr="000F6B0D" w:rsidRDefault="005F67DF" w:rsidP="005F67DF">
      <w:pPr>
        <w:spacing w:line="480" w:lineRule="auto"/>
        <w:ind w:hanging="720"/>
        <w:contextualSpacing/>
        <w:rPr>
          <w:rFonts w:cs="Times New Roman"/>
          <w:szCs w:val="24"/>
        </w:rPr>
      </w:pPr>
      <w:proofErr w:type="gramStart"/>
      <w:r w:rsidRPr="000F6B0D">
        <w:rPr>
          <w:rStyle w:val="Emphasis"/>
          <w:rFonts w:cs="Times New Roman"/>
          <w:szCs w:val="24"/>
        </w:rPr>
        <w:t xml:space="preserve">Neonatology Assocs. v. </w:t>
      </w:r>
      <w:proofErr w:type="spellStart"/>
      <w:r w:rsidRPr="000F6B0D">
        <w:rPr>
          <w:rStyle w:val="Emphasis"/>
          <w:rFonts w:cs="Times New Roman"/>
          <w:szCs w:val="24"/>
        </w:rPr>
        <w:t>Comm'r</w:t>
      </w:r>
      <w:proofErr w:type="spellEnd"/>
      <w:r w:rsidRPr="000F6B0D">
        <w:rPr>
          <w:rStyle w:val="Emphasis"/>
          <w:rFonts w:cs="Times New Roman"/>
          <w:szCs w:val="24"/>
        </w:rPr>
        <w:t xml:space="preserve"> of Internal Revenue.</w:t>
      </w:r>
      <w:proofErr w:type="gramEnd"/>
      <w:r w:rsidRPr="000F6B0D">
        <w:rPr>
          <w:rStyle w:val="Emphasis"/>
          <w:rFonts w:cs="Times New Roman"/>
          <w:szCs w:val="24"/>
        </w:rPr>
        <w:t xml:space="preserve"> </w:t>
      </w:r>
      <w:proofErr w:type="gramStart"/>
      <w:r>
        <w:rPr>
          <w:rFonts w:cs="Times New Roman"/>
          <w:szCs w:val="24"/>
        </w:rPr>
        <w:t>3d Cir. 2002.</w:t>
      </w:r>
      <w:proofErr w:type="gramEnd"/>
      <w:r>
        <w:rPr>
          <w:rFonts w:cs="Times New Roman"/>
          <w:szCs w:val="24"/>
        </w:rPr>
        <w:t xml:space="preserve"> </w:t>
      </w:r>
      <w:proofErr w:type="gramStart"/>
      <w:r>
        <w:rPr>
          <w:rFonts w:cs="Times New Roman"/>
          <w:szCs w:val="24"/>
        </w:rPr>
        <w:t>293 F.3d 128.</w:t>
      </w:r>
      <w:proofErr w:type="gramEnd"/>
    </w:p>
    <w:p w:rsidR="005F67DF" w:rsidRDefault="005F67DF" w:rsidP="005F67DF">
      <w:pPr>
        <w:spacing w:line="480" w:lineRule="auto"/>
        <w:ind w:hanging="720"/>
        <w:contextualSpacing/>
        <w:rPr>
          <w:rFonts w:cs="Times New Roman"/>
          <w:szCs w:val="24"/>
        </w:rPr>
      </w:pPr>
      <w:proofErr w:type="gramStart"/>
      <w:r>
        <w:rPr>
          <w:rFonts w:cs="Times New Roman"/>
          <w:i/>
          <w:szCs w:val="24"/>
        </w:rPr>
        <w:t>On Lee v. United States.</w:t>
      </w:r>
      <w:proofErr w:type="gramEnd"/>
      <w:r>
        <w:rPr>
          <w:rFonts w:cs="Times New Roman"/>
          <w:i/>
          <w:szCs w:val="24"/>
        </w:rPr>
        <w:t xml:space="preserve"> </w:t>
      </w:r>
      <w:r>
        <w:rPr>
          <w:rFonts w:cs="Times New Roman"/>
          <w:szCs w:val="24"/>
        </w:rPr>
        <w:t>1952. 343 U.S. 747.</w:t>
      </w:r>
    </w:p>
    <w:p w:rsidR="005F67DF" w:rsidRPr="00E6676F" w:rsidRDefault="005F67DF" w:rsidP="005F67DF">
      <w:pPr>
        <w:spacing w:line="480" w:lineRule="auto"/>
        <w:ind w:hanging="720"/>
        <w:contextualSpacing/>
        <w:rPr>
          <w:rFonts w:cs="Times New Roman"/>
          <w:szCs w:val="24"/>
        </w:rPr>
      </w:pPr>
      <w:proofErr w:type="gramStart"/>
      <w:r>
        <w:rPr>
          <w:rFonts w:cs="Times New Roman"/>
          <w:i/>
          <w:szCs w:val="24"/>
        </w:rPr>
        <w:t xml:space="preserve">PLIVA, Inc. v. </w:t>
      </w:r>
      <w:proofErr w:type="spellStart"/>
      <w:r>
        <w:rPr>
          <w:rFonts w:cs="Times New Roman"/>
          <w:i/>
          <w:szCs w:val="24"/>
        </w:rPr>
        <w:t>Mensing</w:t>
      </w:r>
      <w:proofErr w:type="spellEnd"/>
      <w:r>
        <w:rPr>
          <w:rFonts w:cs="Times New Roman"/>
          <w:i/>
          <w:szCs w:val="24"/>
        </w:rPr>
        <w:t>.</w:t>
      </w:r>
      <w:proofErr w:type="gramEnd"/>
      <w:r>
        <w:rPr>
          <w:rFonts w:cs="Times New Roman"/>
          <w:i/>
          <w:szCs w:val="24"/>
        </w:rPr>
        <w:t xml:space="preserve"> </w:t>
      </w:r>
      <w:r w:rsidRPr="00E6676F">
        <w:rPr>
          <w:rFonts w:cs="Times New Roman"/>
          <w:szCs w:val="24"/>
        </w:rPr>
        <w:t>2011</w:t>
      </w:r>
      <w:r>
        <w:rPr>
          <w:rFonts w:cs="Times New Roman"/>
          <w:szCs w:val="24"/>
        </w:rPr>
        <w:t>. 564 U.S. __, 131 S. Ct. 2567.</w:t>
      </w:r>
    </w:p>
    <w:p w:rsidR="005F67DF" w:rsidRPr="00E6676F" w:rsidRDefault="005F67DF" w:rsidP="005F67DF">
      <w:pPr>
        <w:spacing w:line="480" w:lineRule="auto"/>
        <w:ind w:hanging="720"/>
        <w:contextualSpacing/>
        <w:rPr>
          <w:rFonts w:cs="Times New Roman"/>
          <w:szCs w:val="24"/>
        </w:rPr>
      </w:pPr>
      <w:proofErr w:type="gramStart"/>
      <w:r w:rsidRPr="00E6676F">
        <w:rPr>
          <w:rFonts w:cs="Times New Roman"/>
          <w:i/>
          <w:szCs w:val="24"/>
        </w:rPr>
        <w:t xml:space="preserve">Republic of Iraq v. </w:t>
      </w:r>
      <w:proofErr w:type="spellStart"/>
      <w:r w:rsidRPr="00E6676F">
        <w:rPr>
          <w:rFonts w:cs="Times New Roman"/>
          <w:i/>
          <w:szCs w:val="24"/>
        </w:rPr>
        <w:t>Beaty</w:t>
      </w:r>
      <w:proofErr w:type="spellEnd"/>
      <w:r>
        <w:rPr>
          <w:rFonts w:cs="Times New Roman"/>
          <w:szCs w:val="24"/>
        </w:rPr>
        <w:t>.</w:t>
      </w:r>
      <w:proofErr w:type="gramEnd"/>
      <w:r>
        <w:rPr>
          <w:rFonts w:cs="Times New Roman"/>
          <w:szCs w:val="24"/>
        </w:rPr>
        <w:t xml:space="preserve"> </w:t>
      </w:r>
      <w:r w:rsidRPr="00E6676F">
        <w:rPr>
          <w:rFonts w:cs="Times New Roman"/>
          <w:szCs w:val="24"/>
        </w:rPr>
        <w:t>2009</w:t>
      </w:r>
      <w:r>
        <w:rPr>
          <w:rFonts w:cs="Times New Roman"/>
          <w:szCs w:val="24"/>
        </w:rPr>
        <w:t>. 556 U.S. 848, Docket No. 07-1090.</w:t>
      </w:r>
    </w:p>
    <w:p w:rsidR="005F67DF" w:rsidRPr="00E6676F" w:rsidRDefault="005F67DF" w:rsidP="005F67DF">
      <w:pPr>
        <w:spacing w:line="480" w:lineRule="auto"/>
        <w:ind w:hanging="720"/>
        <w:contextualSpacing/>
        <w:rPr>
          <w:rFonts w:cs="Times New Roman"/>
          <w:szCs w:val="24"/>
        </w:rPr>
      </w:pPr>
      <w:proofErr w:type="gramStart"/>
      <w:r w:rsidRPr="00E6676F">
        <w:rPr>
          <w:rFonts w:cs="Times New Roman"/>
          <w:i/>
          <w:szCs w:val="24"/>
        </w:rPr>
        <w:t>Republic of Iraq v. Simon</w:t>
      </w:r>
      <w:r>
        <w:rPr>
          <w:rFonts w:cs="Times New Roman"/>
          <w:szCs w:val="24"/>
        </w:rPr>
        <w:t>.</w:t>
      </w:r>
      <w:proofErr w:type="gramEnd"/>
      <w:r>
        <w:rPr>
          <w:rFonts w:cs="Times New Roman"/>
          <w:szCs w:val="24"/>
        </w:rPr>
        <w:t xml:space="preserve"> </w:t>
      </w:r>
      <w:r w:rsidRPr="00E6676F">
        <w:rPr>
          <w:rFonts w:cs="Times New Roman"/>
          <w:szCs w:val="24"/>
        </w:rPr>
        <w:t>2009</w:t>
      </w:r>
      <w:r>
        <w:rPr>
          <w:rFonts w:cs="Times New Roman"/>
          <w:szCs w:val="24"/>
        </w:rPr>
        <w:t>. 556 U.S. 848, Docket No. 08-539.</w:t>
      </w:r>
    </w:p>
    <w:p w:rsidR="005F67DF" w:rsidRDefault="005F67DF" w:rsidP="005F67DF">
      <w:pPr>
        <w:spacing w:line="480" w:lineRule="auto"/>
        <w:ind w:hanging="720"/>
        <w:contextualSpacing/>
        <w:rPr>
          <w:rFonts w:cs="Times New Roman"/>
          <w:szCs w:val="24"/>
        </w:rPr>
      </w:pPr>
      <w:proofErr w:type="spellStart"/>
      <w:r w:rsidRPr="00E6676F">
        <w:rPr>
          <w:rFonts w:cs="Times New Roman"/>
          <w:i/>
          <w:szCs w:val="24"/>
        </w:rPr>
        <w:t>Rie</w:t>
      </w:r>
      <w:r>
        <w:rPr>
          <w:rFonts w:cs="Times New Roman"/>
          <w:i/>
          <w:szCs w:val="24"/>
        </w:rPr>
        <w:t>gel</w:t>
      </w:r>
      <w:proofErr w:type="spellEnd"/>
      <w:r>
        <w:rPr>
          <w:rFonts w:cs="Times New Roman"/>
          <w:i/>
          <w:szCs w:val="24"/>
        </w:rPr>
        <w:t xml:space="preserve"> v. Medtronic, </w:t>
      </w:r>
      <w:proofErr w:type="gramStart"/>
      <w:r>
        <w:rPr>
          <w:rFonts w:cs="Times New Roman"/>
          <w:i/>
          <w:szCs w:val="24"/>
        </w:rPr>
        <w:t>Inc.</w:t>
      </w:r>
      <w:r>
        <w:rPr>
          <w:rFonts w:cs="Times New Roman"/>
          <w:szCs w:val="24"/>
        </w:rPr>
        <w:t>.</w:t>
      </w:r>
      <w:proofErr w:type="gramEnd"/>
      <w:r>
        <w:rPr>
          <w:rFonts w:cs="Times New Roman"/>
          <w:szCs w:val="24"/>
        </w:rPr>
        <w:t xml:space="preserve"> </w:t>
      </w:r>
      <w:r w:rsidRPr="00E6676F">
        <w:rPr>
          <w:rFonts w:cs="Times New Roman"/>
          <w:szCs w:val="24"/>
        </w:rPr>
        <w:t>2008</w:t>
      </w:r>
      <w:r>
        <w:rPr>
          <w:rFonts w:cs="Times New Roman"/>
          <w:szCs w:val="24"/>
        </w:rPr>
        <w:t>. 552 U.S. 312.</w:t>
      </w:r>
    </w:p>
    <w:p w:rsidR="005F67DF" w:rsidRDefault="005F67DF" w:rsidP="005F67DF">
      <w:pPr>
        <w:spacing w:line="480" w:lineRule="auto"/>
        <w:ind w:hanging="720"/>
        <w:contextualSpacing/>
        <w:rPr>
          <w:rFonts w:cs="Times New Roman"/>
          <w:szCs w:val="24"/>
        </w:rPr>
      </w:pPr>
      <w:proofErr w:type="gramStart"/>
      <w:r w:rsidRPr="00E6676F">
        <w:rPr>
          <w:rFonts w:cs="Times New Roman"/>
          <w:i/>
          <w:szCs w:val="24"/>
        </w:rPr>
        <w:t>Roe v. Wade</w:t>
      </w:r>
      <w:r>
        <w:rPr>
          <w:rFonts w:cs="Times New Roman"/>
          <w:szCs w:val="24"/>
        </w:rPr>
        <w:t>.</w:t>
      </w:r>
      <w:proofErr w:type="gramEnd"/>
      <w:r>
        <w:rPr>
          <w:rFonts w:cs="Times New Roman"/>
          <w:szCs w:val="24"/>
        </w:rPr>
        <w:t xml:space="preserve"> </w:t>
      </w:r>
      <w:r w:rsidRPr="00E6676F">
        <w:rPr>
          <w:rFonts w:cs="Times New Roman"/>
          <w:szCs w:val="24"/>
        </w:rPr>
        <w:t>1973</w:t>
      </w:r>
      <w:r>
        <w:rPr>
          <w:rFonts w:cs="Times New Roman"/>
          <w:szCs w:val="24"/>
        </w:rPr>
        <w:t>. 410 U.S. 113.</w:t>
      </w:r>
    </w:p>
    <w:p w:rsidR="005F67DF" w:rsidRPr="00E6676F" w:rsidRDefault="005F67DF" w:rsidP="005F67DF">
      <w:pPr>
        <w:spacing w:line="480" w:lineRule="auto"/>
        <w:ind w:hanging="720"/>
        <w:contextualSpacing/>
        <w:rPr>
          <w:rFonts w:cs="Times New Roman"/>
          <w:szCs w:val="24"/>
        </w:rPr>
      </w:pPr>
      <w:proofErr w:type="spellStart"/>
      <w:proofErr w:type="gramStart"/>
      <w:r>
        <w:rPr>
          <w:rFonts w:cs="Times New Roman"/>
          <w:i/>
          <w:szCs w:val="24"/>
        </w:rPr>
        <w:t>Romer</w:t>
      </w:r>
      <w:proofErr w:type="spellEnd"/>
      <w:r>
        <w:rPr>
          <w:rFonts w:cs="Times New Roman"/>
          <w:i/>
          <w:szCs w:val="24"/>
        </w:rPr>
        <w:t xml:space="preserve"> v. Evans.</w:t>
      </w:r>
      <w:proofErr w:type="gramEnd"/>
      <w:r>
        <w:rPr>
          <w:rFonts w:cs="Times New Roman"/>
          <w:i/>
          <w:szCs w:val="24"/>
        </w:rPr>
        <w:t xml:space="preserve"> </w:t>
      </w:r>
      <w:r w:rsidRPr="00E6676F">
        <w:rPr>
          <w:rFonts w:cs="Times New Roman"/>
          <w:szCs w:val="24"/>
        </w:rPr>
        <w:t>1996</w:t>
      </w:r>
      <w:r>
        <w:rPr>
          <w:rFonts w:cs="Times New Roman"/>
          <w:szCs w:val="24"/>
        </w:rPr>
        <w:t>.</w:t>
      </w:r>
      <w:r w:rsidRPr="00E6676F">
        <w:rPr>
          <w:rFonts w:cs="Times New Roman"/>
          <w:szCs w:val="24"/>
        </w:rPr>
        <w:t xml:space="preserve"> 517 U.S. 620</w:t>
      </w:r>
    </w:p>
    <w:p w:rsidR="005F67DF" w:rsidRPr="00E6676F" w:rsidRDefault="005F67DF" w:rsidP="005F67DF">
      <w:pPr>
        <w:spacing w:line="480" w:lineRule="auto"/>
        <w:ind w:hanging="720"/>
        <w:contextualSpacing/>
        <w:rPr>
          <w:rFonts w:cs="Times New Roman"/>
          <w:szCs w:val="24"/>
        </w:rPr>
      </w:pPr>
      <w:proofErr w:type="gramStart"/>
      <w:r>
        <w:rPr>
          <w:rFonts w:cs="Times New Roman"/>
          <w:i/>
          <w:szCs w:val="24"/>
        </w:rPr>
        <w:t>Roper v. Simmons.</w:t>
      </w:r>
      <w:proofErr w:type="gramEnd"/>
      <w:r>
        <w:rPr>
          <w:rFonts w:cs="Times New Roman"/>
          <w:i/>
          <w:szCs w:val="24"/>
        </w:rPr>
        <w:t xml:space="preserve"> </w:t>
      </w:r>
      <w:r w:rsidRPr="00E6676F">
        <w:rPr>
          <w:rFonts w:cs="Times New Roman"/>
          <w:szCs w:val="24"/>
        </w:rPr>
        <w:t>2005</w:t>
      </w:r>
      <w:r>
        <w:rPr>
          <w:rFonts w:cs="Times New Roman"/>
          <w:szCs w:val="24"/>
        </w:rPr>
        <w:t>. 543 U.S. 551.</w:t>
      </w:r>
    </w:p>
    <w:p w:rsidR="005F67DF" w:rsidRPr="00E6676F" w:rsidRDefault="005F67DF" w:rsidP="005F67DF">
      <w:pPr>
        <w:spacing w:line="480" w:lineRule="auto"/>
        <w:ind w:hanging="720"/>
        <w:contextualSpacing/>
        <w:rPr>
          <w:rFonts w:cs="Times New Roman"/>
          <w:bCs/>
          <w:szCs w:val="24"/>
        </w:rPr>
      </w:pPr>
      <w:proofErr w:type="gramStart"/>
      <w:r w:rsidRPr="00E6676F">
        <w:rPr>
          <w:rFonts w:cs="Times New Roman"/>
          <w:bCs/>
          <w:i/>
          <w:szCs w:val="24"/>
        </w:rPr>
        <w:t>Ryan v. Commodity Futures Trading Comm'n</w:t>
      </w:r>
      <w:r>
        <w:rPr>
          <w:rFonts w:cs="Times New Roman"/>
          <w:bCs/>
          <w:szCs w:val="24"/>
        </w:rPr>
        <w:t>.</w:t>
      </w:r>
      <w:r w:rsidRPr="00E6676F">
        <w:rPr>
          <w:rFonts w:cs="Times New Roman"/>
          <w:bCs/>
          <w:szCs w:val="24"/>
        </w:rPr>
        <w:t>7th Cir. 1997</w:t>
      </w:r>
      <w:r>
        <w:rPr>
          <w:rFonts w:cs="Times New Roman"/>
          <w:bCs/>
          <w:szCs w:val="24"/>
        </w:rPr>
        <w:t>.</w:t>
      </w:r>
      <w:proofErr w:type="gramEnd"/>
      <w:r>
        <w:rPr>
          <w:rFonts w:cs="Times New Roman"/>
          <w:bCs/>
          <w:szCs w:val="24"/>
        </w:rPr>
        <w:t xml:space="preserve"> </w:t>
      </w:r>
      <w:proofErr w:type="gramStart"/>
      <w:r>
        <w:rPr>
          <w:rFonts w:cs="Times New Roman"/>
          <w:bCs/>
          <w:szCs w:val="24"/>
        </w:rPr>
        <w:t>125 F.3d 1062.</w:t>
      </w:r>
      <w:proofErr w:type="gramEnd"/>
    </w:p>
    <w:p w:rsidR="005F67DF" w:rsidRPr="00E6676F" w:rsidRDefault="005F67DF" w:rsidP="005F67DF">
      <w:pPr>
        <w:spacing w:line="480" w:lineRule="auto"/>
        <w:ind w:hanging="720"/>
        <w:contextualSpacing/>
        <w:rPr>
          <w:rFonts w:cs="Times New Roman"/>
          <w:szCs w:val="24"/>
        </w:rPr>
      </w:pPr>
      <w:proofErr w:type="gramStart"/>
      <w:r>
        <w:rPr>
          <w:rFonts w:cs="Times New Roman"/>
          <w:i/>
          <w:szCs w:val="24"/>
        </w:rPr>
        <w:t>Shelby County v. Holder</w:t>
      </w:r>
      <w:r>
        <w:rPr>
          <w:rFonts w:cs="Times New Roman"/>
          <w:szCs w:val="24"/>
        </w:rPr>
        <w:t>.</w:t>
      </w:r>
      <w:proofErr w:type="gramEnd"/>
      <w:r>
        <w:rPr>
          <w:rFonts w:cs="Times New Roman"/>
          <w:szCs w:val="24"/>
        </w:rPr>
        <w:t xml:space="preserve"> </w:t>
      </w:r>
      <w:r w:rsidRPr="00E6676F">
        <w:rPr>
          <w:rFonts w:cs="Times New Roman"/>
          <w:szCs w:val="24"/>
        </w:rPr>
        <w:t>2013</w:t>
      </w:r>
      <w:r>
        <w:rPr>
          <w:rFonts w:cs="Times New Roman"/>
          <w:szCs w:val="24"/>
        </w:rPr>
        <w:t>. 570 U.S. __, 133 S. Ct. 2612.</w:t>
      </w:r>
    </w:p>
    <w:p w:rsidR="005F67DF" w:rsidRPr="00E6676F" w:rsidRDefault="005F67DF" w:rsidP="005F67DF">
      <w:pPr>
        <w:spacing w:line="480" w:lineRule="auto"/>
        <w:ind w:hanging="720"/>
        <w:contextualSpacing/>
        <w:rPr>
          <w:rFonts w:cs="Times New Roman"/>
          <w:szCs w:val="24"/>
        </w:rPr>
      </w:pPr>
      <w:proofErr w:type="gramStart"/>
      <w:r w:rsidRPr="00E6676F">
        <w:rPr>
          <w:rFonts w:cs="Times New Roman"/>
          <w:i/>
          <w:szCs w:val="24"/>
        </w:rPr>
        <w:t>Snyder v. Phelps</w:t>
      </w:r>
      <w:r>
        <w:rPr>
          <w:rFonts w:cs="Times New Roman"/>
          <w:szCs w:val="24"/>
        </w:rPr>
        <w:t>.</w:t>
      </w:r>
      <w:proofErr w:type="gramEnd"/>
      <w:r>
        <w:rPr>
          <w:rFonts w:cs="Times New Roman"/>
          <w:szCs w:val="24"/>
        </w:rPr>
        <w:t xml:space="preserve"> </w:t>
      </w:r>
      <w:r w:rsidRPr="00E6676F">
        <w:rPr>
          <w:rFonts w:cs="Times New Roman"/>
          <w:szCs w:val="24"/>
        </w:rPr>
        <w:t>2011</w:t>
      </w:r>
      <w:r>
        <w:rPr>
          <w:rFonts w:cs="Times New Roman"/>
          <w:szCs w:val="24"/>
        </w:rPr>
        <w:t>. 562 U.S. __, 131 S. Ct. 1207.</w:t>
      </w:r>
    </w:p>
    <w:p w:rsidR="005F67DF" w:rsidRDefault="005F67DF" w:rsidP="005F67DF">
      <w:pPr>
        <w:spacing w:line="480" w:lineRule="auto"/>
        <w:ind w:hanging="720"/>
        <w:contextualSpacing/>
        <w:rPr>
          <w:rFonts w:cs="Times New Roman"/>
          <w:szCs w:val="24"/>
        </w:rPr>
      </w:pPr>
      <w:proofErr w:type="gramStart"/>
      <w:r w:rsidRPr="00E6676F">
        <w:rPr>
          <w:rFonts w:cs="Times New Roman"/>
          <w:i/>
          <w:szCs w:val="24"/>
        </w:rPr>
        <w:t>United States v. Alvarez</w:t>
      </w:r>
      <w:r>
        <w:rPr>
          <w:rFonts w:cs="Times New Roman"/>
          <w:szCs w:val="24"/>
        </w:rPr>
        <w:t>.</w:t>
      </w:r>
      <w:proofErr w:type="gramEnd"/>
      <w:r>
        <w:rPr>
          <w:rFonts w:cs="Times New Roman"/>
          <w:szCs w:val="24"/>
        </w:rPr>
        <w:t xml:space="preserve"> </w:t>
      </w:r>
      <w:r w:rsidRPr="00E6676F">
        <w:rPr>
          <w:rFonts w:cs="Times New Roman"/>
          <w:szCs w:val="24"/>
        </w:rPr>
        <w:t>2011</w:t>
      </w:r>
      <w:r>
        <w:rPr>
          <w:rFonts w:cs="Times New Roman"/>
          <w:szCs w:val="24"/>
        </w:rPr>
        <w:t>. 567 U.S. __, 132 S. Ct. 2537.</w:t>
      </w:r>
    </w:p>
    <w:p w:rsidR="005F67DF" w:rsidRPr="00E6676F" w:rsidRDefault="005F67DF" w:rsidP="005F67DF">
      <w:pPr>
        <w:spacing w:line="480" w:lineRule="auto"/>
        <w:ind w:hanging="720"/>
        <w:contextualSpacing/>
        <w:rPr>
          <w:rFonts w:cs="Times New Roman"/>
          <w:szCs w:val="24"/>
        </w:rPr>
      </w:pPr>
      <w:proofErr w:type="gramStart"/>
      <w:r>
        <w:rPr>
          <w:rFonts w:cs="Times New Roman"/>
          <w:i/>
          <w:szCs w:val="24"/>
        </w:rPr>
        <w:t>United States v. Herring</w:t>
      </w:r>
      <w:r>
        <w:rPr>
          <w:rFonts w:cs="Times New Roman"/>
          <w:szCs w:val="24"/>
        </w:rPr>
        <w:t>.</w:t>
      </w:r>
      <w:proofErr w:type="gramEnd"/>
      <w:r>
        <w:rPr>
          <w:rFonts w:cs="Times New Roman"/>
          <w:szCs w:val="24"/>
        </w:rPr>
        <w:t xml:space="preserve"> </w:t>
      </w:r>
      <w:r w:rsidRPr="00E6676F">
        <w:rPr>
          <w:rFonts w:cs="Times New Roman"/>
          <w:szCs w:val="24"/>
        </w:rPr>
        <w:t>2009</w:t>
      </w:r>
      <w:r>
        <w:rPr>
          <w:rFonts w:cs="Times New Roman"/>
          <w:szCs w:val="24"/>
        </w:rPr>
        <w:t>. 555 U.S. 135.</w:t>
      </w:r>
    </w:p>
    <w:p w:rsidR="005F67DF" w:rsidRPr="00E6676F" w:rsidRDefault="005F67DF" w:rsidP="005F67DF">
      <w:pPr>
        <w:spacing w:line="480" w:lineRule="auto"/>
        <w:ind w:hanging="720"/>
        <w:contextualSpacing/>
        <w:rPr>
          <w:rFonts w:cs="Times New Roman"/>
          <w:szCs w:val="24"/>
        </w:rPr>
      </w:pPr>
      <w:proofErr w:type="gramStart"/>
      <w:r>
        <w:rPr>
          <w:rFonts w:cs="Times New Roman"/>
          <w:i/>
          <w:szCs w:val="24"/>
        </w:rPr>
        <w:lastRenderedPageBreak/>
        <w:t>United States v. Jones</w:t>
      </w:r>
      <w:r>
        <w:rPr>
          <w:rFonts w:cs="Times New Roman"/>
          <w:szCs w:val="24"/>
        </w:rPr>
        <w:t>.</w:t>
      </w:r>
      <w:proofErr w:type="gramEnd"/>
      <w:r>
        <w:rPr>
          <w:rFonts w:cs="Times New Roman"/>
          <w:szCs w:val="24"/>
        </w:rPr>
        <w:t xml:space="preserve"> </w:t>
      </w:r>
      <w:r w:rsidRPr="00E6676F">
        <w:rPr>
          <w:rFonts w:cs="Times New Roman"/>
          <w:szCs w:val="24"/>
        </w:rPr>
        <w:t>2012</w:t>
      </w:r>
      <w:r>
        <w:rPr>
          <w:rFonts w:cs="Times New Roman"/>
          <w:szCs w:val="24"/>
        </w:rPr>
        <w:t>. 565 U.S. __, 132 S. Ct. 945.</w:t>
      </w:r>
    </w:p>
    <w:p w:rsidR="005F67DF" w:rsidRPr="00E6676F" w:rsidRDefault="005F67DF" w:rsidP="005F67DF">
      <w:pPr>
        <w:spacing w:line="480" w:lineRule="auto"/>
        <w:ind w:hanging="720"/>
        <w:contextualSpacing/>
        <w:rPr>
          <w:rFonts w:cs="Times New Roman"/>
          <w:szCs w:val="24"/>
        </w:rPr>
      </w:pPr>
      <w:proofErr w:type="gramStart"/>
      <w:r>
        <w:rPr>
          <w:rFonts w:cs="Times New Roman"/>
          <w:i/>
          <w:szCs w:val="24"/>
        </w:rPr>
        <w:t>United States v. Stevens</w:t>
      </w:r>
      <w:r>
        <w:rPr>
          <w:rFonts w:cs="Times New Roman"/>
          <w:szCs w:val="24"/>
        </w:rPr>
        <w:t>.</w:t>
      </w:r>
      <w:proofErr w:type="gramEnd"/>
      <w:r>
        <w:rPr>
          <w:rFonts w:cs="Times New Roman"/>
          <w:szCs w:val="24"/>
        </w:rPr>
        <w:t xml:space="preserve"> </w:t>
      </w:r>
      <w:r w:rsidRPr="00E6676F">
        <w:rPr>
          <w:rFonts w:cs="Times New Roman"/>
          <w:szCs w:val="24"/>
        </w:rPr>
        <w:t>2010</w:t>
      </w:r>
      <w:r>
        <w:rPr>
          <w:rFonts w:cs="Times New Roman"/>
          <w:szCs w:val="24"/>
        </w:rPr>
        <w:t>. 559 U.S. 460.</w:t>
      </w:r>
    </w:p>
    <w:p w:rsidR="005F67DF" w:rsidRPr="00E6676F" w:rsidRDefault="005F67DF" w:rsidP="005F67DF">
      <w:pPr>
        <w:spacing w:line="480" w:lineRule="auto"/>
        <w:ind w:hanging="720"/>
        <w:contextualSpacing/>
        <w:rPr>
          <w:rFonts w:cs="Times New Roman"/>
          <w:iCs/>
          <w:szCs w:val="24"/>
        </w:rPr>
      </w:pPr>
      <w:proofErr w:type="gramStart"/>
      <w:r>
        <w:rPr>
          <w:rFonts w:cs="Times New Roman"/>
          <w:i/>
          <w:iCs/>
          <w:szCs w:val="24"/>
        </w:rPr>
        <w:t>United States v. Windsor</w:t>
      </w:r>
      <w:r>
        <w:rPr>
          <w:rFonts w:cs="Times New Roman"/>
          <w:iCs/>
          <w:szCs w:val="24"/>
        </w:rPr>
        <w:t>.</w:t>
      </w:r>
      <w:proofErr w:type="gramEnd"/>
      <w:r>
        <w:rPr>
          <w:rFonts w:cs="Times New Roman"/>
          <w:iCs/>
          <w:szCs w:val="24"/>
        </w:rPr>
        <w:t xml:space="preserve"> </w:t>
      </w:r>
      <w:r w:rsidRPr="00E6676F">
        <w:rPr>
          <w:rFonts w:cs="Times New Roman"/>
          <w:iCs/>
          <w:szCs w:val="24"/>
        </w:rPr>
        <w:t>2013</w:t>
      </w:r>
      <w:r>
        <w:rPr>
          <w:rFonts w:cs="Times New Roman"/>
          <w:iCs/>
          <w:szCs w:val="24"/>
        </w:rPr>
        <w:t>. 570 U.S. __, 133 S. Ct. 2675, Docket No. 12-307.</w:t>
      </w:r>
    </w:p>
    <w:p w:rsidR="005F67DF" w:rsidRDefault="005F67DF" w:rsidP="005F67DF">
      <w:pPr>
        <w:spacing w:line="480" w:lineRule="auto"/>
        <w:ind w:hanging="720"/>
        <w:contextualSpacing/>
        <w:rPr>
          <w:rFonts w:cs="Times New Roman"/>
          <w:szCs w:val="24"/>
        </w:rPr>
      </w:pPr>
      <w:proofErr w:type="gramStart"/>
      <w:r>
        <w:rPr>
          <w:rFonts w:cs="Times New Roman"/>
          <w:i/>
          <w:szCs w:val="24"/>
        </w:rPr>
        <w:t>Wal-Mart Stores, Inc. v. Dukes</w:t>
      </w:r>
      <w:r>
        <w:rPr>
          <w:rFonts w:cs="Times New Roman"/>
          <w:szCs w:val="24"/>
        </w:rPr>
        <w:t>.</w:t>
      </w:r>
      <w:proofErr w:type="gramEnd"/>
      <w:r>
        <w:rPr>
          <w:rFonts w:cs="Times New Roman"/>
          <w:szCs w:val="24"/>
        </w:rPr>
        <w:t xml:space="preserve"> </w:t>
      </w:r>
      <w:r w:rsidRPr="00E6676F">
        <w:rPr>
          <w:rFonts w:cs="Times New Roman"/>
          <w:szCs w:val="24"/>
        </w:rPr>
        <w:t>2011</w:t>
      </w:r>
      <w:r>
        <w:rPr>
          <w:rFonts w:cs="Times New Roman"/>
          <w:szCs w:val="24"/>
        </w:rPr>
        <w:t>. 564 U.S. __, 131 S. Ct. 2541.</w:t>
      </w:r>
    </w:p>
    <w:p w:rsidR="005F67DF" w:rsidRPr="00E6676F" w:rsidRDefault="005F67DF" w:rsidP="005F67DF">
      <w:pPr>
        <w:spacing w:line="480" w:lineRule="auto"/>
        <w:ind w:hanging="720"/>
        <w:contextualSpacing/>
        <w:rPr>
          <w:rFonts w:cs="Times New Roman"/>
          <w:szCs w:val="24"/>
        </w:rPr>
      </w:pPr>
      <w:proofErr w:type="gramStart"/>
      <w:r w:rsidRPr="00E6676F">
        <w:rPr>
          <w:rFonts w:cs="Times New Roman"/>
          <w:i/>
          <w:szCs w:val="24"/>
        </w:rPr>
        <w:t>Webster</w:t>
      </w:r>
      <w:r>
        <w:rPr>
          <w:rFonts w:cs="Times New Roman"/>
          <w:i/>
          <w:szCs w:val="24"/>
        </w:rPr>
        <w:t xml:space="preserve"> v. Reproductive Health Services</w:t>
      </w:r>
      <w:r>
        <w:rPr>
          <w:rFonts w:cs="Times New Roman"/>
          <w:szCs w:val="24"/>
        </w:rPr>
        <w:t>.</w:t>
      </w:r>
      <w:proofErr w:type="gramEnd"/>
      <w:r>
        <w:rPr>
          <w:rFonts w:cs="Times New Roman"/>
          <w:szCs w:val="24"/>
        </w:rPr>
        <w:t xml:space="preserve"> </w:t>
      </w:r>
      <w:r w:rsidRPr="00E6676F">
        <w:rPr>
          <w:rFonts w:cs="Times New Roman"/>
          <w:szCs w:val="24"/>
        </w:rPr>
        <w:t>1989</w:t>
      </w:r>
      <w:r>
        <w:rPr>
          <w:rFonts w:cs="Times New Roman"/>
          <w:szCs w:val="24"/>
        </w:rPr>
        <w:t>. 492 U.S. 490.</w:t>
      </w:r>
    </w:p>
    <w:p w:rsidR="005F67DF" w:rsidRDefault="005F67DF" w:rsidP="005F67DF">
      <w:pPr>
        <w:spacing w:line="480" w:lineRule="auto"/>
        <w:ind w:hanging="720"/>
        <w:contextualSpacing/>
        <w:rPr>
          <w:rFonts w:cs="Times New Roman"/>
          <w:szCs w:val="24"/>
        </w:rPr>
      </w:pPr>
      <w:proofErr w:type="gramStart"/>
      <w:r>
        <w:rPr>
          <w:rFonts w:cs="Times New Roman"/>
          <w:i/>
          <w:szCs w:val="24"/>
        </w:rPr>
        <w:t>Wyeth v. Levine</w:t>
      </w:r>
      <w:r>
        <w:rPr>
          <w:rFonts w:cs="Times New Roman"/>
          <w:szCs w:val="24"/>
        </w:rPr>
        <w:t>.</w:t>
      </w:r>
      <w:proofErr w:type="gramEnd"/>
      <w:r>
        <w:rPr>
          <w:rFonts w:cs="Times New Roman"/>
          <w:szCs w:val="24"/>
        </w:rPr>
        <w:t xml:space="preserve"> </w:t>
      </w:r>
      <w:r w:rsidRPr="00E6676F">
        <w:rPr>
          <w:rFonts w:cs="Times New Roman"/>
          <w:szCs w:val="24"/>
        </w:rPr>
        <w:t>2008</w:t>
      </w:r>
      <w:r>
        <w:rPr>
          <w:rFonts w:cs="Times New Roman"/>
          <w:szCs w:val="24"/>
        </w:rPr>
        <w:t>. 555 U.S. 555.</w:t>
      </w:r>
    </w:p>
    <w:p w:rsidR="00D346EF" w:rsidRDefault="000E3C4B" w:rsidP="005F67DF">
      <w:pPr>
        <w:ind w:hanging="720"/>
        <w:contextualSpacing/>
        <w:rPr>
          <w:color w:val="FF0000"/>
          <w:szCs w:val="24"/>
        </w:rPr>
      </w:pPr>
      <w:proofErr w:type="spellStart"/>
      <w:proofErr w:type="gramStart"/>
      <w:r w:rsidRPr="0027400A">
        <w:rPr>
          <w:szCs w:val="24"/>
        </w:rPr>
        <w:t>Adamany</w:t>
      </w:r>
      <w:proofErr w:type="spellEnd"/>
      <w:r w:rsidR="00A3683C">
        <w:rPr>
          <w:szCs w:val="24"/>
        </w:rPr>
        <w:t>, David, and</w:t>
      </w:r>
      <w:r w:rsidR="001E428B" w:rsidRPr="0027400A">
        <w:rPr>
          <w:szCs w:val="24"/>
        </w:rPr>
        <w:t xml:space="preserve"> Joel B.</w:t>
      </w:r>
      <w:r w:rsidR="00A3683C">
        <w:rPr>
          <w:szCs w:val="24"/>
        </w:rPr>
        <w:t xml:space="preserve"> Grossman.</w:t>
      </w:r>
      <w:proofErr w:type="gramEnd"/>
      <w:r w:rsidRPr="0027400A">
        <w:rPr>
          <w:szCs w:val="24"/>
        </w:rPr>
        <w:t xml:space="preserve"> 1983</w:t>
      </w:r>
      <w:r w:rsidR="001E428B" w:rsidRPr="0027400A">
        <w:rPr>
          <w:szCs w:val="24"/>
        </w:rPr>
        <w:t xml:space="preserve">. “Support for the Supreme Court as a National Policymaker.” </w:t>
      </w:r>
      <w:r w:rsidR="001E428B" w:rsidRPr="0027400A">
        <w:rPr>
          <w:i/>
          <w:szCs w:val="24"/>
        </w:rPr>
        <w:t xml:space="preserve">Law &amp; Policy </w:t>
      </w:r>
      <w:r w:rsidR="001E428B" w:rsidRPr="0027400A">
        <w:rPr>
          <w:szCs w:val="24"/>
        </w:rPr>
        <w:t>5(4): 405-437.</w:t>
      </w:r>
      <w:r w:rsidR="001E428B" w:rsidRPr="0027400A">
        <w:rPr>
          <w:color w:val="FF0000"/>
          <w:szCs w:val="24"/>
        </w:rPr>
        <w:tab/>
      </w:r>
    </w:p>
    <w:p w:rsidR="005F67DF" w:rsidRPr="005F67DF" w:rsidRDefault="005F67DF" w:rsidP="005F67DF">
      <w:pPr>
        <w:ind w:hanging="720"/>
        <w:contextualSpacing/>
        <w:rPr>
          <w:rFonts w:cs="Times New Roman"/>
          <w:szCs w:val="24"/>
        </w:rPr>
      </w:pPr>
    </w:p>
    <w:p w:rsidR="00D346EF" w:rsidRPr="0027400A" w:rsidRDefault="00D346EF" w:rsidP="001E428B">
      <w:pPr>
        <w:autoSpaceDE w:val="0"/>
        <w:autoSpaceDN w:val="0"/>
        <w:adjustRightInd w:val="0"/>
        <w:ind w:hanging="720"/>
        <w:rPr>
          <w:rFonts w:cs="Times New Roman"/>
          <w:szCs w:val="24"/>
        </w:rPr>
      </w:pPr>
      <w:r w:rsidRPr="0027400A">
        <w:rPr>
          <w:rFonts w:cs="Times New Roman"/>
          <w:szCs w:val="24"/>
        </w:rPr>
        <w:t>Adler, Jonathan H. August 1, 2010. “</w:t>
      </w:r>
      <w:r w:rsidRPr="0027400A">
        <w:rPr>
          <w:rFonts w:cs="Times New Roman"/>
          <w:iCs/>
          <w:szCs w:val="24"/>
        </w:rPr>
        <w:t xml:space="preserve">Court Under Roberts Is Most Restrained in Decades.” </w:t>
      </w:r>
      <w:proofErr w:type="gramStart"/>
      <w:r w:rsidRPr="0027400A">
        <w:rPr>
          <w:rFonts w:cs="Times New Roman"/>
          <w:iCs/>
          <w:szCs w:val="24"/>
        </w:rPr>
        <w:t xml:space="preserve">The </w:t>
      </w:r>
      <w:proofErr w:type="spellStart"/>
      <w:r w:rsidRPr="0027400A">
        <w:rPr>
          <w:rFonts w:cs="Times New Roman"/>
          <w:iCs/>
          <w:szCs w:val="24"/>
        </w:rPr>
        <w:t>Volokh</w:t>
      </w:r>
      <w:proofErr w:type="spellEnd"/>
      <w:r w:rsidRPr="0027400A">
        <w:rPr>
          <w:rFonts w:cs="Times New Roman"/>
          <w:iCs/>
          <w:szCs w:val="24"/>
        </w:rPr>
        <w:t xml:space="preserve"> Conspiracy.</w:t>
      </w:r>
      <w:proofErr w:type="gramEnd"/>
      <w:r w:rsidRPr="0027400A">
        <w:rPr>
          <w:rFonts w:cs="Times New Roman"/>
          <w:iCs/>
          <w:szCs w:val="24"/>
        </w:rPr>
        <w:t xml:space="preserve">  </w:t>
      </w:r>
      <w:proofErr w:type="gramStart"/>
      <w:r w:rsidRPr="0027400A">
        <w:rPr>
          <w:rFonts w:cs="Times New Roman"/>
          <w:iCs/>
          <w:szCs w:val="24"/>
        </w:rPr>
        <w:t>Accessed at</w:t>
      </w:r>
      <w:r w:rsidRPr="0027400A">
        <w:rPr>
          <w:rFonts w:cs="Times New Roman"/>
          <w:szCs w:val="24"/>
        </w:rPr>
        <w:t xml:space="preserve"> </w:t>
      </w:r>
      <w:hyperlink r:id="rId29" w:history="1">
        <w:r w:rsidRPr="0027400A">
          <w:rPr>
            <w:rStyle w:val="Hyperlink"/>
            <w:rFonts w:cs="Times New Roman"/>
            <w:szCs w:val="24"/>
          </w:rPr>
          <w:t>http://www.volokh.com/2010/08/01/court-underroberts-is-most-restrained-in-decades/</w:t>
        </w:r>
      </w:hyperlink>
      <w:r w:rsidRPr="0027400A">
        <w:rPr>
          <w:rFonts w:cs="Times New Roman"/>
          <w:szCs w:val="24"/>
        </w:rPr>
        <w:t>.</w:t>
      </w:r>
      <w:proofErr w:type="gramEnd"/>
    </w:p>
    <w:p w:rsidR="000E3C4B" w:rsidRPr="0027400A" w:rsidRDefault="000E3C4B" w:rsidP="00D346EF">
      <w:pPr>
        <w:pStyle w:val="ListBullet"/>
      </w:pPr>
    </w:p>
    <w:p w:rsidR="000E3C4B" w:rsidRPr="0027400A" w:rsidRDefault="00A3683C" w:rsidP="000E3C4B">
      <w:pPr>
        <w:pStyle w:val="ListBullet"/>
        <w:ind w:left="720" w:hanging="720"/>
      </w:pPr>
      <w:r>
        <w:t xml:space="preserve">Ai, </w:t>
      </w:r>
      <w:proofErr w:type="spellStart"/>
      <w:r>
        <w:t>Chungron</w:t>
      </w:r>
      <w:proofErr w:type="spellEnd"/>
      <w:r>
        <w:t xml:space="preserve">, and </w:t>
      </w:r>
      <w:r w:rsidR="000E3C4B" w:rsidRPr="0027400A">
        <w:t>Edward C.</w:t>
      </w:r>
      <w:r>
        <w:t xml:space="preserve"> Norton</w:t>
      </w:r>
      <w:r w:rsidR="000E3C4B" w:rsidRPr="0027400A">
        <w:t xml:space="preserve"> 2003.  “Interaction Terms in </w:t>
      </w:r>
      <w:proofErr w:type="spellStart"/>
      <w:r w:rsidR="000E3C4B" w:rsidRPr="0027400A">
        <w:t>Logit</w:t>
      </w:r>
      <w:proofErr w:type="spellEnd"/>
      <w:r w:rsidR="000E3C4B" w:rsidRPr="0027400A">
        <w:t xml:space="preserve"> and </w:t>
      </w:r>
      <w:proofErr w:type="spellStart"/>
      <w:r w:rsidR="000E3C4B" w:rsidRPr="0027400A">
        <w:t>Probit</w:t>
      </w:r>
      <w:proofErr w:type="spellEnd"/>
      <w:r w:rsidR="000E3C4B" w:rsidRPr="0027400A">
        <w:t xml:space="preserve"> Models.” 80 </w:t>
      </w:r>
      <w:r w:rsidR="000E3C4B" w:rsidRPr="0027400A">
        <w:rPr>
          <w:i/>
        </w:rPr>
        <w:t xml:space="preserve">Economics Letters </w:t>
      </w:r>
      <w:r w:rsidR="000E3C4B" w:rsidRPr="0027400A">
        <w:t>123-129.</w:t>
      </w:r>
    </w:p>
    <w:p w:rsidR="000E3C4B" w:rsidRPr="0027400A" w:rsidRDefault="000E3C4B" w:rsidP="000E3C4B">
      <w:pPr>
        <w:pStyle w:val="ListBullet"/>
        <w:ind w:left="720" w:hanging="720"/>
      </w:pPr>
    </w:p>
    <w:p w:rsidR="000E3C4B" w:rsidRPr="0027400A" w:rsidRDefault="001E428B" w:rsidP="000E3C4B">
      <w:pPr>
        <w:pStyle w:val="ListBullet"/>
        <w:ind w:left="720" w:hanging="720"/>
      </w:pPr>
      <w:r w:rsidRPr="0027400A">
        <w:t xml:space="preserve">Bailey, Michael A., Brian </w:t>
      </w:r>
      <w:proofErr w:type="spellStart"/>
      <w:r w:rsidRPr="0027400A">
        <w:t>Kamoie</w:t>
      </w:r>
      <w:proofErr w:type="spellEnd"/>
      <w:r w:rsidRPr="0027400A">
        <w:t xml:space="preserve">, and Forrest </w:t>
      </w:r>
      <w:proofErr w:type="spellStart"/>
      <w:r w:rsidRPr="0027400A">
        <w:t>Maltzman</w:t>
      </w:r>
      <w:proofErr w:type="spellEnd"/>
      <w:r w:rsidRPr="0027400A">
        <w:t xml:space="preserve">. 2005. “Signals from the Tenth Justice: The Political Role of the Solicitor General in Supreme Court Decision-making.”  </w:t>
      </w:r>
      <w:r w:rsidRPr="0027400A">
        <w:rPr>
          <w:i/>
          <w:iCs/>
        </w:rPr>
        <w:t>American Journal of Political Science</w:t>
      </w:r>
      <w:r w:rsidRPr="0027400A">
        <w:t>: 49 (January): 72-85.</w:t>
      </w:r>
    </w:p>
    <w:p w:rsidR="001E428B" w:rsidRPr="0027400A" w:rsidRDefault="001E428B" w:rsidP="000E3C4B">
      <w:pPr>
        <w:pStyle w:val="ListBullet"/>
        <w:ind w:left="720" w:hanging="720"/>
        <w:rPr>
          <w:color w:val="FF0000"/>
        </w:rPr>
      </w:pPr>
    </w:p>
    <w:p w:rsidR="000E3C4B" w:rsidRDefault="001E428B" w:rsidP="000E3C4B">
      <w:pPr>
        <w:pStyle w:val="ListBullet"/>
        <w:ind w:left="720" w:hanging="720"/>
      </w:pPr>
      <w:r w:rsidRPr="0027400A">
        <w:t xml:space="preserve">Baird, Vanessa A.  2004. “The Effect of Politically Salient Decisions on the U.S. Supreme Court’s Agenda,” </w:t>
      </w:r>
      <w:r w:rsidRPr="0027400A">
        <w:rPr>
          <w:i/>
        </w:rPr>
        <w:t>Journal of Politics</w:t>
      </w:r>
      <w:r w:rsidRPr="0027400A">
        <w:t xml:space="preserve"> 66 (August): 755-72.</w:t>
      </w:r>
    </w:p>
    <w:p w:rsidR="00441DE8" w:rsidRDefault="00441DE8" w:rsidP="000E3C4B">
      <w:pPr>
        <w:pStyle w:val="ListBullet"/>
        <w:ind w:left="720" w:hanging="720"/>
      </w:pPr>
    </w:p>
    <w:p w:rsidR="00441DE8" w:rsidRDefault="00441DE8" w:rsidP="000E3C4B">
      <w:pPr>
        <w:pStyle w:val="ListBullet"/>
        <w:ind w:left="720" w:hanging="720"/>
      </w:pPr>
      <w:proofErr w:type="spellStart"/>
      <w:r>
        <w:t>Balkin</w:t>
      </w:r>
      <w:proofErr w:type="spellEnd"/>
      <w:r>
        <w:t xml:space="preserve">, Jack M., Brian Galle, Edward </w:t>
      </w:r>
      <w:proofErr w:type="spellStart"/>
      <w:r>
        <w:t>Kleinbard</w:t>
      </w:r>
      <w:proofErr w:type="spellEnd"/>
      <w:r>
        <w:t xml:space="preserve">, Gillian E. Metzger, and Trevor W. Morrison. 2012.  Brief of Constitutional Law Scholars as </w:t>
      </w:r>
      <w:r>
        <w:rPr>
          <w:i/>
        </w:rPr>
        <w:t>Amici Curiae</w:t>
      </w:r>
      <w:r>
        <w:t xml:space="preserve"> in Support of Petitioners (Minimum Coverage Provision). </w:t>
      </w:r>
      <w:r>
        <w:rPr>
          <w:i/>
        </w:rPr>
        <w:t xml:space="preserve">Department of Health and Human Services v. Florida </w:t>
      </w:r>
      <w:r>
        <w:t>(11-398) (2012).</w:t>
      </w:r>
    </w:p>
    <w:p w:rsidR="00AA7FA2" w:rsidRDefault="00AA7FA2" w:rsidP="000E3C4B">
      <w:pPr>
        <w:pStyle w:val="ListBullet"/>
        <w:ind w:left="720" w:hanging="720"/>
      </w:pPr>
    </w:p>
    <w:p w:rsidR="00AA7FA2" w:rsidRPr="00AA7FA2" w:rsidRDefault="00AA7FA2" w:rsidP="000E3C4B">
      <w:pPr>
        <w:pStyle w:val="ListBullet"/>
        <w:ind w:left="720" w:hanging="720"/>
      </w:pPr>
      <w:r w:rsidRPr="00AA7FA2">
        <w:t xml:space="preserve">Banner, Stuart. 2003. “The Myth of the Neutral Amicus: American Courts and Their Friends, 1790-1890.” </w:t>
      </w:r>
      <w:r w:rsidRPr="00AA7FA2">
        <w:rPr>
          <w:i/>
        </w:rPr>
        <w:t xml:space="preserve">Constitutional Commentary </w:t>
      </w:r>
      <w:r w:rsidR="00A3683C">
        <w:t>20(1):</w:t>
      </w:r>
      <w:r w:rsidRPr="00AA7FA2">
        <w:t xml:space="preserve"> 131-150.</w:t>
      </w:r>
    </w:p>
    <w:p w:rsidR="001E428B" w:rsidRPr="0027400A" w:rsidRDefault="001E428B" w:rsidP="000E3C4B">
      <w:pPr>
        <w:pStyle w:val="ListBullet"/>
        <w:ind w:left="720" w:hanging="720"/>
      </w:pPr>
    </w:p>
    <w:p w:rsidR="000E3C4B" w:rsidRPr="0027400A" w:rsidRDefault="000E3C4B" w:rsidP="000E3C4B">
      <w:pPr>
        <w:pStyle w:val="ListBullet"/>
        <w:ind w:left="720" w:hanging="720"/>
      </w:pPr>
      <w:r w:rsidRPr="0027400A">
        <w:t xml:space="preserve">Barker, Lucius J. 1967.  “Third Parties in Litigation: A Systemic View of the Judicial Function.”  </w:t>
      </w:r>
      <w:r w:rsidRPr="0027400A">
        <w:rPr>
          <w:i/>
        </w:rPr>
        <w:t>The Journal of Politics</w:t>
      </w:r>
      <w:r w:rsidRPr="0027400A">
        <w:t xml:space="preserve">.  29(1): 41-69.  </w:t>
      </w:r>
    </w:p>
    <w:p w:rsidR="000E3C4B" w:rsidRPr="0027400A" w:rsidRDefault="000E3C4B" w:rsidP="000E3C4B">
      <w:pPr>
        <w:pStyle w:val="ListBullet"/>
        <w:ind w:left="720" w:hanging="720"/>
      </w:pPr>
    </w:p>
    <w:p w:rsidR="000E3C4B" w:rsidRPr="0027400A" w:rsidRDefault="000E3C4B" w:rsidP="000E3C4B">
      <w:pPr>
        <w:pStyle w:val="EndnoteText"/>
        <w:ind w:hanging="720"/>
        <w:jc w:val="both"/>
        <w:rPr>
          <w:rFonts w:cs="Times New Roman"/>
          <w:sz w:val="24"/>
          <w:szCs w:val="24"/>
        </w:rPr>
      </w:pPr>
      <w:r w:rsidRPr="0027400A">
        <w:rPr>
          <w:rFonts w:eastAsia="Calibri" w:cs="Times New Roman"/>
          <w:sz w:val="24"/>
          <w:szCs w:val="24"/>
        </w:rPr>
        <w:t xml:space="preserve">Barnum, David G. 1985. “The Supreme Court and Public Opinion: Judicial Decision Making in the Post-New Deal Period.” </w:t>
      </w:r>
      <w:r w:rsidRPr="0027400A">
        <w:rPr>
          <w:rFonts w:eastAsia="Calibri" w:cs="Times New Roman"/>
          <w:i/>
          <w:sz w:val="24"/>
          <w:szCs w:val="24"/>
        </w:rPr>
        <w:t>The Journal of Politics</w:t>
      </w:r>
      <w:r w:rsidRPr="0027400A">
        <w:rPr>
          <w:rFonts w:eastAsia="Calibri" w:cs="Times New Roman"/>
          <w:sz w:val="24"/>
          <w:szCs w:val="24"/>
        </w:rPr>
        <w:t xml:space="preserve"> 47(2):652-666</w:t>
      </w:r>
      <w:r w:rsidRPr="0027400A">
        <w:rPr>
          <w:rFonts w:cs="Times New Roman"/>
          <w:sz w:val="24"/>
          <w:szCs w:val="24"/>
        </w:rPr>
        <w:t>.</w:t>
      </w:r>
    </w:p>
    <w:p w:rsidR="000E3C4B" w:rsidRPr="0027400A" w:rsidRDefault="000E3C4B" w:rsidP="000E3C4B">
      <w:pPr>
        <w:pStyle w:val="ListBullet"/>
      </w:pPr>
    </w:p>
    <w:p w:rsidR="000E3C4B" w:rsidRPr="0027400A" w:rsidRDefault="000E3C4B" w:rsidP="000E3C4B">
      <w:pPr>
        <w:pStyle w:val="ListBullet"/>
        <w:ind w:left="720" w:hanging="720"/>
        <w:rPr>
          <w:rStyle w:val="HTMLCite"/>
        </w:rPr>
      </w:pPr>
      <w:proofErr w:type="spellStart"/>
      <w:r w:rsidRPr="0027400A">
        <w:rPr>
          <w:rStyle w:val="cit-name-surname"/>
          <w:iCs/>
        </w:rPr>
        <w:t>Behuniak</w:t>
      </w:r>
      <w:proofErr w:type="spellEnd"/>
      <w:r w:rsidRPr="0027400A">
        <w:rPr>
          <w:rStyle w:val="cit-name-surname"/>
          <w:iCs/>
        </w:rPr>
        <w:t>-Long, Susan</w:t>
      </w:r>
      <w:r w:rsidRPr="0027400A">
        <w:rPr>
          <w:rStyle w:val="HTMLCite"/>
        </w:rPr>
        <w:t xml:space="preserve">. </w:t>
      </w:r>
      <w:r w:rsidRPr="0027400A">
        <w:rPr>
          <w:rStyle w:val="cit-pub-date"/>
          <w:iCs/>
        </w:rPr>
        <w:t>1991</w:t>
      </w:r>
      <w:r w:rsidRPr="0027400A">
        <w:rPr>
          <w:rStyle w:val="HTMLCite"/>
        </w:rPr>
        <w:t>. “</w:t>
      </w:r>
      <w:r w:rsidRPr="0027400A">
        <w:rPr>
          <w:rStyle w:val="cit-article-title"/>
          <w:iCs/>
        </w:rPr>
        <w:t>Friendly fire: Amici curiae and Webster v. Reproductive Health Services</w:t>
      </w:r>
      <w:r w:rsidRPr="0027400A">
        <w:rPr>
          <w:rStyle w:val="HTMLCite"/>
        </w:rPr>
        <w:t xml:space="preserve">.” Judicature </w:t>
      </w:r>
      <w:r w:rsidRPr="0027400A">
        <w:rPr>
          <w:rStyle w:val="cit-vol"/>
          <w:iCs/>
        </w:rPr>
        <w:t>74</w:t>
      </w:r>
      <w:r w:rsidRPr="0027400A">
        <w:rPr>
          <w:rStyle w:val="HTMLCite"/>
        </w:rPr>
        <w:t xml:space="preserve"> (</w:t>
      </w:r>
      <w:r w:rsidRPr="0027400A">
        <w:rPr>
          <w:rStyle w:val="cit-issue"/>
          <w:iCs/>
        </w:rPr>
        <w:t>5</w:t>
      </w:r>
      <w:r w:rsidRPr="0027400A">
        <w:rPr>
          <w:rStyle w:val="HTMLCite"/>
        </w:rPr>
        <w:t xml:space="preserve">): </w:t>
      </w:r>
      <w:r w:rsidRPr="0027400A">
        <w:rPr>
          <w:rStyle w:val="cit-fpage"/>
          <w:iCs/>
        </w:rPr>
        <w:t>261</w:t>
      </w:r>
      <w:r w:rsidRPr="0027400A">
        <w:rPr>
          <w:rStyle w:val="HTMLCite"/>
        </w:rPr>
        <w:t>-</w:t>
      </w:r>
      <w:r w:rsidRPr="0027400A">
        <w:rPr>
          <w:rStyle w:val="cit-lpage"/>
        </w:rPr>
        <w:t>270</w:t>
      </w:r>
      <w:r w:rsidRPr="0027400A">
        <w:rPr>
          <w:rStyle w:val="HTMLCite"/>
        </w:rPr>
        <w:t>.</w:t>
      </w:r>
    </w:p>
    <w:p w:rsidR="000E3C4B" w:rsidRPr="0027400A" w:rsidRDefault="000E3C4B" w:rsidP="000E3C4B">
      <w:pPr>
        <w:pStyle w:val="ListBullet"/>
        <w:ind w:left="720" w:hanging="720"/>
        <w:rPr>
          <w:rStyle w:val="HTMLCite"/>
        </w:rPr>
      </w:pPr>
    </w:p>
    <w:p w:rsidR="001E428B" w:rsidRPr="0027400A" w:rsidRDefault="00774FAF" w:rsidP="001E428B">
      <w:pPr>
        <w:ind w:left="0" w:firstLine="0"/>
        <w:rPr>
          <w:rFonts w:eastAsia="Times New Roman" w:cs="Times New Roman"/>
          <w:szCs w:val="24"/>
        </w:rPr>
      </w:pPr>
      <w:proofErr w:type="gramStart"/>
      <w:r>
        <w:rPr>
          <w:rFonts w:eastAsia="Times New Roman" w:cs="Times New Roman"/>
          <w:szCs w:val="24"/>
        </w:rPr>
        <w:lastRenderedPageBreak/>
        <w:t>Black, Ryan C. and</w:t>
      </w:r>
      <w:r w:rsidR="001E428B" w:rsidRPr="0027400A">
        <w:rPr>
          <w:rFonts w:eastAsia="Times New Roman" w:cs="Times New Roman"/>
          <w:szCs w:val="24"/>
        </w:rPr>
        <w:t xml:space="preserve"> Christina L. </w:t>
      </w:r>
      <w:r>
        <w:rPr>
          <w:rFonts w:eastAsia="Times New Roman" w:cs="Times New Roman"/>
          <w:szCs w:val="24"/>
        </w:rPr>
        <w:t>Boyd.</w:t>
      </w:r>
      <w:proofErr w:type="gramEnd"/>
      <w:r>
        <w:rPr>
          <w:rFonts w:eastAsia="Times New Roman" w:cs="Times New Roman"/>
          <w:szCs w:val="24"/>
        </w:rPr>
        <w:t xml:space="preserve"> </w:t>
      </w:r>
      <w:r w:rsidR="001E428B" w:rsidRPr="0027400A">
        <w:rPr>
          <w:rFonts w:eastAsia="Times New Roman" w:cs="Times New Roman"/>
          <w:szCs w:val="24"/>
        </w:rPr>
        <w:t>2012. “US Supreme Court Agenda Setting and the</w:t>
      </w:r>
    </w:p>
    <w:p w:rsidR="001E428B" w:rsidRPr="0027400A" w:rsidRDefault="001E428B" w:rsidP="00B51B7F">
      <w:pPr>
        <w:ind w:firstLine="0"/>
        <w:rPr>
          <w:rFonts w:eastAsia="Times New Roman" w:cs="Times New Roman"/>
          <w:szCs w:val="24"/>
        </w:rPr>
      </w:pPr>
      <w:proofErr w:type="gramStart"/>
      <w:r w:rsidRPr="0027400A">
        <w:rPr>
          <w:rFonts w:eastAsia="Times New Roman" w:cs="Times New Roman"/>
          <w:szCs w:val="24"/>
        </w:rPr>
        <w:t>Role of Litigant Status."</w:t>
      </w:r>
      <w:proofErr w:type="gramEnd"/>
      <w:r w:rsidRPr="0027400A">
        <w:rPr>
          <w:rFonts w:eastAsia="Times New Roman" w:cs="Times New Roman"/>
          <w:szCs w:val="24"/>
        </w:rPr>
        <w:t xml:space="preserve"> </w:t>
      </w:r>
      <w:r w:rsidRPr="0027400A">
        <w:rPr>
          <w:rFonts w:eastAsia="Times New Roman" w:cs="Times New Roman"/>
          <w:i/>
          <w:szCs w:val="24"/>
        </w:rPr>
        <w:t>Journal of Law, Economics, &amp; Organization</w:t>
      </w:r>
      <w:r w:rsidRPr="0027400A">
        <w:rPr>
          <w:rFonts w:eastAsia="Times New Roman" w:cs="Times New Roman"/>
          <w:szCs w:val="24"/>
        </w:rPr>
        <w:t xml:space="preserve"> 28(2): 286-312.</w:t>
      </w:r>
    </w:p>
    <w:p w:rsidR="000E3C4B" w:rsidRPr="0027400A" w:rsidRDefault="000E3C4B" w:rsidP="000E3C4B">
      <w:pPr>
        <w:pStyle w:val="ListBullet"/>
        <w:ind w:left="720" w:hanging="720"/>
        <w:rPr>
          <w:color w:val="FF0000"/>
        </w:rPr>
      </w:pPr>
    </w:p>
    <w:p w:rsidR="000E3C4B" w:rsidRDefault="000E3C4B" w:rsidP="000E3C4B">
      <w:pPr>
        <w:pStyle w:val="ListBullet"/>
        <w:ind w:left="720" w:hanging="720"/>
      </w:pPr>
      <w:proofErr w:type="spellStart"/>
      <w:r w:rsidRPr="0027400A">
        <w:t>Blacks</w:t>
      </w:r>
      <w:proofErr w:type="spellEnd"/>
      <w:r w:rsidRPr="0027400A">
        <w:t xml:space="preserve"> Law Dictionary. 1979. 5</w:t>
      </w:r>
      <w:r w:rsidRPr="0027400A">
        <w:rPr>
          <w:vertAlign w:val="superscript"/>
        </w:rPr>
        <w:t>th</w:t>
      </w:r>
      <w:r w:rsidRPr="0027400A">
        <w:t xml:space="preserve"> edition.</w:t>
      </w:r>
      <w:r w:rsidR="001E428B" w:rsidRPr="0027400A">
        <w:t xml:space="preserve"> </w:t>
      </w:r>
      <w:r w:rsidR="00774FAF">
        <w:t>St. Paul MN: West Pub. Co</w:t>
      </w:r>
      <w:r w:rsidR="001E428B" w:rsidRPr="0027400A">
        <w:t>.</w:t>
      </w:r>
    </w:p>
    <w:p w:rsidR="006A782D" w:rsidRDefault="006A782D" w:rsidP="000E3C4B">
      <w:pPr>
        <w:pStyle w:val="ListBullet"/>
        <w:ind w:left="720" w:hanging="720"/>
      </w:pPr>
    </w:p>
    <w:p w:rsidR="006A782D" w:rsidRPr="00441DE8" w:rsidRDefault="006A782D" w:rsidP="000E3C4B">
      <w:pPr>
        <w:pStyle w:val="ListBullet"/>
        <w:ind w:left="720" w:hanging="720"/>
        <w:rPr>
          <w:rStyle w:val="HTMLCite"/>
          <w:i w:val="0"/>
        </w:rPr>
      </w:pPr>
      <w:r>
        <w:t>Blumstein, James F. 2012.  Amicus Curiae Brief of James F. Blumstein in Support o</w:t>
      </w:r>
      <w:r w:rsidR="00441DE8">
        <w:t xml:space="preserve">f Petitioners (Medicaid Issue).  </w:t>
      </w:r>
      <w:r w:rsidR="00441DE8">
        <w:rPr>
          <w:i/>
        </w:rPr>
        <w:t xml:space="preserve">Florida v. Department of Health and Human Services </w:t>
      </w:r>
      <w:r w:rsidR="00441DE8">
        <w:t xml:space="preserve">(11-400) (2012). </w:t>
      </w:r>
    </w:p>
    <w:p w:rsidR="000E3C4B" w:rsidRPr="0027400A" w:rsidRDefault="000E3C4B" w:rsidP="000E3C4B">
      <w:pPr>
        <w:pStyle w:val="ListBullet"/>
        <w:ind w:left="720" w:hanging="720"/>
        <w:rPr>
          <w:rStyle w:val="HTMLCite"/>
        </w:rPr>
      </w:pPr>
    </w:p>
    <w:p w:rsidR="000E3C4B" w:rsidRPr="0027400A" w:rsidRDefault="000E3C4B" w:rsidP="000E3C4B">
      <w:pPr>
        <w:pStyle w:val="ListBullet"/>
        <w:ind w:left="720" w:hanging="720"/>
        <w:rPr>
          <w:rStyle w:val="HTMLCite"/>
          <w:i w:val="0"/>
        </w:rPr>
      </w:pPr>
      <w:r w:rsidRPr="0027400A">
        <w:rPr>
          <w:rStyle w:val="HTMLCite"/>
          <w:i w:val="0"/>
        </w:rPr>
        <w:t>Box-</w:t>
      </w:r>
      <w:proofErr w:type="spellStart"/>
      <w:r w:rsidRPr="0027400A">
        <w:rPr>
          <w:rStyle w:val="HTMLCite"/>
          <w:i w:val="0"/>
        </w:rPr>
        <w:t>Steffensmeier</w:t>
      </w:r>
      <w:proofErr w:type="spellEnd"/>
      <w:r w:rsidRPr="0027400A">
        <w:rPr>
          <w:rStyle w:val="HTMLCite"/>
          <w:i w:val="0"/>
        </w:rPr>
        <w:t xml:space="preserve">, Janet M., and Dino P. </w:t>
      </w:r>
      <w:r w:rsidR="00774FAF" w:rsidRPr="0027400A">
        <w:rPr>
          <w:rStyle w:val="HTMLCite"/>
          <w:i w:val="0"/>
        </w:rPr>
        <w:t>Christenson</w:t>
      </w:r>
      <w:r w:rsidR="00774FAF">
        <w:rPr>
          <w:rStyle w:val="HTMLCite"/>
          <w:i w:val="0"/>
        </w:rPr>
        <w:t>.</w:t>
      </w:r>
      <w:r w:rsidRPr="0027400A">
        <w:rPr>
          <w:rStyle w:val="HTMLCite"/>
          <w:i w:val="0"/>
        </w:rPr>
        <w:t xml:space="preserve"> 2012. “The Evolution and Formation of Amicus Curiae Networks.”  </w:t>
      </w:r>
      <w:r w:rsidRPr="0027400A">
        <w:rPr>
          <w:rStyle w:val="HTMLCite"/>
        </w:rPr>
        <w:t>Social Networks</w:t>
      </w:r>
      <w:r w:rsidR="00774FAF">
        <w:rPr>
          <w:rStyle w:val="HTMLCite"/>
          <w:i w:val="0"/>
        </w:rPr>
        <w:t xml:space="preserve">. </w:t>
      </w:r>
      <w:r w:rsidRPr="0027400A">
        <w:rPr>
          <w:i/>
        </w:rPr>
        <w:t>http://dx.doi.org/10.1016/j.socnet.2012.07.003</w:t>
      </w:r>
    </w:p>
    <w:p w:rsidR="000E3C4B" w:rsidRPr="0027400A" w:rsidRDefault="000E3C4B" w:rsidP="000E3C4B">
      <w:pPr>
        <w:pStyle w:val="ListBullet"/>
        <w:ind w:left="720" w:hanging="720"/>
        <w:rPr>
          <w:rStyle w:val="HTMLCite"/>
          <w:i w:val="0"/>
        </w:rPr>
      </w:pPr>
    </w:p>
    <w:p w:rsidR="000E3C4B" w:rsidRPr="0027400A" w:rsidRDefault="000E3C4B" w:rsidP="000E3C4B">
      <w:pPr>
        <w:pStyle w:val="ListBullet"/>
        <w:ind w:left="720" w:hanging="720"/>
        <w:rPr>
          <w:i/>
          <w:color w:val="548DD4" w:themeColor="text2" w:themeTint="99"/>
        </w:rPr>
      </w:pPr>
      <w:r w:rsidRPr="0027400A">
        <w:rPr>
          <w:rStyle w:val="HTMLCite"/>
          <w:i w:val="0"/>
        </w:rPr>
        <w:t>Box-</w:t>
      </w:r>
      <w:proofErr w:type="spellStart"/>
      <w:r w:rsidRPr="0027400A">
        <w:rPr>
          <w:rStyle w:val="HTMLCite"/>
          <w:i w:val="0"/>
        </w:rPr>
        <w:t>Steffensmeier</w:t>
      </w:r>
      <w:proofErr w:type="spellEnd"/>
      <w:r w:rsidRPr="0027400A">
        <w:rPr>
          <w:rStyle w:val="HTMLCite"/>
          <w:i w:val="0"/>
        </w:rPr>
        <w:t>, Janet M.,</w:t>
      </w:r>
      <w:r w:rsidR="00774FAF">
        <w:rPr>
          <w:rStyle w:val="HTMLCite"/>
          <w:i w:val="0"/>
        </w:rPr>
        <w:t xml:space="preserve"> Dino P. Christenson, and</w:t>
      </w:r>
      <w:r w:rsidRPr="0027400A">
        <w:rPr>
          <w:rStyle w:val="HTMLCite"/>
          <w:i w:val="0"/>
        </w:rPr>
        <w:t xml:space="preserve"> Matthew P.</w:t>
      </w:r>
      <w:r w:rsidR="00774FAF">
        <w:rPr>
          <w:rStyle w:val="HTMLCite"/>
          <w:i w:val="0"/>
        </w:rPr>
        <w:t xml:space="preserve"> Hitt.</w:t>
      </w:r>
      <w:r w:rsidRPr="0027400A">
        <w:rPr>
          <w:rStyle w:val="HTMLCite"/>
          <w:i w:val="0"/>
        </w:rPr>
        <w:t xml:space="preserve"> August 2013</w:t>
      </w:r>
      <w:r w:rsidR="00774FAF">
        <w:rPr>
          <w:rStyle w:val="HTMLCite"/>
          <w:i w:val="0"/>
        </w:rPr>
        <w:t>.</w:t>
      </w:r>
      <w:r w:rsidRPr="0027400A">
        <w:rPr>
          <w:rStyle w:val="HTMLCite"/>
          <w:i w:val="0"/>
        </w:rPr>
        <w:t xml:space="preserve"> “Quality </w:t>
      </w:r>
      <w:proofErr w:type="gramStart"/>
      <w:r w:rsidRPr="0027400A">
        <w:rPr>
          <w:rStyle w:val="HTMLCite"/>
          <w:i w:val="0"/>
        </w:rPr>
        <w:t>Over</w:t>
      </w:r>
      <w:proofErr w:type="gramEnd"/>
      <w:r w:rsidRPr="0027400A">
        <w:rPr>
          <w:rStyle w:val="HTMLCite"/>
          <w:i w:val="0"/>
        </w:rPr>
        <w:t xml:space="preserve"> Quantity: Amici Influence and Judicial Decision Making.” </w:t>
      </w:r>
      <w:r w:rsidRPr="0027400A">
        <w:rPr>
          <w:rStyle w:val="HTMLCite"/>
        </w:rPr>
        <w:t>American Political Science Review</w:t>
      </w:r>
      <w:r w:rsidRPr="0027400A">
        <w:rPr>
          <w:rStyle w:val="HTMLCite"/>
          <w:i w:val="0"/>
        </w:rPr>
        <w:t xml:space="preserve">. </w:t>
      </w:r>
    </w:p>
    <w:p w:rsidR="000E3C4B" w:rsidRPr="0027400A" w:rsidRDefault="000E3C4B" w:rsidP="000E3C4B">
      <w:pPr>
        <w:pStyle w:val="ListBullet"/>
        <w:ind w:left="720" w:hanging="720"/>
        <w:rPr>
          <w:color w:val="548DD4" w:themeColor="text2" w:themeTint="99"/>
        </w:rPr>
      </w:pPr>
    </w:p>
    <w:p w:rsidR="000E3C4B" w:rsidRPr="0027400A" w:rsidRDefault="000E3C4B" w:rsidP="000E3C4B">
      <w:pPr>
        <w:ind w:hanging="720"/>
        <w:rPr>
          <w:rFonts w:eastAsia="Times New Roman" w:cs="Times New Roman"/>
          <w:szCs w:val="24"/>
        </w:rPr>
      </w:pPr>
      <w:r w:rsidRPr="0027400A">
        <w:rPr>
          <w:rFonts w:eastAsia="Times New Roman" w:cs="Times New Roman"/>
          <w:szCs w:val="24"/>
        </w:rPr>
        <w:t xml:space="preserve">Brace, Paul, </w:t>
      </w:r>
      <w:r w:rsidR="000D6839" w:rsidRPr="0027400A">
        <w:rPr>
          <w:rFonts w:eastAsia="Times New Roman" w:cs="Times New Roman"/>
          <w:szCs w:val="24"/>
        </w:rPr>
        <w:t>and</w:t>
      </w:r>
      <w:r w:rsidR="00774FAF">
        <w:rPr>
          <w:rFonts w:eastAsia="Times New Roman" w:cs="Times New Roman"/>
          <w:szCs w:val="24"/>
        </w:rPr>
        <w:t xml:space="preserve"> </w:t>
      </w:r>
      <w:r w:rsidR="0012540C">
        <w:rPr>
          <w:rFonts w:eastAsia="Times New Roman" w:cs="Times New Roman"/>
          <w:szCs w:val="24"/>
        </w:rPr>
        <w:t>Kellie S.</w:t>
      </w:r>
      <w:r w:rsidR="00774FAF">
        <w:rPr>
          <w:rFonts w:eastAsia="Times New Roman" w:cs="Times New Roman"/>
          <w:szCs w:val="24"/>
        </w:rPr>
        <w:t xml:space="preserve"> Butler.</w:t>
      </w:r>
      <w:r w:rsidR="0012540C">
        <w:rPr>
          <w:rFonts w:eastAsia="Times New Roman" w:cs="Times New Roman"/>
          <w:szCs w:val="24"/>
        </w:rPr>
        <w:t xml:space="preserve"> 2001</w:t>
      </w:r>
      <w:r w:rsidRPr="0027400A">
        <w:rPr>
          <w:rFonts w:eastAsia="Times New Roman" w:cs="Times New Roman"/>
          <w:szCs w:val="24"/>
        </w:rPr>
        <w:t xml:space="preserve">. </w:t>
      </w:r>
      <w:r w:rsidR="0012540C">
        <w:rPr>
          <w:rFonts w:eastAsia="Times New Roman" w:cs="Times New Roman"/>
          <w:szCs w:val="24"/>
        </w:rPr>
        <w:t>“</w:t>
      </w:r>
      <w:r w:rsidRPr="0027400A">
        <w:rPr>
          <w:rFonts w:eastAsia="Times New Roman" w:cs="Times New Roman"/>
          <w:szCs w:val="24"/>
        </w:rPr>
        <w:t>New Perspectives for the Comparative Study of the Judiciary: The State Supreme Court Project.</w:t>
      </w:r>
      <w:r w:rsidR="0012540C">
        <w:rPr>
          <w:rFonts w:eastAsia="Times New Roman" w:cs="Times New Roman"/>
          <w:szCs w:val="24"/>
        </w:rPr>
        <w:t>”</w:t>
      </w:r>
      <w:r w:rsidRPr="0027400A">
        <w:rPr>
          <w:rFonts w:eastAsia="Times New Roman" w:cs="Times New Roman"/>
          <w:szCs w:val="24"/>
        </w:rPr>
        <w:t xml:space="preserve"> </w:t>
      </w:r>
      <w:r w:rsidRPr="0027400A">
        <w:rPr>
          <w:rFonts w:eastAsia="Times New Roman" w:cs="Times New Roman"/>
          <w:i/>
          <w:iCs/>
          <w:szCs w:val="24"/>
        </w:rPr>
        <w:t>The Justice System Journal</w:t>
      </w:r>
      <w:r w:rsidR="00774FAF">
        <w:rPr>
          <w:rFonts w:eastAsia="Times New Roman" w:cs="Times New Roman"/>
          <w:szCs w:val="24"/>
        </w:rPr>
        <w:t>:</w:t>
      </w:r>
      <w:r w:rsidRPr="0027400A">
        <w:rPr>
          <w:rFonts w:eastAsia="Times New Roman" w:cs="Times New Roman"/>
          <w:szCs w:val="24"/>
        </w:rPr>
        <w:t xml:space="preserve"> 243-262.</w:t>
      </w:r>
    </w:p>
    <w:p w:rsidR="000E3C4B" w:rsidRPr="0027400A" w:rsidRDefault="000E3C4B" w:rsidP="000E3C4B">
      <w:pPr>
        <w:ind w:hanging="720"/>
        <w:rPr>
          <w:rFonts w:eastAsia="Times New Roman" w:cs="Times New Roman"/>
          <w:szCs w:val="24"/>
        </w:rPr>
      </w:pPr>
    </w:p>
    <w:p w:rsidR="000E3C4B" w:rsidRDefault="00A70CE1" w:rsidP="000E3C4B">
      <w:pPr>
        <w:ind w:hanging="720"/>
        <w:rPr>
          <w:rFonts w:cs="Times New Roman"/>
          <w:szCs w:val="24"/>
        </w:rPr>
      </w:pPr>
      <w:proofErr w:type="spellStart"/>
      <w:proofErr w:type="gramStart"/>
      <w:r>
        <w:rPr>
          <w:rFonts w:cs="Times New Roman"/>
          <w:szCs w:val="24"/>
        </w:rPr>
        <w:t>Brambor</w:t>
      </w:r>
      <w:proofErr w:type="spellEnd"/>
      <w:r>
        <w:rPr>
          <w:rFonts w:cs="Times New Roman"/>
          <w:szCs w:val="24"/>
        </w:rPr>
        <w:t xml:space="preserve">, Thomas, </w:t>
      </w:r>
      <w:r w:rsidR="00B51B7F" w:rsidRPr="0027400A">
        <w:rPr>
          <w:rFonts w:cs="Times New Roman"/>
          <w:szCs w:val="24"/>
        </w:rPr>
        <w:t>William Roberts</w:t>
      </w:r>
      <w:r w:rsidR="00774FAF">
        <w:rPr>
          <w:rFonts w:cs="Times New Roman"/>
          <w:szCs w:val="24"/>
        </w:rPr>
        <w:t xml:space="preserve"> Clark</w:t>
      </w:r>
      <w:r w:rsidR="00B51B7F" w:rsidRPr="0027400A">
        <w:rPr>
          <w:rFonts w:cs="Times New Roman"/>
          <w:szCs w:val="24"/>
        </w:rPr>
        <w:t>, an</w:t>
      </w:r>
      <w:r>
        <w:rPr>
          <w:rFonts w:cs="Times New Roman"/>
          <w:szCs w:val="24"/>
        </w:rPr>
        <w:t>d</w:t>
      </w:r>
      <w:r w:rsidR="00774FAF">
        <w:rPr>
          <w:rFonts w:cs="Times New Roman"/>
          <w:szCs w:val="24"/>
        </w:rPr>
        <w:t xml:space="preserve"> </w:t>
      </w:r>
      <w:r w:rsidR="00B51B7F" w:rsidRPr="0027400A">
        <w:rPr>
          <w:rFonts w:cs="Times New Roman"/>
          <w:szCs w:val="24"/>
        </w:rPr>
        <w:t>Matt</w:t>
      </w:r>
      <w:r w:rsidR="00774FAF">
        <w:rPr>
          <w:rFonts w:cs="Times New Roman"/>
          <w:szCs w:val="24"/>
        </w:rPr>
        <w:t xml:space="preserve"> </w:t>
      </w:r>
      <w:proofErr w:type="spellStart"/>
      <w:r w:rsidR="00774FAF">
        <w:rPr>
          <w:rFonts w:cs="Times New Roman"/>
          <w:szCs w:val="24"/>
        </w:rPr>
        <w:t>Golder</w:t>
      </w:r>
      <w:proofErr w:type="spellEnd"/>
      <w:r w:rsidR="00B51B7F" w:rsidRPr="0027400A">
        <w:rPr>
          <w:rFonts w:cs="Times New Roman"/>
          <w:szCs w:val="24"/>
        </w:rPr>
        <w:t>.</w:t>
      </w:r>
      <w:proofErr w:type="gramEnd"/>
      <w:r w:rsidR="00B51B7F" w:rsidRPr="0027400A">
        <w:rPr>
          <w:rFonts w:cs="Times New Roman"/>
          <w:szCs w:val="24"/>
        </w:rPr>
        <w:t xml:space="preserve"> 2006. </w:t>
      </w:r>
      <w:r>
        <w:rPr>
          <w:rFonts w:cs="Times New Roman"/>
          <w:szCs w:val="24"/>
        </w:rPr>
        <w:t>“</w:t>
      </w:r>
      <w:r w:rsidR="00B51B7F" w:rsidRPr="0027400A">
        <w:rPr>
          <w:rFonts w:cs="Times New Roman"/>
          <w:szCs w:val="24"/>
        </w:rPr>
        <w:t>Understanding interaction models: Improving empirical analyses.</w:t>
      </w:r>
      <w:r>
        <w:rPr>
          <w:rFonts w:cs="Times New Roman"/>
          <w:szCs w:val="24"/>
        </w:rPr>
        <w:t>”</w:t>
      </w:r>
      <w:r w:rsidR="00B51B7F" w:rsidRPr="0027400A">
        <w:rPr>
          <w:rFonts w:cs="Times New Roman"/>
          <w:szCs w:val="24"/>
        </w:rPr>
        <w:t xml:space="preserve"> </w:t>
      </w:r>
      <w:r>
        <w:rPr>
          <w:rFonts w:cs="Times New Roman"/>
          <w:i/>
          <w:iCs/>
          <w:szCs w:val="24"/>
        </w:rPr>
        <w:t>Political A</w:t>
      </w:r>
      <w:r w:rsidR="00B51B7F" w:rsidRPr="0027400A">
        <w:rPr>
          <w:rFonts w:cs="Times New Roman"/>
          <w:i/>
          <w:iCs/>
          <w:szCs w:val="24"/>
        </w:rPr>
        <w:t>nalysis</w:t>
      </w:r>
      <w:r w:rsidR="00774FAF">
        <w:rPr>
          <w:rFonts w:cs="Times New Roman"/>
          <w:szCs w:val="24"/>
        </w:rPr>
        <w:t xml:space="preserve"> </w:t>
      </w:r>
      <w:r w:rsidR="00B51B7F" w:rsidRPr="00774FAF">
        <w:rPr>
          <w:rFonts w:cs="Times New Roman"/>
          <w:iCs/>
          <w:szCs w:val="24"/>
        </w:rPr>
        <w:t>14</w:t>
      </w:r>
      <w:r w:rsidR="00774FAF" w:rsidRPr="00774FAF">
        <w:rPr>
          <w:rFonts w:cs="Times New Roman"/>
          <w:szCs w:val="24"/>
        </w:rPr>
        <w:t>(1):</w:t>
      </w:r>
      <w:r w:rsidR="00B51B7F" w:rsidRPr="0027400A">
        <w:rPr>
          <w:rFonts w:cs="Times New Roman"/>
          <w:szCs w:val="24"/>
        </w:rPr>
        <w:t xml:space="preserve"> 63-82.</w:t>
      </w:r>
    </w:p>
    <w:p w:rsidR="00A70CE1" w:rsidRDefault="00A70CE1" w:rsidP="000E3C4B">
      <w:pPr>
        <w:ind w:hanging="720"/>
        <w:rPr>
          <w:rFonts w:cs="Times New Roman"/>
          <w:szCs w:val="24"/>
        </w:rPr>
      </w:pPr>
    </w:p>
    <w:p w:rsidR="00A70CE1" w:rsidRPr="00A70CE1" w:rsidRDefault="00A70CE1" w:rsidP="00A70CE1">
      <w:pPr>
        <w:autoSpaceDE w:val="0"/>
        <w:autoSpaceDN w:val="0"/>
        <w:adjustRightInd w:val="0"/>
        <w:ind w:hanging="720"/>
        <w:rPr>
          <w:color w:val="000000"/>
          <w:szCs w:val="24"/>
        </w:rPr>
      </w:pPr>
      <w:r>
        <w:rPr>
          <w:color w:val="000000"/>
          <w:szCs w:val="24"/>
        </w:rPr>
        <w:t xml:space="preserve">Brenner, Saul. 1983. </w:t>
      </w:r>
      <w:r w:rsidRPr="00A70CE1">
        <w:rPr>
          <w:color w:val="000000"/>
          <w:szCs w:val="24"/>
        </w:rPr>
        <w:t xml:space="preserve"> “Another Look at Freshman Indecisiveness on the Su</w:t>
      </w:r>
      <w:r>
        <w:rPr>
          <w:color w:val="000000"/>
          <w:szCs w:val="24"/>
        </w:rPr>
        <w:t xml:space="preserve">preme Court.” </w:t>
      </w:r>
      <w:r w:rsidRPr="00A70CE1">
        <w:rPr>
          <w:i/>
          <w:color w:val="000000"/>
          <w:szCs w:val="24"/>
        </w:rPr>
        <w:t>Polity</w:t>
      </w:r>
      <w:r>
        <w:rPr>
          <w:color w:val="000000"/>
          <w:szCs w:val="24"/>
        </w:rPr>
        <w:t xml:space="preserve"> 16: 320-328.</w:t>
      </w:r>
    </w:p>
    <w:p w:rsidR="000E3C4B" w:rsidRPr="0027400A" w:rsidRDefault="000E3C4B" w:rsidP="00A70CE1">
      <w:pPr>
        <w:ind w:left="0" w:firstLine="0"/>
        <w:rPr>
          <w:rFonts w:eastAsia="Times New Roman" w:cs="Times New Roman"/>
          <w:color w:val="FF0000"/>
          <w:szCs w:val="24"/>
        </w:rPr>
      </w:pPr>
    </w:p>
    <w:p w:rsidR="00A70CE1" w:rsidRPr="003A59B0" w:rsidRDefault="00B51B7F" w:rsidP="006C472D">
      <w:pPr>
        <w:ind w:hanging="720"/>
        <w:rPr>
          <w:rFonts w:eastAsia="Times New Roman" w:cs="Times New Roman"/>
          <w:szCs w:val="24"/>
        </w:rPr>
      </w:pPr>
      <w:proofErr w:type="gramStart"/>
      <w:r w:rsidRPr="00B51B7F">
        <w:rPr>
          <w:rFonts w:eastAsia="Times New Roman" w:cs="Times New Roman"/>
          <w:szCs w:val="24"/>
        </w:rPr>
        <w:t>Brenner, Saul, and Theodore S. Arrington.</w:t>
      </w:r>
      <w:proofErr w:type="gramEnd"/>
      <w:r w:rsidRPr="00B51B7F">
        <w:rPr>
          <w:rFonts w:eastAsia="Times New Roman" w:cs="Times New Roman"/>
          <w:szCs w:val="24"/>
        </w:rPr>
        <w:t xml:space="preserve"> </w:t>
      </w:r>
      <w:r w:rsidRPr="0027400A">
        <w:rPr>
          <w:rFonts w:eastAsia="Times New Roman" w:cs="Times New Roman"/>
          <w:szCs w:val="24"/>
        </w:rPr>
        <w:t>2002</w:t>
      </w:r>
      <w:r w:rsidR="00A70CE1">
        <w:rPr>
          <w:rFonts w:eastAsia="Times New Roman" w:cs="Times New Roman"/>
          <w:szCs w:val="24"/>
        </w:rPr>
        <w:t xml:space="preserve">. </w:t>
      </w:r>
      <w:r w:rsidRPr="00B51B7F">
        <w:rPr>
          <w:rFonts w:eastAsia="Times New Roman" w:cs="Times New Roman"/>
          <w:szCs w:val="24"/>
        </w:rPr>
        <w:t xml:space="preserve">"Measuring salience on the Supreme Court: A research note." </w:t>
      </w:r>
      <w:r w:rsidRPr="00B51B7F">
        <w:rPr>
          <w:rFonts w:eastAsia="Times New Roman" w:cs="Times New Roman"/>
          <w:i/>
          <w:iCs/>
          <w:szCs w:val="24"/>
        </w:rPr>
        <w:t>Jurimetrics</w:t>
      </w:r>
      <w:r w:rsidR="003A59B0">
        <w:rPr>
          <w:rFonts w:eastAsia="Times New Roman" w:cs="Times New Roman"/>
          <w:szCs w:val="24"/>
        </w:rPr>
        <w:t xml:space="preserve"> 43: 99.</w:t>
      </w:r>
    </w:p>
    <w:p w:rsidR="000E3C4B" w:rsidRPr="0027400A" w:rsidRDefault="00774FAF" w:rsidP="00B51B7F">
      <w:pPr>
        <w:pStyle w:val="Heading1"/>
        <w:ind w:left="720" w:hanging="720"/>
        <w:rPr>
          <w:b w:val="0"/>
          <w:sz w:val="24"/>
          <w:szCs w:val="24"/>
        </w:rPr>
      </w:pPr>
      <w:proofErr w:type="gramStart"/>
      <w:r>
        <w:rPr>
          <w:b w:val="0"/>
          <w:sz w:val="24"/>
          <w:szCs w:val="24"/>
        </w:rPr>
        <w:t xml:space="preserve">Brenner, Saul, and </w:t>
      </w:r>
      <w:r w:rsidR="00B51B7F" w:rsidRPr="0027400A">
        <w:rPr>
          <w:b w:val="0"/>
          <w:sz w:val="24"/>
          <w:szCs w:val="24"/>
        </w:rPr>
        <w:t>Harold</w:t>
      </w:r>
      <w:r>
        <w:rPr>
          <w:b w:val="0"/>
          <w:sz w:val="24"/>
          <w:szCs w:val="24"/>
        </w:rPr>
        <w:t xml:space="preserve"> </w:t>
      </w:r>
      <w:proofErr w:type="spellStart"/>
      <w:r>
        <w:rPr>
          <w:b w:val="0"/>
          <w:sz w:val="24"/>
          <w:szCs w:val="24"/>
        </w:rPr>
        <w:t>Spaeth</w:t>
      </w:r>
      <w:proofErr w:type="spellEnd"/>
      <w:r w:rsidR="00B51B7F" w:rsidRPr="0027400A">
        <w:rPr>
          <w:b w:val="0"/>
          <w:sz w:val="24"/>
          <w:szCs w:val="24"/>
        </w:rPr>
        <w:t>.</w:t>
      </w:r>
      <w:proofErr w:type="gramEnd"/>
      <w:r w:rsidR="00B51B7F" w:rsidRPr="0027400A">
        <w:rPr>
          <w:b w:val="0"/>
          <w:sz w:val="24"/>
          <w:szCs w:val="24"/>
        </w:rPr>
        <w:t xml:space="preserve"> 1995. </w:t>
      </w:r>
      <w:r w:rsidR="00B51B7F" w:rsidRPr="0027400A">
        <w:rPr>
          <w:b w:val="0"/>
          <w:i/>
          <w:sz w:val="24"/>
          <w:szCs w:val="24"/>
        </w:rPr>
        <w:t xml:space="preserve">Stare </w:t>
      </w:r>
      <w:proofErr w:type="spellStart"/>
      <w:r w:rsidR="00B51B7F" w:rsidRPr="0027400A">
        <w:rPr>
          <w:b w:val="0"/>
          <w:i/>
          <w:sz w:val="24"/>
          <w:szCs w:val="24"/>
        </w:rPr>
        <w:t>Indecisis</w:t>
      </w:r>
      <w:proofErr w:type="spellEnd"/>
      <w:r w:rsidR="00B51B7F" w:rsidRPr="0027400A">
        <w:rPr>
          <w:b w:val="0"/>
          <w:i/>
          <w:sz w:val="24"/>
          <w:szCs w:val="24"/>
        </w:rPr>
        <w:t>: The Alteration of Precedent on the Supreme Court, 1946-1992</w:t>
      </w:r>
      <w:r w:rsidR="00B51B7F" w:rsidRPr="0027400A">
        <w:rPr>
          <w:b w:val="0"/>
          <w:sz w:val="24"/>
          <w:szCs w:val="24"/>
        </w:rPr>
        <w:t xml:space="preserve">.  </w:t>
      </w:r>
      <w:r>
        <w:rPr>
          <w:b w:val="0"/>
          <w:sz w:val="24"/>
          <w:szCs w:val="24"/>
        </w:rPr>
        <w:t xml:space="preserve">Cambridge: </w:t>
      </w:r>
      <w:r w:rsidR="00B51B7F" w:rsidRPr="0027400A">
        <w:rPr>
          <w:b w:val="0"/>
          <w:sz w:val="24"/>
          <w:szCs w:val="24"/>
        </w:rPr>
        <w:t>Cambr</w:t>
      </w:r>
      <w:r>
        <w:rPr>
          <w:b w:val="0"/>
          <w:sz w:val="24"/>
          <w:szCs w:val="24"/>
        </w:rPr>
        <w:t>idge University Press</w:t>
      </w:r>
      <w:r w:rsidR="00B51B7F" w:rsidRPr="0027400A">
        <w:rPr>
          <w:b w:val="0"/>
          <w:sz w:val="24"/>
          <w:szCs w:val="24"/>
        </w:rPr>
        <w:t>.</w:t>
      </w:r>
    </w:p>
    <w:p w:rsidR="000E3C4B" w:rsidRPr="0027400A" w:rsidRDefault="000E3C4B" w:rsidP="000E3C4B">
      <w:pPr>
        <w:ind w:hanging="720"/>
        <w:rPr>
          <w:rFonts w:eastAsia="Times New Roman" w:cs="Times New Roman"/>
          <w:szCs w:val="24"/>
        </w:rPr>
      </w:pPr>
      <w:proofErr w:type="spellStart"/>
      <w:r w:rsidRPr="0027400A">
        <w:rPr>
          <w:rFonts w:eastAsia="Times New Roman" w:cs="Times New Roman"/>
          <w:szCs w:val="24"/>
        </w:rPr>
        <w:t>Caldeira</w:t>
      </w:r>
      <w:proofErr w:type="spellEnd"/>
      <w:r w:rsidRPr="0027400A">
        <w:rPr>
          <w:rFonts w:eastAsia="Times New Roman" w:cs="Times New Roman"/>
          <w:szCs w:val="24"/>
        </w:rPr>
        <w:t xml:space="preserve">, Gregory A. 1986. “Neither the purse nor the sword: Dynamics of public confidence in the Supreme Court.” </w:t>
      </w:r>
      <w:r w:rsidRPr="0027400A">
        <w:rPr>
          <w:rFonts w:eastAsia="Times New Roman" w:cs="Times New Roman"/>
          <w:i/>
          <w:iCs/>
          <w:szCs w:val="24"/>
        </w:rPr>
        <w:t>The American Political Science Review</w:t>
      </w:r>
      <w:r w:rsidR="00774FAF">
        <w:rPr>
          <w:rFonts w:eastAsia="Times New Roman" w:cs="Times New Roman"/>
          <w:szCs w:val="24"/>
        </w:rPr>
        <w:t>:</w:t>
      </w:r>
      <w:r w:rsidRPr="0027400A">
        <w:rPr>
          <w:rFonts w:eastAsia="Times New Roman" w:cs="Times New Roman"/>
          <w:szCs w:val="24"/>
        </w:rPr>
        <w:t xml:space="preserve"> 1209-1226.</w:t>
      </w:r>
    </w:p>
    <w:p w:rsidR="000E3C4B" w:rsidRPr="0027400A" w:rsidRDefault="000E3C4B" w:rsidP="000E3C4B">
      <w:pPr>
        <w:ind w:left="0" w:firstLine="0"/>
        <w:rPr>
          <w:rFonts w:cs="Times New Roman"/>
          <w:szCs w:val="24"/>
        </w:rPr>
      </w:pPr>
    </w:p>
    <w:p w:rsidR="000E3C4B" w:rsidRPr="0027400A" w:rsidRDefault="000E3C4B" w:rsidP="000E3C4B">
      <w:pPr>
        <w:ind w:hanging="720"/>
        <w:rPr>
          <w:rFonts w:cs="Times New Roman"/>
          <w:szCs w:val="24"/>
        </w:rPr>
      </w:pPr>
      <w:proofErr w:type="spellStart"/>
      <w:proofErr w:type="gramStart"/>
      <w:r w:rsidRPr="0027400A">
        <w:rPr>
          <w:rFonts w:cs="Times New Roman"/>
          <w:szCs w:val="24"/>
        </w:rPr>
        <w:t>Caldeira</w:t>
      </w:r>
      <w:proofErr w:type="spellEnd"/>
      <w:r w:rsidRPr="0027400A">
        <w:rPr>
          <w:rFonts w:cs="Times New Roman"/>
          <w:szCs w:val="24"/>
        </w:rPr>
        <w:t xml:space="preserve">, </w:t>
      </w:r>
      <w:r w:rsidR="00774FAF">
        <w:rPr>
          <w:rFonts w:cs="Times New Roman"/>
          <w:szCs w:val="24"/>
        </w:rPr>
        <w:t>Gregory A., and John R. Wright.</w:t>
      </w:r>
      <w:proofErr w:type="gramEnd"/>
      <w:r w:rsidRPr="0027400A">
        <w:rPr>
          <w:rFonts w:cs="Times New Roman"/>
          <w:szCs w:val="24"/>
        </w:rPr>
        <w:t xml:space="preserve"> 1988. “Organized Interests and Agenda Setting in the U.S. Supreme Court.”  </w:t>
      </w:r>
      <w:r w:rsidRPr="0027400A">
        <w:rPr>
          <w:rFonts w:cs="Times New Roman"/>
          <w:i/>
          <w:szCs w:val="24"/>
        </w:rPr>
        <w:t>The American Political Science Review</w:t>
      </w:r>
      <w:r w:rsidRPr="0027400A">
        <w:rPr>
          <w:rFonts w:cs="Times New Roman"/>
          <w:szCs w:val="24"/>
        </w:rPr>
        <w:t xml:space="preserve"> 82(4)</w:t>
      </w:r>
      <w:r w:rsidR="00774FAF">
        <w:rPr>
          <w:rFonts w:cs="Times New Roman"/>
          <w:szCs w:val="24"/>
        </w:rPr>
        <w:t>:</w:t>
      </w:r>
      <w:r w:rsidRPr="0027400A">
        <w:rPr>
          <w:rFonts w:cs="Times New Roman"/>
          <w:szCs w:val="24"/>
        </w:rPr>
        <w:t xml:space="preserve"> 1109-1127.</w:t>
      </w:r>
    </w:p>
    <w:p w:rsidR="000E3C4B" w:rsidRPr="0027400A" w:rsidRDefault="000E3C4B" w:rsidP="000E3C4B">
      <w:pPr>
        <w:ind w:hanging="720"/>
        <w:rPr>
          <w:rFonts w:cs="Times New Roman"/>
          <w:szCs w:val="24"/>
        </w:rPr>
      </w:pPr>
    </w:p>
    <w:p w:rsidR="000E3C4B" w:rsidRPr="0027400A" w:rsidRDefault="00774FAF" w:rsidP="000E3C4B">
      <w:pPr>
        <w:ind w:hanging="720"/>
        <w:rPr>
          <w:rFonts w:cs="Times New Roman"/>
          <w:szCs w:val="24"/>
        </w:rPr>
      </w:pPr>
      <w:proofErr w:type="spellStart"/>
      <w:proofErr w:type="gramStart"/>
      <w:r>
        <w:rPr>
          <w:rFonts w:cs="Times New Roman"/>
          <w:szCs w:val="24"/>
        </w:rPr>
        <w:t>Caldeira</w:t>
      </w:r>
      <w:proofErr w:type="spellEnd"/>
      <w:r>
        <w:rPr>
          <w:rFonts w:cs="Times New Roman"/>
          <w:szCs w:val="24"/>
        </w:rPr>
        <w:t>, Gregory A., and John R. Wright</w:t>
      </w:r>
      <w:r w:rsidR="000E3C4B" w:rsidRPr="0027400A">
        <w:rPr>
          <w:rFonts w:cs="Times New Roman"/>
          <w:szCs w:val="24"/>
        </w:rPr>
        <w:t>.</w:t>
      </w:r>
      <w:proofErr w:type="gramEnd"/>
      <w:r w:rsidR="000E3C4B" w:rsidRPr="0027400A">
        <w:rPr>
          <w:rFonts w:cs="Times New Roman"/>
          <w:szCs w:val="24"/>
        </w:rPr>
        <w:t xml:space="preserve"> 1990. “Amici Curiae before the Supreme Court:  Who Participates, When, and How Much?”  </w:t>
      </w:r>
      <w:r w:rsidR="000E3C4B" w:rsidRPr="0027400A">
        <w:rPr>
          <w:rFonts w:cs="Times New Roman"/>
          <w:i/>
          <w:szCs w:val="24"/>
        </w:rPr>
        <w:t>Journal of Politics</w:t>
      </w:r>
      <w:r w:rsidR="000E3C4B" w:rsidRPr="0027400A">
        <w:rPr>
          <w:rFonts w:cs="Times New Roman"/>
          <w:szCs w:val="24"/>
        </w:rPr>
        <w:t xml:space="preserve"> 52(3): 782-806</w:t>
      </w:r>
    </w:p>
    <w:p w:rsidR="000E3C4B" w:rsidRPr="0027400A" w:rsidRDefault="000E3C4B" w:rsidP="000E3C4B">
      <w:pPr>
        <w:ind w:hanging="720"/>
        <w:rPr>
          <w:rFonts w:cs="Times New Roman"/>
          <w:szCs w:val="24"/>
        </w:rPr>
      </w:pPr>
    </w:p>
    <w:p w:rsidR="000E3C4B" w:rsidRPr="0027400A" w:rsidRDefault="00B51B7F" w:rsidP="000E3C4B">
      <w:pPr>
        <w:ind w:hanging="720"/>
        <w:rPr>
          <w:rFonts w:cs="Times New Roman"/>
          <w:szCs w:val="24"/>
        </w:rPr>
      </w:pPr>
      <w:proofErr w:type="spellStart"/>
      <w:proofErr w:type="gramStart"/>
      <w:r w:rsidRPr="0027400A">
        <w:rPr>
          <w:rFonts w:cs="Times New Roman"/>
          <w:szCs w:val="24"/>
        </w:rPr>
        <w:t>Caldeira</w:t>
      </w:r>
      <w:proofErr w:type="spellEnd"/>
      <w:r w:rsidRPr="0027400A">
        <w:rPr>
          <w:rFonts w:cs="Times New Roman"/>
          <w:szCs w:val="24"/>
        </w:rPr>
        <w:t>, Gregory, John Jack Wright, and Christopher Zorn.</w:t>
      </w:r>
      <w:proofErr w:type="gramEnd"/>
      <w:r w:rsidRPr="0027400A">
        <w:rPr>
          <w:rFonts w:cs="Times New Roman"/>
          <w:szCs w:val="24"/>
        </w:rPr>
        <w:t xml:space="preserve"> </w:t>
      </w:r>
      <w:r w:rsidR="002377A3" w:rsidRPr="0027400A">
        <w:rPr>
          <w:rFonts w:cs="Times New Roman"/>
          <w:szCs w:val="24"/>
        </w:rPr>
        <w:t xml:space="preserve">2012. </w:t>
      </w:r>
      <w:r w:rsidRPr="0027400A">
        <w:rPr>
          <w:rFonts w:cs="Times New Roman"/>
          <w:szCs w:val="24"/>
        </w:rPr>
        <w:t xml:space="preserve">"Organized Interests and Agenda Setting in the US Supreme Court Revisited." </w:t>
      </w:r>
      <w:proofErr w:type="gramStart"/>
      <w:r w:rsidRPr="0027400A">
        <w:rPr>
          <w:rFonts w:cs="Times New Roman"/>
          <w:i/>
          <w:iCs/>
          <w:szCs w:val="24"/>
        </w:rPr>
        <w:t>Available at SSRN 2109497</w:t>
      </w:r>
      <w:r w:rsidR="002377A3" w:rsidRPr="0027400A">
        <w:rPr>
          <w:rFonts w:cs="Times New Roman"/>
          <w:szCs w:val="24"/>
        </w:rPr>
        <w:t>.</w:t>
      </w:r>
      <w:proofErr w:type="gramEnd"/>
    </w:p>
    <w:p w:rsidR="002377A3" w:rsidRPr="0027400A" w:rsidRDefault="002377A3" w:rsidP="000E3C4B">
      <w:pPr>
        <w:ind w:hanging="720"/>
        <w:rPr>
          <w:rFonts w:cs="Times New Roman"/>
          <w:color w:val="FF0000"/>
          <w:szCs w:val="24"/>
        </w:rPr>
      </w:pPr>
    </w:p>
    <w:p w:rsidR="000E3C4B" w:rsidRPr="0027400A" w:rsidRDefault="00774FAF" w:rsidP="000E3C4B">
      <w:pPr>
        <w:ind w:hanging="720"/>
        <w:rPr>
          <w:rFonts w:cs="Times New Roman"/>
          <w:color w:val="FF0000"/>
          <w:szCs w:val="24"/>
        </w:rPr>
      </w:pPr>
      <w:r>
        <w:rPr>
          <w:rFonts w:cs="Times New Roman"/>
          <w:szCs w:val="24"/>
        </w:rPr>
        <w:t>Casey, Gregory.</w:t>
      </w:r>
      <w:r w:rsidR="002377A3" w:rsidRPr="0027400A">
        <w:rPr>
          <w:rFonts w:cs="Times New Roman"/>
          <w:szCs w:val="24"/>
        </w:rPr>
        <w:t xml:space="preserve"> 1974. </w:t>
      </w:r>
      <w:r w:rsidR="00C1053E">
        <w:rPr>
          <w:rFonts w:cs="Times New Roman"/>
          <w:szCs w:val="24"/>
        </w:rPr>
        <w:t>“The Supreme Court and M</w:t>
      </w:r>
      <w:r w:rsidR="002377A3" w:rsidRPr="0027400A">
        <w:rPr>
          <w:rFonts w:cs="Times New Roman"/>
          <w:szCs w:val="24"/>
        </w:rPr>
        <w:t>yth: An empirical investigation.</w:t>
      </w:r>
      <w:r w:rsidR="00C1053E">
        <w:rPr>
          <w:rFonts w:cs="Times New Roman"/>
          <w:szCs w:val="24"/>
        </w:rPr>
        <w:t>”</w:t>
      </w:r>
      <w:r w:rsidR="002377A3" w:rsidRPr="0027400A">
        <w:rPr>
          <w:rFonts w:cs="Times New Roman"/>
          <w:szCs w:val="24"/>
        </w:rPr>
        <w:t xml:space="preserve"> </w:t>
      </w:r>
      <w:r w:rsidR="002377A3" w:rsidRPr="0027400A">
        <w:rPr>
          <w:rFonts w:cs="Times New Roman"/>
          <w:i/>
          <w:iCs/>
          <w:szCs w:val="24"/>
        </w:rPr>
        <w:t>Law &amp; Society Review</w:t>
      </w:r>
      <w:r w:rsidR="002377A3" w:rsidRPr="0027400A">
        <w:rPr>
          <w:rFonts w:cs="Times New Roman"/>
          <w:szCs w:val="24"/>
        </w:rPr>
        <w:t xml:space="preserve"> </w:t>
      </w:r>
      <w:r w:rsidR="002377A3" w:rsidRPr="00774FAF">
        <w:rPr>
          <w:rFonts w:cs="Times New Roman"/>
          <w:iCs/>
          <w:szCs w:val="24"/>
        </w:rPr>
        <w:t>8</w:t>
      </w:r>
      <w:r>
        <w:rPr>
          <w:rFonts w:cs="Times New Roman"/>
          <w:szCs w:val="24"/>
        </w:rPr>
        <w:t xml:space="preserve">(3): </w:t>
      </w:r>
      <w:r w:rsidR="002377A3" w:rsidRPr="0027400A">
        <w:rPr>
          <w:rFonts w:cs="Times New Roman"/>
          <w:szCs w:val="24"/>
        </w:rPr>
        <w:t>385-419.</w:t>
      </w:r>
    </w:p>
    <w:p w:rsidR="000E3C4B" w:rsidRPr="0027400A" w:rsidRDefault="000E3C4B" w:rsidP="000E3C4B">
      <w:pPr>
        <w:ind w:hanging="720"/>
        <w:rPr>
          <w:rFonts w:cs="Times New Roman"/>
          <w:szCs w:val="24"/>
        </w:rPr>
      </w:pPr>
    </w:p>
    <w:p w:rsidR="000E3C4B" w:rsidRPr="0027400A" w:rsidRDefault="000E3C4B" w:rsidP="000E3C4B">
      <w:pPr>
        <w:autoSpaceDE w:val="0"/>
        <w:autoSpaceDN w:val="0"/>
        <w:adjustRightInd w:val="0"/>
        <w:ind w:left="0" w:firstLine="0"/>
        <w:rPr>
          <w:rFonts w:cs="Times New Roman"/>
          <w:i/>
          <w:szCs w:val="24"/>
        </w:rPr>
      </w:pPr>
      <w:proofErr w:type="spellStart"/>
      <w:r w:rsidRPr="0027400A">
        <w:rPr>
          <w:rFonts w:cs="Times New Roman"/>
          <w:szCs w:val="24"/>
        </w:rPr>
        <w:lastRenderedPageBreak/>
        <w:t>Chayes</w:t>
      </w:r>
      <w:proofErr w:type="spellEnd"/>
      <w:r w:rsidRPr="0027400A">
        <w:rPr>
          <w:rFonts w:cs="Times New Roman"/>
          <w:szCs w:val="24"/>
        </w:rPr>
        <w:t>, Abram. 1976. “T</w:t>
      </w:r>
      <w:r w:rsidRPr="0027400A">
        <w:rPr>
          <w:rFonts w:cs="Times New Roman"/>
          <w:iCs/>
          <w:szCs w:val="24"/>
        </w:rPr>
        <w:t>he Role of the Judge in Public Law Litigation.”</w:t>
      </w:r>
      <w:r w:rsidRPr="0027400A">
        <w:rPr>
          <w:rFonts w:cs="Times New Roman"/>
          <w:i/>
          <w:iCs/>
          <w:szCs w:val="24"/>
        </w:rPr>
        <w:t xml:space="preserve"> </w:t>
      </w:r>
      <w:r w:rsidRPr="0027400A">
        <w:rPr>
          <w:rFonts w:cs="Times New Roman"/>
          <w:szCs w:val="24"/>
        </w:rPr>
        <w:t xml:space="preserve">89 </w:t>
      </w:r>
      <w:r w:rsidR="00031B3C">
        <w:rPr>
          <w:rFonts w:cs="Times New Roman"/>
          <w:i/>
          <w:szCs w:val="24"/>
        </w:rPr>
        <w:t>Harvard Law</w:t>
      </w:r>
    </w:p>
    <w:p w:rsidR="000E3C4B" w:rsidRDefault="00031B3C" w:rsidP="000E3C4B">
      <w:pPr>
        <w:ind w:firstLine="0"/>
        <w:rPr>
          <w:rFonts w:cs="Times New Roman"/>
          <w:szCs w:val="24"/>
        </w:rPr>
      </w:pPr>
      <w:proofErr w:type="gramStart"/>
      <w:r>
        <w:rPr>
          <w:rFonts w:cs="Times New Roman"/>
          <w:i/>
          <w:szCs w:val="24"/>
        </w:rPr>
        <w:t>Review</w:t>
      </w:r>
      <w:r w:rsidR="000E3C4B" w:rsidRPr="0027400A">
        <w:rPr>
          <w:rFonts w:cs="Times New Roman"/>
          <w:i/>
          <w:szCs w:val="24"/>
        </w:rPr>
        <w:t xml:space="preserve"> </w:t>
      </w:r>
      <w:r w:rsidR="00774FAF">
        <w:rPr>
          <w:rFonts w:cs="Times New Roman"/>
          <w:szCs w:val="24"/>
        </w:rPr>
        <w:t>1281</w:t>
      </w:r>
      <w:r w:rsidR="000E3C4B" w:rsidRPr="0027400A">
        <w:rPr>
          <w:rFonts w:cs="Times New Roman"/>
          <w:szCs w:val="24"/>
        </w:rPr>
        <w:t>.</w:t>
      </w:r>
      <w:proofErr w:type="gramEnd"/>
    </w:p>
    <w:p w:rsidR="003A59B0" w:rsidRDefault="003A59B0" w:rsidP="000E3C4B">
      <w:pPr>
        <w:ind w:firstLine="0"/>
        <w:rPr>
          <w:rFonts w:cs="Times New Roman"/>
          <w:szCs w:val="24"/>
        </w:rPr>
      </w:pPr>
    </w:p>
    <w:p w:rsidR="003A59B0" w:rsidRDefault="003A59B0" w:rsidP="003A59B0">
      <w:pPr>
        <w:ind w:hanging="720"/>
        <w:rPr>
          <w:rFonts w:cs="Times New Roman"/>
          <w:szCs w:val="24"/>
        </w:rPr>
      </w:pPr>
      <w:proofErr w:type="spellStart"/>
      <w:r>
        <w:rPr>
          <w:rFonts w:cs="Times New Roman"/>
          <w:szCs w:val="24"/>
        </w:rPr>
        <w:t>Chemerinsky</w:t>
      </w:r>
      <w:proofErr w:type="spellEnd"/>
      <w:r>
        <w:rPr>
          <w:rFonts w:cs="Times New Roman"/>
          <w:szCs w:val="24"/>
        </w:rPr>
        <w:t xml:space="preserve">, Erwin. 2012. “It’s </w:t>
      </w:r>
      <w:proofErr w:type="gramStart"/>
      <w:r>
        <w:rPr>
          <w:rFonts w:cs="Times New Roman"/>
          <w:szCs w:val="24"/>
        </w:rPr>
        <w:t>Now</w:t>
      </w:r>
      <w:proofErr w:type="gramEnd"/>
      <w:r>
        <w:rPr>
          <w:rFonts w:cs="Times New Roman"/>
          <w:szCs w:val="24"/>
        </w:rPr>
        <w:t xml:space="preserve"> the John Roberts Court.” 15 </w:t>
      </w:r>
      <w:r>
        <w:rPr>
          <w:rFonts w:cs="Times New Roman"/>
          <w:i/>
          <w:szCs w:val="24"/>
        </w:rPr>
        <w:t xml:space="preserve">Green </w:t>
      </w:r>
      <w:proofErr w:type="gramStart"/>
      <w:r>
        <w:rPr>
          <w:rFonts w:cs="Times New Roman"/>
          <w:i/>
          <w:szCs w:val="24"/>
        </w:rPr>
        <w:t>Bag</w:t>
      </w:r>
      <w:proofErr w:type="gramEnd"/>
      <w:r>
        <w:rPr>
          <w:rFonts w:cs="Times New Roman"/>
          <w:i/>
          <w:szCs w:val="24"/>
        </w:rPr>
        <w:t xml:space="preserve"> </w:t>
      </w:r>
      <w:r>
        <w:rPr>
          <w:rFonts w:cs="Times New Roman"/>
          <w:szCs w:val="24"/>
        </w:rPr>
        <w:t xml:space="preserve">2D: 389-403. </w:t>
      </w:r>
      <w:r w:rsidRPr="003A59B0">
        <w:rPr>
          <w:rFonts w:cs="Times New Roman"/>
          <w:szCs w:val="24"/>
        </w:rPr>
        <w:t>http://www.greenbag.org/v15n4/v15n4_articles_chemerinsky.pdf</w:t>
      </w:r>
    </w:p>
    <w:p w:rsidR="003A59B0" w:rsidRDefault="003A59B0" w:rsidP="003A59B0">
      <w:pPr>
        <w:ind w:left="0" w:firstLine="0"/>
        <w:rPr>
          <w:rFonts w:cs="Times New Roman"/>
          <w:szCs w:val="24"/>
        </w:rPr>
      </w:pPr>
    </w:p>
    <w:p w:rsidR="000E3C4B" w:rsidRDefault="003A59B0" w:rsidP="000E3C4B">
      <w:pPr>
        <w:ind w:left="0" w:firstLine="0"/>
      </w:pPr>
      <w:proofErr w:type="spellStart"/>
      <w:r>
        <w:t>Chemerinsky</w:t>
      </w:r>
      <w:proofErr w:type="spellEnd"/>
      <w:r>
        <w:t xml:space="preserve">, Erwin. 2008. “The Roberts Court at Age Three." </w:t>
      </w:r>
      <w:r w:rsidR="00031B3C">
        <w:rPr>
          <w:i/>
          <w:iCs/>
        </w:rPr>
        <w:t>Wayne Law Review</w:t>
      </w:r>
      <w:r>
        <w:t xml:space="preserve"> 54: 947.</w:t>
      </w:r>
    </w:p>
    <w:p w:rsidR="003A59B0" w:rsidRPr="0027400A" w:rsidRDefault="003A59B0" w:rsidP="000E3C4B">
      <w:pPr>
        <w:ind w:left="0" w:firstLine="0"/>
        <w:rPr>
          <w:rFonts w:cs="Times New Roman"/>
          <w:szCs w:val="24"/>
        </w:rPr>
      </w:pPr>
    </w:p>
    <w:p w:rsidR="000E3C4B" w:rsidRPr="0027400A" w:rsidRDefault="000E3C4B" w:rsidP="000E3C4B">
      <w:pPr>
        <w:ind w:hanging="720"/>
        <w:rPr>
          <w:rFonts w:eastAsia="Times New Roman" w:cs="Times New Roman"/>
          <w:szCs w:val="24"/>
        </w:rPr>
      </w:pPr>
      <w:r w:rsidRPr="0027400A">
        <w:rPr>
          <w:rFonts w:eastAsia="Times New Roman" w:cs="Times New Roman"/>
          <w:szCs w:val="24"/>
        </w:rPr>
        <w:t xml:space="preserve">Chen, Paul. 2006. “Information Role of Amici Curiae Briefs in Gonzales v. </w:t>
      </w:r>
      <w:proofErr w:type="spellStart"/>
      <w:r w:rsidRPr="0027400A">
        <w:rPr>
          <w:rFonts w:eastAsia="Times New Roman" w:cs="Times New Roman"/>
          <w:szCs w:val="24"/>
        </w:rPr>
        <w:t>Raich</w:t>
      </w:r>
      <w:proofErr w:type="spellEnd"/>
      <w:r w:rsidRPr="0027400A">
        <w:rPr>
          <w:rFonts w:eastAsia="Times New Roman" w:cs="Times New Roman"/>
          <w:szCs w:val="24"/>
        </w:rPr>
        <w:t xml:space="preserve">, </w:t>
      </w:r>
      <w:proofErr w:type="gramStart"/>
      <w:r w:rsidRPr="0027400A">
        <w:rPr>
          <w:rFonts w:eastAsia="Times New Roman" w:cs="Times New Roman"/>
          <w:szCs w:val="24"/>
        </w:rPr>
        <w:t>The</w:t>
      </w:r>
      <w:proofErr w:type="gramEnd"/>
      <w:r w:rsidRPr="0027400A">
        <w:rPr>
          <w:rFonts w:eastAsia="Times New Roman" w:cs="Times New Roman"/>
          <w:szCs w:val="24"/>
        </w:rPr>
        <w:t xml:space="preserve">.” </w:t>
      </w:r>
      <w:r w:rsidRPr="0027400A">
        <w:rPr>
          <w:rFonts w:eastAsia="Times New Roman" w:cs="Times New Roman"/>
          <w:i/>
          <w:iCs/>
          <w:szCs w:val="24"/>
        </w:rPr>
        <w:t>S. Ill. ULJ</w:t>
      </w:r>
      <w:r w:rsidRPr="0027400A">
        <w:rPr>
          <w:rFonts w:eastAsia="Times New Roman" w:cs="Times New Roman"/>
          <w:szCs w:val="24"/>
        </w:rPr>
        <w:t xml:space="preserve"> </w:t>
      </w:r>
      <w:r w:rsidRPr="00774FAF">
        <w:rPr>
          <w:rFonts w:eastAsia="Times New Roman" w:cs="Times New Roman"/>
          <w:iCs/>
          <w:szCs w:val="24"/>
        </w:rPr>
        <w:t>31</w:t>
      </w:r>
      <w:r w:rsidR="00774FAF">
        <w:rPr>
          <w:rFonts w:eastAsia="Times New Roman" w:cs="Times New Roman"/>
          <w:szCs w:val="24"/>
        </w:rPr>
        <w:t xml:space="preserve">: </w:t>
      </w:r>
      <w:r w:rsidRPr="0027400A">
        <w:rPr>
          <w:rFonts w:eastAsia="Times New Roman" w:cs="Times New Roman"/>
          <w:szCs w:val="24"/>
        </w:rPr>
        <w:t>217.</w:t>
      </w:r>
    </w:p>
    <w:p w:rsidR="000E3C4B" w:rsidRPr="0027400A" w:rsidRDefault="000E3C4B" w:rsidP="000E3C4B">
      <w:pPr>
        <w:ind w:left="0" w:firstLine="0"/>
        <w:rPr>
          <w:rFonts w:cs="Times New Roman"/>
          <w:color w:val="548DD4" w:themeColor="text2" w:themeTint="99"/>
          <w:szCs w:val="24"/>
        </w:rPr>
      </w:pPr>
    </w:p>
    <w:p w:rsidR="000E3C4B" w:rsidRPr="0027400A" w:rsidRDefault="000E3C4B" w:rsidP="000E3C4B">
      <w:pPr>
        <w:ind w:hanging="720"/>
        <w:rPr>
          <w:rFonts w:eastAsia="Times New Roman" w:cs="Times New Roman"/>
          <w:szCs w:val="24"/>
        </w:rPr>
      </w:pPr>
      <w:r w:rsidRPr="0027400A">
        <w:rPr>
          <w:rFonts w:eastAsia="Times New Roman" w:cs="Times New Roman"/>
          <w:szCs w:val="24"/>
        </w:rPr>
        <w:t xml:space="preserve">Coleman, Ellen. 2008. </w:t>
      </w:r>
      <w:r w:rsidR="002377A3" w:rsidRPr="0027400A">
        <w:rPr>
          <w:rFonts w:eastAsia="Times New Roman" w:cs="Times New Roman"/>
          <w:szCs w:val="24"/>
        </w:rPr>
        <w:t xml:space="preserve">Doctoral Dissertation. </w:t>
      </w:r>
      <w:r w:rsidRPr="0027400A">
        <w:rPr>
          <w:rFonts w:eastAsia="Times New Roman" w:cs="Times New Roman"/>
          <w:i/>
          <w:iCs/>
          <w:szCs w:val="24"/>
        </w:rPr>
        <w:t>Amicus curiae briefs and their effect on United States Supreme Court decisions involving rape convictions from 1950--1999</w:t>
      </w:r>
      <w:r w:rsidRPr="0027400A">
        <w:rPr>
          <w:rFonts w:eastAsia="Times New Roman" w:cs="Times New Roman"/>
          <w:szCs w:val="24"/>
        </w:rPr>
        <w:t xml:space="preserve">. </w:t>
      </w:r>
      <w:proofErr w:type="spellStart"/>
      <w:proofErr w:type="gramStart"/>
      <w:r w:rsidRPr="0027400A">
        <w:rPr>
          <w:rFonts w:eastAsia="Times New Roman" w:cs="Times New Roman"/>
          <w:szCs w:val="24"/>
        </w:rPr>
        <w:t>ProQuest</w:t>
      </w:r>
      <w:proofErr w:type="spellEnd"/>
      <w:r w:rsidRPr="0027400A">
        <w:rPr>
          <w:rFonts w:eastAsia="Times New Roman" w:cs="Times New Roman"/>
          <w:szCs w:val="24"/>
        </w:rPr>
        <w:t>.</w:t>
      </w:r>
      <w:proofErr w:type="gramEnd"/>
    </w:p>
    <w:p w:rsidR="000E3C4B" w:rsidRPr="0027400A" w:rsidRDefault="000E3C4B" w:rsidP="000E3C4B">
      <w:pPr>
        <w:ind w:left="0" w:firstLine="0"/>
        <w:rPr>
          <w:rFonts w:cs="Times New Roman"/>
          <w:szCs w:val="24"/>
        </w:rPr>
      </w:pPr>
    </w:p>
    <w:p w:rsidR="000E3C4B" w:rsidRPr="0027400A" w:rsidRDefault="000E3C4B" w:rsidP="000E3C4B">
      <w:pPr>
        <w:autoSpaceDE w:val="0"/>
        <w:autoSpaceDN w:val="0"/>
        <w:adjustRightInd w:val="0"/>
        <w:ind w:hanging="720"/>
        <w:rPr>
          <w:rFonts w:cs="Times New Roman"/>
          <w:i/>
          <w:iCs/>
          <w:szCs w:val="24"/>
        </w:rPr>
      </w:pPr>
      <w:r w:rsidRPr="0027400A">
        <w:rPr>
          <w:rFonts w:cs="Times New Roman"/>
          <w:szCs w:val="24"/>
        </w:rPr>
        <w:t xml:space="preserve">Collins, Paul M., Jr. 2008. </w:t>
      </w:r>
      <w:r w:rsidRPr="0027400A">
        <w:rPr>
          <w:rFonts w:cs="Times New Roman"/>
          <w:i/>
          <w:iCs/>
          <w:szCs w:val="24"/>
        </w:rPr>
        <w:t>Friends of the Supreme Court: Interest Groups and Judicial Decision</w:t>
      </w:r>
    </w:p>
    <w:p w:rsidR="000E3C4B" w:rsidRPr="0027400A" w:rsidRDefault="000E3C4B" w:rsidP="000E3C4B">
      <w:pPr>
        <w:autoSpaceDE w:val="0"/>
        <w:autoSpaceDN w:val="0"/>
        <w:adjustRightInd w:val="0"/>
        <w:ind w:hanging="90"/>
        <w:rPr>
          <w:rFonts w:cs="Times New Roman"/>
          <w:i/>
          <w:szCs w:val="24"/>
        </w:rPr>
      </w:pPr>
      <w:proofErr w:type="gramStart"/>
      <w:r w:rsidRPr="0027400A">
        <w:rPr>
          <w:rFonts w:cs="Times New Roman"/>
          <w:i/>
          <w:iCs/>
          <w:szCs w:val="24"/>
        </w:rPr>
        <w:t>Making.</w:t>
      </w:r>
      <w:proofErr w:type="gramEnd"/>
      <w:r w:rsidRPr="0027400A">
        <w:rPr>
          <w:rFonts w:cs="Times New Roman"/>
          <w:i/>
          <w:iCs/>
          <w:szCs w:val="24"/>
        </w:rPr>
        <w:t xml:space="preserve"> </w:t>
      </w:r>
      <w:r w:rsidRPr="0027400A">
        <w:rPr>
          <w:rFonts w:cs="Times New Roman"/>
          <w:szCs w:val="24"/>
        </w:rPr>
        <w:t xml:space="preserve">New York, NY: Oxford University Press.  </w:t>
      </w:r>
      <w:proofErr w:type="gramStart"/>
      <w:r w:rsidRPr="0027400A">
        <w:rPr>
          <w:rFonts w:cs="Times New Roman"/>
          <w:i/>
          <w:szCs w:val="24"/>
        </w:rPr>
        <w:t>Amicus Curiae data 1946-2001.</w:t>
      </w:r>
      <w:proofErr w:type="gramEnd"/>
    </w:p>
    <w:p w:rsidR="000E3C4B" w:rsidRPr="0027400A" w:rsidRDefault="000E3C4B" w:rsidP="000E3C4B">
      <w:pPr>
        <w:autoSpaceDE w:val="0"/>
        <w:autoSpaceDN w:val="0"/>
        <w:adjustRightInd w:val="0"/>
        <w:ind w:hanging="90"/>
        <w:rPr>
          <w:rFonts w:cs="Times New Roman"/>
          <w:i/>
          <w:szCs w:val="24"/>
        </w:rPr>
      </w:pPr>
    </w:p>
    <w:p w:rsidR="000E3C4B" w:rsidRPr="0027400A" w:rsidRDefault="000E3C4B" w:rsidP="000E3C4B">
      <w:pPr>
        <w:autoSpaceDE w:val="0"/>
        <w:autoSpaceDN w:val="0"/>
        <w:adjustRightInd w:val="0"/>
        <w:ind w:hanging="720"/>
        <w:rPr>
          <w:rFonts w:cs="Times New Roman"/>
          <w:szCs w:val="24"/>
        </w:rPr>
      </w:pPr>
      <w:r w:rsidRPr="0027400A">
        <w:rPr>
          <w:rFonts w:cs="Times New Roman"/>
          <w:szCs w:val="24"/>
        </w:rPr>
        <w:t xml:space="preserve">Collins, Paul M., Jr. 2007.  </w:t>
      </w:r>
      <w:proofErr w:type="gramStart"/>
      <w:r w:rsidRPr="0027400A">
        <w:rPr>
          <w:rFonts w:cs="Times New Roman"/>
          <w:szCs w:val="24"/>
        </w:rPr>
        <w:t>“Lobbyists before the U.S. Supreme Court.”</w:t>
      </w:r>
      <w:proofErr w:type="gramEnd"/>
      <w:r w:rsidRPr="0027400A">
        <w:rPr>
          <w:rFonts w:cs="Times New Roman"/>
          <w:szCs w:val="24"/>
        </w:rPr>
        <w:t xml:space="preserve"> </w:t>
      </w:r>
      <w:r w:rsidRPr="0027400A">
        <w:rPr>
          <w:rFonts w:cs="Times New Roman"/>
          <w:i/>
          <w:szCs w:val="24"/>
        </w:rPr>
        <w:t>Political Research Quarterly</w:t>
      </w:r>
      <w:r w:rsidR="00031B3C">
        <w:rPr>
          <w:rFonts w:cs="Times New Roman"/>
          <w:szCs w:val="24"/>
        </w:rPr>
        <w:t xml:space="preserve"> 60(1):</w:t>
      </w:r>
      <w:r w:rsidRPr="0027400A">
        <w:rPr>
          <w:rFonts w:cs="Times New Roman"/>
          <w:szCs w:val="24"/>
        </w:rPr>
        <w:t xml:space="preserve"> 55-70.</w:t>
      </w:r>
    </w:p>
    <w:p w:rsidR="000E3C4B" w:rsidRPr="0027400A" w:rsidRDefault="000E3C4B" w:rsidP="000E3C4B">
      <w:pPr>
        <w:autoSpaceDE w:val="0"/>
        <w:autoSpaceDN w:val="0"/>
        <w:adjustRightInd w:val="0"/>
        <w:ind w:hanging="720"/>
        <w:rPr>
          <w:rFonts w:cs="Times New Roman"/>
          <w:szCs w:val="24"/>
        </w:rPr>
      </w:pPr>
    </w:p>
    <w:p w:rsidR="000E3C4B" w:rsidRPr="0027400A" w:rsidRDefault="000E3C4B" w:rsidP="000E3C4B">
      <w:pPr>
        <w:autoSpaceDE w:val="0"/>
        <w:autoSpaceDN w:val="0"/>
        <w:adjustRightInd w:val="0"/>
        <w:ind w:hanging="720"/>
        <w:rPr>
          <w:rFonts w:cs="Times New Roman"/>
          <w:szCs w:val="24"/>
        </w:rPr>
      </w:pPr>
      <w:r w:rsidRPr="0027400A">
        <w:rPr>
          <w:rFonts w:cs="Times New Roman"/>
          <w:szCs w:val="24"/>
        </w:rPr>
        <w:t xml:space="preserve">Collins, Paul M., Jr. 2004.  “Friends of the Court:  Examining the Influence of Amicus Curiae Participation in U.S. Supreme Court Litigation.” </w:t>
      </w:r>
      <w:r w:rsidRPr="0027400A">
        <w:rPr>
          <w:rFonts w:cs="Times New Roman"/>
          <w:i/>
          <w:szCs w:val="24"/>
        </w:rPr>
        <w:t>Law and Society Review</w:t>
      </w:r>
      <w:r w:rsidRPr="0027400A">
        <w:rPr>
          <w:rFonts w:cs="Times New Roman"/>
          <w:szCs w:val="24"/>
        </w:rPr>
        <w:t xml:space="preserve"> 38(4): 807-832). </w:t>
      </w:r>
    </w:p>
    <w:p w:rsidR="000E3C4B" w:rsidRPr="0027400A" w:rsidRDefault="000E3C4B" w:rsidP="000E3C4B">
      <w:pPr>
        <w:autoSpaceDE w:val="0"/>
        <w:autoSpaceDN w:val="0"/>
        <w:adjustRightInd w:val="0"/>
        <w:ind w:hanging="720"/>
        <w:rPr>
          <w:rFonts w:cs="Times New Roman"/>
          <w:szCs w:val="24"/>
        </w:rPr>
      </w:pPr>
    </w:p>
    <w:p w:rsidR="000E3C4B" w:rsidRPr="0027400A" w:rsidRDefault="000E3C4B" w:rsidP="000E3C4B">
      <w:pPr>
        <w:spacing w:after="200"/>
        <w:ind w:hanging="720"/>
        <w:rPr>
          <w:rFonts w:cs="Times New Roman"/>
          <w:szCs w:val="24"/>
        </w:rPr>
      </w:pPr>
      <w:proofErr w:type="gramStart"/>
      <w:r w:rsidRPr="0027400A">
        <w:rPr>
          <w:rFonts w:cs="Times New Roman"/>
          <w:szCs w:val="24"/>
        </w:rPr>
        <w:t>Coll</w:t>
      </w:r>
      <w:r w:rsidR="00031B3C">
        <w:rPr>
          <w:rFonts w:cs="Times New Roman"/>
          <w:szCs w:val="24"/>
        </w:rPr>
        <w:t xml:space="preserve">ins, Paul M., Jr. and </w:t>
      </w:r>
      <w:r w:rsidRPr="0027400A">
        <w:rPr>
          <w:rFonts w:cs="Times New Roman"/>
          <w:szCs w:val="24"/>
        </w:rPr>
        <w:t xml:space="preserve">Lisa A. </w:t>
      </w:r>
      <w:proofErr w:type="spellStart"/>
      <w:r w:rsidR="00031B3C">
        <w:rPr>
          <w:rFonts w:cs="Times New Roman"/>
          <w:szCs w:val="24"/>
        </w:rPr>
        <w:t>Solowiej</w:t>
      </w:r>
      <w:proofErr w:type="spellEnd"/>
      <w:r w:rsidR="00031B3C">
        <w:rPr>
          <w:rFonts w:cs="Times New Roman"/>
          <w:szCs w:val="24"/>
        </w:rPr>
        <w:t>.</w:t>
      </w:r>
      <w:proofErr w:type="gramEnd"/>
      <w:r w:rsidR="00031B3C">
        <w:rPr>
          <w:rFonts w:cs="Times New Roman"/>
          <w:szCs w:val="24"/>
        </w:rPr>
        <w:t xml:space="preserve"> </w:t>
      </w:r>
      <w:r w:rsidRPr="0027400A">
        <w:rPr>
          <w:rFonts w:cs="Times New Roman"/>
          <w:szCs w:val="24"/>
        </w:rPr>
        <w:t xml:space="preserve">2007. “Interest Group Participation, Competition, and Conflict in the U.S. Supreme Court.” </w:t>
      </w:r>
      <w:r w:rsidRPr="0027400A">
        <w:rPr>
          <w:rFonts w:cs="Times New Roman"/>
          <w:i/>
          <w:szCs w:val="24"/>
        </w:rPr>
        <w:t xml:space="preserve">Law </w:t>
      </w:r>
      <w:r w:rsidR="000D6839" w:rsidRPr="0027400A">
        <w:rPr>
          <w:rFonts w:cs="Times New Roman"/>
          <w:i/>
          <w:szCs w:val="24"/>
        </w:rPr>
        <w:t>and</w:t>
      </w:r>
      <w:r w:rsidRPr="0027400A">
        <w:rPr>
          <w:rFonts w:cs="Times New Roman"/>
          <w:i/>
          <w:szCs w:val="24"/>
        </w:rPr>
        <w:t xml:space="preserve"> Social Inquiry</w:t>
      </w:r>
      <w:r w:rsidRPr="0027400A">
        <w:rPr>
          <w:rFonts w:cs="Times New Roman"/>
          <w:szCs w:val="24"/>
        </w:rPr>
        <w:t xml:space="preserve"> 32(4): 955 – 984. </w:t>
      </w:r>
    </w:p>
    <w:p w:rsidR="000E3C4B" w:rsidRPr="0027400A" w:rsidRDefault="000E3C4B" w:rsidP="000E3C4B">
      <w:pPr>
        <w:ind w:hanging="720"/>
        <w:rPr>
          <w:rFonts w:eastAsia="Times New Roman" w:cs="Times New Roman"/>
          <w:szCs w:val="24"/>
        </w:rPr>
      </w:pPr>
      <w:proofErr w:type="gramStart"/>
      <w:r w:rsidRPr="0027400A">
        <w:rPr>
          <w:rFonts w:eastAsia="Times New Roman" w:cs="Times New Roman"/>
          <w:szCs w:val="24"/>
        </w:rPr>
        <w:t xml:space="preserve">Collins </w:t>
      </w:r>
      <w:proofErr w:type="spellStart"/>
      <w:r w:rsidRPr="0027400A">
        <w:rPr>
          <w:rFonts w:eastAsia="Times New Roman" w:cs="Times New Roman"/>
          <w:szCs w:val="24"/>
        </w:rPr>
        <w:t>Jr</w:t>
      </w:r>
      <w:proofErr w:type="spellEnd"/>
      <w:r w:rsidRPr="0027400A">
        <w:rPr>
          <w:rFonts w:eastAsia="Times New Roman" w:cs="Times New Roman"/>
          <w:szCs w:val="24"/>
        </w:rPr>
        <w:t>, Paul M., and Wendy L.</w:t>
      </w:r>
      <w:r w:rsidR="00031B3C">
        <w:rPr>
          <w:rFonts w:eastAsia="Times New Roman" w:cs="Times New Roman"/>
          <w:szCs w:val="24"/>
        </w:rPr>
        <w:t xml:space="preserve"> </w:t>
      </w:r>
      <w:proofErr w:type="spellStart"/>
      <w:r w:rsidR="00031B3C">
        <w:rPr>
          <w:rFonts w:eastAsia="Times New Roman" w:cs="Times New Roman"/>
          <w:szCs w:val="24"/>
        </w:rPr>
        <w:t>Martinek</w:t>
      </w:r>
      <w:proofErr w:type="spellEnd"/>
      <w:r w:rsidR="00031B3C">
        <w:rPr>
          <w:rFonts w:eastAsia="Times New Roman" w:cs="Times New Roman"/>
          <w:szCs w:val="24"/>
        </w:rPr>
        <w:t>.</w:t>
      </w:r>
      <w:proofErr w:type="gramEnd"/>
      <w:r w:rsidRPr="0027400A">
        <w:rPr>
          <w:rFonts w:eastAsia="Times New Roman" w:cs="Times New Roman"/>
          <w:szCs w:val="24"/>
        </w:rPr>
        <w:t xml:space="preserve"> 2010. “Friends of the Circuits: Interest Group Influence on Decision Making in the US Courts of Appeals.” </w:t>
      </w:r>
      <w:r w:rsidRPr="0027400A">
        <w:rPr>
          <w:rFonts w:eastAsia="Times New Roman" w:cs="Times New Roman"/>
          <w:i/>
          <w:iCs/>
          <w:szCs w:val="24"/>
        </w:rPr>
        <w:t>Social Science Quarterly</w:t>
      </w:r>
      <w:r w:rsidRPr="0027400A">
        <w:rPr>
          <w:rFonts w:eastAsia="Times New Roman" w:cs="Times New Roman"/>
          <w:szCs w:val="24"/>
        </w:rPr>
        <w:t xml:space="preserve"> </w:t>
      </w:r>
      <w:r w:rsidRPr="00031B3C">
        <w:rPr>
          <w:rFonts w:eastAsia="Times New Roman" w:cs="Times New Roman"/>
          <w:iCs/>
          <w:szCs w:val="24"/>
        </w:rPr>
        <w:t>91</w:t>
      </w:r>
      <w:r w:rsidR="00031B3C">
        <w:rPr>
          <w:rFonts w:eastAsia="Times New Roman" w:cs="Times New Roman"/>
          <w:szCs w:val="24"/>
        </w:rPr>
        <w:t>(2):</w:t>
      </w:r>
      <w:r w:rsidRPr="0027400A">
        <w:rPr>
          <w:rFonts w:eastAsia="Times New Roman" w:cs="Times New Roman"/>
          <w:szCs w:val="24"/>
        </w:rPr>
        <w:t xml:space="preserve"> 397-414.</w:t>
      </w:r>
    </w:p>
    <w:p w:rsidR="00327DFA" w:rsidRPr="0027400A" w:rsidRDefault="00327DFA" w:rsidP="000E3C4B">
      <w:pPr>
        <w:ind w:hanging="720"/>
        <w:rPr>
          <w:rFonts w:eastAsia="Times New Roman" w:cs="Times New Roman"/>
          <w:szCs w:val="24"/>
        </w:rPr>
      </w:pPr>
    </w:p>
    <w:p w:rsidR="00327DFA" w:rsidRPr="0027400A" w:rsidRDefault="00327DFA" w:rsidP="000E3C4B">
      <w:pPr>
        <w:ind w:hanging="720"/>
        <w:rPr>
          <w:rFonts w:eastAsia="Times New Roman" w:cs="Times New Roman"/>
          <w:szCs w:val="24"/>
        </w:rPr>
      </w:pPr>
      <w:r w:rsidRPr="0027400A">
        <w:rPr>
          <w:rFonts w:eastAsia="Times New Roman" w:cs="Times New Roman"/>
          <w:szCs w:val="24"/>
        </w:rPr>
        <w:t xml:space="preserve">Collins, Ronald.  July 9, 2013. “The Roberts Court and </w:t>
      </w:r>
      <w:proofErr w:type="gramStart"/>
      <w:r w:rsidRPr="0027400A">
        <w:rPr>
          <w:rFonts w:eastAsia="Times New Roman" w:cs="Times New Roman"/>
          <w:szCs w:val="24"/>
        </w:rPr>
        <w:t>The</w:t>
      </w:r>
      <w:proofErr w:type="gramEnd"/>
      <w:r w:rsidRPr="0027400A">
        <w:rPr>
          <w:rFonts w:eastAsia="Times New Roman" w:cs="Times New Roman"/>
          <w:szCs w:val="24"/>
        </w:rPr>
        <w:t xml:space="preserve"> First Amendment.”  </w:t>
      </w:r>
      <w:proofErr w:type="gramStart"/>
      <w:r w:rsidRPr="0027400A">
        <w:rPr>
          <w:rFonts w:eastAsia="Times New Roman" w:cs="Times New Roman"/>
          <w:szCs w:val="24"/>
        </w:rPr>
        <w:t xml:space="preserve">Accessed at </w:t>
      </w:r>
      <w:hyperlink r:id="rId30" w:history="1">
        <w:r w:rsidRPr="0027400A">
          <w:rPr>
            <w:rStyle w:val="Hyperlink"/>
            <w:rFonts w:eastAsia="Times New Roman" w:cs="Times New Roman"/>
            <w:szCs w:val="24"/>
          </w:rPr>
          <w:t>http://www.scotusblog.com/2013/07/the-roberts-court-and-the-first-amendment/</w:t>
        </w:r>
      </w:hyperlink>
      <w:r w:rsidRPr="0027400A">
        <w:rPr>
          <w:rFonts w:eastAsia="Times New Roman" w:cs="Times New Roman"/>
          <w:szCs w:val="24"/>
        </w:rPr>
        <w:t>.</w:t>
      </w:r>
      <w:proofErr w:type="gramEnd"/>
    </w:p>
    <w:p w:rsidR="000E3C4B" w:rsidRPr="0027400A" w:rsidRDefault="000E3C4B" w:rsidP="002377A3">
      <w:pPr>
        <w:ind w:left="0" w:firstLine="0"/>
        <w:rPr>
          <w:rFonts w:eastAsia="Times New Roman" w:cs="Times New Roman"/>
          <w:szCs w:val="24"/>
        </w:rPr>
      </w:pPr>
    </w:p>
    <w:p w:rsidR="000E3C4B" w:rsidRPr="0027400A" w:rsidRDefault="002377A3" w:rsidP="002377A3">
      <w:pPr>
        <w:tabs>
          <w:tab w:val="left" w:pos="720"/>
        </w:tabs>
        <w:ind w:hanging="720"/>
        <w:rPr>
          <w:rFonts w:cs="Times New Roman"/>
          <w:szCs w:val="24"/>
        </w:rPr>
      </w:pPr>
      <w:proofErr w:type="gramStart"/>
      <w:r w:rsidRPr="0027400A">
        <w:rPr>
          <w:rFonts w:cs="Times New Roman"/>
          <w:szCs w:val="24"/>
        </w:rPr>
        <w:t xml:space="preserve">Collins, Todd </w:t>
      </w:r>
      <w:r w:rsidR="00031B3C">
        <w:rPr>
          <w:rFonts w:cs="Times New Roman"/>
          <w:szCs w:val="24"/>
        </w:rPr>
        <w:t xml:space="preserve">A., and </w:t>
      </w:r>
      <w:r w:rsidR="006C472D">
        <w:rPr>
          <w:rFonts w:cs="Times New Roman"/>
          <w:szCs w:val="24"/>
        </w:rPr>
        <w:t xml:space="preserve">Christopher A. </w:t>
      </w:r>
      <w:r w:rsidR="00031B3C">
        <w:rPr>
          <w:rFonts w:cs="Times New Roman"/>
          <w:szCs w:val="24"/>
        </w:rPr>
        <w:t>Cooper.</w:t>
      </w:r>
      <w:proofErr w:type="gramEnd"/>
      <w:r w:rsidR="00031B3C">
        <w:rPr>
          <w:rFonts w:cs="Times New Roman"/>
          <w:szCs w:val="24"/>
        </w:rPr>
        <w:t xml:space="preserve"> </w:t>
      </w:r>
      <w:r w:rsidR="006C472D">
        <w:rPr>
          <w:rFonts w:cs="Times New Roman"/>
          <w:szCs w:val="24"/>
        </w:rPr>
        <w:t>2012</w:t>
      </w:r>
      <w:r w:rsidRPr="0027400A">
        <w:rPr>
          <w:rFonts w:cs="Times New Roman"/>
          <w:szCs w:val="24"/>
        </w:rPr>
        <w:t xml:space="preserve">. </w:t>
      </w:r>
      <w:r w:rsidR="006C472D">
        <w:rPr>
          <w:rFonts w:cs="Times New Roman"/>
          <w:szCs w:val="24"/>
        </w:rPr>
        <w:t>“</w:t>
      </w:r>
      <w:r w:rsidRPr="0027400A">
        <w:rPr>
          <w:rFonts w:cs="Times New Roman"/>
          <w:szCs w:val="24"/>
        </w:rPr>
        <w:t xml:space="preserve">Case Salience and Media Coverage of Supreme Court Decisions </w:t>
      </w:r>
      <w:proofErr w:type="gramStart"/>
      <w:r w:rsidRPr="0027400A">
        <w:rPr>
          <w:rFonts w:cs="Times New Roman"/>
          <w:szCs w:val="24"/>
        </w:rPr>
        <w:t>Toward</w:t>
      </w:r>
      <w:proofErr w:type="gramEnd"/>
      <w:r w:rsidRPr="0027400A">
        <w:rPr>
          <w:rFonts w:cs="Times New Roman"/>
          <w:szCs w:val="24"/>
        </w:rPr>
        <w:t xml:space="preserve"> a New Measure.</w:t>
      </w:r>
      <w:r w:rsidR="006C472D">
        <w:rPr>
          <w:rFonts w:cs="Times New Roman"/>
          <w:szCs w:val="24"/>
        </w:rPr>
        <w:t>”</w:t>
      </w:r>
      <w:r w:rsidRPr="0027400A">
        <w:rPr>
          <w:rFonts w:cs="Times New Roman"/>
          <w:szCs w:val="24"/>
        </w:rPr>
        <w:t xml:space="preserve"> </w:t>
      </w:r>
      <w:r w:rsidRPr="0027400A">
        <w:rPr>
          <w:rFonts w:cs="Times New Roman"/>
          <w:i/>
          <w:iCs/>
          <w:szCs w:val="24"/>
        </w:rPr>
        <w:t>Political Research Quarterly</w:t>
      </w:r>
      <w:r w:rsidR="00031B3C">
        <w:rPr>
          <w:rFonts w:cs="Times New Roman"/>
          <w:szCs w:val="24"/>
        </w:rPr>
        <w:t xml:space="preserve"> </w:t>
      </w:r>
      <w:r w:rsidRPr="00031B3C">
        <w:rPr>
          <w:rFonts w:cs="Times New Roman"/>
          <w:iCs/>
          <w:szCs w:val="24"/>
        </w:rPr>
        <w:t>65</w:t>
      </w:r>
      <w:r w:rsidR="00031B3C">
        <w:rPr>
          <w:rFonts w:cs="Times New Roman"/>
          <w:szCs w:val="24"/>
        </w:rPr>
        <w:t>(2):</w:t>
      </w:r>
      <w:r w:rsidRPr="0027400A">
        <w:rPr>
          <w:rFonts w:cs="Times New Roman"/>
          <w:szCs w:val="24"/>
        </w:rPr>
        <w:t xml:space="preserve"> 396-407.</w:t>
      </w:r>
    </w:p>
    <w:p w:rsidR="002377A3" w:rsidRPr="0027400A" w:rsidRDefault="002377A3" w:rsidP="002377A3">
      <w:pPr>
        <w:tabs>
          <w:tab w:val="left" w:pos="720"/>
        </w:tabs>
        <w:ind w:hanging="720"/>
        <w:rPr>
          <w:rFonts w:eastAsia="Times New Roman" w:cs="Times New Roman"/>
          <w:szCs w:val="24"/>
        </w:rPr>
      </w:pPr>
    </w:p>
    <w:p w:rsidR="000E3C4B" w:rsidRPr="0027400A" w:rsidRDefault="002377A3" w:rsidP="000E3C4B">
      <w:pPr>
        <w:ind w:hanging="720"/>
        <w:rPr>
          <w:rFonts w:eastAsia="Times New Roman" w:cs="Times New Roman"/>
          <w:szCs w:val="24"/>
        </w:rPr>
      </w:pPr>
      <w:proofErr w:type="spellStart"/>
      <w:r w:rsidRPr="0027400A">
        <w:rPr>
          <w:rFonts w:eastAsia="Times New Roman" w:cs="Times New Roman"/>
          <w:szCs w:val="24"/>
        </w:rPr>
        <w:t>Comparato</w:t>
      </w:r>
      <w:proofErr w:type="spellEnd"/>
      <w:r w:rsidRPr="0027400A">
        <w:rPr>
          <w:rFonts w:eastAsia="Times New Roman" w:cs="Times New Roman"/>
          <w:szCs w:val="24"/>
        </w:rPr>
        <w:t>, Scott</w:t>
      </w:r>
      <w:r w:rsidR="000E3C4B" w:rsidRPr="0027400A">
        <w:rPr>
          <w:rFonts w:eastAsia="Times New Roman" w:cs="Times New Roman"/>
          <w:szCs w:val="24"/>
        </w:rPr>
        <w:t xml:space="preserve"> A. 2003. </w:t>
      </w:r>
      <w:proofErr w:type="gramStart"/>
      <w:r w:rsidR="00BE324D">
        <w:rPr>
          <w:rFonts w:eastAsia="Times New Roman" w:cs="Times New Roman"/>
          <w:i/>
          <w:iCs/>
          <w:szCs w:val="24"/>
        </w:rPr>
        <w:t>Amici Curiae and Strategic Behavior in State Supreme C</w:t>
      </w:r>
      <w:r w:rsidR="000E3C4B" w:rsidRPr="0027400A">
        <w:rPr>
          <w:rFonts w:eastAsia="Times New Roman" w:cs="Times New Roman"/>
          <w:i/>
          <w:iCs/>
          <w:szCs w:val="24"/>
        </w:rPr>
        <w:t>ourts</w:t>
      </w:r>
      <w:r w:rsidR="000E3C4B" w:rsidRPr="0027400A">
        <w:rPr>
          <w:rFonts w:eastAsia="Times New Roman" w:cs="Times New Roman"/>
          <w:szCs w:val="24"/>
        </w:rPr>
        <w:t>.</w:t>
      </w:r>
      <w:proofErr w:type="gramEnd"/>
      <w:r w:rsidR="000E3C4B" w:rsidRPr="0027400A">
        <w:rPr>
          <w:rFonts w:eastAsia="Times New Roman" w:cs="Times New Roman"/>
          <w:szCs w:val="24"/>
        </w:rPr>
        <w:t xml:space="preserve"> </w:t>
      </w:r>
      <w:r w:rsidR="00031B3C">
        <w:rPr>
          <w:rFonts w:eastAsia="Times New Roman" w:cs="Times New Roman"/>
          <w:szCs w:val="24"/>
        </w:rPr>
        <w:t xml:space="preserve">Westport, CT: </w:t>
      </w:r>
      <w:proofErr w:type="spellStart"/>
      <w:r w:rsidR="000E3C4B" w:rsidRPr="0027400A">
        <w:rPr>
          <w:rFonts w:eastAsia="Times New Roman" w:cs="Times New Roman"/>
          <w:szCs w:val="24"/>
        </w:rPr>
        <w:t>Praeger</w:t>
      </w:r>
      <w:proofErr w:type="spellEnd"/>
      <w:r w:rsidR="000E3C4B" w:rsidRPr="0027400A">
        <w:rPr>
          <w:rFonts w:eastAsia="Times New Roman" w:cs="Times New Roman"/>
          <w:szCs w:val="24"/>
        </w:rPr>
        <w:t xml:space="preserve"> Publishers.</w:t>
      </w:r>
    </w:p>
    <w:p w:rsidR="000E3C4B" w:rsidRPr="0027400A" w:rsidRDefault="000E3C4B" w:rsidP="000E3C4B">
      <w:pPr>
        <w:ind w:hanging="720"/>
        <w:rPr>
          <w:rFonts w:eastAsia="Times New Roman" w:cs="Times New Roman"/>
          <w:szCs w:val="24"/>
        </w:rPr>
      </w:pPr>
    </w:p>
    <w:p w:rsidR="000E3C4B" w:rsidRDefault="00031B3C" w:rsidP="000E3C4B">
      <w:pPr>
        <w:ind w:hanging="720"/>
        <w:rPr>
          <w:rFonts w:eastAsia="Times New Roman" w:cs="Times New Roman"/>
          <w:szCs w:val="24"/>
        </w:rPr>
      </w:pPr>
      <w:proofErr w:type="spellStart"/>
      <w:proofErr w:type="gramStart"/>
      <w:r>
        <w:rPr>
          <w:rFonts w:eastAsia="Times New Roman" w:cs="Times New Roman"/>
          <w:szCs w:val="24"/>
        </w:rPr>
        <w:t>Corbally</w:t>
      </w:r>
      <w:proofErr w:type="spellEnd"/>
      <w:r>
        <w:rPr>
          <w:rFonts w:eastAsia="Times New Roman" w:cs="Times New Roman"/>
          <w:szCs w:val="24"/>
        </w:rPr>
        <w:t xml:space="preserve">, Sarah F., </w:t>
      </w:r>
      <w:r w:rsidR="000E3C4B" w:rsidRPr="0027400A">
        <w:rPr>
          <w:rFonts w:eastAsia="Times New Roman" w:cs="Times New Roman"/>
          <w:szCs w:val="24"/>
        </w:rPr>
        <w:t>Donald C.</w:t>
      </w:r>
      <w:r>
        <w:rPr>
          <w:rFonts w:eastAsia="Times New Roman" w:cs="Times New Roman"/>
          <w:szCs w:val="24"/>
        </w:rPr>
        <w:t xml:space="preserve"> </w:t>
      </w:r>
      <w:proofErr w:type="spellStart"/>
      <w:r>
        <w:rPr>
          <w:rFonts w:eastAsia="Times New Roman" w:cs="Times New Roman"/>
          <w:szCs w:val="24"/>
        </w:rPr>
        <w:t>Bross</w:t>
      </w:r>
      <w:proofErr w:type="spellEnd"/>
      <w:r w:rsidR="000E3C4B" w:rsidRPr="0027400A">
        <w:rPr>
          <w:rFonts w:eastAsia="Times New Roman" w:cs="Times New Roman"/>
          <w:szCs w:val="24"/>
        </w:rPr>
        <w:t xml:space="preserve">, </w:t>
      </w:r>
      <w:r w:rsidR="000D6839" w:rsidRPr="0027400A">
        <w:rPr>
          <w:rFonts w:eastAsia="Times New Roman" w:cs="Times New Roman"/>
          <w:szCs w:val="24"/>
        </w:rPr>
        <w:t>and</w:t>
      </w:r>
      <w:r>
        <w:rPr>
          <w:rFonts w:eastAsia="Times New Roman" w:cs="Times New Roman"/>
          <w:szCs w:val="24"/>
        </w:rPr>
        <w:t xml:space="preserve"> </w:t>
      </w:r>
      <w:r w:rsidR="000E3C4B" w:rsidRPr="0027400A">
        <w:rPr>
          <w:rFonts w:eastAsia="Times New Roman" w:cs="Times New Roman"/>
          <w:szCs w:val="24"/>
        </w:rPr>
        <w:t>Victor E.</w:t>
      </w:r>
      <w:r>
        <w:rPr>
          <w:rFonts w:eastAsia="Times New Roman" w:cs="Times New Roman"/>
          <w:szCs w:val="24"/>
        </w:rPr>
        <w:t xml:space="preserve"> </w:t>
      </w:r>
      <w:proofErr w:type="spellStart"/>
      <w:r>
        <w:rPr>
          <w:rFonts w:eastAsia="Times New Roman" w:cs="Times New Roman"/>
          <w:szCs w:val="24"/>
        </w:rPr>
        <w:t>Flango</w:t>
      </w:r>
      <w:proofErr w:type="spellEnd"/>
      <w:r>
        <w:rPr>
          <w:rFonts w:eastAsia="Times New Roman" w:cs="Times New Roman"/>
          <w:szCs w:val="24"/>
        </w:rPr>
        <w:t>.</w:t>
      </w:r>
      <w:proofErr w:type="gramEnd"/>
      <w:r w:rsidR="000E3C4B" w:rsidRPr="0027400A">
        <w:rPr>
          <w:rFonts w:eastAsia="Times New Roman" w:cs="Times New Roman"/>
          <w:szCs w:val="24"/>
        </w:rPr>
        <w:t xml:space="preserve">  2004. “Filing of amicus curiae briefs in state courts of last resort: 1960-2000.” </w:t>
      </w:r>
      <w:r>
        <w:rPr>
          <w:rFonts w:eastAsia="Times New Roman" w:cs="Times New Roman"/>
          <w:i/>
          <w:iCs/>
          <w:szCs w:val="24"/>
        </w:rPr>
        <w:t>Justice Systems Journal</w:t>
      </w:r>
      <w:r>
        <w:rPr>
          <w:rFonts w:eastAsia="Times New Roman" w:cs="Times New Roman"/>
          <w:szCs w:val="24"/>
        </w:rPr>
        <w:t xml:space="preserve"> 25:</w:t>
      </w:r>
      <w:r w:rsidR="000E3C4B" w:rsidRPr="0027400A">
        <w:rPr>
          <w:rFonts w:eastAsia="Times New Roman" w:cs="Times New Roman"/>
          <w:szCs w:val="24"/>
        </w:rPr>
        <w:t xml:space="preserve"> 39.</w:t>
      </w:r>
    </w:p>
    <w:p w:rsidR="00C66265" w:rsidRDefault="00C66265" w:rsidP="000E3C4B">
      <w:pPr>
        <w:ind w:hanging="720"/>
        <w:rPr>
          <w:rFonts w:eastAsia="Times New Roman" w:cs="Times New Roman"/>
          <w:szCs w:val="24"/>
        </w:rPr>
      </w:pPr>
    </w:p>
    <w:p w:rsidR="00C66265" w:rsidRPr="0027400A" w:rsidRDefault="00C66265" w:rsidP="000E3C4B">
      <w:pPr>
        <w:ind w:hanging="720"/>
        <w:rPr>
          <w:rFonts w:eastAsia="Times New Roman" w:cs="Times New Roman"/>
          <w:szCs w:val="24"/>
        </w:rPr>
      </w:pPr>
      <w:proofErr w:type="gramStart"/>
      <w:r>
        <w:t>Corley, Pamela, Paul M. Collins,</w:t>
      </w:r>
      <w:r w:rsidR="00031B3C">
        <w:t xml:space="preserve"> Jr.</w:t>
      </w:r>
      <w:r>
        <w:t xml:space="preserve"> and Jesse </w:t>
      </w:r>
      <w:proofErr w:type="spellStart"/>
      <w:r>
        <w:t>Hamner</w:t>
      </w:r>
      <w:proofErr w:type="spellEnd"/>
      <w:r>
        <w:t>.</w:t>
      </w:r>
      <w:proofErr w:type="gramEnd"/>
      <w:r>
        <w:t xml:space="preserve"> 2013. "The Influence of Amicus Curiae Briefs on US Supreme Court Opinion Content." </w:t>
      </w:r>
      <w:proofErr w:type="gramStart"/>
      <w:r>
        <w:rPr>
          <w:i/>
          <w:iCs/>
        </w:rPr>
        <w:t>APSA 2013 Annual Meeting Paper</w:t>
      </w:r>
      <w:r>
        <w:t>.</w:t>
      </w:r>
      <w:proofErr w:type="gramEnd"/>
    </w:p>
    <w:p w:rsidR="00327DFA" w:rsidRPr="0027400A" w:rsidRDefault="00327DFA" w:rsidP="000E3C4B">
      <w:pPr>
        <w:ind w:hanging="720"/>
        <w:rPr>
          <w:rFonts w:eastAsia="Times New Roman" w:cs="Times New Roman"/>
          <w:szCs w:val="24"/>
        </w:rPr>
      </w:pPr>
    </w:p>
    <w:p w:rsidR="002377A3" w:rsidRDefault="002377A3" w:rsidP="00C66265">
      <w:pPr>
        <w:ind w:hanging="720"/>
        <w:rPr>
          <w:rFonts w:cs="Times New Roman"/>
          <w:szCs w:val="24"/>
        </w:rPr>
      </w:pPr>
      <w:r w:rsidRPr="0027400A">
        <w:rPr>
          <w:rFonts w:cs="Times New Roman"/>
          <w:szCs w:val="24"/>
        </w:rPr>
        <w:lastRenderedPageBreak/>
        <w:t xml:space="preserve">Coyle, Marcia. 2013. </w:t>
      </w:r>
      <w:r w:rsidRPr="0027400A">
        <w:rPr>
          <w:rFonts w:cs="Times New Roman"/>
          <w:i/>
          <w:iCs/>
          <w:szCs w:val="24"/>
        </w:rPr>
        <w:t>The Roberts Court: The Struggle for the Constitution</w:t>
      </w:r>
      <w:r w:rsidRPr="0027400A">
        <w:rPr>
          <w:rFonts w:cs="Times New Roman"/>
          <w:szCs w:val="24"/>
        </w:rPr>
        <w:t>.</w:t>
      </w:r>
      <w:r w:rsidR="00031B3C">
        <w:rPr>
          <w:rFonts w:cs="Times New Roman"/>
          <w:szCs w:val="24"/>
        </w:rPr>
        <w:t xml:space="preserve"> New York, NY: Simon &amp; Schuster.</w:t>
      </w:r>
    </w:p>
    <w:p w:rsidR="00C66265" w:rsidRPr="00C66265" w:rsidRDefault="00C66265" w:rsidP="00C66265">
      <w:pPr>
        <w:ind w:hanging="720"/>
        <w:rPr>
          <w:rFonts w:cs="Times New Roman"/>
          <w:szCs w:val="24"/>
        </w:rPr>
      </w:pPr>
    </w:p>
    <w:p w:rsidR="000E3C4B" w:rsidRPr="0027400A" w:rsidRDefault="000E3C4B" w:rsidP="000E3C4B">
      <w:pPr>
        <w:pStyle w:val="EndnoteText"/>
        <w:ind w:hanging="720"/>
        <w:rPr>
          <w:rFonts w:cs="Times New Roman"/>
          <w:sz w:val="24"/>
          <w:szCs w:val="24"/>
        </w:rPr>
      </w:pPr>
      <w:r w:rsidRPr="0027400A">
        <w:rPr>
          <w:rFonts w:cs="Times New Roman"/>
          <w:sz w:val="24"/>
          <w:szCs w:val="24"/>
        </w:rPr>
        <w:t>Dahl, Robert. 1957. “</w:t>
      </w:r>
      <w:proofErr w:type="spellStart"/>
      <w:r w:rsidRPr="0027400A">
        <w:rPr>
          <w:rFonts w:cs="Times New Roman"/>
          <w:sz w:val="24"/>
          <w:szCs w:val="24"/>
        </w:rPr>
        <w:t>Decisionmaking</w:t>
      </w:r>
      <w:proofErr w:type="spellEnd"/>
      <w:r w:rsidRPr="0027400A">
        <w:rPr>
          <w:rFonts w:cs="Times New Roman"/>
          <w:sz w:val="24"/>
          <w:szCs w:val="24"/>
        </w:rPr>
        <w:t xml:space="preserve"> in a Democracy: The Supreme Court as a National Policymaker.” </w:t>
      </w:r>
      <w:r w:rsidRPr="0027400A">
        <w:rPr>
          <w:rFonts w:cs="Times New Roman"/>
          <w:i/>
          <w:sz w:val="24"/>
          <w:szCs w:val="24"/>
        </w:rPr>
        <w:t>Journal of Public Law</w:t>
      </w:r>
      <w:r w:rsidRPr="0027400A">
        <w:rPr>
          <w:rFonts w:cs="Times New Roman"/>
          <w:sz w:val="24"/>
          <w:szCs w:val="24"/>
        </w:rPr>
        <w:t xml:space="preserve"> 6:</w:t>
      </w:r>
      <w:r w:rsidR="00031B3C">
        <w:rPr>
          <w:rFonts w:cs="Times New Roman"/>
          <w:sz w:val="24"/>
          <w:szCs w:val="24"/>
        </w:rPr>
        <w:t xml:space="preserve"> </w:t>
      </w:r>
      <w:r w:rsidRPr="0027400A">
        <w:rPr>
          <w:rFonts w:cs="Times New Roman"/>
          <w:sz w:val="24"/>
          <w:szCs w:val="24"/>
        </w:rPr>
        <w:t>279-95.</w:t>
      </w:r>
    </w:p>
    <w:p w:rsidR="000E3C4B" w:rsidRPr="0027400A" w:rsidRDefault="000E3C4B" w:rsidP="000E3C4B">
      <w:pPr>
        <w:ind w:left="0" w:firstLine="0"/>
        <w:rPr>
          <w:rFonts w:eastAsia="Times New Roman" w:cs="Times New Roman"/>
          <w:szCs w:val="24"/>
        </w:rPr>
      </w:pPr>
    </w:p>
    <w:p w:rsidR="000E3C4B" w:rsidRPr="0027400A" w:rsidRDefault="000E3C4B" w:rsidP="000E3C4B">
      <w:pPr>
        <w:spacing w:after="200"/>
        <w:ind w:hanging="720"/>
        <w:rPr>
          <w:rStyle w:val="HTMLCite"/>
          <w:rFonts w:cs="Times New Roman"/>
          <w:szCs w:val="24"/>
        </w:rPr>
      </w:pPr>
      <w:proofErr w:type="spellStart"/>
      <w:proofErr w:type="gramStart"/>
      <w:r w:rsidRPr="0027400A">
        <w:rPr>
          <w:rStyle w:val="cit-name-surname"/>
          <w:rFonts w:cs="Times New Roman"/>
          <w:iCs/>
          <w:szCs w:val="24"/>
        </w:rPr>
        <w:t>Deen</w:t>
      </w:r>
      <w:proofErr w:type="spellEnd"/>
      <w:r w:rsidRPr="0027400A">
        <w:rPr>
          <w:rStyle w:val="HTMLCite"/>
          <w:rFonts w:cs="Times New Roman"/>
          <w:szCs w:val="24"/>
        </w:rPr>
        <w:t xml:space="preserve">, </w:t>
      </w:r>
      <w:r w:rsidRPr="0027400A">
        <w:rPr>
          <w:rStyle w:val="cit-name-surname"/>
          <w:rFonts w:cs="Times New Roman"/>
          <w:iCs/>
          <w:szCs w:val="24"/>
        </w:rPr>
        <w:t>Rebecca E.</w:t>
      </w:r>
      <w:r w:rsidRPr="0027400A">
        <w:rPr>
          <w:rStyle w:val="HTMLCite"/>
          <w:rFonts w:cs="Times New Roman"/>
          <w:szCs w:val="24"/>
        </w:rPr>
        <w:t xml:space="preserve">, </w:t>
      </w:r>
      <w:r w:rsidRPr="0027400A">
        <w:rPr>
          <w:rStyle w:val="cit-name-surname"/>
          <w:rFonts w:cs="Times New Roman"/>
          <w:iCs/>
          <w:szCs w:val="24"/>
        </w:rPr>
        <w:t xml:space="preserve">Joseph </w:t>
      </w:r>
      <w:proofErr w:type="spellStart"/>
      <w:r w:rsidRPr="0027400A">
        <w:rPr>
          <w:rStyle w:val="cit-name-surname"/>
          <w:rFonts w:cs="Times New Roman"/>
          <w:iCs/>
          <w:szCs w:val="24"/>
        </w:rPr>
        <w:t>Ignagni</w:t>
      </w:r>
      <w:proofErr w:type="spellEnd"/>
      <w:r w:rsidRPr="0027400A">
        <w:rPr>
          <w:rStyle w:val="HTMLCite"/>
          <w:rFonts w:cs="Times New Roman"/>
          <w:szCs w:val="24"/>
        </w:rPr>
        <w:t xml:space="preserve">, and </w:t>
      </w:r>
      <w:r w:rsidRPr="0027400A">
        <w:rPr>
          <w:rStyle w:val="cit-name-surname"/>
          <w:rFonts w:cs="Times New Roman"/>
          <w:iCs/>
          <w:szCs w:val="24"/>
        </w:rPr>
        <w:t xml:space="preserve">James </w:t>
      </w:r>
      <w:proofErr w:type="spellStart"/>
      <w:r w:rsidRPr="0027400A">
        <w:rPr>
          <w:rStyle w:val="cit-name-surname"/>
          <w:rFonts w:cs="Times New Roman"/>
          <w:iCs/>
          <w:szCs w:val="24"/>
        </w:rPr>
        <w:t>Meernik</w:t>
      </w:r>
      <w:proofErr w:type="spellEnd"/>
      <w:r w:rsidRPr="0027400A">
        <w:rPr>
          <w:rStyle w:val="HTMLCite"/>
          <w:rFonts w:cs="Times New Roman"/>
          <w:szCs w:val="24"/>
        </w:rPr>
        <w:t>.</w:t>
      </w:r>
      <w:proofErr w:type="gramEnd"/>
      <w:r w:rsidRPr="0027400A">
        <w:rPr>
          <w:rStyle w:val="HTMLCite"/>
          <w:rFonts w:cs="Times New Roman"/>
          <w:szCs w:val="24"/>
        </w:rPr>
        <w:t xml:space="preserve"> </w:t>
      </w:r>
      <w:r w:rsidRPr="0027400A">
        <w:rPr>
          <w:rStyle w:val="cit-pub-date"/>
          <w:rFonts w:cs="Times New Roman"/>
          <w:iCs/>
          <w:szCs w:val="24"/>
        </w:rPr>
        <w:t>2003</w:t>
      </w:r>
      <w:r w:rsidRPr="0027400A">
        <w:rPr>
          <w:rStyle w:val="HTMLCite"/>
          <w:rFonts w:cs="Times New Roman"/>
          <w:szCs w:val="24"/>
        </w:rPr>
        <w:t>. “</w:t>
      </w:r>
      <w:r w:rsidRPr="0027400A">
        <w:rPr>
          <w:rStyle w:val="cit-article-title"/>
          <w:rFonts w:cs="Times New Roman"/>
          <w:iCs/>
          <w:szCs w:val="24"/>
        </w:rPr>
        <w:t>The solicitor general as amicus, 1953-2000: How influential?”</w:t>
      </w:r>
      <w:r w:rsidRPr="0027400A">
        <w:rPr>
          <w:rStyle w:val="HTMLCite"/>
          <w:rFonts w:cs="Times New Roman"/>
          <w:szCs w:val="24"/>
        </w:rPr>
        <w:t xml:space="preserve"> Judicature </w:t>
      </w:r>
      <w:r w:rsidRPr="0027400A">
        <w:rPr>
          <w:rStyle w:val="cit-vol"/>
          <w:rFonts w:cs="Times New Roman"/>
          <w:iCs/>
          <w:szCs w:val="24"/>
        </w:rPr>
        <w:t>87</w:t>
      </w:r>
      <w:r w:rsidR="00031B3C">
        <w:rPr>
          <w:rStyle w:val="HTMLCite"/>
          <w:rFonts w:cs="Times New Roman"/>
          <w:i w:val="0"/>
          <w:szCs w:val="24"/>
        </w:rPr>
        <w:t>(2)</w:t>
      </w:r>
      <w:r w:rsidRPr="00031B3C">
        <w:rPr>
          <w:rStyle w:val="HTMLCite"/>
          <w:rFonts w:cs="Times New Roman"/>
          <w:szCs w:val="24"/>
        </w:rPr>
        <w:t>:</w:t>
      </w:r>
      <w:r w:rsidRPr="0027400A">
        <w:rPr>
          <w:rStyle w:val="HTMLCite"/>
          <w:rFonts w:cs="Times New Roman"/>
          <w:szCs w:val="24"/>
        </w:rPr>
        <w:t xml:space="preserve"> </w:t>
      </w:r>
      <w:r w:rsidRPr="0027400A">
        <w:rPr>
          <w:rStyle w:val="cit-fpage"/>
          <w:rFonts w:cs="Times New Roman"/>
          <w:iCs/>
          <w:szCs w:val="24"/>
        </w:rPr>
        <w:t>60</w:t>
      </w:r>
      <w:r w:rsidRPr="0027400A">
        <w:rPr>
          <w:rStyle w:val="HTMLCite"/>
          <w:rFonts w:cs="Times New Roman"/>
          <w:szCs w:val="24"/>
        </w:rPr>
        <w:t>-</w:t>
      </w:r>
      <w:r w:rsidRPr="0027400A">
        <w:rPr>
          <w:rStyle w:val="cit-lpage"/>
          <w:rFonts w:cs="Times New Roman"/>
          <w:szCs w:val="24"/>
        </w:rPr>
        <w:t>71</w:t>
      </w:r>
      <w:r w:rsidRPr="0027400A">
        <w:rPr>
          <w:rStyle w:val="HTMLCite"/>
          <w:rFonts w:cs="Times New Roman"/>
          <w:szCs w:val="24"/>
        </w:rPr>
        <w:t>.</w:t>
      </w:r>
    </w:p>
    <w:p w:rsidR="00031B3C" w:rsidRPr="0027400A" w:rsidRDefault="000E3C4B" w:rsidP="00031B3C">
      <w:pPr>
        <w:spacing w:after="200"/>
        <w:ind w:hanging="720"/>
        <w:rPr>
          <w:rFonts w:cs="Times New Roman"/>
          <w:szCs w:val="24"/>
        </w:rPr>
      </w:pPr>
      <w:proofErr w:type="spellStart"/>
      <w:proofErr w:type="gramStart"/>
      <w:r w:rsidRPr="0027400A">
        <w:rPr>
          <w:rStyle w:val="HTMLCite"/>
          <w:rFonts w:cs="Times New Roman"/>
          <w:i w:val="0"/>
          <w:szCs w:val="24"/>
        </w:rPr>
        <w:t>Dunworth</w:t>
      </w:r>
      <w:proofErr w:type="spellEnd"/>
      <w:r w:rsidRPr="0027400A">
        <w:rPr>
          <w:rStyle w:val="HTMLCite"/>
          <w:rFonts w:cs="Times New Roman"/>
          <w:i w:val="0"/>
          <w:szCs w:val="24"/>
        </w:rPr>
        <w:t>, Alexa</w:t>
      </w:r>
      <w:r w:rsidR="00031B3C">
        <w:rPr>
          <w:rStyle w:val="HTMLCite"/>
          <w:rFonts w:cs="Times New Roman"/>
          <w:i w:val="0"/>
          <w:szCs w:val="24"/>
        </w:rPr>
        <w:t xml:space="preserve">ndra, Joshua </w:t>
      </w:r>
      <w:proofErr w:type="spellStart"/>
      <w:r w:rsidR="00031B3C">
        <w:rPr>
          <w:rStyle w:val="HTMLCite"/>
          <w:rFonts w:cs="Times New Roman"/>
          <w:i w:val="0"/>
          <w:szCs w:val="24"/>
        </w:rPr>
        <w:t>Fischman</w:t>
      </w:r>
      <w:proofErr w:type="spellEnd"/>
      <w:r w:rsidR="00031B3C">
        <w:rPr>
          <w:rStyle w:val="HTMLCite"/>
          <w:rFonts w:cs="Times New Roman"/>
          <w:i w:val="0"/>
          <w:szCs w:val="24"/>
        </w:rPr>
        <w:t xml:space="preserve">, and </w:t>
      </w:r>
      <w:r w:rsidRPr="0027400A">
        <w:rPr>
          <w:rStyle w:val="HTMLCite"/>
          <w:rFonts w:cs="Times New Roman"/>
          <w:i w:val="0"/>
          <w:szCs w:val="24"/>
        </w:rPr>
        <w:t>Daniel E.</w:t>
      </w:r>
      <w:r w:rsidR="00031B3C">
        <w:rPr>
          <w:rStyle w:val="HTMLCite"/>
          <w:rFonts w:cs="Times New Roman"/>
          <w:i w:val="0"/>
          <w:szCs w:val="24"/>
        </w:rPr>
        <w:t xml:space="preserve"> Ho.</w:t>
      </w:r>
      <w:r w:rsidRPr="0027400A">
        <w:rPr>
          <w:rStyle w:val="HTMLCite"/>
          <w:rFonts w:cs="Times New Roman"/>
          <w:i w:val="0"/>
          <w:szCs w:val="24"/>
        </w:rPr>
        <w:t xml:space="preserve"> </w:t>
      </w:r>
      <w:r w:rsidR="0071145E" w:rsidRPr="0027400A">
        <w:rPr>
          <w:rStyle w:val="HTMLCite"/>
          <w:rFonts w:cs="Times New Roman"/>
          <w:i w:val="0"/>
          <w:szCs w:val="24"/>
        </w:rPr>
        <w:t xml:space="preserve">Oct. 30, </w:t>
      </w:r>
      <w:r w:rsidRPr="0027400A">
        <w:rPr>
          <w:rStyle w:val="HTMLCite"/>
          <w:rFonts w:cs="Times New Roman"/>
          <w:i w:val="0"/>
          <w:szCs w:val="24"/>
        </w:rPr>
        <w:t>2009.</w:t>
      </w:r>
      <w:proofErr w:type="gramEnd"/>
      <w:r w:rsidR="002377A3" w:rsidRPr="0027400A">
        <w:rPr>
          <w:rStyle w:val="HTMLCite"/>
          <w:rFonts w:cs="Times New Roman"/>
          <w:i w:val="0"/>
          <w:szCs w:val="24"/>
        </w:rPr>
        <w:t xml:space="preserve"> “</w:t>
      </w:r>
      <w:r w:rsidR="002377A3" w:rsidRPr="0027400A">
        <w:rPr>
          <w:rFonts w:cs="Times New Roman"/>
          <w:szCs w:val="24"/>
        </w:rPr>
        <w:t>Policy Voting: What Amici Tell Us About Law.”</w:t>
      </w:r>
      <w:r w:rsidR="0071145E" w:rsidRPr="0027400A">
        <w:rPr>
          <w:rFonts w:cs="Times New Roman"/>
          <w:szCs w:val="24"/>
        </w:rPr>
        <w:t xml:space="preserve"> </w:t>
      </w:r>
      <w:proofErr w:type="gramStart"/>
      <w:r w:rsidR="0071145E" w:rsidRPr="0027400A">
        <w:rPr>
          <w:rFonts w:cs="Times New Roman"/>
          <w:szCs w:val="24"/>
        </w:rPr>
        <w:t>Unpublished manuscript.</w:t>
      </w:r>
      <w:proofErr w:type="gramEnd"/>
      <w:r w:rsidR="0071145E" w:rsidRPr="0027400A">
        <w:rPr>
          <w:rFonts w:cs="Times New Roman"/>
          <w:szCs w:val="24"/>
        </w:rPr>
        <w:t xml:space="preserve"> </w:t>
      </w:r>
      <w:proofErr w:type="gramStart"/>
      <w:r w:rsidR="0071145E" w:rsidRPr="0027400A">
        <w:rPr>
          <w:rFonts w:cs="Times New Roman"/>
          <w:szCs w:val="24"/>
        </w:rPr>
        <w:t>Accessed at http://dho.stanford.edu/research/amici.pdf.</w:t>
      </w:r>
      <w:proofErr w:type="gramEnd"/>
    </w:p>
    <w:p w:rsidR="000E3C4B" w:rsidRPr="0027400A" w:rsidRDefault="000E3C4B" w:rsidP="000E3C4B">
      <w:pPr>
        <w:ind w:left="0" w:firstLine="0"/>
        <w:rPr>
          <w:rFonts w:eastAsia="Times New Roman" w:cs="Times New Roman"/>
          <w:szCs w:val="24"/>
        </w:rPr>
      </w:pPr>
      <w:r w:rsidRPr="0027400A">
        <w:rPr>
          <w:rFonts w:eastAsia="Times New Roman" w:cs="Times New Roman"/>
          <w:szCs w:val="24"/>
        </w:rPr>
        <w:t xml:space="preserve">Ennis, Bruce J. 1983. </w:t>
      </w:r>
      <w:proofErr w:type="gramStart"/>
      <w:r w:rsidRPr="0027400A">
        <w:rPr>
          <w:rFonts w:eastAsia="Times New Roman" w:cs="Times New Roman"/>
          <w:szCs w:val="24"/>
        </w:rPr>
        <w:t>“Effective Amicus Briefs.”</w:t>
      </w:r>
      <w:proofErr w:type="gramEnd"/>
      <w:r w:rsidRPr="0027400A">
        <w:rPr>
          <w:rFonts w:eastAsia="Times New Roman" w:cs="Times New Roman"/>
          <w:szCs w:val="24"/>
        </w:rPr>
        <w:t xml:space="preserve"> </w:t>
      </w:r>
      <w:r w:rsidRPr="0027400A">
        <w:rPr>
          <w:rFonts w:eastAsia="Times New Roman" w:cs="Times New Roman"/>
          <w:i/>
          <w:iCs/>
          <w:szCs w:val="24"/>
        </w:rPr>
        <w:t>Cath. UL Rev.</w:t>
      </w:r>
      <w:r w:rsidRPr="0027400A">
        <w:rPr>
          <w:rFonts w:eastAsia="Times New Roman" w:cs="Times New Roman"/>
          <w:szCs w:val="24"/>
        </w:rPr>
        <w:t xml:space="preserve"> </w:t>
      </w:r>
      <w:r w:rsidRPr="00031B3C">
        <w:rPr>
          <w:rFonts w:eastAsia="Times New Roman" w:cs="Times New Roman"/>
          <w:iCs/>
          <w:szCs w:val="24"/>
        </w:rPr>
        <w:t>33</w:t>
      </w:r>
      <w:r w:rsidR="00031B3C">
        <w:rPr>
          <w:rFonts w:eastAsia="Times New Roman" w:cs="Times New Roman"/>
          <w:szCs w:val="24"/>
        </w:rPr>
        <w:t xml:space="preserve">: </w:t>
      </w:r>
      <w:r w:rsidRPr="0027400A">
        <w:rPr>
          <w:rFonts w:eastAsia="Times New Roman" w:cs="Times New Roman"/>
          <w:szCs w:val="24"/>
        </w:rPr>
        <w:t>603.</w:t>
      </w:r>
    </w:p>
    <w:p w:rsidR="000E3C4B" w:rsidRPr="0027400A" w:rsidRDefault="000E3C4B" w:rsidP="000E3C4B">
      <w:pPr>
        <w:ind w:left="0" w:firstLine="0"/>
        <w:rPr>
          <w:rFonts w:eastAsia="Times New Roman" w:cs="Times New Roman"/>
          <w:szCs w:val="24"/>
        </w:rPr>
      </w:pPr>
    </w:p>
    <w:p w:rsidR="000E3C4B" w:rsidRPr="0027400A" w:rsidRDefault="000E3C4B" w:rsidP="000E3C4B">
      <w:pPr>
        <w:ind w:left="0" w:firstLine="0"/>
        <w:rPr>
          <w:rFonts w:eastAsia="Times New Roman" w:cs="Times New Roman"/>
          <w:szCs w:val="24"/>
        </w:rPr>
      </w:pPr>
      <w:r w:rsidRPr="0027400A">
        <w:rPr>
          <w:rFonts w:eastAsia="Times New Roman" w:cs="Times New Roman"/>
          <w:szCs w:val="24"/>
        </w:rPr>
        <w:t xml:space="preserve">Epstein, Lee. 1985. </w:t>
      </w:r>
      <w:r w:rsidRPr="0027400A">
        <w:rPr>
          <w:rFonts w:eastAsia="Times New Roman" w:cs="Times New Roman"/>
          <w:i/>
          <w:szCs w:val="24"/>
        </w:rPr>
        <w:t>Conservatives in Court</w:t>
      </w:r>
      <w:r w:rsidRPr="0027400A">
        <w:rPr>
          <w:rFonts w:eastAsia="Times New Roman" w:cs="Times New Roman"/>
          <w:szCs w:val="24"/>
        </w:rPr>
        <w:t>. Knoxville: University of TN Press.</w:t>
      </w:r>
    </w:p>
    <w:p w:rsidR="000E3C4B" w:rsidRPr="0027400A" w:rsidRDefault="000E3C4B" w:rsidP="000E3C4B">
      <w:pPr>
        <w:ind w:left="0" w:firstLine="0"/>
        <w:rPr>
          <w:rFonts w:eastAsia="Times New Roman" w:cs="Times New Roman"/>
          <w:szCs w:val="24"/>
        </w:rPr>
      </w:pPr>
    </w:p>
    <w:p w:rsidR="000E3C4B" w:rsidRPr="0027400A" w:rsidRDefault="000E3C4B" w:rsidP="000E3C4B">
      <w:pPr>
        <w:ind w:hanging="720"/>
        <w:rPr>
          <w:rFonts w:eastAsia="Times New Roman" w:cs="Times New Roman"/>
          <w:szCs w:val="24"/>
        </w:rPr>
      </w:pPr>
      <w:r w:rsidRPr="0027400A">
        <w:rPr>
          <w:rFonts w:eastAsia="Times New Roman" w:cs="Times New Roman"/>
          <w:szCs w:val="24"/>
        </w:rPr>
        <w:t>Epstein, Lee. 1994. “Exploring the Participation of Organized Interests in State Court Litigation.”</w:t>
      </w:r>
      <w:r w:rsidRPr="0027400A">
        <w:rPr>
          <w:rFonts w:cs="Times New Roman"/>
          <w:i/>
          <w:iCs/>
          <w:szCs w:val="24"/>
        </w:rPr>
        <w:t xml:space="preserve"> Political Research Quarterly</w:t>
      </w:r>
      <w:r w:rsidRPr="0027400A">
        <w:rPr>
          <w:rFonts w:cs="Times New Roman"/>
          <w:szCs w:val="24"/>
        </w:rPr>
        <w:t xml:space="preserve">, </w:t>
      </w:r>
      <w:r w:rsidRPr="0027400A">
        <w:rPr>
          <w:rFonts w:cs="Times New Roman"/>
          <w:i/>
          <w:iCs/>
          <w:szCs w:val="24"/>
        </w:rPr>
        <w:t>47</w:t>
      </w:r>
      <w:r w:rsidRPr="0027400A">
        <w:rPr>
          <w:rFonts w:cs="Times New Roman"/>
          <w:szCs w:val="24"/>
        </w:rPr>
        <w:t>(2), 335-351.</w:t>
      </w:r>
    </w:p>
    <w:p w:rsidR="000E3C4B" w:rsidRPr="0027400A" w:rsidRDefault="000E3C4B" w:rsidP="000E3C4B">
      <w:pPr>
        <w:ind w:left="0" w:firstLine="0"/>
        <w:rPr>
          <w:rFonts w:eastAsia="Times New Roman" w:cs="Times New Roman"/>
          <w:szCs w:val="24"/>
        </w:rPr>
      </w:pPr>
    </w:p>
    <w:p w:rsidR="000E3C4B" w:rsidRPr="0027400A" w:rsidRDefault="000E3C4B" w:rsidP="000E3C4B">
      <w:pPr>
        <w:spacing w:after="200"/>
        <w:ind w:hanging="720"/>
        <w:rPr>
          <w:rStyle w:val="HTMLCite"/>
          <w:rFonts w:cs="Times New Roman"/>
          <w:szCs w:val="24"/>
        </w:rPr>
      </w:pPr>
      <w:proofErr w:type="gramStart"/>
      <w:r w:rsidRPr="0027400A">
        <w:rPr>
          <w:rStyle w:val="cit-name-surname"/>
          <w:rFonts w:cs="Times New Roman"/>
          <w:iCs/>
          <w:szCs w:val="24"/>
        </w:rPr>
        <w:t>Epstein, Lee</w:t>
      </w:r>
      <w:r w:rsidRPr="0027400A">
        <w:rPr>
          <w:rStyle w:val="HTMLCite"/>
          <w:rFonts w:cs="Times New Roman"/>
          <w:szCs w:val="24"/>
        </w:rPr>
        <w:t xml:space="preserve">, </w:t>
      </w:r>
      <w:r w:rsidRPr="0027400A">
        <w:rPr>
          <w:rStyle w:val="HTMLCite"/>
          <w:rFonts w:cs="Times New Roman"/>
          <w:i w:val="0"/>
          <w:szCs w:val="24"/>
        </w:rPr>
        <w:t xml:space="preserve">and </w:t>
      </w:r>
      <w:r w:rsidRPr="0027400A">
        <w:rPr>
          <w:rStyle w:val="cit-name-surname"/>
          <w:rFonts w:cs="Times New Roman"/>
          <w:iCs/>
          <w:szCs w:val="24"/>
        </w:rPr>
        <w:t>Jack Knight</w:t>
      </w:r>
      <w:r w:rsidRPr="0027400A">
        <w:rPr>
          <w:rStyle w:val="HTMLCite"/>
          <w:rFonts w:cs="Times New Roman"/>
          <w:szCs w:val="24"/>
        </w:rPr>
        <w:t>.</w:t>
      </w:r>
      <w:proofErr w:type="gramEnd"/>
      <w:r w:rsidRPr="0027400A">
        <w:rPr>
          <w:rStyle w:val="HTMLCite"/>
          <w:rFonts w:cs="Times New Roman"/>
          <w:szCs w:val="24"/>
        </w:rPr>
        <w:t xml:space="preserve"> </w:t>
      </w:r>
      <w:r w:rsidRPr="0027400A">
        <w:rPr>
          <w:rStyle w:val="cit-pub-date"/>
          <w:rFonts w:cs="Times New Roman"/>
          <w:iCs/>
          <w:szCs w:val="24"/>
        </w:rPr>
        <w:t>1998</w:t>
      </w:r>
      <w:r w:rsidRPr="0027400A">
        <w:rPr>
          <w:rStyle w:val="HTMLCite"/>
          <w:rFonts w:cs="Times New Roman"/>
          <w:i w:val="0"/>
          <w:szCs w:val="24"/>
        </w:rPr>
        <w:t xml:space="preserve">. </w:t>
      </w:r>
      <w:r w:rsidRPr="0027400A">
        <w:rPr>
          <w:rStyle w:val="cit-source"/>
          <w:rFonts w:cs="Times New Roman"/>
          <w:i/>
          <w:szCs w:val="24"/>
        </w:rPr>
        <w:t>The Choices Justices Make</w:t>
      </w:r>
      <w:r w:rsidRPr="0027400A">
        <w:rPr>
          <w:rStyle w:val="HTMLCite"/>
          <w:rFonts w:cs="Times New Roman"/>
          <w:i w:val="0"/>
          <w:szCs w:val="24"/>
        </w:rPr>
        <w:t>.</w:t>
      </w:r>
      <w:r w:rsidRPr="0027400A">
        <w:rPr>
          <w:rStyle w:val="HTMLCite"/>
          <w:rFonts w:cs="Times New Roman"/>
          <w:szCs w:val="24"/>
        </w:rPr>
        <w:t xml:space="preserve"> </w:t>
      </w:r>
      <w:r w:rsidRPr="0027400A">
        <w:rPr>
          <w:rStyle w:val="cit-publ-loc"/>
          <w:rFonts w:cs="Times New Roman"/>
          <w:iCs/>
          <w:szCs w:val="24"/>
        </w:rPr>
        <w:t>Washington, DC</w:t>
      </w:r>
      <w:r w:rsidRPr="0027400A">
        <w:rPr>
          <w:rStyle w:val="HTMLCite"/>
          <w:rFonts w:cs="Times New Roman"/>
          <w:szCs w:val="24"/>
        </w:rPr>
        <w:t xml:space="preserve">: </w:t>
      </w:r>
      <w:r w:rsidRPr="0027400A">
        <w:rPr>
          <w:rStyle w:val="cit-publ-name"/>
          <w:rFonts w:cs="Times New Roman"/>
          <w:iCs/>
          <w:szCs w:val="24"/>
        </w:rPr>
        <w:t>CQ Press</w:t>
      </w:r>
      <w:r w:rsidRPr="0027400A">
        <w:rPr>
          <w:rStyle w:val="HTMLCite"/>
          <w:rFonts w:cs="Times New Roman"/>
          <w:szCs w:val="24"/>
        </w:rPr>
        <w:t>.</w:t>
      </w:r>
    </w:p>
    <w:p w:rsidR="00894100" w:rsidRDefault="000E3C4B" w:rsidP="00894100">
      <w:pPr>
        <w:spacing w:after="200"/>
        <w:ind w:hanging="720"/>
        <w:rPr>
          <w:rStyle w:val="cit-publ-name"/>
          <w:rFonts w:cs="Times New Roman"/>
          <w:iCs/>
          <w:szCs w:val="24"/>
        </w:rPr>
      </w:pPr>
      <w:proofErr w:type="gramStart"/>
      <w:r w:rsidRPr="0027400A">
        <w:rPr>
          <w:rStyle w:val="cit-name-surname"/>
          <w:rFonts w:cs="Times New Roman"/>
          <w:iCs/>
          <w:szCs w:val="24"/>
        </w:rPr>
        <w:t>Epstein, Lee</w:t>
      </w:r>
      <w:r w:rsidRPr="0027400A">
        <w:rPr>
          <w:rStyle w:val="HTMLCite"/>
          <w:rFonts w:cs="Times New Roman"/>
          <w:szCs w:val="24"/>
        </w:rPr>
        <w:t xml:space="preserve">, </w:t>
      </w:r>
      <w:r w:rsidRPr="0027400A">
        <w:rPr>
          <w:rStyle w:val="HTMLCite"/>
          <w:rFonts w:cs="Times New Roman"/>
          <w:i w:val="0"/>
          <w:szCs w:val="24"/>
        </w:rPr>
        <w:t>and</w:t>
      </w:r>
      <w:r w:rsidRPr="0027400A">
        <w:rPr>
          <w:rStyle w:val="HTMLCite"/>
          <w:rFonts w:cs="Times New Roman"/>
          <w:szCs w:val="24"/>
        </w:rPr>
        <w:t xml:space="preserve"> </w:t>
      </w:r>
      <w:r w:rsidRPr="0027400A">
        <w:rPr>
          <w:rStyle w:val="cit-name-surname"/>
          <w:rFonts w:cs="Times New Roman"/>
          <w:iCs/>
          <w:szCs w:val="24"/>
        </w:rPr>
        <w:t>Jack Knight</w:t>
      </w:r>
      <w:r w:rsidRPr="0027400A">
        <w:rPr>
          <w:rStyle w:val="HTMLCite"/>
          <w:rFonts w:cs="Times New Roman"/>
          <w:szCs w:val="24"/>
        </w:rPr>
        <w:t>.</w:t>
      </w:r>
      <w:proofErr w:type="gramEnd"/>
      <w:r w:rsidRPr="0027400A">
        <w:rPr>
          <w:rStyle w:val="HTMLCite"/>
          <w:rFonts w:cs="Times New Roman"/>
          <w:szCs w:val="24"/>
        </w:rPr>
        <w:t xml:space="preserve"> </w:t>
      </w:r>
      <w:r w:rsidRPr="0027400A">
        <w:rPr>
          <w:rStyle w:val="cit-pub-date"/>
          <w:rFonts w:cs="Times New Roman"/>
          <w:iCs/>
          <w:szCs w:val="24"/>
        </w:rPr>
        <w:t>1999</w:t>
      </w:r>
      <w:r w:rsidRPr="0027400A">
        <w:rPr>
          <w:rStyle w:val="HTMLCite"/>
          <w:rFonts w:cs="Times New Roman"/>
          <w:szCs w:val="24"/>
        </w:rPr>
        <w:t xml:space="preserve">. </w:t>
      </w:r>
      <w:r w:rsidRPr="0027400A">
        <w:rPr>
          <w:rStyle w:val="cit-article-title"/>
          <w:rFonts w:cs="Times New Roman"/>
          <w:i/>
          <w:iCs/>
          <w:szCs w:val="24"/>
        </w:rPr>
        <w:t>Mapping out the strategic terrain: The informational role of amici curiae</w:t>
      </w:r>
      <w:r w:rsidRPr="0027400A">
        <w:rPr>
          <w:rStyle w:val="HTMLCite"/>
          <w:rFonts w:cs="Times New Roman"/>
          <w:szCs w:val="24"/>
        </w:rPr>
        <w:t xml:space="preserve">. </w:t>
      </w:r>
      <w:r w:rsidRPr="0027400A">
        <w:rPr>
          <w:rStyle w:val="HTMLCite"/>
          <w:rFonts w:cs="Times New Roman"/>
          <w:i w:val="0"/>
          <w:szCs w:val="24"/>
        </w:rPr>
        <w:t>In</w:t>
      </w:r>
      <w:r w:rsidRPr="0027400A">
        <w:rPr>
          <w:rStyle w:val="HTMLCite"/>
          <w:rFonts w:cs="Times New Roman"/>
          <w:szCs w:val="24"/>
        </w:rPr>
        <w:t xml:space="preserve"> </w:t>
      </w:r>
      <w:r w:rsidRPr="0027400A">
        <w:rPr>
          <w:rStyle w:val="cit-source"/>
          <w:rFonts w:cs="Times New Roman"/>
          <w:szCs w:val="24"/>
        </w:rPr>
        <w:t xml:space="preserve">Supreme Court decision making: New </w:t>
      </w:r>
      <w:proofErr w:type="spellStart"/>
      <w:r w:rsidRPr="0027400A">
        <w:rPr>
          <w:rStyle w:val="cit-source"/>
          <w:rFonts w:cs="Times New Roman"/>
          <w:szCs w:val="24"/>
        </w:rPr>
        <w:t>institutionalist</w:t>
      </w:r>
      <w:proofErr w:type="spellEnd"/>
      <w:r w:rsidRPr="0027400A">
        <w:rPr>
          <w:rStyle w:val="cit-source"/>
          <w:rFonts w:cs="Times New Roman"/>
          <w:szCs w:val="24"/>
        </w:rPr>
        <w:t xml:space="preserve"> approaches</w:t>
      </w:r>
      <w:r w:rsidRPr="0027400A">
        <w:rPr>
          <w:rStyle w:val="HTMLCite"/>
          <w:rFonts w:cs="Times New Roman"/>
          <w:szCs w:val="24"/>
        </w:rPr>
        <w:t xml:space="preserve">, </w:t>
      </w:r>
      <w:r w:rsidRPr="0027400A">
        <w:rPr>
          <w:rStyle w:val="HTMLCite"/>
          <w:rFonts w:cs="Times New Roman"/>
          <w:i w:val="0"/>
          <w:szCs w:val="24"/>
        </w:rPr>
        <w:t>ed.</w:t>
      </w:r>
      <w:r w:rsidRPr="0027400A">
        <w:rPr>
          <w:rStyle w:val="HTMLCite"/>
          <w:rFonts w:cs="Times New Roman"/>
          <w:szCs w:val="24"/>
        </w:rPr>
        <w:t xml:space="preserve"> </w:t>
      </w:r>
      <w:r w:rsidRPr="0027400A">
        <w:rPr>
          <w:rStyle w:val="cit-name-surname"/>
          <w:rFonts w:cs="Times New Roman"/>
          <w:iCs/>
          <w:szCs w:val="24"/>
        </w:rPr>
        <w:t>Cornell W. Clayton</w:t>
      </w:r>
      <w:r w:rsidRPr="0027400A">
        <w:rPr>
          <w:rStyle w:val="HTMLCite"/>
          <w:rFonts w:cs="Times New Roman"/>
          <w:szCs w:val="24"/>
        </w:rPr>
        <w:t xml:space="preserve"> </w:t>
      </w:r>
      <w:r w:rsidRPr="0027400A">
        <w:rPr>
          <w:rStyle w:val="HTMLCite"/>
          <w:rFonts w:cs="Times New Roman"/>
          <w:i w:val="0"/>
          <w:szCs w:val="24"/>
        </w:rPr>
        <w:t xml:space="preserve">and </w:t>
      </w:r>
      <w:r w:rsidRPr="0027400A">
        <w:rPr>
          <w:rStyle w:val="cit-name-surname"/>
          <w:rFonts w:cs="Times New Roman"/>
          <w:iCs/>
          <w:szCs w:val="24"/>
        </w:rPr>
        <w:t>Howard Gillman</w:t>
      </w:r>
      <w:r w:rsidRPr="0027400A">
        <w:rPr>
          <w:rStyle w:val="HTMLCite"/>
          <w:rFonts w:cs="Times New Roman"/>
          <w:szCs w:val="24"/>
        </w:rPr>
        <w:t xml:space="preserve">. </w:t>
      </w:r>
      <w:r w:rsidRPr="0027400A">
        <w:rPr>
          <w:rStyle w:val="cit-publ-loc"/>
          <w:rFonts w:cs="Times New Roman"/>
          <w:iCs/>
          <w:szCs w:val="24"/>
        </w:rPr>
        <w:t>Chicago</w:t>
      </w:r>
      <w:r w:rsidRPr="0027400A">
        <w:rPr>
          <w:rStyle w:val="HTMLCite"/>
          <w:rFonts w:cs="Times New Roman"/>
          <w:szCs w:val="24"/>
        </w:rPr>
        <w:t xml:space="preserve">: </w:t>
      </w:r>
      <w:r w:rsidRPr="0027400A">
        <w:rPr>
          <w:rStyle w:val="cit-publ-name"/>
          <w:rFonts w:cs="Times New Roman"/>
          <w:iCs/>
          <w:szCs w:val="24"/>
        </w:rPr>
        <w:t>University of Chicago Press</w:t>
      </w:r>
      <w:r w:rsidR="00894100">
        <w:rPr>
          <w:rStyle w:val="cit-publ-name"/>
          <w:rFonts w:cs="Times New Roman"/>
          <w:iCs/>
          <w:szCs w:val="24"/>
        </w:rPr>
        <w:t>.</w:t>
      </w:r>
    </w:p>
    <w:p w:rsidR="00894100" w:rsidRPr="0027400A" w:rsidRDefault="00894100" w:rsidP="000E3C4B">
      <w:pPr>
        <w:spacing w:after="200"/>
        <w:ind w:hanging="720"/>
        <w:rPr>
          <w:rStyle w:val="cit-publ-name"/>
          <w:rFonts w:cs="Times New Roman"/>
          <w:iCs/>
          <w:szCs w:val="24"/>
        </w:rPr>
      </w:pPr>
      <w:proofErr w:type="gramStart"/>
      <w:r>
        <w:t xml:space="preserve">Epstein, Lee, William M. </w:t>
      </w:r>
      <w:proofErr w:type="spellStart"/>
      <w:r>
        <w:t>Landes</w:t>
      </w:r>
      <w:proofErr w:type="spellEnd"/>
      <w:r>
        <w:t>, and Richard A. Posner.</w:t>
      </w:r>
      <w:proofErr w:type="gramEnd"/>
      <w:r>
        <w:t xml:space="preserve"> 2013. "Volume 97 Lead Piece: How Business Fares in the Supreme Court." </w:t>
      </w:r>
      <w:r>
        <w:rPr>
          <w:i/>
          <w:iCs/>
        </w:rPr>
        <w:t>Minn</w:t>
      </w:r>
      <w:r w:rsidR="00031B3C">
        <w:rPr>
          <w:i/>
          <w:iCs/>
        </w:rPr>
        <w:t>esota Law Review</w:t>
      </w:r>
      <w:r>
        <w:t xml:space="preserve"> 97: 1431-1507.</w:t>
      </w:r>
    </w:p>
    <w:p w:rsidR="000E3C4B" w:rsidRPr="0027400A" w:rsidRDefault="000E3C4B" w:rsidP="000E3C4B">
      <w:pPr>
        <w:spacing w:after="200"/>
        <w:ind w:left="0" w:firstLine="0"/>
        <w:rPr>
          <w:rFonts w:cs="Times New Roman"/>
          <w:szCs w:val="24"/>
        </w:rPr>
      </w:pPr>
      <w:r w:rsidRPr="0027400A">
        <w:rPr>
          <w:rFonts w:cs="Times New Roman"/>
          <w:bCs/>
          <w:szCs w:val="24"/>
        </w:rPr>
        <w:t>Epstein, Lee. 1991</w:t>
      </w:r>
      <w:r w:rsidRPr="0027400A">
        <w:rPr>
          <w:rFonts w:cs="Times New Roman"/>
          <w:szCs w:val="24"/>
        </w:rPr>
        <w:t xml:space="preserve">. </w:t>
      </w:r>
      <w:r w:rsidRPr="0027400A">
        <w:rPr>
          <w:rFonts w:cs="Times New Roman"/>
          <w:i/>
          <w:szCs w:val="24"/>
        </w:rPr>
        <w:t xml:space="preserve">The American </w:t>
      </w:r>
      <w:r w:rsidRPr="0027400A">
        <w:rPr>
          <w:rFonts w:cs="Times New Roman"/>
          <w:bCs/>
          <w:i/>
          <w:szCs w:val="24"/>
        </w:rPr>
        <w:t>courts</w:t>
      </w:r>
      <w:r w:rsidRPr="0027400A">
        <w:rPr>
          <w:rFonts w:cs="Times New Roman"/>
          <w:i/>
          <w:szCs w:val="24"/>
        </w:rPr>
        <w:t>: A critical assessment</w:t>
      </w:r>
      <w:r w:rsidRPr="0027400A">
        <w:rPr>
          <w:rFonts w:cs="Times New Roman"/>
          <w:szCs w:val="24"/>
        </w:rPr>
        <w:t>. Washington, DC: CQ Press.</w:t>
      </w:r>
    </w:p>
    <w:p w:rsidR="0071145E" w:rsidRDefault="0071145E" w:rsidP="0071145E">
      <w:pPr>
        <w:ind w:hanging="720"/>
        <w:rPr>
          <w:rFonts w:eastAsia="Times New Roman" w:cs="Times New Roman"/>
          <w:szCs w:val="24"/>
        </w:rPr>
      </w:pPr>
      <w:proofErr w:type="gramStart"/>
      <w:r w:rsidRPr="0071145E">
        <w:rPr>
          <w:rFonts w:eastAsia="Times New Roman" w:cs="Times New Roman"/>
          <w:szCs w:val="24"/>
        </w:rPr>
        <w:t xml:space="preserve">Epstein, Lee, and Carol </w:t>
      </w:r>
      <w:proofErr w:type="spellStart"/>
      <w:r w:rsidRPr="0071145E">
        <w:rPr>
          <w:rFonts w:eastAsia="Times New Roman" w:cs="Times New Roman"/>
          <w:szCs w:val="24"/>
        </w:rPr>
        <w:t>Mershon</w:t>
      </w:r>
      <w:proofErr w:type="spellEnd"/>
      <w:r w:rsidRPr="0071145E">
        <w:rPr>
          <w:rFonts w:eastAsia="Times New Roman" w:cs="Times New Roman"/>
          <w:szCs w:val="24"/>
        </w:rPr>
        <w:t>.</w:t>
      </w:r>
      <w:proofErr w:type="gramEnd"/>
      <w:r w:rsidRPr="0027400A">
        <w:rPr>
          <w:rFonts w:eastAsia="Times New Roman" w:cs="Times New Roman"/>
          <w:szCs w:val="24"/>
        </w:rPr>
        <w:t xml:space="preserve"> 1996.</w:t>
      </w:r>
      <w:r w:rsidRPr="0071145E">
        <w:rPr>
          <w:rFonts w:eastAsia="Times New Roman" w:cs="Times New Roman"/>
          <w:szCs w:val="24"/>
        </w:rPr>
        <w:t xml:space="preserve"> "Measuring political preferences." </w:t>
      </w:r>
      <w:r w:rsidRPr="0027400A">
        <w:rPr>
          <w:rFonts w:eastAsia="Times New Roman" w:cs="Times New Roman"/>
          <w:i/>
          <w:iCs/>
          <w:szCs w:val="24"/>
        </w:rPr>
        <w:t>American Journal of Political S</w:t>
      </w:r>
      <w:r w:rsidRPr="0071145E">
        <w:rPr>
          <w:rFonts w:eastAsia="Times New Roman" w:cs="Times New Roman"/>
          <w:i/>
          <w:iCs/>
          <w:szCs w:val="24"/>
        </w:rPr>
        <w:t>cience</w:t>
      </w:r>
      <w:r w:rsidRPr="0071145E">
        <w:rPr>
          <w:rFonts w:eastAsia="Times New Roman" w:cs="Times New Roman"/>
          <w:szCs w:val="24"/>
        </w:rPr>
        <w:t>: 261-294.</w:t>
      </w:r>
    </w:p>
    <w:p w:rsidR="00CF0C01" w:rsidRPr="0071145E" w:rsidRDefault="00CF0C01" w:rsidP="00894100">
      <w:pPr>
        <w:ind w:left="0" w:firstLine="0"/>
        <w:rPr>
          <w:rFonts w:eastAsia="Times New Roman" w:cs="Times New Roman"/>
          <w:szCs w:val="24"/>
        </w:rPr>
      </w:pPr>
    </w:p>
    <w:p w:rsidR="000E3C4B" w:rsidRPr="0027400A" w:rsidRDefault="000E3C4B" w:rsidP="000E3C4B">
      <w:pPr>
        <w:autoSpaceDE w:val="0"/>
        <w:autoSpaceDN w:val="0"/>
        <w:adjustRightInd w:val="0"/>
        <w:ind w:hanging="720"/>
        <w:rPr>
          <w:rFonts w:cs="Times New Roman"/>
          <w:szCs w:val="24"/>
        </w:rPr>
      </w:pPr>
      <w:proofErr w:type="gramStart"/>
      <w:r w:rsidRPr="0027400A">
        <w:rPr>
          <w:rFonts w:cs="Times New Roman"/>
          <w:szCs w:val="24"/>
        </w:rPr>
        <w:t xml:space="preserve">Epstein, Lee, and </w:t>
      </w:r>
      <w:r w:rsidR="00031B3C">
        <w:rPr>
          <w:rFonts w:cs="Times New Roman"/>
          <w:szCs w:val="24"/>
        </w:rPr>
        <w:t>C.K. Rowland</w:t>
      </w:r>
      <w:r w:rsidRPr="0027400A">
        <w:rPr>
          <w:rFonts w:cs="Times New Roman"/>
          <w:szCs w:val="24"/>
        </w:rPr>
        <w:t>.</w:t>
      </w:r>
      <w:proofErr w:type="gramEnd"/>
      <w:r w:rsidRPr="0027400A">
        <w:rPr>
          <w:rFonts w:cs="Times New Roman"/>
          <w:szCs w:val="24"/>
        </w:rPr>
        <w:t xml:space="preserve"> 1991.  “Debunking the Myth of Interest Group Invincibility in the Courts.” </w:t>
      </w:r>
      <w:r w:rsidRPr="0027400A">
        <w:rPr>
          <w:rFonts w:cs="Times New Roman"/>
          <w:i/>
          <w:szCs w:val="24"/>
        </w:rPr>
        <w:t>The American Political Science Review</w:t>
      </w:r>
      <w:r w:rsidRPr="0027400A">
        <w:rPr>
          <w:rFonts w:cs="Times New Roman"/>
          <w:szCs w:val="24"/>
        </w:rPr>
        <w:t xml:space="preserve"> 85(1): 205-217.</w:t>
      </w:r>
    </w:p>
    <w:p w:rsidR="000E3C4B" w:rsidRPr="0027400A" w:rsidRDefault="000E3C4B" w:rsidP="000E3C4B">
      <w:pPr>
        <w:autoSpaceDE w:val="0"/>
        <w:autoSpaceDN w:val="0"/>
        <w:adjustRightInd w:val="0"/>
        <w:ind w:hanging="720"/>
        <w:rPr>
          <w:rFonts w:cs="Times New Roman"/>
          <w:szCs w:val="24"/>
        </w:rPr>
      </w:pPr>
    </w:p>
    <w:p w:rsidR="00CF0C01" w:rsidRPr="0027400A" w:rsidRDefault="000E3C4B" w:rsidP="00894100">
      <w:pPr>
        <w:autoSpaceDE w:val="0"/>
        <w:autoSpaceDN w:val="0"/>
        <w:adjustRightInd w:val="0"/>
        <w:ind w:hanging="720"/>
        <w:rPr>
          <w:rFonts w:cs="Times New Roman"/>
          <w:szCs w:val="24"/>
        </w:rPr>
      </w:pPr>
      <w:proofErr w:type="gramStart"/>
      <w:r w:rsidRPr="0027400A">
        <w:rPr>
          <w:rFonts w:cs="Times New Roman"/>
          <w:szCs w:val="24"/>
        </w:rPr>
        <w:t xml:space="preserve">Epstein, Lee, and </w:t>
      </w:r>
      <w:proofErr w:type="spellStart"/>
      <w:r w:rsidRPr="0027400A">
        <w:rPr>
          <w:rFonts w:cs="Times New Roman"/>
          <w:szCs w:val="24"/>
        </w:rPr>
        <w:t>Tonja</w:t>
      </w:r>
      <w:proofErr w:type="spellEnd"/>
      <w:r w:rsidRPr="0027400A">
        <w:rPr>
          <w:rFonts w:cs="Times New Roman"/>
          <w:szCs w:val="24"/>
        </w:rPr>
        <w:t xml:space="preserve"> Jacobi</w:t>
      </w:r>
      <w:r w:rsidR="0071145E" w:rsidRPr="0027400A">
        <w:rPr>
          <w:rFonts w:cs="Times New Roman"/>
          <w:szCs w:val="24"/>
        </w:rPr>
        <w:t>.</w:t>
      </w:r>
      <w:proofErr w:type="gramEnd"/>
      <w:r w:rsidRPr="0027400A">
        <w:rPr>
          <w:rFonts w:cs="Times New Roman"/>
          <w:szCs w:val="24"/>
        </w:rPr>
        <w:t xml:space="preserve"> 2008. “Super Medians.” 61</w:t>
      </w:r>
      <w:r w:rsidRPr="0027400A">
        <w:rPr>
          <w:rFonts w:cs="Times New Roman"/>
          <w:i/>
          <w:szCs w:val="24"/>
        </w:rPr>
        <w:t xml:space="preserve"> Stanford Law </w:t>
      </w:r>
      <w:proofErr w:type="gramStart"/>
      <w:r w:rsidRPr="0027400A">
        <w:rPr>
          <w:rFonts w:cs="Times New Roman"/>
          <w:i/>
          <w:szCs w:val="24"/>
        </w:rPr>
        <w:t>Rev</w:t>
      </w:r>
      <w:r w:rsidRPr="0027400A">
        <w:rPr>
          <w:rFonts w:cs="Times New Roman"/>
          <w:szCs w:val="24"/>
        </w:rPr>
        <w:t>iew</w:t>
      </w:r>
      <w:proofErr w:type="gramEnd"/>
      <w:r w:rsidRPr="0027400A">
        <w:rPr>
          <w:rFonts w:cs="Times New Roman"/>
          <w:szCs w:val="24"/>
        </w:rPr>
        <w:t xml:space="preserve"> 37.</w:t>
      </w:r>
    </w:p>
    <w:p w:rsidR="000E3C4B" w:rsidRPr="0027400A" w:rsidRDefault="000E3C4B" w:rsidP="000E3C4B">
      <w:pPr>
        <w:autoSpaceDE w:val="0"/>
        <w:autoSpaceDN w:val="0"/>
        <w:adjustRightInd w:val="0"/>
        <w:ind w:hanging="720"/>
        <w:rPr>
          <w:rFonts w:cs="Times New Roman"/>
          <w:szCs w:val="24"/>
        </w:rPr>
      </w:pPr>
    </w:p>
    <w:p w:rsidR="000E3C4B" w:rsidRPr="0027400A" w:rsidRDefault="000E3C4B" w:rsidP="000E3C4B">
      <w:pPr>
        <w:autoSpaceDE w:val="0"/>
        <w:autoSpaceDN w:val="0"/>
        <w:adjustRightInd w:val="0"/>
        <w:ind w:hanging="720"/>
        <w:rPr>
          <w:rFonts w:cs="Times New Roman"/>
          <w:szCs w:val="24"/>
        </w:rPr>
      </w:pPr>
      <w:proofErr w:type="gramStart"/>
      <w:r w:rsidRPr="0027400A">
        <w:rPr>
          <w:rFonts w:cs="Times New Roman"/>
          <w:szCs w:val="24"/>
        </w:rPr>
        <w:t xml:space="preserve">Epstein, Lee, Andrew D. Martin, Kevin M. Quinn </w:t>
      </w:r>
      <w:r w:rsidR="000D6839" w:rsidRPr="0027400A">
        <w:rPr>
          <w:rFonts w:cs="Times New Roman"/>
          <w:szCs w:val="24"/>
        </w:rPr>
        <w:t>and</w:t>
      </w:r>
      <w:r w:rsidRPr="0027400A">
        <w:rPr>
          <w:rFonts w:cs="Times New Roman"/>
          <w:szCs w:val="24"/>
        </w:rPr>
        <w:t xml:space="preserve"> Jeffrey A. Segal.</w:t>
      </w:r>
      <w:proofErr w:type="gramEnd"/>
      <w:r w:rsidRPr="0027400A">
        <w:rPr>
          <w:rFonts w:cs="Times New Roman"/>
          <w:szCs w:val="24"/>
        </w:rPr>
        <w:t xml:space="preserve"> 2007. “Ideological Drift </w:t>
      </w:r>
      <w:proofErr w:type="gramStart"/>
      <w:r w:rsidRPr="0027400A">
        <w:rPr>
          <w:rFonts w:cs="Times New Roman"/>
          <w:szCs w:val="24"/>
        </w:rPr>
        <w:t>Among</w:t>
      </w:r>
      <w:proofErr w:type="gramEnd"/>
      <w:r w:rsidRPr="0027400A">
        <w:rPr>
          <w:rFonts w:cs="Times New Roman"/>
          <w:szCs w:val="24"/>
        </w:rPr>
        <w:t xml:space="preserve"> Supreme Court Justices: Who, When, and How Important?” </w:t>
      </w:r>
      <w:r w:rsidRPr="0027400A">
        <w:rPr>
          <w:rStyle w:val="cmti-10"/>
          <w:rFonts w:cs="Times New Roman"/>
          <w:i/>
          <w:iCs/>
          <w:szCs w:val="24"/>
        </w:rPr>
        <w:t>Northwestern University Law Review</w:t>
      </w:r>
      <w:r w:rsidRPr="0027400A">
        <w:rPr>
          <w:rFonts w:cs="Times New Roman"/>
          <w:szCs w:val="24"/>
        </w:rPr>
        <w:t xml:space="preserve"> 101: 1483-1542.</w:t>
      </w:r>
    </w:p>
    <w:p w:rsidR="000E3C4B" w:rsidRPr="0027400A" w:rsidRDefault="000E3C4B" w:rsidP="000E3C4B">
      <w:pPr>
        <w:autoSpaceDE w:val="0"/>
        <w:autoSpaceDN w:val="0"/>
        <w:adjustRightInd w:val="0"/>
        <w:ind w:hanging="720"/>
        <w:rPr>
          <w:rFonts w:cs="Times New Roman"/>
          <w:szCs w:val="24"/>
        </w:rPr>
      </w:pPr>
    </w:p>
    <w:p w:rsidR="000E3C4B" w:rsidRPr="0027400A" w:rsidRDefault="000E3C4B" w:rsidP="000E3C4B">
      <w:pPr>
        <w:autoSpaceDE w:val="0"/>
        <w:autoSpaceDN w:val="0"/>
        <w:adjustRightInd w:val="0"/>
        <w:ind w:hanging="720"/>
        <w:rPr>
          <w:rFonts w:cs="Times New Roman"/>
          <w:szCs w:val="24"/>
        </w:rPr>
      </w:pPr>
      <w:proofErr w:type="gramStart"/>
      <w:r w:rsidRPr="0027400A">
        <w:rPr>
          <w:rFonts w:cs="Times New Roman"/>
          <w:szCs w:val="24"/>
        </w:rPr>
        <w:t xml:space="preserve">Epstein, Lee Andrew D. Martin, Kevin Quinn, </w:t>
      </w:r>
      <w:r w:rsidR="000D6839" w:rsidRPr="0027400A">
        <w:rPr>
          <w:rFonts w:cs="Times New Roman"/>
          <w:szCs w:val="24"/>
        </w:rPr>
        <w:t>and</w:t>
      </w:r>
      <w:r w:rsidRPr="0027400A">
        <w:rPr>
          <w:rFonts w:cs="Times New Roman"/>
          <w:szCs w:val="24"/>
        </w:rPr>
        <w:t xml:space="preserve"> Jeffrey A. Segal.</w:t>
      </w:r>
      <w:proofErr w:type="gramEnd"/>
      <w:r w:rsidRPr="0027400A">
        <w:rPr>
          <w:rFonts w:cs="Times New Roman"/>
          <w:szCs w:val="24"/>
        </w:rPr>
        <w:t xml:space="preserve"> 2012. “Ideology and the Study of Judicial Behavior.” </w:t>
      </w:r>
      <w:proofErr w:type="gramStart"/>
      <w:r w:rsidRPr="0027400A">
        <w:rPr>
          <w:rFonts w:cs="Times New Roman"/>
          <w:szCs w:val="24"/>
        </w:rPr>
        <w:t xml:space="preserve">In </w:t>
      </w:r>
      <w:r w:rsidRPr="0027400A">
        <w:rPr>
          <w:rStyle w:val="cmti-10"/>
          <w:rFonts w:cs="Times New Roman"/>
          <w:i/>
          <w:iCs/>
          <w:szCs w:val="24"/>
        </w:rPr>
        <w:t>Ideology, Psychology, and Law,</w:t>
      </w:r>
      <w:r w:rsidRPr="0027400A">
        <w:rPr>
          <w:rFonts w:cs="Times New Roman"/>
          <w:szCs w:val="24"/>
        </w:rPr>
        <w:t xml:space="preserve"> ed. Jon Hanson.</w:t>
      </w:r>
      <w:proofErr w:type="gramEnd"/>
      <w:r w:rsidRPr="0027400A">
        <w:rPr>
          <w:rFonts w:cs="Times New Roman"/>
          <w:szCs w:val="24"/>
        </w:rPr>
        <w:t xml:space="preserve"> </w:t>
      </w:r>
      <w:proofErr w:type="gramStart"/>
      <w:r w:rsidRPr="0027400A">
        <w:rPr>
          <w:rFonts w:cs="Times New Roman"/>
          <w:szCs w:val="24"/>
        </w:rPr>
        <w:t>Oxford University Press.</w:t>
      </w:r>
      <w:proofErr w:type="gramEnd"/>
    </w:p>
    <w:p w:rsidR="000E3C4B" w:rsidRPr="0027400A" w:rsidRDefault="000E3C4B" w:rsidP="000E3C4B">
      <w:pPr>
        <w:autoSpaceDE w:val="0"/>
        <w:autoSpaceDN w:val="0"/>
        <w:adjustRightInd w:val="0"/>
        <w:ind w:hanging="720"/>
        <w:rPr>
          <w:rFonts w:cs="Times New Roman"/>
          <w:szCs w:val="24"/>
        </w:rPr>
      </w:pPr>
    </w:p>
    <w:p w:rsidR="000E3C4B" w:rsidRPr="0027400A" w:rsidRDefault="000E3C4B" w:rsidP="000E3C4B">
      <w:pPr>
        <w:ind w:hanging="720"/>
        <w:rPr>
          <w:rFonts w:eastAsia="Times New Roman" w:cs="Times New Roman"/>
          <w:szCs w:val="24"/>
        </w:rPr>
      </w:pPr>
      <w:r w:rsidRPr="0027400A">
        <w:rPr>
          <w:rFonts w:eastAsia="Times New Roman" w:cs="Times New Roman"/>
          <w:szCs w:val="24"/>
        </w:rPr>
        <w:lastRenderedPageBreak/>
        <w:t xml:space="preserve">Farber, Daniel A. 2007. </w:t>
      </w:r>
      <w:proofErr w:type="gramStart"/>
      <w:r w:rsidRPr="0027400A">
        <w:rPr>
          <w:rFonts w:eastAsia="Times New Roman" w:cs="Times New Roman"/>
          <w:szCs w:val="24"/>
        </w:rPr>
        <w:t>“When the Court Has a Party, How Many Friends Show up-A Note on the Statistical Distribution of Amicus Brief Filings.”</w:t>
      </w:r>
      <w:proofErr w:type="gramEnd"/>
      <w:r w:rsidRPr="0027400A">
        <w:rPr>
          <w:rFonts w:eastAsia="Times New Roman" w:cs="Times New Roman"/>
          <w:szCs w:val="24"/>
        </w:rPr>
        <w:t xml:space="preserve"> </w:t>
      </w:r>
      <w:r w:rsidR="00031B3C">
        <w:rPr>
          <w:rFonts w:eastAsia="Times New Roman" w:cs="Times New Roman"/>
          <w:i/>
          <w:iCs/>
          <w:szCs w:val="24"/>
        </w:rPr>
        <w:t>Constitutional Commentary</w:t>
      </w:r>
      <w:r w:rsidRPr="0027400A">
        <w:rPr>
          <w:rFonts w:eastAsia="Times New Roman" w:cs="Times New Roman"/>
          <w:szCs w:val="24"/>
        </w:rPr>
        <w:t xml:space="preserve"> </w:t>
      </w:r>
      <w:r w:rsidRPr="00031B3C">
        <w:rPr>
          <w:rFonts w:eastAsia="Times New Roman" w:cs="Times New Roman"/>
          <w:iCs/>
          <w:szCs w:val="24"/>
        </w:rPr>
        <w:t>24</w:t>
      </w:r>
      <w:r w:rsidR="00031B3C">
        <w:rPr>
          <w:rFonts w:eastAsia="Times New Roman" w:cs="Times New Roman"/>
          <w:szCs w:val="24"/>
        </w:rPr>
        <w:t>:</w:t>
      </w:r>
      <w:r w:rsidRPr="0027400A">
        <w:rPr>
          <w:rFonts w:eastAsia="Times New Roman" w:cs="Times New Roman"/>
          <w:szCs w:val="24"/>
        </w:rPr>
        <w:t xml:space="preserve"> 19.</w:t>
      </w:r>
    </w:p>
    <w:p w:rsidR="000E3C4B" w:rsidRPr="0027400A" w:rsidRDefault="000E3C4B" w:rsidP="000E3C4B">
      <w:pPr>
        <w:ind w:hanging="720"/>
        <w:rPr>
          <w:rFonts w:eastAsia="Times New Roman" w:cs="Times New Roman"/>
          <w:szCs w:val="24"/>
        </w:rPr>
      </w:pPr>
    </w:p>
    <w:p w:rsidR="000E3C4B" w:rsidRPr="0027400A" w:rsidRDefault="0071145E" w:rsidP="000E3C4B">
      <w:pPr>
        <w:ind w:hanging="720"/>
        <w:rPr>
          <w:rFonts w:eastAsia="Times New Roman" w:cs="Times New Roman"/>
          <w:szCs w:val="24"/>
        </w:rPr>
      </w:pPr>
      <w:proofErr w:type="spellStart"/>
      <w:proofErr w:type="gramStart"/>
      <w:r w:rsidRPr="0027400A">
        <w:rPr>
          <w:rFonts w:cs="Times New Roman"/>
          <w:szCs w:val="24"/>
        </w:rPr>
        <w:t>Fischman</w:t>
      </w:r>
      <w:proofErr w:type="spellEnd"/>
      <w:r w:rsidRPr="0027400A">
        <w:rPr>
          <w:rFonts w:cs="Times New Roman"/>
          <w:szCs w:val="24"/>
        </w:rPr>
        <w:t xml:space="preserve">, Joshua B., </w:t>
      </w:r>
      <w:r w:rsidR="000D6839" w:rsidRPr="0027400A">
        <w:rPr>
          <w:rFonts w:cs="Times New Roman"/>
          <w:szCs w:val="24"/>
        </w:rPr>
        <w:t>and</w:t>
      </w:r>
      <w:r w:rsidR="00031B3C">
        <w:rPr>
          <w:rFonts w:cs="Times New Roman"/>
          <w:szCs w:val="24"/>
        </w:rPr>
        <w:t xml:space="preserve"> </w:t>
      </w:r>
      <w:r w:rsidR="000E3C4B" w:rsidRPr="0027400A">
        <w:rPr>
          <w:rFonts w:cs="Times New Roman"/>
          <w:szCs w:val="24"/>
        </w:rPr>
        <w:t>David S.</w:t>
      </w:r>
      <w:r w:rsidR="00031B3C">
        <w:rPr>
          <w:rFonts w:cs="Times New Roman"/>
          <w:szCs w:val="24"/>
        </w:rPr>
        <w:t xml:space="preserve"> Law.</w:t>
      </w:r>
      <w:proofErr w:type="gramEnd"/>
      <w:r w:rsidR="000E3C4B" w:rsidRPr="0027400A">
        <w:rPr>
          <w:rFonts w:cs="Times New Roman"/>
          <w:szCs w:val="24"/>
        </w:rPr>
        <w:t xml:space="preserve"> 2009. “What </w:t>
      </w:r>
      <w:proofErr w:type="gramStart"/>
      <w:r w:rsidR="000E3C4B" w:rsidRPr="0027400A">
        <w:rPr>
          <w:rFonts w:cs="Times New Roman"/>
          <w:szCs w:val="24"/>
        </w:rPr>
        <w:t>is</w:t>
      </w:r>
      <w:proofErr w:type="gramEnd"/>
      <w:r w:rsidR="000E3C4B" w:rsidRPr="0027400A">
        <w:rPr>
          <w:rFonts w:cs="Times New Roman"/>
          <w:szCs w:val="24"/>
        </w:rPr>
        <w:t xml:space="preserve"> Judicial Ideology, and How Should We Measure It?” </w:t>
      </w:r>
      <w:proofErr w:type="gramStart"/>
      <w:r w:rsidR="000E3C4B" w:rsidRPr="0027400A">
        <w:rPr>
          <w:rFonts w:cs="Times New Roman"/>
          <w:i/>
          <w:szCs w:val="24"/>
        </w:rPr>
        <w:t xml:space="preserve">Journal of Law </w:t>
      </w:r>
      <w:r w:rsidR="000D6839" w:rsidRPr="0027400A">
        <w:rPr>
          <w:rFonts w:cs="Times New Roman"/>
          <w:i/>
          <w:szCs w:val="24"/>
        </w:rPr>
        <w:t>and</w:t>
      </w:r>
      <w:r w:rsidR="000E3C4B" w:rsidRPr="0027400A">
        <w:rPr>
          <w:rFonts w:cs="Times New Roman"/>
          <w:i/>
          <w:szCs w:val="24"/>
        </w:rPr>
        <w:t xml:space="preserve"> Policy.</w:t>
      </w:r>
      <w:proofErr w:type="gramEnd"/>
      <w:r w:rsidR="000E3C4B" w:rsidRPr="0027400A">
        <w:rPr>
          <w:rFonts w:cs="Times New Roman"/>
          <w:szCs w:val="24"/>
        </w:rPr>
        <w:t xml:space="preserve">  </w:t>
      </w:r>
    </w:p>
    <w:p w:rsidR="000E3C4B" w:rsidRDefault="000E3C4B" w:rsidP="000E3C4B">
      <w:pPr>
        <w:ind w:left="0" w:firstLine="0"/>
        <w:rPr>
          <w:rFonts w:cs="Times New Roman"/>
          <w:color w:val="548DD4" w:themeColor="text2" w:themeTint="99"/>
          <w:szCs w:val="24"/>
        </w:rPr>
      </w:pPr>
    </w:p>
    <w:p w:rsidR="00C816D4" w:rsidRPr="00C816D4" w:rsidRDefault="00C816D4" w:rsidP="00C816D4">
      <w:pPr>
        <w:ind w:hanging="720"/>
        <w:rPr>
          <w:rFonts w:eastAsia="Times New Roman" w:cs="Times New Roman"/>
          <w:szCs w:val="24"/>
        </w:rPr>
      </w:pPr>
      <w:proofErr w:type="spellStart"/>
      <w:proofErr w:type="gramStart"/>
      <w:r w:rsidRPr="00C816D4">
        <w:rPr>
          <w:rFonts w:eastAsia="Times New Roman" w:cs="Times New Roman"/>
          <w:szCs w:val="24"/>
        </w:rPr>
        <w:t>Flango</w:t>
      </w:r>
      <w:proofErr w:type="spellEnd"/>
      <w:r w:rsidRPr="00C816D4">
        <w:rPr>
          <w:rFonts w:eastAsia="Times New Roman" w:cs="Times New Roman"/>
          <w:szCs w:val="24"/>
        </w:rPr>
        <w:t xml:space="preserve">, Victor E., Donald C. </w:t>
      </w:r>
      <w:proofErr w:type="spellStart"/>
      <w:r w:rsidRPr="00C816D4">
        <w:rPr>
          <w:rFonts w:eastAsia="Times New Roman" w:cs="Times New Roman"/>
          <w:szCs w:val="24"/>
        </w:rPr>
        <w:t>Bross</w:t>
      </w:r>
      <w:proofErr w:type="spellEnd"/>
      <w:r w:rsidRPr="00C816D4">
        <w:rPr>
          <w:rFonts w:eastAsia="Times New Roman" w:cs="Times New Roman"/>
          <w:szCs w:val="24"/>
        </w:rPr>
        <w:t xml:space="preserve">, and Sarah </w:t>
      </w:r>
      <w:proofErr w:type="spellStart"/>
      <w:r w:rsidRPr="00C816D4">
        <w:rPr>
          <w:rFonts w:eastAsia="Times New Roman" w:cs="Times New Roman"/>
          <w:szCs w:val="24"/>
        </w:rPr>
        <w:t>Corbally</w:t>
      </w:r>
      <w:proofErr w:type="spellEnd"/>
      <w:r w:rsidRPr="00C816D4">
        <w:rPr>
          <w:rFonts w:eastAsia="Times New Roman" w:cs="Times New Roman"/>
          <w:szCs w:val="24"/>
        </w:rPr>
        <w:t>.</w:t>
      </w:r>
      <w:proofErr w:type="gramEnd"/>
      <w:r w:rsidRPr="00C816D4">
        <w:rPr>
          <w:rFonts w:eastAsia="Times New Roman" w:cs="Times New Roman"/>
          <w:szCs w:val="24"/>
        </w:rPr>
        <w:t xml:space="preserve"> </w:t>
      </w:r>
      <w:r>
        <w:rPr>
          <w:rFonts w:eastAsia="Times New Roman" w:cs="Times New Roman"/>
          <w:szCs w:val="24"/>
        </w:rPr>
        <w:t xml:space="preserve">2006. </w:t>
      </w:r>
      <w:r w:rsidRPr="00C816D4">
        <w:rPr>
          <w:rFonts w:eastAsia="Times New Roman" w:cs="Times New Roman"/>
          <w:szCs w:val="24"/>
        </w:rPr>
        <w:t xml:space="preserve">"Amicus Curiae Briefs: The Court's Perspective." </w:t>
      </w:r>
      <w:r w:rsidR="00031B3C">
        <w:rPr>
          <w:rFonts w:eastAsia="Times New Roman" w:cs="Times New Roman"/>
          <w:i/>
          <w:iCs/>
          <w:szCs w:val="24"/>
        </w:rPr>
        <w:t>Justice Systems Journal</w:t>
      </w:r>
      <w:r>
        <w:rPr>
          <w:rFonts w:eastAsia="Times New Roman" w:cs="Times New Roman"/>
          <w:szCs w:val="24"/>
        </w:rPr>
        <w:t xml:space="preserve"> 27:</w:t>
      </w:r>
      <w:r w:rsidRPr="00C816D4">
        <w:rPr>
          <w:rFonts w:eastAsia="Times New Roman" w:cs="Times New Roman"/>
          <w:szCs w:val="24"/>
        </w:rPr>
        <w:t>180.</w:t>
      </w:r>
    </w:p>
    <w:p w:rsidR="00C816D4" w:rsidRPr="0027400A" w:rsidRDefault="00C816D4" w:rsidP="000E3C4B">
      <w:pPr>
        <w:ind w:left="0" w:firstLine="0"/>
        <w:rPr>
          <w:rFonts w:cs="Times New Roman"/>
          <w:color w:val="548DD4" w:themeColor="text2" w:themeTint="99"/>
          <w:szCs w:val="24"/>
        </w:rPr>
      </w:pPr>
    </w:p>
    <w:p w:rsidR="000E3C4B" w:rsidRPr="0027400A" w:rsidRDefault="000E3C4B" w:rsidP="000E3C4B">
      <w:pPr>
        <w:ind w:hanging="720"/>
        <w:rPr>
          <w:rFonts w:eastAsia="Times New Roman" w:cs="Times New Roman"/>
          <w:szCs w:val="24"/>
        </w:rPr>
      </w:pPr>
      <w:proofErr w:type="spellStart"/>
      <w:proofErr w:type="gramStart"/>
      <w:r w:rsidRPr="0027400A">
        <w:rPr>
          <w:rFonts w:eastAsia="Times New Roman" w:cs="Times New Roman"/>
          <w:szCs w:val="24"/>
        </w:rPr>
        <w:t>Flemming</w:t>
      </w:r>
      <w:proofErr w:type="spellEnd"/>
      <w:r w:rsidRPr="0027400A">
        <w:rPr>
          <w:rFonts w:eastAsia="Times New Roman" w:cs="Times New Roman"/>
          <w:szCs w:val="24"/>
        </w:rPr>
        <w:t xml:space="preserve">, Roy B., </w:t>
      </w:r>
      <w:r w:rsidR="000D6839" w:rsidRPr="0027400A">
        <w:rPr>
          <w:rFonts w:eastAsia="Times New Roman" w:cs="Times New Roman"/>
          <w:szCs w:val="24"/>
        </w:rPr>
        <w:t>and</w:t>
      </w:r>
      <w:r w:rsidR="00031B3C">
        <w:rPr>
          <w:rFonts w:eastAsia="Times New Roman" w:cs="Times New Roman"/>
          <w:szCs w:val="24"/>
        </w:rPr>
        <w:t xml:space="preserve"> </w:t>
      </w:r>
      <w:r w:rsidRPr="0027400A">
        <w:rPr>
          <w:rFonts w:eastAsia="Times New Roman" w:cs="Times New Roman"/>
          <w:szCs w:val="24"/>
        </w:rPr>
        <w:t>B. Dan.</w:t>
      </w:r>
      <w:proofErr w:type="gramEnd"/>
      <w:r w:rsidR="00031B3C">
        <w:rPr>
          <w:rFonts w:eastAsia="Times New Roman" w:cs="Times New Roman"/>
          <w:szCs w:val="24"/>
        </w:rPr>
        <w:t xml:space="preserve"> </w:t>
      </w:r>
      <w:proofErr w:type="gramStart"/>
      <w:r w:rsidR="00031B3C">
        <w:rPr>
          <w:rFonts w:eastAsia="Times New Roman" w:cs="Times New Roman"/>
          <w:szCs w:val="24"/>
        </w:rPr>
        <w:t>Wood.</w:t>
      </w:r>
      <w:proofErr w:type="gramEnd"/>
      <w:r w:rsidRPr="0027400A">
        <w:rPr>
          <w:rFonts w:eastAsia="Times New Roman" w:cs="Times New Roman"/>
          <w:szCs w:val="24"/>
        </w:rPr>
        <w:t xml:space="preserve"> 1997. “The public and the Supreme Court: Individual justice responsiveness to American policy moods.” </w:t>
      </w:r>
      <w:r w:rsidRPr="0027400A">
        <w:rPr>
          <w:rFonts w:eastAsia="Times New Roman" w:cs="Times New Roman"/>
          <w:i/>
          <w:iCs/>
          <w:szCs w:val="24"/>
        </w:rPr>
        <w:t>American Journal of Political Science</w:t>
      </w:r>
      <w:r w:rsidR="00031B3C">
        <w:rPr>
          <w:rFonts w:eastAsia="Times New Roman" w:cs="Times New Roman"/>
          <w:szCs w:val="24"/>
        </w:rPr>
        <w:t>:</w:t>
      </w:r>
      <w:r w:rsidRPr="0027400A">
        <w:rPr>
          <w:rFonts w:eastAsia="Times New Roman" w:cs="Times New Roman"/>
          <w:szCs w:val="24"/>
        </w:rPr>
        <w:t xml:space="preserve"> 468-498.</w:t>
      </w:r>
    </w:p>
    <w:p w:rsidR="000E3C4B" w:rsidRPr="0027400A" w:rsidRDefault="000E3C4B" w:rsidP="000E3C4B">
      <w:pPr>
        <w:ind w:left="0" w:firstLine="0"/>
        <w:rPr>
          <w:rFonts w:cs="Times New Roman"/>
          <w:color w:val="548DD4" w:themeColor="text2" w:themeTint="99"/>
          <w:szCs w:val="24"/>
        </w:rPr>
      </w:pPr>
    </w:p>
    <w:p w:rsidR="000E3C4B" w:rsidRPr="0027400A" w:rsidRDefault="000E3C4B" w:rsidP="000E3C4B">
      <w:pPr>
        <w:ind w:hanging="720"/>
        <w:rPr>
          <w:rFonts w:eastAsia="Times New Roman" w:cs="Times New Roman"/>
          <w:szCs w:val="24"/>
        </w:rPr>
      </w:pPr>
      <w:r w:rsidRPr="0027400A">
        <w:rPr>
          <w:rFonts w:eastAsia="Times New Roman" w:cs="Times New Roman"/>
          <w:szCs w:val="24"/>
        </w:rPr>
        <w:t xml:space="preserve">Franklin, David. 2009. “What kind of business-friendly court? </w:t>
      </w:r>
      <w:proofErr w:type="gramStart"/>
      <w:r w:rsidRPr="0027400A">
        <w:rPr>
          <w:rFonts w:eastAsia="Times New Roman" w:cs="Times New Roman"/>
          <w:szCs w:val="24"/>
        </w:rPr>
        <w:t>Explaining the Chamber of Commerce's success at the Roberts Court.”</w:t>
      </w:r>
      <w:proofErr w:type="gramEnd"/>
      <w:r w:rsidRPr="0027400A">
        <w:rPr>
          <w:rFonts w:eastAsia="Times New Roman" w:cs="Times New Roman"/>
          <w:szCs w:val="24"/>
        </w:rPr>
        <w:t xml:space="preserve"> </w:t>
      </w:r>
      <w:proofErr w:type="gramStart"/>
      <w:r w:rsidRPr="0027400A">
        <w:rPr>
          <w:rFonts w:eastAsia="Times New Roman" w:cs="Times New Roman"/>
          <w:i/>
          <w:iCs/>
          <w:szCs w:val="24"/>
        </w:rPr>
        <w:t>Santa Clara Law Review</w:t>
      </w:r>
      <w:r w:rsidR="00031B3C">
        <w:rPr>
          <w:rFonts w:eastAsia="Times New Roman" w:cs="Times New Roman"/>
          <w:szCs w:val="24"/>
        </w:rPr>
        <w:t xml:space="preserve"> </w:t>
      </w:r>
      <w:r w:rsidRPr="00031B3C">
        <w:rPr>
          <w:rFonts w:eastAsia="Times New Roman" w:cs="Times New Roman"/>
          <w:iCs/>
          <w:szCs w:val="24"/>
        </w:rPr>
        <w:t>49</w:t>
      </w:r>
      <w:r w:rsidRPr="00031B3C">
        <w:rPr>
          <w:rFonts w:eastAsia="Times New Roman" w:cs="Times New Roman"/>
          <w:szCs w:val="24"/>
        </w:rPr>
        <w:t>.</w:t>
      </w:r>
      <w:proofErr w:type="gramEnd"/>
    </w:p>
    <w:p w:rsidR="000E3C4B" w:rsidRPr="0027400A" w:rsidRDefault="000E3C4B" w:rsidP="000E3C4B">
      <w:pPr>
        <w:ind w:left="0" w:firstLine="0"/>
        <w:rPr>
          <w:rFonts w:cs="Times New Roman"/>
          <w:color w:val="548DD4" w:themeColor="text2" w:themeTint="99"/>
          <w:szCs w:val="24"/>
        </w:rPr>
      </w:pPr>
    </w:p>
    <w:p w:rsidR="000E3C4B" w:rsidRPr="0027400A" w:rsidRDefault="000E3C4B" w:rsidP="000E3C4B">
      <w:pPr>
        <w:ind w:hanging="720"/>
        <w:rPr>
          <w:rFonts w:cs="Times New Roman"/>
          <w:i/>
          <w:szCs w:val="24"/>
        </w:rPr>
      </w:pPr>
      <w:proofErr w:type="spellStart"/>
      <w:proofErr w:type="gramStart"/>
      <w:r w:rsidRPr="0027400A">
        <w:rPr>
          <w:rFonts w:cs="Times New Roman"/>
          <w:szCs w:val="24"/>
        </w:rPr>
        <w:t>Franze</w:t>
      </w:r>
      <w:proofErr w:type="spellEnd"/>
      <w:r w:rsidRPr="0027400A">
        <w:rPr>
          <w:rFonts w:cs="Times New Roman"/>
          <w:szCs w:val="24"/>
        </w:rPr>
        <w:t>, Anthony J., and R. Reeves Anderson.</w:t>
      </w:r>
      <w:proofErr w:type="gramEnd"/>
      <w:r w:rsidRPr="0027400A">
        <w:rPr>
          <w:rFonts w:cs="Times New Roman"/>
          <w:szCs w:val="24"/>
        </w:rPr>
        <w:t xml:space="preserve"> Sept. 24, 2012. </w:t>
      </w:r>
      <w:proofErr w:type="gramStart"/>
      <w:r w:rsidRPr="0027400A">
        <w:rPr>
          <w:rFonts w:cs="Times New Roman"/>
          <w:szCs w:val="24"/>
        </w:rPr>
        <w:t>“The Supreme Court’s Reliance on Amicus Curiae in the 2011-12 Term.”</w:t>
      </w:r>
      <w:proofErr w:type="gramEnd"/>
      <w:r w:rsidRPr="0027400A">
        <w:rPr>
          <w:rFonts w:cs="Times New Roman"/>
          <w:szCs w:val="24"/>
        </w:rPr>
        <w:t xml:space="preserve"> </w:t>
      </w:r>
      <w:proofErr w:type="gramStart"/>
      <w:r w:rsidRPr="0027400A">
        <w:rPr>
          <w:rFonts w:cs="Times New Roman"/>
          <w:i/>
          <w:szCs w:val="24"/>
        </w:rPr>
        <w:t>The National Law Journal.</w:t>
      </w:r>
      <w:proofErr w:type="gramEnd"/>
    </w:p>
    <w:p w:rsidR="000E3C4B" w:rsidRPr="0027400A" w:rsidRDefault="000E3C4B" w:rsidP="000E3C4B">
      <w:pPr>
        <w:ind w:hanging="720"/>
        <w:rPr>
          <w:rFonts w:cs="Times New Roman"/>
          <w:i/>
          <w:szCs w:val="24"/>
        </w:rPr>
      </w:pPr>
    </w:p>
    <w:p w:rsidR="000E3C4B" w:rsidRPr="0027400A" w:rsidRDefault="000E3C4B" w:rsidP="000E3C4B">
      <w:pPr>
        <w:ind w:hanging="720"/>
        <w:rPr>
          <w:rFonts w:cs="Times New Roman"/>
          <w:szCs w:val="24"/>
        </w:rPr>
      </w:pPr>
      <w:r w:rsidRPr="0027400A">
        <w:rPr>
          <w:rFonts w:cs="Times New Roman"/>
          <w:szCs w:val="24"/>
        </w:rPr>
        <w:t xml:space="preserve">Frey, Andrew. 2006. “Amici Curiae: Friend of the Court or Nuisances?” </w:t>
      </w:r>
      <w:proofErr w:type="gramStart"/>
      <w:r w:rsidRPr="0027400A">
        <w:rPr>
          <w:rFonts w:cs="Times New Roman"/>
          <w:szCs w:val="24"/>
        </w:rPr>
        <w:t xml:space="preserve">33 </w:t>
      </w:r>
      <w:r w:rsidRPr="0027400A">
        <w:rPr>
          <w:rFonts w:cs="Times New Roman"/>
          <w:i/>
          <w:szCs w:val="24"/>
        </w:rPr>
        <w:t>Litigation</w:t>
      </w:r>
      <w:r w:rsidRPr="0027400A">
        <w:rPr>
          <w:rFonts w:cs="Times New Roman"/>
          <w:szCs w:val="24"/>
        </w:rPr>
        <w:t xml:space="preserve"> 5.</w:t>
      </w:r>
      <w:proofErr w:type="gramEnd"/>
    </w:p>
    <w:p w:rsidR="000E3C4B" w:rsidRPr="0027400A" w:rsidRDefault="000E3C4B" w:rsidP="000E3C4B">
      <w:pPr>
        <w:ind w:hanging="720"/>
        <w:rPr>
          <w:rFonts w:cs="Times New Roman"/>
          <w:szCs w:val="24"/>
        </w:rPr>
      </w:pPr>
    </w:p>
    <w:p w:rsidR="000E3C4B" w:rsidRPr="0027400A" w:rsidRDefault="000E3C4B" w:rsidP="000E3C4B">
      <w:pPr>
        <w:pStyle w:val="EndnoteText"/>
        <w:ind w:hanging="720"/>
        <w:rPr>
          <w:rFonts w:cs="Times New Roman"/>
          <w:sz w:val="24"/>
          <w:szCs w:val="24"/>
        </w:rPr>
      </w:pPr>
      <w:r w:rsidRPr="0027400A">
        <w:rPr>
          <w:rFonts w:eastAsia="Calibri" w:cs="Times New Roman"/>
          <w:sz w:val="24"/>
          <w:szCs w:val="24"/>
        </w:rPr>
        <w:t xml:space="preserve">Funston, Richard. 1975. “The Supreme Court and Critical Elections.” </w:t>
      </w:r>
      <w:r w:rsidRPr="0027400A">
        <w:rPr>
          <w:rFonts w:eastAsia="Calibri" w:cs="Times New Roman"/>
          <w:i/>
          <w:sz w:val="24"/>
          <w:szCs w:val="24"/>
        </w:rPr>
        <w:t>The American Political Science Review</w:t>
      </w:r>
      <w:r w:rsidRPr="0027400A">
        <w:rPr>
          <w:rFonts w:eastAsia="Calibri" w:cs="Times New Roman"/>
          <w:sz w:val="24"/>
          <w:szCs w:val="24"/>
        </w:rPr>
        <w:t xml:space="preserve"> 69(3):</w:t>
      </w:r>
      <w:r w:rsidR="005F66E3">
        <w:rPr>
          <w:rFonts w:eastAsia="Calibri" w:cs="Times New Roman"/>
          <w:sz w:val="24"/>
          <w:szCs w:val="24"/>
        </w:rPr>
        <w:t xml:space="preserve"> </w:t>
      </w:r>
      <w:r w:rsidRPr="0027400A">
        <w:rPr>
          <w:rFonts w:eastAsia="Calibri" w:cs="Times New Roman"/>
          <w:sz w:val="24"/>
          <w:szCs w:val="24"/>
        </w:rPr>
        <w:t>795-81.</w:t>
      </w:r>
    </w:p>
    <w:p w:rsidR="000E3C4B" w:rsidRPr="0027400A" w:rsidRDefault="000E3C4B" w:rsidP="000E3C4B">
      <w:pPr>
        <w:ind w:left="0" w:firstLine="0"/>
        <w:rPr>
          <w:rFonts w:cs="Times New Roman"/>
          <w:color w:val="548DD4" w:themeColor="text2" w:themeTint="99"/>
          <w:szCs w:val="24"/>
        </w:rPr>
      </w:pPr>
    </w:p>
    <w:p w:rsidR="000E3C4B" w:rsidRPr="0027400A" w:rsidRDefault="000E3C4B" w:rsidP="000E3C4B">
      <w:pPr>
        <w:ind w:hanging="720"/>
        <w:rPr>
          <w:rStyle w:val="HTMLCite"/>
          <w:rFonts w:cs="Times New Roman"/>
          <w:szCs w:val="24"/>
        </w:rPr>
      </w:pPr>
      <w:proofErr w:type="spellStart"/>
      <w:r w:rsidRPr="0027400A">
        <w:rPr>
          <w:rStyle w:val="cit-name-surname"/>
          <w:rFonts w:cs="Times New Roman"/>
          <w:iCs/>
          <w:szCs w:val="24"/>
        </w:rPr>
        <w:t>Galanter</w:t>
      </w:r>
      <w:proofErr w:type="spellEnd"/>
      <w:r w:rsidRPr="0027400A">
        <w:rPr>
          <w:rStyle w:val="cit-name-surname"/>
          <w:rFonts w:cs="Times New Roman"/>
          <w:iCs/>
          <w:szCs w:val="24"/>
        </w:rPr>
        <w:t>, Marc</w:t>
      </w:r>
      <w:r w:rsidRPr="0027400A">
        <w:rPr>
          <w:rStyle w:val="HTMLCite"/>
          <w:rFonts w:cs="Times New Roman"/>
          <w:szCs w:val="24"/>
        </w:rPr>
        <w:t xml:space="preserve">. </w:t>
      </w:r>
      <w:r w:rsidRPr="0027400A">
        <w:rPr>
          <w:rStyle w:val="cit-pub-date"/>
          <w:rFonts w:cs="Times New Roman"/>
          <w:iCs/>
          <w:szCs w:val="24"/>
        </w:rPr>
        <w:t>1974</w:t>
      </w:r>
      <w:r w:rsidRPr="0027400A">
        <w:rPr>
          <w:rStyle w:val="HTMLCite"/>
          <w:rFonts w:cs="Times New Roman"/>
          <w:szCs w:val="24"/>
        </w:rPr>
        <w:t xml:space="preserve">. </w:t>
      </w:r>
      <w:r w:rsidRPr="0027400A">
        <w:rPr>
          <w:rStyle w:val="cit-article-title"/>
          <w:rFonts w:cs="Times New Roman"/>
          <w:iCs/>
          <w:szCs w:val="24"/>
        </w:rPr>
        <w:t>Why the “haves” come out ahead: Speculations on the limits of legal change</w:t>
      </w:r>
      <w:r w:rsidRPr="0027400A">
        <w:rPr>
          <w:rStyle w:val="HTMLCite"/>
          <w:rFonts w:cs="Times New Roman"/>
          <w:szCs w:val="24"/>
        </w:rPr>
        <w:t xml:space="preserve">. Law and Society Review </w:t>
      </w:r>
      <w:r w:rsidRPr="005F66E3">
        <w:rPr>
          <w:rStyle w:val="cit-vol"/>
          <w:rFonts w:cs="Times New Roman"/>
          <w:iCs/>
          <w:szCs w:val="24"/>
        </w:rPr>
        <w:t>9</w:t>
      </w:r>
      <w:r w:rsidR="005F66E3">
        <w:rPr>
          <w:rStyle w:val="HTMLCite"/>
          <w:rFonts w:cs="Times New Roman"/>
          <w:i w:val="0"/>
          <w:szCs w:val="24"/>
        </w:rPr>
        <w:t xml:space="preserve">(1): </w:t>
      </w:r>
      <w:r w:rsidRPr="005F66E3">
        <w:rPr>
          <w:rStyle w:val="cit-fpage"/>
          <w:rFonts w:cs="Times New Roman"/>
          <w:iCs/>
          <w:szCs w:val="24"/>
        </w:rPr>
        <w:t>95</w:t>
      </w:r>
      <w:r w:rsidRPr="0027400A">
        <w:rPr>
          <w:rStyle w:val="HTMLCite"/>
          <w:rFonts w:cs="Times New Roman"/>
          <w:szCs w:val="24"/>
        </w:rPr>
        <w:t>-</w:t>
      </w:r>
      <w:r w:rsidRPr="0027400A">
        <w:rPr>
          <w:rStyle w:val="cit-lpage"/>
          <w:rFonts w:cs="Times New Roman"/>
          <w:szCs w:val="24"/>
        </w:rPr>
        <w:t>160</w:t>
      </w:r>
      <w:r w:rsidRPr="0027400A">
        <w:rPr>
          <w:rStyle w:val="HTMLCite"/>
          <w:rFonts w:cs="Times New Roman"/>
          <w:szCs w:val="24"/>
        </w:rPr>
        <w:t>.</w:t>
      </w:r>
    </w:p>
    <w:p w:rsidR="000E3C4B" w:rsidRPr="0027400A" w:rsidRDefault="000E3C4B" w:rsidP="000E3C4B">
      <w:pPr>
        <w:ind w:hanging="720"/>
        <w:rPr>
          <w:rStyle w:val="HTMLCite"/>
          <w:rFonts w:cs="Times New Roman"/>
          <w:szCs w:val="24"/>
        </w:rPr>
      </w:pPr>
    </w:p>
    <w:p w:rsidR="000E3C4B" w:rsidRPr="0027400A" w:rsidRDefault="0071145E" w:rsidP="000E3C4B">
      <w:pPr>
        <w:ind w:hanging="720"/>
        <w:rPr>
          <w:rStyle w:val="HTMLCite"/>
          <w:rFonts w:cs="Times New Roman"/>
          <w:i w:val="0"/>
          <w:szCs w:val="24"/>
        </w:rPr>
      </w:pPr>
      <w:r w:rsidRPr="0027400A">
        <w:rPr>
          <w:rStyle w:val="HTMLCite"/>
          <w:rFonts w:cs="Times New Roman"/>
          <w:i w:val="0"/>
          <w:szCs w:val="24"/>
        </w:rPr>
        <w:t>Garcia, Ruben J. 2007</w:t>
      </w:r>
      <w:r w:rsidR="000E3C4B" w:rsidRPr="0027400A">
        <w:rPr>
          <w:rStyle w:val="HTMLCite"/>
          <w:rFonts w:cs="Times New Roman"/>
          <w:i w:val="0"/>
          <w:szCs w:val="24"/>
        </w:rPr>
        <w:t>.</w:t>
      </w:r>
      <w:r w:rsidR="000E3C4B" w:rsidRPr="0027400A">
        <w:rPr>
          <w:rStyle w:val="HTMLCite"/>
          <w:rFonts w:cs="Times New Roman"/>
          <w:szCs w:val="24"/>
        </w:rPr>
        <w:t xml:space="preserve"> </w:t>
      </w:r>
      <w:proofErr w:type="gramStart"/>
      <w:r w:rsidR="000E3C4B" w:rsidRPr="005F66E3">
        <w:rPr>
          <w:rStyle w:val="HTMLCite"/>
          <w:rFonts w:cs="Times New Roman"/>
          <w:i w:val="0"/>
          <w:szCs w:val="24"/>
        </w:rPr>
        <w:t>“A Democratic Theory of Amic</w:t>
      </w:r>
      <w:r w:rsidRPr="005F66E3">
        <w:rPr>
          <w:rStyle w:val="HTMLCite"/>
          <w:rFonts w:cs="Times New Roman"/>
          <w:i w:val="0"/>
          <w:szCs w:val="24"/>
        </w:rPr>
        <w:t>us Advocacy.”</w:t>
      </w:r>
      <w:proofErr w:type="gramEnd"/>
      <w:r w:rsidRPr="0027400A">
        <w:rPr>
          <w:rStyle w:val="HTMLCite"/>
          <w:rFonts w:cs="Times New Roman"/>
          <w:szCs w:val="24"/>
        </w:rPr>
        <w:t xml:space="preserve"> </w:t>
      </w:r>
      <w:r w:rsidR="005F66E3">
        <w:rPr>
          <w:rStyle w:val="HTMLCite"/>
          <w:rFonts w:cs="Times New Roman"/>
          <w:szCs w:val="24"/>
        </w:rPr>
        <w:t>Florida State University Law Review</w:t>
      </w:r>
      <w:r w:rsidR="000E3C4B" w:rsidRPr="0027400A">
        <w:rPr>
          <w:rStyle w:val="HTMLCite"/>
          <w:rFonts w:cs="Times New Roman"/>
          <w:szCs w:val="24"/>
        </w:rPr>
        <w:t xml:space="preserve"> </w:t>
      </w:r>
      <w:r w:rsidR="001E3A7D" w:rsidRPr="0027400A">
        <w:rPr>
          <w:rStyle w:val="HTMLCite"/>
          <w:rFonts w:cs="Times New Roman"/>
          <w:i w:val="0"/>
          <w:szCs w:val="24"/>
        </w:rPr>
        <w:t>35:</w:t>
      </w:r>
      <w:r w:rsidRPr="0027400A">
        <w:rPr>
          <w:rStyle w:val="HTMLCite"/>
          <w:rFonts w:cs="Times New Roman"/>
          <w:i w:val="0"/>
          <w:szCs w:val="24"/>
        </w:rPr>
        <w:t xml:space="preserve"> </w:t>
      </w:r>
      <w:r w:rsidR="000E3C4B" w:rsidRPr="0027400A">
        <w:rPr>
          <w:rStyle w:val="HTMLCite"/>
          <w:rFonts w:cs="Times New Roman"/>
          <w:i w:val="0"/>
          <w:szCs w:val="24"/>
        </w:rPr>
        <w:t>315</w:t>
      </w:r>
      <w:r w:rsidR="000E3C4B" w:rsidRPr="0027400A">
        <w:rPr>
          <w:rStyle w:val="HTMLCite"/>
          <w:rFonts w:cs="Times New Roman"/>
          <w:szCs w:val="24"/>
        </w:rPr>
        <w:t>.</w:t>
      </w:r>
    </w:p>
    <w:p w:rsidR="000E3C4B" w:rsidRPr="0027400A" w:rsidRDefault="000E3C4B" w:rsidP="000E3C4B">
      <w:pPr>
        <w:ind w:hanging="720"/>
        <w:rPr>
          <w:rFonts w:cs="Times New Roman"/>
          <w:color w:val="548DD4" w:themeColor="text2" w:themeTint="99"/>
          <w:szCs w:val="24"/>
        </w:rPr>
      </w:pPr>
    </w:p>
    <w:p w:rsidR="000E3C4B" w:rsidRPr="0027400A" w:rsidRDefault="001E3A7D" w:rsidP="000E3C4B">
      <w:pPr>
        <w:ind w:hanging="720"/>
        <w:rPr>
          <w:rFonts w:cs="Times New Roman"/>
          <w:szCs w:val="24"/>
        </w:rPr>
      </w:pPr>
      <w:r w:rsidRPr="0027400A">
        <w:rPr>
          <w:rFonts w:cs="Times New Roman"/>
          <w:szCs w:val="24"/>
        </w:rPr>
        <w:t xml:space="preserve">Gibson, James L. 1997. United States Supreme Court Judicial Data Base—Phase II. </w:t>
      </w:r>
      <w:proofErr w:type="gramStart"/>
      <w:r w:rsidRPr="0027400A">
        <w:rPr>
          <w:rFonts w:cs="Times New Roman"/>
          <w:i/>
          <w:iCs/>
          <w:szCs w:val="24"/>
        </w:rPr>
        <w:t>University of Houston</w:t>
      </w:r>
      <w:r w:rsidRPr="0027400A">
        <w:rPr>
          <w:rFonts w:cs="Times New Roman"/>
          <w:szCs w:val="24"/>
        </w:rPr>
        <w:t>.</w:t>
      </w:r>
      <w:proofErr w:type="gramEnd"/>
    </w:p>
    <w:p w:rsidR="001E3A7D" w:rsidRPr="0027400A" w:rsidRDefault="001E3A7D" w:rsidP="000E3C4B">
      <w:pPr>
        <w:ind w:hanging="720"/>
        <w:rPr>
          <w:rFonts w:cs="Times New Roman"/>
          <w:color w:val="548DD4" w:themeColor="text2" w:themeTint="99"/>
          <w:szCs w:val="24"/>
        </w:rPr>
      </w:pPr>
    </w:p>
    <w:p w:rsidR="000E3C4B" w:rsidRPr="0027400A" w:rsidRDefault="001E3A7D" w:rsidP="000E3C4B">
      <w:pPr>
        <w:ind w:hanging="720"/>
        <w:rPr>
          <w:rFonts w:cs="Times New Roman"/>
          <w:szCs w:val="24"/>
        </w:rPr>
      </w:pPr>
      <w:r w:rsidRPr="0027400A">
        <w:rPr>
          <w:rFonts w:cs="Times New Roman"/>
          <w:szCs w:val="24"/>
        </w:rPr>
        <w:t xml:space="preserve">Giles, </w:t>
      </w:r>
      <w:proofErr w:type="spellStart"/>
      <w:r w:rsidRPr="0027400A">
        <w:rPr>
          <w:rFonts w:cs="Times New Roman"/>
          <w:szCs w:val="24"/>
        </w:rPr>
        <w:t>Micheal</w:t>
      </w:r>
      <w:proofErr w:type="spellEnd"/>
      <w:r w:rsidRPr="0027400A">
        <w:rPr>
          <w:rFonts w:cs="Times New Roman"/>
          <w:szCs w:val="24"/>
        </w:rPr>
        <w:t xml:space="preserve"> W., Bethany Blackstone, and Richard L. Vining Jr. 2008. "The Supreme Court in American democracy: Unraveling the linkages between public opinion and judicial decision making." </w:t>
      </w:r>
      <w:r w:rsidRPr="0027400A">
        <w:rPr>
          <w:rFonts w:cs="Times New Roman"/>
          <w:i/>
          <w:iCs/>
          <w:szCs w:val="24"/>
        </w:rPr>
        <w:t>Journal of Politics</w:t>
      </w:r>
      <w:r w:rsidRPr="0027400A">
        <w:rPr>
          <w:rFonts w:cs="Times New Roman"/>
          <w:szCs w:val="24"/>
        </w:rPr>
        <w:t xml:space="preserve"> 70(2): 293-306.</w:t>
      </w:r>
    </w:p>
    <w:p w:rsidR="001E3A7D" w:rsidRPr="0027400A" w:rsidRDefault="001E3A7D" w:rsidP="000E3C4B">
      <w:pPr>
        <w:ind w:hanging="720"/>
        <w:rPr>
          <w:rFonts w:cs="Times New Roman"/>
          <w:color w:val="548DD4" w:themeColor="text2" w:themeTint="99"/>
          <w:szCs w:val="24"/>
        </w:rPr>
      </w:pPr>
    </w:p>
    <w:p w:rsidR="00327DFA" w:rsidRDefault="005F66E3" w:rsidP="000E3C4B">
      <w:pPr>
        <w:ind w:hanging="720"/>
        <w:rPr>
          <w:rFonts w:cs="Times New Roman"/>
          <w:szCs w:val="24"/>
        </w:rPr>
      </w:pPr>
      <w:r>
        <w:rPr>
          <w:rFonts w:cs="Times New Roman"/>
          <w:szCs w:val="24"/>
        </w:rPr>
        <w:t xml:space="preserve">Giles, Michael W., </w:t>
      </w:r>
      <w:proofErr w:type="spellStart"/>
      <w:r>
        <w:rPr>
          <w:rFonts w:cs="Times New Roman"/>
          <w:szCs w:val="24"/>
        </w:rPr>
        <w:t>and</w:t>
      </w:r>
      <w:r w:rsidR="001E3A7D" w:rsidRPr="0027400A">
        <w:rPr>
          <w:rFonts w:cs="Times New Roman"/>
          <w:szCs w:val="24"/>
        </w:rPr>
        <w:t>Christopher</w:t>
      </w:r>
      <w:proofErr w:type="spellEnd"/>
      <w:r>
        <w:rPr>
          <w:rFonts w:cs="Times New Roman"/>
          <w:szCs w:val="24"/>
        </w:rPr>
        <w:t xml:space="preserve"> Zorn</w:t>
      </w:r>
      <w:r w:rsidR="001E3A7D" w:rsidRPr="0027400A">
        <w:rPr>
          <w:rFonts w:cs="Times New Roman"/>
          <w:szCs w:val="24"/>
        </w:rPr>
        <w:t xml:space="preserve">. 2000. </w:t>
      </w:r>
      <w:r>
        <w:rPr>
          <w:rFonts w:cs="Times New Roman"/>
          <w:szCs w:val="24"/>
        </w:rPr>
        <w:t>“</w:t>
      </w:r>
      <w:r w:rsidR="001E3A7D" w:rsidRPr="0027400A">
        <w:rPr>
          <w:rFonts w:cs="Times New Roman"/>
          <w:szCs w:val="24"/>
        </w:rPr>
        <w:t>Gibson versus case-based approaches: Concurring in part, dissenting in part.</w:t>
      </w:r>
      <w:r>
        <w:rPr>
          <w:rFonts w:cs="Times New Roman"/>
          <w:szCs w:val="24"/>
        </w:rPr>
        <w:t>”</w:t>
      </w:r>
      <w:r w:rsidR="001E3A7D" w:rsidRPr="0027400A">
        <w:rPr>
          <w:rFonts w:cs="Times New Roman"/>
          <w:szCs w:val="24"/>
        </w:rPr>
        <w:t xml:space="preserve"> </w:t>
      </w:r>
      <w:r w:rsidR="001E3A7D" w:rsidRPr="0027400A">
        <w:rPr>
          <w:rFonts w:cs="Times New Roman"/>
          <w:i/>
          <w:iCs/>
          <w:szCs w:val="24"/>
        </w:rPr>
        <w:t>Law and Courts</w:t>
      </w:r>
      <w:r w:rsidR="001E3A7D" w:rsidRPr="0027400A">
        <w:rPr>
          <w:rFonts w:cs="Times New Roman"/>
          <w:szCs w:val="24"/>
        </w:rPr>
        <w:t xml:space="preserve"> </w:t>
      </w:r>
      <w:r w:rsidR="001E3A7D" w:rsidRPr="005F66E3">
        <w:rPr>
          <w:rFonts w:cs="Times New Roman"/>
          <w:iCs/>
          <w:szCs w:val="24"/>
        </w:rPr>
        <w:t>10</w:t>
      </w:r>
      <w:r>
        <w:rPr>
          <w:rFonts w:cs="Times New Roman"/>
          <w:szCs w:val="24"/>
        </w:rPr>
        <w:t>(2):</w:t>
      </w:r>
      <w:r w:rsidR="001E3A7D" w:rsidRPr="0027400A">
        <w:rPr>
          <w:rFonts w:cs="Times New Roman"/>
          <w:szCs w:val="24"/>
        </w:rPr>
        <w:t xml:space="preserve"> 10-16.</w:t>
      </w:r>
    </w:p>
    <w:p w:rsidR="00DA1CBB" w:rsidRDefault="00DA1CBB" w:rsidP="000E3C4B">
      <w:pPr>
        <w:ind w:hanging="720"/>
        <w:rPr>
          <w:rFonts w:cs="Times New Roman"/>
          <w:szCs w:val="24"/>
        </w:rPr>
      </w:pPr>
    </w:p>
    <w:p w:rsidR="00DA1CBB" w:rsidRDefault="00DA1CBB" w:rsidP="000E3C4B">
      <w:pPr>
        <w:ind w:hanging="720"/>
        <w:rPr>
          <w:rFonts w:cs="Times New Roman"/>
          <w:szCs w:val="24"/>
        </w:rPr>
      </w:pPr>
      <w:r>
        <w:rPr>
          <w:rFonts w:cs="Times New Roman"/>
          <w:szCs w:val="24"/>
        </w:rPr>
        <w:t xml:space="preserve">Greenblatt, Alan. July 9, 2012. </w:t>
      </w:r>
      <w:proofErr w:type="gramStart"/>
      <w:r>
        <w:rPr>
          <w:rFonts w:cs="Times New Roman"/>
          <w:szCs w:val="24"/>
        </w:rPr>
        <w:t>“Court Gives States Ammunition in Health Care Battle.”</w:t>
      </w:r>
      <w:proofErr w:type="gramEnd"/>
      <w:r>
        <w:rPr>
          <w:rFonts w:cs="Times New Roman"/>
          <w:szCs w:val="24"/>
        </w:rPr>
        <w:t xml:space="preserve">  </w:t>
      </w:r>
      <w:proofErr w:type="gramStart"/>
      <w:r>
        <w:rPr>
          <w:rFonts w:cs="Times New Roman"/>
          <w:szCs w:val="24"/>
        </w:rPr>
        <w:t xml:space="preserve">Accessed at </w:t>
      </w:r>
      <w:hyperlink r:id="rId31" w:history="1">
        <w:r w:rsidRPr="00F015F3">
          <w:rPr>
            <w:rStyle w:val="Hyperlink"/>
            <w:rFonts w:cs="Times New Roman"/>
            <w:szCs w:val="24"/>
          </w:rPr>
          <w:t>http://www.npr.org/2012/07/08/156466010/congress-big-stick-just-got-a-little-shorter</w:t>
        </w:r>
      </w:hyperlink>
      <w:r>
        <w:rPr>
          <w:rFonts w:cs="Times New Roman"/>
          <w:szCs w:val="24"/>
        </w:rPr>
        <w:t>.</w:t>
      </w:r>
      <w:proofErr w:type="gramEnd"/>
    </w:p>
    <w:p w:rsidR="001E3A7D" w:rsidRPr="0027400A" w:rsidRDefault="001E3A7D" w:rsidP="000E3C4B">
      <w:pPr>
        <w:ind w:hanging="720"/>
        <w:rPr>
          <w:rFonts w:cs="Times New Roman"/>
          <w:color w:val="FF0000"/>
          <w:szCs w:val="24"/>
        </w:rPr>
      </w:pPr>
    </w:p>
    <w:p w:rsidR="00DA1CBB" w:rsidRDefault="00327DFA" w:rsidP="00DA1CBB">
      <w:pPr>
        <w:ind w:hanging="720"/>
        <w:rPr>
          <w:rFonts w:cs="Times New Roman"/>
          <w:szCs w:val="24"/>
        </w:rPr>
      </w:pPr>
      <w:r w:rsidRPr="0027400A">
        <w:rPr>
          <w:rFonts w:cs="Times New Roman"/>
          <w:szCs w:val="24"/>
        </w:rPr>
        <w:lastRenderedPageBreak/>
        <w:t>Greenhouse, Linda. 2013</w:t>
      </w:r>
      <w:r w:rsidR="001E3A7D" w:rsidRPr="0027400A">
        <w:rPr>
          <w:rFonts w:cs="Times New Roman"/>
          <w:szCs w:val="24"/>
        </w:rPr>
        <w:t xml:space="preserve">. June 29, 2013. “The Real John Roberts Emerges.” </w:t>
      </w:r>
      <w:r w:rsidR="001E3A7D" w:rsidRPr="0027400A">
        <w:rPr>
          <w:rFonts w:cs="Times New Roman"/>
          <w:i/>
          <w:szCs w:val="24"/>
        </w:rPr>
        <w:t xml:space="preserve">The New York Times: Opinion Pages. </w:t>
      </w:r>
      <w:proofErr w:type="gramStart"/>
      <w:r w:rsidR="001E3A7D" w:rsidRPr="0027400A">
        <w:rPr>
          <w:rFonts w:cs="Times New Roman"/>
          <w:szCs w:val="24"/>
        </w:rPr>
        <w:t xml:space="preserve">Accessed at </w:t>
      </w:r>
      <w:hyperlink r:id="rId32" w:history="1">
        <w:r w:rsidR="001E3A7D" w:rsidRPr="0027400A">
          <w:rPr>
            <w:rStyle w:val="Hyperlink"/>
            <w:rFonts w:cs="Times New Roman"/>
            <w:color w:val="auto"/>
            <w:szCs w:val="24"/>
          </w:rPr>
          <w:t>http://opinionator.blogs.nytimes.com/2013/06/29/the-real-john-roberts-emerges/</w:t>
        </w:r>
      </w:hyperlink>
      <w:r w:rsidR="001E3A7D" w:rsidRPr="0027400A">
        <w:rPr>
          <w:rFonts w:cs="Times New Roman"/>
          <w:szCs w:val="24"/>
        </w:rPr>
        <w:t>.</w:t>
      </w:r>
      <w:proofErr w:type="gramEnd"/>
    </w:p>
    <w:p w:rsidR="00A70CE1" w:rsidRDefault="00A70CE1" w:rsidP="00DA1CBB">
      <w:pPr>
        <w:ind w:hanging="720"/>
        <w:rPr>
          <w:rFonts w:cs="Times New Roman"/>
          <w:szCs w:val="24"/>
        </w:rPr>
      </w:pPr>
    </w:p>
    <w:p w:rsidR="00A70CE1" w:rsidRDefault="00A70CE1" w:rsidP="00DA1CBB">
      <w:pPr>
        <w:ind w:hanging="720"/>
        <w:rPr>
          <w:color w:val="000000"/>
          <w:szCs w:val="24"/>
        </w:rPr>
      </w:pPr>
      <w:proofErr w:type="spellStart"/>
      <w:r w:rsidRPr="00A70CE1">
        <w:rPr>
          <w:color w:val="000000"/>
          <w:szCs w:val="24"/>
        </w:rPr>
        <w:t>Hagle</w:t>
      </w:r>
      <w:proofErr w:type="spellEnd"/>
      <w:r w:rsidRPr="00A70CE1">
        <w:rPr>
          <w:color w:val="000000"/>
          <w:szCs w:val="24"/>
        </w:rPr>
        <w:t xml:space="preserve">, Timothy. 1993. “Freshman Effects for Supreme Court Justices,” </w:t>
      </w:r>
      <w:r w:rsidRPr="00A70CE1">
        <w:rPr>
          <w:i/>
          <w:color w:val="000000"/>
          <w:szCs w:val="24"/>
        </w:rPr>
        <w:t xml:space="preserve">American Journal of Political Science </w:t>
      </w:r>
      <w:r w:rsidRPr="00A70CE1">
        <w:rPr>
          <w:color w:val="000000"/>
          <w:szCs w:val="24"/>
        </w:rPr>
        <w:t>37: 1142-1157.</w:t>
      </w:r>
    </w:p>
    <w:p w:rsidR="006C472D" w:rsidRDefault="006C472D" w:rsidP="006C472D">
      <w:pPr>
        <w:ind w:left="0" w:firstLine="0"/>
        <w:rPr>
          <w:color w:val="000000"/>
          <w:szCs w:val="24"/>
        </w:rPr>
      </w:pPr>
    </w:p>
    <w:p w:rsidR="006C472D" w:rsidRPr="006C472D" w:rsidRDefault="006C472D" w:rsidP="00DA1CBB">
      <w:pPr>
        <w:ind w:hanging="720"/>
        <w:rPr>
          <w:rFonts w:cs="Times New Roman"/>
          <w:szCs w:val="24"/>
        </w:rPr>
      </w:pPr>
      <w:proofErr w:type="spellStart"/>
      <w:proofErr w:type="gramStart"/>
      <w:r>
        <w:rPr>
          <w:color w:val="000000"/>
          <w:szCs w:val="24"/>
        </w:rPr>
        <w:t>Hagle</w:t>
      </w:r>
      <w:proofErr w:type="spellEnd"/>
      <w:r>
        <w:rPr>
          <w:color w:val="000000"/>
          <w:szCs w:val="24"/>
        </w:rPr>
        <w:t xml:space="preserve">, Timothy M., and Harold J. </w:t>
      </w:r>
      <w:proofErr w:type="spellStart"/>
      <w:r>
        <w:rPr>
          <w:color w:val="000000"/>
          <w:szCs w:val="24"/>
        </w:rPr>
        <w:t>Spaeth</w:t>
      </w:r>
      <w:proofErr w:type="spellEnd"/>
      <w:r>
        <w:rPr>
          <w:color w:val="000000"/>
          <w:szCs w:val="24"/>
        </w:rPr>
        <w:t>.</w:t>
      </w:r>
      <w:proofErr w:type="gramEnd"/>
      <w:r>
        <w:rPr>
          <w:color w:val="000000"/>
          <w:szCs w:val="24"/>
        </w:rPr>
        <w:t xml:space="preserve"> 1991. “Voting Fluidity and the Attitudinal Model of Supreme Court Decision Making.” </w:t>
      </w:r>
      <w:r>
        <w:rPr>
          <w:i/>
          <w:color w:val="000000"/>
          <w:szCs w:val="24"/>
        </w:rPr>
        <w:t xml:space="preserve">Western Political Quarterly </w:t>
      </w:r>
      <w:r>
        <w:rPr>
          <w:color w:val="000000"/>
          <w:szCs w:val="24"/>
        </w:rPr>
        <w:t>44(1): 119-128.</w:t>
      </w:r>
    </w:p>
    <w:p w:rsidR="000E3C4B" w:rsidRPr="0027400A" w:rsidRDefault="000E3C4B" w:rsidP="000E3C4B">
      <w:pPr>
        <w:ind w:left="0" w:firstLine="0"/>
        <w:rPr>
          <w:rFonts w:cs="Times New Roman"/>
          <w:color w:val="548DD4" w:themeColor="text2" w:themeTint="99"/>
          <w:szCs w:val="24"/>
        </w:rPr>
      </w:pPr>
    </w:p>
    <w:p w:rsidR="000E3C4B" w:rsidRPr="0027400A" w:rsidRDefault="000E3C4B" w:rsidP="000E3C4B">
      <w:pPr>
        <w:ind w:hanging="720"/>
        <w:rPr>
          <w:rFonts w:eastAsia="Times New Roman" w:cs="Times New Roman"/>
          <w:szCs w:val="24"/>
        </w:rPr>
      </w:pPr>
      <w:proofErr w:type="spellStart"/>
      <w:r w:rsidRPr="0027400A">
        <w:rPr>
          <w:rFonts w:eastAsia="Times New Roman" w:cs="Times New Roman"/>
          <w:szCs w:val="24"/>
        </w:rPr>
        <w:t>Hakman</w:t>
      </w:r>
      <w:proofErr w:type="spellEnd"/>
      <w:r w:rsidRPr="0027400A">
        <w:rPr>
          <w:rFonts w:eastAsia="Times New Roman" w:cs="Times New Roman"/>
          <w:szCs w:val="24"/>
        </w:rPr>
        <w:t xml:space="preserve">, Nathan. 1966. “Lobbying the Supreme Court--An Appraisal of Political Science Folklore.” </w:t>
      </w:r>
      <w:r w:rsidRPr="0027400A">
        <w:rPr>
          <w:rFonts w:eastAsia="Times New Roman" w:cs="Times New Roman"/>
          <w:i/>
          <w:iCs/>
          <w:szCs w:val="24"/>
        </w:rPr>
        <w:t>Fordha</w:t>
      </w:r>
      <w:r w:rsidR="005F66E3">
        <w:rPr>
          <w:rFonts w:eastAsia="Times New Roman" w:cs="Times New Roman"/>
          <w:i/>
          <w:iCs/>
          <w:szCs w:val="24"/>
        </w:rPr>
        <w:t>m Law Review</w:t>
      </w:r>
      <w:r w:rsidRPr="005F66E3">
        <w:rPr>
          <w:rFonts w:eastAsia="Times New Roman" w:cs="Times New Roman"/>
          <w:szCs w:val="24"/>
        </w:rPr>
        <w:t xml:space="preserve"> </w:t>
      </w:r>
      <w:r w:rsidRPr="005F66E3">
        <w:rPr>
          <w:rFonts w:eastAsia="Times New Roman" w:cs="Times New Roman"/>
          <w:iCs/>
          <w:szCs w:val="24"/>
        </w:rPr>
        <w:t>35</w:t>
      </w:r>
      <w:r w:rsidR="005F66E3">
        <w:rPr>
          <w:rFonts w:eastAsia="Times New Roman" w:cs="Times New Roman"/>
          <w:szCs w:val="24"/>
        </w:rPr>
        <w:t xml:space="preserve">: </w:t>
      </w:r>
      <w:r w:rsidRPr="0027400A">
        <w:rPr>
          <w:rFonts w:eastAsia="Times New Roman" w:cs="Times New Roman"/>
          <w:szCs w:val="24"/>
        </w:rPr>
        <w:t>15.</w:t>
      </w:r>
    </w:p>
    <w:p w:rsidR="000E3C4B" w:rsidRPr="0027400A" w:rsidRDefault="000E3C4B" w:rsidP="000E3C4B">
      <w:pPr>
        <w:ind w:hanging="720"/>
        <w:rPr>
          <w:rFonts w:eastAsia="Times New Roman" w:cs="Times New Roman"/>
          <w:szCs w:val="24"/>
        </w:rPr>
      </w:pPr>
    </w:p>
    <w:p w:rsidR="000E3C4B" w:rsidRPr="0027400A" w:rsidRDefault="000E3C4B" w:rsidP="000E3C4B">
      <w:pPr>
        <w:pStyle w:val="EndnoteText"/>
        <w:tabs>
          <w:tab w:val="left" w:pos="90"/>
          <w:tab w:val="left" w:pos="720"/>
        </w:tabs>
        <w:ind w:left="630" w:hanging="630"/>
        <w:rPr>
          <w:rFonts w:cs="Times New Roman"/>
          <w:sz w:val="24"/>
          <w:szCs w:val="24"/>
        </w:rPr>
      </w:pPr>
      <w:proofErr w:type="gramStart"/>
      <w:r w:rsidRPr="0027400A">
        <w:rPr>
          <w:rFonts w:cs="Times New Roman"/>
          <w:sz w:val="24"/>
          <w:szCs w:val="24"/>
        </w:rPr>
        <w:t>Hamilton, Alexander, James Madison, and John Jay.</w:t>
      </w:r>
      <w:proofErr w:type="gramEnd"/>
      <w:r w:rsidRPr="0027400A">
        <w:rPr>
          <w:rFonts w:cs="Times New Roman"/>
          <w:sz w:val="24"/>
          <w:szCs w:val="24"/>
        </w:rPr>
        <w:t xml:space="preserve"> </w:t>
      </w:r>
      <w:proofErr w:type="gramStart"/>
      <w:r w:rsidRPr="0027400A">
        <w:rPr>
          <w:rFonts w:cs="Times New Roman"/>
          <w:sz w:val="24"/>
          <w:szCs w:val="24"/>
        </w:rPr>
        <w:t>2003 (1788).</w:t>
      </w:r>
      <w:proofErr w:type="gramEnd"/>
      <w:r w:rsidRPr="0027400A">
        <w:rPr>
          <w:rFonts w:cs="Times New Roman"/>
          <w:sz w:val="24"/>
          <w:szCs w:val="24"/>
        </w:rPr>
        <w:t xml:space="preserve"> </w:t>
      </w:r>
      <w:proofErr w:type="gramStart"/>
      <w:r w:rsidRPr="0027400A">
        <w:rPr>
          <w:rFonts w:cs="Times New Roman"/>
          <w:sz w:val="24"/>
          <w:szCs w:val="24"/>
        </w:rPr>
        <w:t>in</w:t>
      </w:r>
      <w:proofErr w:type="gramEnd"/>
      <w:r w:rsidRPr="0027400A">
        <w:rPr>
          <w:rFonts w:cs="Times New Roman"/>
          <w:sz w:val="24"/>
          <w:szCs w:val="24"/>
        </w:rPr>
        <w:t xml:space="preserve"> Terence Ball (ed.). </w:t>
      </w:r>
      <w:r w:rsidRPr="0027400A">
        <w:rPr>
          <w:rFonts w:cs="Times New Roman"/>
          <w:i/>
          <w:sz w:val="24"/>
          <w:szCs w:val="24"/>
        </w:rPr>
        <w:t xml:space="preserve"> </w:t>
      </w:r>
      <w:proofErr w:type="gramStart"/>
      <w:r w:rsidRPr="0027400A">
        <w:rPr>
          <w:rFonts w:cs="Times New Roman"/>
          <w:i/>
          <w:sz w:val="24"/>
          <w:szCs w:val="24"/>
        </w:rPr>
        <w:t>The Federalist with Letters of “Brutus.”</w:t>
      </w:r>
      <w:proofErr w:type="gramEnd"/>
      <w:r w:rsidRPr="0027400A">
        <w:rPr>
          <w:rFonts w:cs="Times New Roman"/>
          <w:sz w:val="24"/>
          <w:szCs w:val="24"/>
        </w:rPr>
        <w:t xml:space="preserve"> Cambridge: Cambridge University Press.</w:t>
      </w:r>
    </w:p>
    <w:p w:rsidR="000E3C4B" w:rsidRPr="0027400A" w:rsidRDefault="000E3C4B" w:rsidP="000E3C4B">
      <w:pPr>
        <w:ind w:left="0" w:firstLine="0"/>
        <w:rPr>
          <w:rFonts w:cs="Times New Roman"/>
          <w:color w:val="548DD4" w:themeColor="text2" w:themeTint="99"/>
          <w:szCs w:val="24"/>
        </w:rPr>
      </w:pPr>
    </w:p>
    <w:p w:rsidR="000E3C4B" w:rsidRPr="0027400A" w:rsidRDefault="000E3C4B" w:rsidP="000E3C4B">
      <w:pPr>
        <w:ind w:hanging="720"/>
        <w:rPr>
          <w:rFonts w:cs="Times New Roman"/>
          <w:szCs w:val="24"/>
        </w:rPr>
      </w:pPr>
      <w:r w:rsidRPr="0027400A">
        <w:rPr>
          <w:rFonts w:cs="Times New Roman"/>
          <w:szCs w:val="24"/>
        </w:rPr>
        <w:t xml:space="preserve">Hansford, Thomas G. 2004a. </w:t>
      </w:r>
      <w:proofErr w:type="gramStart"/>
      <w:r w:rsidRPr="0027400A">
        <w:rPr>
          <w:rFonts w:cs="Times New Roman"/>
          <w:szCs w:val="24"/>
        </w:rPr>
        <w:t>“Information Provision, Organizational Constraints, and the Decision to Submit an Amicus Curiae Brief in a U.S. Supreme Court Case.”</w:t>
      </w:r>
      <w:proofErr w:type="gramEnd"/>
      <w:r w:rsidRPr="0027400A">
        <w:rPr>
          <w:rFonts w:cs="Times New Roman"/>
          <w:i/>
          <w:szCs w:val="24"/>
        </w:rPr>
        <w:t xml:space="preserve"> Political Research Quarterly</w:t>
      </w:r>
      <w:r w:rsidRPr="0027400A">
        <w:rPr>
          <w:rFonts w:cs="Times New Roman"/>
          <w:szCs w:val="24"/>
        </w:rPr>
        <w:t xml:space="preserve"> 57(2): 219-230.</w:t>
      </w:r>
    </w:p>
    <w:p w:rsidR="000E3C4B" w:rsidRPr="0027400A" w:rsidRDefault="000E3C4B" w:rsidP="000E3C4B">
      <w:pPr>
        <w:ind w:hanging="720"/>
        <w:rPr>
          <w:rFonts w:cs="Times New Roman"/>
          <w:szCs w:val="24"/>
        </w:rPr>
      </w:pPr>
    </w:p>
    <w:p w:rsidR="000E3C4B" w:rsidRPr="0027400A" w:rsidRDefault="000E3C4B" w:rsidP="000E3C4B">
      <w:pPr>
        <w:pStyle w:val="ListBullet"/>
        <w:ind w:left="720" w:hanging="720"/>
      </w:pPr>
      <w:r w:rsidRPr="0027400A">
        <w:t xml:space="preserve">Hansford, Thomas G. 2004b. “Lobbying Strategies, Venue Selection, and Organized Interest Involvement at the U.S. Supreme Court.” </w:t>
      </w:r>
      <w:r w:rsidRPr="0027400A">
        <w:rPr>
          <w:i/>
        </w:rPr>
        <w:t>American Politics Research</w:t>
      </w:r>
      <w:r w:rsidRPr="0027400A">
        <w:t xml:space="preserve"> 32: 170-197.</w:t>
      </w:r>
    </w:p>
    <w:p w:rsidR="000E3C4B" w:rsidRPr="0027400A" w:rsidRDefault="000E3C4B" w:rsidP="000E3C4B">
      <w:pPr>
        <w:pStyle w:val="ListBullet"/>
        <w:rPr>
          <w:color w:val="548DD4" w:themeColor="text2" w:themeTint="99"/>
        </w:rPr>
      </w:pPr>
    </w:p>
    <w:p w:rsidR="00E63A5F" w:rsidRPr="00E63A5F" w:rsidRDefault="00E63A5F" w:rsidP="00E63A5F">
      <w:pPr>
        <w:tabs>
          <w:tab w:val="left" w:pos="720"/>
        </w:tabs>
        <w:ind w:hanging="720"/>
        <w:rPr>
          <w:rFonts w:eastAsia="Times New Roman" w:cs="Times New Roman"/>
          <w:szCs w:val="24"/>
        </w:rPr>
      </w:pPr>
      <w:proofErr w:type="gramStart"/>
      <w:r w:rsidRPr="00E63A5F">
        <w:rPr>
          <w:rFonts w:eastAsia="Times New Roman" w:cs="Times New Roman"/>
          <w:szCs w:val="24"/>
        </w:rPr>
        <w:t xml:space="preserve">Harper, Fowler V., and Edwin D. </w:t>
      </w:r>
      <w:proofErr w:type="spellStart"/>
      <w:r w:rsidRPr="00E63A5F">
        <w:rPr>
          <w:rFonts w:eastAsia="Times New Roman" w:cs="Times New Roman"/>
          <w:szCs w:val="24"/>
        </w:rPr>
        <w:t>Etherington</w:t>
      </w:r>
      <w:proofErr w:type="spellEnd"/>
      <w:r w:rsidRPr="00E63A5F">
        <w:rPr>
          <w:rFonts w:eastAsia="Times New Roman" w:cs="Times New Roman"/>
          <w:szCs w:val="24"/>
        </w:rPr>
        <w:t>.</w:t>
      </w:r>
      <w:proofErr w:type="gramEnd"/>
      <w:r w:rsidRPr="0027400A">
        <w:rPr>
          <w:rFonts w:eastAsia="Times New Roman" w:cs="Times New Roman"/>
          <w:szCs w:val="24"/>
        </w:rPr>
        <w:t xml:space="preserve"> 1952. </w:t>
      </w:r>
      <w:r w:rsidRPr="00E63A5F">
        <w:rPr>
          <w:rFonts w:eastAsia="Times New Roman" w:cs="Times New Roman"/>
          <w:szCs w:val="24"/>
        </w:rPr>
        <w:t xml:space="preserve"> "Lobbyists before the Court." </w:t>
      </w:r>
      <w:r w:rsidR="005F66E3" w:rsidRPr="0027400A">
        <w:rPr>
          <w:rFonts w:cs="Times New Roman"/>
          <w:i/>
          <w:szCs w:val="24"/>
        </w:rPr>
        <w:t>University of Pennsylvania Law Review</w:t>
      </w:r>
      <w:r w:rsidR="005F66E3" w:rsidRPr="0027400A">
        <w:rPr>
          <w:rFonts w:eastAsia="Times New Roman" w:cs="Times New Roman"/>
          <w:szCs w:val="24"/>
        </w:rPr>
        <w:t xml:space="preserve"> </w:t>
      </w:r>
      <w:r w:rsidRPr="0027400A">
        <w:rPr>
          <w:rFonts w:eastAsia="Times New Roman" w:cs="Times New Roman"/>
          <w:szCs w:val="24"/>
        </w:rPr>
        <w:t>101</w:t>
      </w:r>
      <w:r w:rsidRPr="00E63A5F">
        <w:rPr>
          <w:rFonts w:eastAsia="Times New Roman" w:cs="Times New Roman"/>
          <w:szCs w:val="24"/>
        </w:rPr>
        <w:t>: 1172.</w:t>
      </w:r>
    </w:p>
    <w:p w:rsidR="00E63A5F" w:rsidRPr="0027400A" w:rsidRDefault="00E63A5F" w:rsidP="000E3C4B">
      <w:pPr>
        <w:pStyle w:val="ListBullet"/>
        <w:rPr>
          <w:color w:val="548DD4" w:themeColor="text2" w:themeTint="99"/>
        </w:rPr>
      </w:pPr>
    </w:p>
    <w:p w:rsidR="000E3C4B" w:rsidRPr="0027400A" w:rsidRDefault="000E3C4B" w:rsidP="000E3C4B">
      <w:pPr>
        <w:ind w:hanging="720"/>
        <w:rPr>
          <w:rFonts w:eastAsia="Times New Roman" w:cs="Times New Roman"/>
          <w:szCs w:val="24"/>
        </w:rPr>
      </w:pPr>
      <w:r w:rsidRPr="0027400A">
        <w:rPr>
          <w:rFonts w:eastAsia="Times New Roman" w:cs="Times New Roman"/>
          <w:szCs w:val="24"/>
        </w:rPr>
        <w:t xml:space="preserve">Harrington, John. 2005. “Amici Curiae in the Federal Courts of Appeals: How Friendly Are They.” </w:t>
      </w:r>
      <w:r w:rsidR="005F66E3">
        <w:rPr>
          <w:rFonts w:eastAsia="Times New Roman" w:cs="Times New Roman"/>
          <w:i/>
          <w:iCs/>
          <w:szCs w:val="24"/>
        </w:rPr>
        <w:t>Case Western Reserve Law Review</w:t>
      </w:r>
      <w:r w:rsidRPr="0027400A">
        <w:rPr>
          <w:rFonts w:eastAsia="Times New Roman" w:cs="Times New Roman"/>
          <w:szCs w:val="24"/>
        </w:rPr>
        <w:t xml:space="preserve"> </w:t>
      </w:r>
      <w:r w:rsidRPr="005F66E3">
        <w:rPr>
          <w:rFonts w:eastAsia="Times New Roman" w:cs="Times New Roman"/>
          <w:iCs/>
          <w:szCs w:val="24"/>
        </w:rPr>
        <w:t>55</w:t>
      </w:r>
      <w:r w:rsidR="005F66E3">
        <w:rPr>
          <w:rFonts w:eastAsia="Times New Roman" w:cs="Times New Roman"/>
          <w:szCs w:val="24"/>
        </w:rPr>
        <w:t>:</w:t>
      </w:r>
      <w:r w:rsidRPr="0027400A">
        <w:rPr>
          <w:rFonts w:eastAsia="Times New Roman" w:cs="Times New Roman"/>
          <w:szCs w:val="24"/>
        </w:rPr>
        <w:t xml:space="preserve"> 667.</w:t>
      </w:r>
    </w:p>
    <w:p w:rsidR="000E3C4B" w:rsidRPr="0027400A" w:rsidRDefault="000E3C4B" w:rsidP="000E3C4B">
      <w:pPr>
        <w:pStyle w:val="ListBullet"/>
        <w:ind w:left="720" w:hanging="720"/>
        <w:rPr>
          <w:color w:val="548DD4" w:themeColor="text2" w:themeTint="99"/>
        </w:rPr>
      </w:pPr>
    </w:p>
    <w:p w:rsidR="000E3C4B" w:rsidRPr="0027400A" w:rsidRDefault="000E3C4B" w:rsidP="000E3C4B">
      <w:pPr>
        <w:pStyle w:val="ListBullet"/>
        <w:ind w:left="720" w:hanging="720"/>
        <w:rPr>
          <w:rStyle w:val="HTMLCite"/>
        </w:rPr>
      </w:pPr>
      <w:proofErr w:type="spellStart"/>
      <w:r w:rsidRPr="0027400A">
        <w:rPr>
          <w:rStyle w:val="cit-name-surname"/>
          <w:iCs/>
        </w:rPr>
        <w:t>Hedman</w:t>
      </w:r>
      <w:proofErr w:type="spellEnd"/>
      <w:r w:rsidRPr="0027400A">
        <w:rPr>
          <w:rStyle w:val="cit-name-surname"/>
          <w:iCs/>
        </w:rPr>
        <w:t>, Susan</w:t>
      </w:r>
      <w:r w:rsidRPr="0027400A">
        <w:rPr>
          <w:rStyle w:val="HTMLCite"/>
        </w:rPr>
        <w:t xml:space="preserve">. </w:t>
      </w:r>
      <w:r w:rsidRPr="0027400A">
        <w:rPr>
          <w:rStyle w:val="cit-pub-date"/>
          <w:iCs/>
        </w:rPr>
        <w:t>1991</w:t>
      </w:r>
      <w:r w:rsidRPr="0027400A">
        <w:rPr>
          <w:rStyle w:val="HTMLCite"/>
        </w:rPr>
        <w:t xml:space="preserve">. </w:t>
      </w:r>
      <w:r w:rsidRPr="0027400A">
        <w:rPr>
          <w:rStyle w:val="cit-article-title"/>
          <w:iCs/>
        </w:rPr>
        <w:t>Friends of the earth and friends of the Court: Assessing the impact of interest group amici curiae in environmental cases decided by the Supreme Court</w:t>
      </w:r>
      <w:r w:rsidRPr="0027400A">
        <w:rPr>
          <w:rStyle w:val="HTMLCite"/>
        </w:rPr>
        <w:t xml:space="preserve">. Virginia Environmental Law Journal </w:t>
      </w:r>
      <w:r w:rsidRPr="0027400A">
        <w:rPr>
          <w:rStyle w:val="cit-vol"/>
          <w:iCs/>
        </w:rPr>
        <w:t>10</w:t>
      </w:r>
      <w:r w:rsidRPr="0027400A">
        <w:rPr>
          <w:rStyle w:val="HTMLCite"/>
        </w:rPr>
        <w:t xml:space="preserve"> (</w:t>
      </w:r>
      <w:r w:rsidRPr="0027400A">
        <w:rPr>
          <w:rStyle w:val="cit-issue"/>
          <w:iCs/>
        </w:rPr>
        <w:t>2</w:t>
      </w:r>
      <w:r w:rsidRPr="0027400A">
        <w:rPr>
          <w:rStyle w:val="HTMLCite"/>
        </w:rPr>
        <w:t xml:space="preserve">): </w:t>
      </w:r>
      <w:r w:rsidRPr="0027400A">
        <w:rPr>
          <w:rStyle w:val="cit-fpage"/>
          <w:iCs/>
        </w:rPr>
        <w:t>187</w:t>
      </w:r>
      <w:r w:rsidRPr="0027400A">
        <w:rPr>
          <w:rStyle w:val="HTMLCite"/>
        </w:rPr>
        <w:t>-</w:t>
      </w:r>
      <w:r w:rsidRPr="0027400A">
        <w:rPr>
          <w:rStyle w:val="cit-lpage"/>
        </w:rPr>
        <w:t>212</w:t>
      </w:r>
      <w:r w:rsidRPr="0027400A">
        <w:rPr>
          <w:rStyle w:val="HTMLCite"/>
        </w:rPr>
        <w:t>.</w:t>
      </w:r>
    </w:p>
    <w:p w:rsidR="000E3C4B" w:rsidRPr="0027400A" w:rsidRDefault="000E3C4B" w:rsidP="000E3C4B">
      <w:pPr>
        <w:pStyle w:val="ListBullet"/>
        <w:ind w:left="720" w:hanging="720"/>
        <w:rPr>
          <w:color w:val="548DD4" w:themeColor="text2" w:themeTint="99"/>
        </w:rPr>
      </w:pPr>
    </w:p>
    <w:p w:rsidR="000E3C4B" w:rsidRPr="0027400A" w:rsidRDefault="005F66E3" w:rsidP="00DA1CBB">
      <w:pPr>
        <w:ind w:hanging="720"/>
        <w:rPr>
          <w:rFonts w:eastAsia="Times New Roman" w:cs="Times New Roman"/>
          <w:szCs w:val="24"/>
        </w:rPr>
      </w:pPr>
      <w:proofErr w:type="spellStart"/>
      <w:r>
        <w:rPr>
          <w:rFonts w:eastAsia="Times New Roman" w:cs="Times New Roman"/>
          <w:szCs w:val="24"/>
        </w:rPr>
        <w:t>Hojnacki</w:t>
      </w:r>
      <w:proofErr w:type="spellEnd"/>
      <w:r>
        <w:rPr>
          <w:rFonts w:eastAsia="Times New Roman" w:cs="Times New Roman"/>
          <w:szCs w:val="24"/>
        </w:rPr>
        <w:t>, Marie.</w:t>
      </w:r>
      <w:r w:rsidR="000E3C4B" w:rsidRPr="0027400A">
        <w:rPr>
          <w:rFonts w:eastAsia="Times New Roman" w:cs="Times New Roman"/>
          <w:szCs w:val="24"/>
        </w:rPr>
        <w:t xml:space="preserve"> 1997. “Interest groups’ decisions to join Alliances or work alone.” </w:t>
      </w:r>
      <w:proofErr w:type="gramStart"/>
      <w:r w:rsidR="000E3C4B" w:rsidRPr="0027400A">
        <w:rPr>
          <w:rFonts w:eastAsia="Times New Roman" w:cs="Times New Roman"/>
          <w:i/>
          <w:szCs w:val="24"/>
        </w:rPr>
        <w:t>American Journal of Political Science</w:t>
      </w:r>
      <w:r w:rsidR="000E3C4B" w:rsidRPr="0027400A">
        <w:rPr>
          <w:rFonts w:eastAsia="Times New Roman" w:cs="Times New Roman"/>
          <w:szCs w:val="24"/>
        </w:rPr>
        <w:t xml:space="preserve"> 61–87.</w:t>
      </w:r>
      <w:proofErr w:type="gramEnd"/>
    </w:p>
    <w:p w:rsidR="000E3C4B" w:rsidRPr="0027400A" w:rsidRDefault="000E3C4B" w:rsidP="000E3C4B">
      <w:pPr>
        <w:pStyle w:val="ListBullet"/>
        <w:rPr>
          <w:color w:val="548DD4" w:themeColor="text2" w:themeTint="99"/>
        </w:rPr>
      </w:pPr>
    </w:p>
    <w:p w:rsidR="00E63A5F" w:rsidRDefault="00E63A5F" w:rsidP="00E63A5F">
      <w:pPr>
        <w:ind w:hanging="720"/>
        <w:rPr>
          <w:rFonts w:eastAsia="Times New Roman" w:cs="Times New Roman"/>
          <w:szCs w:val="24"/>
        </w:rPr>
      </w:pPr>
      <w:r w:rsidRPr="0027400A">
        <w:rPr>
          <w:rFonts w:eastAsia="Times New Roman" w:cs="Times New Roman"/>
          <w:szCs w:val="24"/>
        </w:rPr>
        <w:t>Holyoke, Thomas T. 2003</w:t>
      </w:r>
      <w:r w:rsidRPr="00E63A5F">
        <w:rPr>
          <w:rFonts w:eastAsia="Times New Roman" w:cs="Times New Roman"/>
          <w:szCs w:val="24"/>
        </w:rPr>
        <w:t xml:space="preserve">. </w:t>
      </w:r>
      <w:proofErr w:type="gramStart"/>
      <w:r w:rsidRPr="0027400A">
        <w:rPr>
          <w:rFonts w:eastAsia="Times New Roman" w:cs="Times New Roman"/>
          <w:szCs w:val="24"/>
        </w:rPr>
        <w:t>“</w:t>
      </w:r>
      <w:r w:rsidRPr="00E63A5F">
        <w:rPr>
          <w:rFonts w:eastAsia="Times New Roman" w:cs="Times New Roman"/>
          <w:szCs w:val="24"/>
        </w:rPr>
        <w:t>Choosing battlegrounds: Interest group lobbying across multiple venues.</w:t>
      </w:r>
      <w:r w:rsidRPr="0027400A">
        <w:rPr>
          <w:rFonts w:eastAsia="Times New Roman" w:cs="Times New Roman"/>
          <w:szCs w:val="24"/>
        </w:rPr>
        <w:t>”</w:t>
      </w:r>
      <w:proofErr w:type="gramEnd"/>
      <w:r w:rsidRPr="00E63A5F">
        <w:rPr>
          <w:rFonts w:eastAsia="Times New Roman" w:cs="Times New Roman"/>
          <w:szCs w:val="24"/>
        </w:rPr>
        <w:t xml:space="preserve"> </w:t>
      </w:r>
      <w:r w:rsidRPr="00E63A5F">
        <w:rPr>
          <w:rFonts w:eastAsia="Times New Roman" w:cs="Times New Roman"/>
          <w:i/>
          <w:iCs/>
          <w:szCs w:val="24"/>
        </w:rPr>
        <w:t>Political Research Quarterly</w:t>
      </w:r>
      <w:r w:rsidRPr="00E63A5F">
        <w:rPr>
          <w:rFonts w:eastAsia="Times New Roman" w:cs="Times New Roman"/>
          <w:szCs w:val="24"/>
        </w:rPr>
        <w:t xml:space="preserve"> </w:t>
      </w:r>
      <w:r w:rsidRPr="005F66E3">
        <w:rPr>
          <w:rFonts w:eastAsia="Times New Roman" w:cs="Times New Roman"/>
          <w:iCs/>
          <w:szCs w:val="24"/>
        </w:rPr>
        <w:t>56</w:t>
      </w:r>
      <w:r w:rsidR="005F66E3">
        <w:rPr>
          <w:rFonts w:eastAsia="Times New Roman" w:cs="Times New Roman"/>
          <w:szCs w:val="24"/>
        </w:rPr>
        <w:t>(3):</w:t>
      </w:r>
      <w:r w:rsidRPr="00E63A5F">
        <w:rPr>
          <w:rFonts w:eastAsia="Times New Roman" w:cs="Times New Roman"/>
          <w:szCs w:val="24"/>
        </w:rPr>
        <w:t xml:space="preserve"> 325-336.</w:t>
      </w:r>
    </w:p>
    <w:p w:rsidR="00894100" w:rsidRDefault="00894100" w:rsidP="00E63A5F">
      <w:pPr>
        <w:ind w:hanging="720"/>
        <w:rPr>
          <w:rFonts w:eastAsia="Times New Roman" w:cs="Times New Roman"/>
          <w:szCs w:val="24"/>
        </w:rPr>
      </w:pPr>
    </w:p>
    <w:p w:rsidR="00894100" w:rsidRDefault="00894100" w:rsidP="00894100">
      <w:pPr>
        <w:ind w:hanging="720"/>
        <w:rPr>
          <w:rFonts w:eastAsia="Times New Roman" w:cs="Times New Roman"/>
          <w:szCs w:val="24"/>
        </w:rPr>
      </w:pPr>
      <w:r w:rsidRPr="00894100">
        <w:rPr>
          <w:rFonts w:eastAsia="Times New Roman" w:cs="Times New Roman"/>
          <w:szCs w:val="24"/>
        </w:rPr>
        <w:t xml:space="preserve">Howard, AE Dick. </w:t>
      </w:r>
      <w:r>
        <w:rPr>
          <w:rFonts w:eastAsia="Times New Roman" w:cs="Times New Roman"/>
          <w:szCs w:val="24"/>
        </w:rPr>
        <w:t xml:space="preserve">2012. </w:t>
      </w:r>
      <w:r w:rsidRPr="00894100">
        <w:rPr>
          <w:rFonts w:eastAsia="Times New Roman" w:cs="Times New Roman"/>
          <w:szCs w:val="24"/>
        </w:rPr>
        <w:t>"</w:t>
      </w:r>
      <w:r>
        <w:rPr>
          <w:rFonts w:eastAsia="Times New Roman" w:cs="Times New Roman"/>
          <w:szCs w:val="24"/>
        </w:rPr>
        <w:t>Out of Infancy:  The Roberts Court at Seven</w:t>
      </w:r>
      <w:r w:rsidRPr="00894100">
        <w:rPr>
          <w:rFonts w:eastAsia="Times New Roman" w:cs="Times New Roman"/>
          <w:szCs w:val="24"/>
        </w:rPr>
        <w:t xml:space="preserve">." </w:t>
      </w:r>
      <w:r w:rsidR="005F66E3">
        <w:rPr>
          <w:rFonts w:eastAsia="Times New Roman" w:cs="Times New Roman"/>
          <w:i/>
          <w:iCs/>
          <w:szCs w:val="24"/>
        </w:rPr>
        <w:t>Virginia Law Review</w:t>
      </w:r>
      <w:r w:rsidRPr="00894100">
        <w:rPr>
          <w:rFonts w:eastAsia="Times New Roman" w:cs="Times New Roman"/>
          <w:i/>
          <w:iCs/>
          <w:szCs w:val="24"/>
        </w:rPr>
        <w:t>. In Brief</w:t>
      </w:r>
      <w:r>
        <w:rPr>
          <w:rFonts w:eastAsia="Times New Roman" w:cs="Times New Roman"/>
          <w:szCs w:val="24"/>
        </w:rPr>
        <w:t xml:space="preserve"> 98</w:t>
      </w:r>
      <w:r w:rsidRPr="00894100">
        <w:rPr>
          <w:rFonts w:eastAsia="Times New Roman" w:cs="Times New Roman"/>
          <w:szCs w:val="24"/>
        </w:rPr>
        <w:t>: 76-76.</w:t>
      </w:r>
    </w:p>
    <w:p w:rsidR="00A70CE1" w:rsidRDefault="00A70CE1" w:rsidP="00894100">
      <w:pPr>
        <w:ind w:hanging="720"/>
        <w:rPr>
          <w:rFonts w:eastAsia="Times New Roman" w:cs="Times New Roman"/>
          <w:szCs w:val="24"/>
        </w:rPr>
      </w:pPr>
    </w:p>
    <w:p w:rsidR="00A70CE1" w:rsidRPr="00A70CE1" w:rsidRDefault="00A70CE1" w:rsidP="00A70CE1">
      <w:pPr>
        <w:ind w:hanging="720"/>
        <w:rPr>
          <w:szCs w:val="24"/>
        </w:rPr>
      </w:pPr>
      <w:proofErr w:type="gramStart"/>
      <w:r w:rsidRPr="00A70CE1">
        <w:rPr>
          <w:szCs w:val="24"/>
        </w:rPr>
        <w:t>Hur</w:t>
      </w:r>
      <w:r w:rsidR="005F66E3">
        <w:rPr>
          <w:szCs w:val="24"/>
        </w:rPr>
        <w:t xml:space="preserve">witz, Mark </w:t>
      </w:r>
      <w:r>
        <w:rPr>
          <w:szCs w:val="24"/>
        </w:rPr>
        <w:t>S., and</w:t>
      </w:r>
      <w:r w:rsidR="005F66E3">
        <w:rPr>
          <w:szCs w:val="24"/>
        </w:rPr>
        <w:t xml:space="preserve"> Joseph V. </w:t>
      </w:r>
      <w:proofErr w:type="spellStart"/>
      <w:r w:rsidR="005F66E3">
        <w:rPr>
          <w:szCs w:val="24"/>
        </w:rPr>
        <w:t>Stefko</w:t>
      </w:r>
      <w:proofErr w:type="spellEnd"/>
      <w:r>
        <w:rPr>
          <w:szCs w:val="24"/>
        </w:rPr>
        <w:t>.</w:t>
      </w:r>
      <w:proofErr w:type="gramEnd"/>
      <w:r>
        <w:rPr>
          <w:szCs w:val="24"/>
        </w:rPr>
        <w:t xml:space="preserve"> 2004</w:t>
      </w:r>
      <w:r w:rsidRPr="00A70CE1">
        <w:rPr>
          <w:szCs w:val="24"/>
        </w:rPr>
        <w:t xml:space="preserve">. </w:t>
      </w:r>
      <w:r>
        <w:rPr>
          <w:szCs w:val="24"/>
        </w:rPr>
        <w:t>“</w:t>
      </w:r>
      <w:r w:rsidRPr="00A70CE1">
        <w:rPr>
          <w:szCs w:val="24"/>
        </w:rPr>
        <w:t>Acclimation and attitudes: “Newcomer” justices and precedent conformance on the Supreme Court.</w:t>
      </w:r>
      <w:r>
        <w:rPr>
          <w:szCs w:val="24"/>
        </w:rPr>
        <w:t>”</w:t>
      </w:r>
      <w:r w:rsidRPr="00A70CE1">
        <w:rPr>
          <w:szCs w:val="24"/>
        </w:rPr>
        <w:t xml:space="preserve"> </w:t>
      </w:r>
      <w:r w:rsidRPr="00A70CE1">
        <w:rPr>
          <w:i/>
          <w:szCs w:val="24"/>
        </w:rPr>
        <w:t>Political Research Quarterly</w:t>
      </w:r>
      <w:r w:rsidR="005F66E3">
        <w:rPr>
          <w:szCs w:val="24"/>
        </w:rPr>
        <w:t xml:space="preserve"> 57(1):</w:t>
      </w:r>
      <w:r w:rsidRPr="00A70CE1">
        <w:rPr>
          <w:szCs w:val="24"/>
        </w:rPr>
        <w:t xml:space="preserve"> 121-129.</w:t>
      </w:r>
    </w:p>
    <w:p w:rsidR="000E3C4B" w:rsidRPr="0027400A" w:rsidRDefault="000E3C4B" w:rsidP="000E3C4B">
      <w:pPr>
        <w:ind w:left="0" w:firstLine="0"/>
        <w:rPr>
          <w:rFonts w:cs="Times New Roman"/>
          <w:szCs w:val="24"/>
        </w:rPr>
      </w:pPr>
    </w:p>
    <w:p w:rsidR="000E3C4B" w:rsidRPr="0027400A" w:rsidRDefault="000E3C4B" w:rsidP="000E3C4B">
      <w:pPr>
        <w:ind w:hanging="720"/>
        <w:rPr>
          <w:rFonts w:cs="Times New Roman"/>
          <w:szCs w:val="24"/>
        </w:rPr>
      </w:pPr>
      <w:proofErr w:type="spellStart"/>
      <w:r w:rsidRPr="0027400A">
        <w:rPr>
          <w:rFonts w:cs="Times New Roman"/>
          <w:szCs w:val="24"/>
        </w:rPr>
        <w:lastRenderedPageBreak/>
        <w:t>Ivers</w:t>
      </w:r>
      <w:proofErr w:type="spellEnd"/>
      <w:r w:rsidRPr="0027400A">
        <w:rPr>
          <w:rFonts w:cs="Times New Roman"/>
          <w:szCs w:val="24"/>
        </w:rPr>
        <w:t xml:space="preserve">, Gregg. 1992. “Religious Organizations as Constitutional Litigants.” </w:t>
      </w:r>
      <w:r w:rsidRPr="0027400A">
        <w:rPr>
          <w:rFonts w:cs="Times New Roman"/>
          <w:i/>
          <w:szCs w:val="24"/>
        </w:rPr>
        <w:t xml:space="preserve">Polity </w:t>
      </w:r>
      <w:r w:rsidRPr="0027400A">
        <w:rPr>
          <w:rFonts w:cs="Times New Roman"/>
          <w:szCs w:val="24"/>
        </w:rPr>
        <w:t>25(2): 243-266.</w:t>
      </w:r>
    </w:p>
    <w:p w:rsidR="000E3C4B" w:rsidRPr="0027400A" w:rsidRDefault="000E3C4B" w:rsidP="000E3C4B">
      <w:pPr>
        <w:ind w:hanging="720"/>
        <w:rPr>
          <w:rFonts w:cs="Times New Roman"/>
          <w:szCs w:val="24"/>
        </w:rPr>
      </w:pPr>
    </w:p>
    <w:p w:rsidR="000E3C4B" w:rsidRPr="0027400A" w:rsidRDefault="000E3C4B" w:rsidP="000E3C4B">
      <w:pPr>
        <w:ind w:left="0" w:firstLine="0"/>
        <w:rPr>
          <w:rFonts w:eastAsia="Times New Roman" w:cs="Times New Roman"/>
          <w:szCs w:val="24"/>
        </w:rPr>
      </w:pPr>
      <w:proofErr w:type="spellStart"/>
      <w:r w:rsidRPr="0027400A">
        <w:rPr>
          <w:rFonts w:eastAsia="Times New Roman" w:cs="Times New Roman"/>
          <w:szCs w:val="24"/>
        </w:rPr>
        <w:t>Ivers</w:t>
      </w:r>
      <w:proofErr w:type="spellEnd"/>
      <w:r w:rsidRPr="0027400A">
        <w:rPr>
          <w:rFonts w:eastAsia="Times New Roman" w:cs="Times New Roman"/>
          <w:szCs w:val="24"/>
        </w:rPr>
        <w:t xml:space="preserve">, Gregg. 1990. “Organized Religion and the Supreme Court.” </w:t>
      </w:r>
      <w:r w:rsidR="005F66E3">
        <w:rPr>
          <w:rFonts w:eastAsia="Times New Roman" w:cs="Times New Roman"/>
          <w:i/>
          <w:iCs/>
          <w:szCs w:val="24"/>
        </w:rPr>
        <w:t>Journal of</w:t>
      </w:r>
      <w:r w:rsidRPr="0027400A">
        <w:rPr>
          <w:rFonts w:eastAsia="Times New Roman" w:cs="Times New Roman"/>
          <w:i/>
          <w:iCs/>
          <w:szCs w:val="24"/>
        </w:rPr>
        <w:t xml:space="preserve"> Church </w:t>
      </w:r>
      <w:r w:rsidR="000D6839" w:rsidRPr="0027400A">
        <w:rPr>
          <w:rFonts w:eastAsia="Times New Roman" w:cs="Times New Roman"/>
          <w:i/>
          <w:iCs/>
          <w:szCs w:val="24"/>
        </w:rPr>
        <w:t>and</w:t>
      </w:r>
      <w:r w:rsidR="005F66E3">
        <w:rPr>
          <w:rFonts w:eastAsia="Times New Roman" w:cs="Times New Roman"/>
          <w:i/>
          <w:iCs/>
          <w:szCs w:val="24"/>
        </w:rPr>
        <w:t xml:space="preserve"> State</w:t>
      </w:r>
      <w:r w:rsidR="005F66E3">
        <w:rPr>
          <w:rFonts w:eastAsia="Times New Roman" w:cs="Times New Roman"/>
          <w:szCs w:val="24"/>
        </w:rPr>
        <w:t xml:space="preserve"> </w:t>
      </w:r>
      <w:r w:rsidRPr="005F66E3">
        <w:rPr>
          <w:rFonts w:eastAsia="Times New Roman" w:cs="Times New Roman"/>
          <w:iCs/>
          <w:szCs w:val="24"/>
        </w:rPr>
        <w:t>32</w:t>
      </w:r>
      <w:r w:rsidR="00894100" w:rsidRPr="005F66E3">
        <w:rPr>
          <w:rFonts w:eastAsia="Times New Roman" w:cs="Times New Roman"/>
          <w:szCs w:val="24"/>
        </w:rPr>
        <w:t>:</w:t>
      </w:r>
      <w:r w:rsidRPr="0027400A">
        <w:rPr>
          <w:rFonts w:eastAsia="Times New Roman" w:cs="Times New Roman"/>
          <w:szCs w:val="24"/>
        </w:rPr>
        <w:t xml:space="preserve"> 775.</w:t>
      </w:r>
    </w:p>
    <w:p w:rsidR="000E3C4B" w:rsidRPr="0027400A" w:rsidRDefault="000E3C4B" w:rsidP="000E3C4B">
      <w:pPr>
        <w:ind w:hanging="720"/>
        <w:rPr>
          <w:rFonts w:cs="Times New Roman"/>
          <w:color w:val="548DD4" w:themeColor="text2" w:themeTint="99"/>
          <w:szCs w:val="24"/>
        </w:rPr>
      </w:pPr>
    </w:p>
    <w:p w:rsidR="000E3C4B" w:rsidRDefault="000E3C4B" w:rsidP="000E3C4B">
      <w:pPr>
        <w:ind w:hanging="720"/>
        <w:rPr>
          <w:rStyle w:val="HTMLCite"/>
          <w:rFonts w:cs="Times New Roman"/>
          <w:szCs w:val="24"/>
        </w:rPr>
      </w:pPr>
      <w:proofErr w:type="spellStart"/>
      <w:proofErr w:type="gramStart"/>
      <w:r w:rsidRPr="0027400A">
        <w:rPr>
          <w:rStyle w:val="cit-name-surname"/>
          <w:rFonts w:cs="Times New Roman"/>
          <w:iCs/>
          <w:szCs w:val="24"/>
        </w:rPr>
        <w:t>Ivers</w:t>
      </w:r>
      <w:proofErr w:type="spellEnd"/>
      <w:r w:rsidRPr="0027400A">
        <w:rPr>
          <w:rStyle w:val="cit-name-surname"/>
          <w:rFonts w:cs="Times New Roman"/>
          <w:iCs/>
          <w:szCs w:val="24"/>
        </w:rPr>
        <w:t>, Gregg</w:t>
      </w:r>
      <w:r w:rsidR="00532FFE">
        <w:rPr>
          <w:rStyle w:val="HTMLCite"/>
          <w:rFonts w:cs="Times New Roman"/>
          <w:szCs w:val="24"/>
        </w:rPr>
        <w:t>,</w:t>
      </w:r>
      <w:r w:rsidR="00532FFE">
        <w:rPr>
          <w:rStyle w:val="HTMLCite"/>
          <w:rFonts w:cs="Times New Roman"/>
          <w:i w:val="0"/>
          <w:szCs w:val="24"/>
        </w:rPr>
        <w:t xml:space="preserve"> and</w:t>
      </w:r>
      <w:r w:rsidRPr="0027400A">
        <w:rPr>
          <w:rStyle w:val="HTMLCite"/>
          <w:rFonts w:cs="Times New Roman"/>
          <w:szCs w:val="24"/>
        </w:rPr>
        <w:t xml:space="preserve"> </w:t>
      </w:r>
      <w:r w:rsidRPr="0027400A">
        <w:rPr>
          <w:rStyle w:val="cit-name-surname"/>
          <w:rFonts w:cs="Times New Roman"/>
          <w:iCs/>
          <w:szCs w:val="24"/>
        </w:rPr>
        <w:t>Karen O'Connor</w:t>
      </w:r>
      <w:r w:rsidRPr="0027400A">
        <w:rPr>
          <w:rStyle w:val="HTMLCite"/>
          <w:rFonts w:cs="Times New Roman"/>
          <w:szCs w:val="24"/>
        </w:rPr>
        <w:t>.</w:t>
      </w:r>
      <w:proofErr w:type="gramEnd"/>
      <w:r w:rsidRPr="0027400A">
        <w:rPr>
          <w:rStyle w:val="HTMLCite"/>
          <w:rFonts w:cs="Times New Roman"/>
          <w:szCs w:val="24"/>
        </w:rPr>
        <w:t xml:space="preserve"> </w:t>
      </w:r>
      <w:r w:rsidRPr="0027400A">
        <w:rPr>
          <w:rStyle w:val="cit-pub-date"/>
          <w:rFonts w:cs="Times New Roman"/>
          <w:iCs/>
          <w:szCs w:val="24"/>
        </w:rPr>
        <w:t>1987</w:t>
      </w:r>
      <w:r w:rsidRPr="0027400A">
        <w:rPr>
          <w:rStyle w:val="HTMLCite"/>
          <w:rFonts w:cs="Times New Roman"/>
          <w:szCs w:val="24"/>
        </w:rPr>
        <w:t xml:space="preserve">. </w:t>
      </w:r>
      <w:r w:rsidR="00532FFE">
        <w:rPr>
          <w:rStyle w:val="HTMLCite"/>
          <w:rFonts w:cs="Times New Roman"/>
          <w:i w:val="0"/>
          <w:szCs w:val="24"/>
        </w:rPr>
        <w:t>“</w:t>
      </w:r>
      <w:r w:rsidRPr="0027400A">
        <w:rPr>
          <w:rStyle w:val="cit-article-title"/>
          <w:rFonts w:cs="Times New Roman"/>
          <w:iCs/>
          <w:szCs w:val="24"/>
        </w:rPr>
        <w:t>Friends as foes: The amicus curiae participation and effectiveness of the American Civil Liberties Union and Americans for Effective Law Enforcement in criminal cases, 1969-1982</w:t>
      </w:r>
      <w:r w:rsidR="00532FFE">
        <w:rPr>
          <w:rStyle w:val="HTMLCite"/>
          <w:rFonts w:cs="Times New Roman"/>
          <w:szCs w:val="24"/>
        </w:rPr>
        <w:t>.</w:t>
      </w:r>
      <w:r w:rsidR="00532FFE">
        <w:rPr>
          <w:rStyle w:val="HTMLCite"/>
          <w:rFonts w:cs="Times New Roman"/>
          <w:i w:val="0"/>
          <w:szCs w:val="24"/>
        </w:rPr>
        <w:t>”</w:t>
      </w:r>
      <w:r w:rsidRPr="0027400A">
        <w:rPr>
          <w:rStyle w:val="HTMLCite"/>
          <w:rFonts w:cs="Times New Roman"/>
          <w:szCs w:val="24"/>
        </w:rPr>
        <w:t xml:space="preserve"> Law and Policy </w:t>
      </w:r>
      <w:r w:rsidR="005F66E3">
        <w:rPr>
          <w:rStyle w:val="cit-vol"/>
          <w:rFonts w:cs="Times New Roman"/>
          <w:iCs/>
          <w:szCs w:val="24"/>
        </w:rPr>
        <w:t>9(2):</w:t>
      </w:r>
      <w:r w:rsidRPr="005F66E3">
        <w:rPr>
          <w:rStyle w:val="cit-fpage"/>
        </w:rPr>
        <w:t xml:space="preserve"> </w:t>
      </w:r>
      <w:r w:rsidRPr="0027400A">
        <w:rPr>
          <w:rStyle w:val="cit-fpage"/>
          <w:rFonts w:cs="Times New Roman"/>
          <w:iCs/>
          <w:szCs w:val="24"/>
        </w:rPr>
        <w:t>161</w:t>
      </w:r>
      <w:r w:rsidRPr="0027400A">
        <w:rPr>
          <w:rStyle w:val="HTMLCite"/>
          <w:rFonts w:cs="Times New Roman"/>
          <w:szCs w:val="24"/>
        </w:rPr>
        <w:t>-</w:t>
      </w:r>
      <w:r w:rsidRPr="0027400A">
        <w:rPr>
          <w:rStyle w:val="cit-lpage"/>
          <w:rFonts w:cs="Times New Roman"/>
          <w:szCs w:val="24"/>
        </w:rPr>
        <w:t>178</w:t>
      </w:r>
      <w:r w:rsidRPr="0027400A">
        <w:rPr>
          <w:rStyle w:val="HTMLCite"/>
          <w:rFonts w:cs="Times New Roman"/>
          <w:szCs w:val="24"/>
        </w:rPr>
        <w:t>.</w:t>
      </w:r>
    </w:p>
    <w:p w:rsidR="00145FB1" w:rsidRDefault="00145FB1" w:rsidP="000E3C4B">
      <w:pPr>
        <w:ind w:hanging="720"/>
        <w:rPr>
          <w:rFonts w:cs="Times New Roman"/>
          <w:color w:val="548DD4" w:themeColor="text2" w:themeTint="99"/>
          <w:szCs w:val="24"/>
        </w:rPr>
      </w:pPr>
    </w:p>
    <w:p w:rsidR="00145FB1" w:rsidRDefault="00145FB1" w:rsidP="000E3C4B">
      <w:pPr>
        <w:ind w:hanging="720"/>
        <w:rPr>
          <w:rStyle w:val="text"/>
        </w:rPr>
      </w:pPr>
      <w:proofErr w:type="spellStart"/>
      <w:r>
        <w:rPr>
          <w:rStyle w:val="text"/>
        </w:rPr>
        <w:t>Jost</w:t>
      </w:r>
      <w:proofErr w:type="spellEnd"/>
      <w:r>
        <w:rPr>
          <w:rStyle w:val="text"/>
        </w:rPr>
        <w:t xml:space="preserve">, Kenneth. 2012. "CQ Press's Major Cases: U.S. Supreme Court, 2011—2012 Term." In </w:t>
      </w:r>
      <w:r>
        <w:rPr>
          <w:rStyle w:val="Emphasis"/>
        </w:rPr>
        <w:t>Supreme Court Yearbook, 2011-2012</w:t>
      </w:r>
      <w:r>
        <w:rPr>
          <w:rStyle w:val="text"/>
        </w:rPr>
        <w:t xml:space="preserve"> Washington, DC: CQ Press, 2012.</w:t>
      </w:r>
      <w:r w:rsidR="00815112">
        <w:rPr>
          <w:rStyle w:val="text"/>
        </w:rPr>
        <w:t xml:space="preserve"> </w:t>
      </w:r>
      <w:proofErr w:type="gramStart"/>
      <w:r w:rsidR="00815112">
        <w:rPr>
          <w:rStyle w:val="text"/>
        </w:rPr>
        <w:t>Accessed at</w:t>
      </w:r>
      <w:r>
        <w:rPr>
          <w:rStyle w:val="text"/>
        </w:rPr>
        <w:t xml:space="preserve"> </w:t>
      </w:r>
      <w:hyperlink r:id="rId33" w:history="1">
        <w:r w:rsidRPr="00A00BF4">
          <w:rPr>
            <w:rStyle w:val="Hyperlink"/>
          </w:rPr>
          <w:t>http://library.cqpress.com.proxy.lib.utk.edu:90/scyb/scyb11-1386-79303-2493502</w:t>
        </w:r>
      </w:hyperlink>
      <w:r>
        <w:rPr>
          <w:rStyle w:val="text"/>
        </w:rPr>
        <w:t>.</w:t>
      </w:r>
      <w:proofErr w:type="gramEnd"/>
    </w:p>
    <w:p w:rsidR="00145FB1" w:rsidRDefault="00145FB1" w:rsidP="000E3C4B">
      <w:pPr>
        <w:ind w:hanging="720"/>
        <w:rPr>
          <w:rStyle w:val="text"/>
        </w:rPr>
      </w:pPr>
    </w:p>
    <w:p w:rsidR="00145FB1" w:rsidRDefault="00145FB1" w:rsidP="000E3C4B">
      <w:pPr>
        <w:ind w:hanging="720"/>
        <w:rPr>
          <w:rStyle w:val="text"/>
        </w:rPr>
      </w:pPr>
      <w:proofErr w:type="spellStart"/>
      <w:r>
        <w:rPr>
          <w:rStyle w:val="text"/>
        </w:rPr>
        <w:t>Jost</w:t>
      </w:r>
      <w:proofErr w:type="spellEnd"/>
      <w:r>
        <w:rPr>
          <w:rStyle w:val="text"/>
        </w:rPr>
        <w:t xml:space="preserve">, Kenneth. 2011. "CQ Press's Major Cases: U.S. Supreme Court, 2010—2011 Term." In </w:t>
      </w:r>
      <w:r>
        <w:rPr>
          <w:rStyle w:val="Emphasis"/>
        </w:rPr>
        <w:t>Supreme Court Yearbook, 2010-2011</w:t>
      </w:r>
      <w:r>
        <w:rPr>
          <w:rStyle w:val="text"/>
        </w:rPr>
        <w:t xml:space="preserve"> Washington, DC: CQ Press, 2011. </w:t>
      </w:r>
      <w:proofErr w:type="gramStart"/>
      <w:r w:rsidR="00815112">
        <w:rPr>
          <w:rStyle w:val="text"/>
        </w:rPr>
        <w:t xml:space="preserve">Accessed at </w:t>
      </w:r>
      <w:hyperlink r:id="rId34" w:history="1">
        <w:r w:rsidRPr="00A00BF4">
          <w:rPr>
            <w:rStyle w:val="Hyperlink"/>
          </w:rPr>
          <w:t>http://library.cqpress.com.proxy.lib.utk.edu:90/scyb/scyb10-1270-72831-2396980</w:t>
        </w:r>
      </w:hyperlink>
      <w:r>
        <w:rPr>
          <w:rStyle w:val="text"/>
        </w:rPr>
        <w:t>.</w:t>
      </w:r>
      <w:proofErr w:type="gramEnd"/>
    </w:p>
    <w:p w:rsidR="00145FB1" w:rsidRDefault="00145FB1" w:rsidP="000E3C4B">
      <w:pPr>
        <w:ind w:hanging="720"/>
        <w:rPr>
          <w:rStyle w:val="text"/>
        </w:rPr>
      </w:pPr>
    </w:p>
    <w:p w:rsidR="00145FB1" w:rsidRDefault="00145FB1" w:rsidP="000E3C4B">
      <w:pPr>
        <w:ind w:hanging="720"/>
        <w:rPr>
          <w:rStyle w:val="text"/>
        </w:rPr>
      </w:pPr>
      <w:proofErr w:type="spellStart"/>
      <w:r>
        <w:rPr>
          <w:rStyle w:val="text"/>
        </w:rPr>
        <w:t>Jost</w:t>
      </w:r>
      <w:proofErr w:type="spellEnd"/>
      <w:r>
        <w:rPr>
          <w:rStyle w:val="text"/>
        </w:rPr>
        <w:t xml:space="preserve">, Kenneth. 2010. "CQ Press's Major Cases: U.S. Supreme Court, 2009—2010 Term." Supreme Court Yearbook Online Edition, Last modified 2010. </w:t>
      </w:r>
      <w:proofErr w:type="gramStart"/>
      <w:r w:rsidR="00815112">
        <w:rPr>
          <w:rStyle w:val="text"/>
        </w:rPr>
        <w:t xml:space="preserve">Accessed at </w:t>
      </w:r>
      <w:hyperlink r:id="rId35" w:history="1">
        <w:r w:rsidRPr="00A00BF4">
          <w:rPr>
            <w:rStyle w:val="Hyperlink"/>
          </w:rPr>
          <w:t>http://library.cqpress.com.proxy.lib.utk.edu:90/scyb/scyb09-1175-63040-2281991</w:t>
        </w:r>
      </w:hyperlink>
      <w:r>
        <w:rPr>
          <w:rStyle w:val="text"/>
        </w:rPr>
        <w:t>.</w:t>
      </w:r>
      <w:proofErr w:type="gramEnd"/>
    </w:p>
    <w:p w:rsidR="00145FB1" w:rsidRDefault="00145FB1" w:rsidP="000E3C4B">
      <w:pPr>
        <w:ind w:hanging="720"/>
        <w:rPr>
          <w:rStyle w:val="text"/>
        </w:rPr>
      </w:pPr>
    </w:p>
    <w:p w:rsidR="00145FB1" w:rsidRDefault="00145FB1" w:rsidP="000E3C4B">
      <w:pPr>
        <w:ind w:hanging="720"/>
        <w:rPr>
          <w:rStyle w:val="text"/>
        </w:rPr>
      </w:pPr>
      <w:proofErr w:type="spellStart"/>
      <w:r>
        <w:rPr>
          <w:rStyle w:val="text"/>
        </w:rPr>
        <w:t>Jost</w:t>
      </w:r>
      <w:proofErr w:type="spellEnd"/>
      <w:r>
        <w:rPr>
          <w:rStyle w:val="text"/>
        </w:rPr>
        <w:t>, Kenneth. 2009. "CQ Press's Major Cases: U.S. Supreme Court, 2008—2009 Term." Supreme Court Yearbook Online Edition, Last modified 2009.</w:t>
      </w:r>
      <w:r w:rsidR="00815112">
        <w:rPr>
          <w:rStyle w:val="text"/>
        </w:rPr>
        <w:t xml:space="preserve"> </w:t>
      </w:r>
      <w:proofErr w:type="gramStart"/>
      <w:r w:rsidR="00815112">
        <w:rPr>
          <w:rStyle w:val="text"/>
        </w:rPr>
        <w:t>Accessed at</w:t>
      </w:r>
      <w:r>
        <w:rPr>
          <w:rStyle w:val="text"/>
        </w:rPr>
        <w:t xml:space="preserve"> </w:t>
      </w:r>
      <w:hyperlink r:id="rId36" w:history="1">
        <w:r w:rsidRPr="00A00BF4">
          <w:rPr>
            <w:rStyle w:val="Hyperlink"/>
          </w:rPr>
          <w:t>http://library.cqpress.com.proxy.lib.utk.edu:90/scyb/scyb08-1085-52873-2185004</w:t>
        </w:r>
      </w:hyperlink>
      <w:r>
        <w:rPr>
          <w:rStyle w:val="text"/>
        </w:rPr>
        <w:t>.</w:t>
      </w:r>
      <w:proofErr w:type="gramEnd"/>
    </w:p>
    <w:p w:rsidR="00C1053E" w:rsidRDefault="00C1053E" w:rsidP="000E3C4B">
      <w:pPr>
        <w:ind w:hanging="720"/>
        <w:rPr>
          <w:rStyle w:val="text"/>
        </w:rPr>
      </w:pPr>
    </w:p>
    <w:p w:rsidR="00145FB1" w:rsidRDefault="008E0F6D" w:rsidP="000E3C4B">
      <w:pPr>
        <w:ind w:hanging="720"/>
        <w:rPr>
          <w:rStyle w:val="text"/>
        </w:rPr>
      </w:pPr>
      <w:proofErr w:type="spellStart"/>
      <w:r>
        <w:rPr>
          <w:rStyle w:val="text"/>
        </w:rPr>
        <w:t>Jost</w:t>
      </w:r>
      <w:proofErr w:type="spellEnd"/>
      <w:r>
        <w:rPr>
          <w:rStyle w:val="text"/>
        </w:rPr>
        <w:t>, Kenneth. 2008. "CQ Press's Major Cases: U.S. Supreme Court, 2007-2008 Term." Supreme Court Yearbook Online Edition, Last modified 2008.</w:t>
      </w:r>
      <w:r w:rsidR="00815112">
        <w:rPr>
          <w:rStyle w:val="text"/>
        </w:rPr>
        <w:t xml:space="preserve">  </w:t>
      </w:r>
      <w:proofErr w:type="gramStart"/>
      <w:r w:rsidR="00815112">
        <w:rPr>
          <w:rStyle w:val="text"/>
        </w:rPr>
        <w:t xml:space="preserve">Accessed at </w:t>
      </w:r>
      <w:hyperlink r:id="rId37" w:history="1">
        <w:r w:rsidRPr="00A00BF4">
          <w:rPr>
            <w:rStyle w:val="Hyperlink"/>
          </w:rPr>
          <w:t>http://library.cqpress.com.proxy.lib.utk.edu:90/scyb/scyb07-995-46668-2078042</w:t>
        </w:r>
      </w:hyperlink>
      <w:r>
        <w:rPr>
          <w:rStyle w:val="text"/>
        </w:rPr>
        <w:t>.</w:t>
      </w:r>
      <w:proofErr w:type="gramEnd"/>
    </w:p>
    <w:p w:rsidR="000E3C4B" w:rsidRPr="0027400A" w:rsidRDefault="000E3C4B" w:rsidP="000E3C4B">
      <w:pPr>
        <w:ind w:hanging="720"/>
        <w:rPr>
          <w:rFonts w:cs="Times New Roman"/>
          <w:szCs w:val="24"/>
        </w:rPr>
      </w:pPr>
    </w:p>
    <w:p w:rsidR="000E3C4B" w:rsidRPr="0027400A" w:rsidRDefault="008E0F6D" w:rsidP="00E63A5F">
      <w:pPr>
        <w:ind w:hanging="720"/>
        <w:rPr>
          <w:rFonts w:cs="Times New Roman"/>
          <w:szCs w:val="24"/>
        </w:rPr>
      </w:pPr>
      <w:r>
        <w:rPr>
          <w:rFonts w:cs="Times New Roman"/>
          <w:szCs w:val="24"/>
        </w:rPr>
        <w:t>Kaye, Judith S. 1989</w:t>
      </w:r>
      <w:r w:rsidR="00E63A5F" w:rsidRPr="0027400A">
        <w:rPr>
          <w:rFonts w:cs="Times New Roman"/>
          <w:szCs w:val="24"/>
        </w:rPr>
        <w:t xml:space="preserve">. </w:t>
      </w:r>
      <w:proofErr w:type="gramStart"/>
      <w:r w:rsidR="00DA1CBB">
        <w:rPr>
          <w:rFonts w:cs="Times New Roman"/>
          <w:szCs w:val="24"/>
        </w:rPr>
        <w:t>“</w:t>
      </w:r>
      <w:r w:rsidR="00E63A5F" w:rsidRPr="0027400A">
        <w:rPr>
          <w:rFonts w:cs="Times New Roman"/>
          <w:szCs w:val="24"/>
        </w:rPr>
        <w:t>One Judge's View of Academic Law Review Writing.</w:t>
      </w:r>
      <w:r w:rsidR="00DA1CBB">
        <w:rPr>
          <w:rFonts w:cs="Times New Roman"/>
          <w:szCs w:val="24"/>
        </w:rPr>
        <w:t>”</w:t>
      </w:r>
      <w:proofErr w:type="gramEnd"/>
      <w:r w:rsidR="00E63A5F" w:rsidRPr="0027400A">
        <w:rPr>
          <w:rFonts w:cs="Times New Roman"/>
          <w:szCs w:val="24"/>
        </w:rPr>
        <w:t xml:space="preserve"> </w:t>
      </w:r>
      <w:r w:rsidR="005F66E3">
        <w:rPr>
          <w:rFonts w:cs="Times New Roman"/>
          <w:i/>
          <w:iCs/>
          <w:szCs w:val="24"/>
        </w:rPr>
        <w:t>Journal of Legal Education</w:t>
      </w:r>
      <w:r w:rsidR="00E63A5F" w:rsidRPr="0027400A">
        <w:rPr>
          <w:rFonts w:cs="Times New Roman"/>
          <w:szCs w:val="24"/>
        </w:rPr>
        <w:t xml:space="preserve"> </w:t>
      </w:r>
      <w:r w:rsidR="00E63A5F" w:rsidRPr="005F66E3">
        <w:rPr>
          <w:rFonts w:cs="Times New Roman"/>
          <w:iCs/>
          <w:szCs w:val="24"/>
        </w:rPr>
        <w:t>39</w:t>
      </w:r>
      <w:r w:rsidR="005F66E3">
        <w:rPr>
          <w:rFonts w:cs="Times New Roman"/>
          <w:szCs w:val="24"/>
        </w:rPr>
        <w:t xml:space="preserve">: </w:t>
      </w:r>
      <w:r w:rsidR="00E63A5F" w:rsidRPr="0027400A">
        <w:rPr>
          <w:rFonts w:cs="Times New Roman"/>
          <w:szCs w:val="24"/>
        </w:rPr>
        <w:t>313.</w:t>
      </w:r>
    </w:p>
    <w:p w:rsidR="00E63A5F" w:rsidRPr="0027400A" w:rsidRDefault="00E63A5F" w:rsidP="00E63A5F">
      <w:pPr>
        <w:ind w:left="0" w:firstLine="0"/>
        <w:rPr>
          <w:rFonts w:cs="Times New Roman"/>
          <w:szCs w:val="24"/>
        </w:rPr>
      </w:pPr>
    </w:p>
    <w:p w:rsidR="000E3C4B" w:rsidRDefault="000E3C4B" w:rsidP="000E3C4B">
      <w:pPr>
        <w:ind w:hanging="720"/>
        <w:rPr>
          <w:rFonts w:cs="Times New Roman"/>
          <w:szCs w:val="24"/>
        </w:rPr>
      </w:pPr>
      <w:proofErr w:type="gramStart"/>
      <w:r w:rsidRPr="0027400A">
        <w:rPr>
          <w:rFonts w:cs="Times New Roman"/>
          <w:szCs w:val="24"/>
        </w:rPr>
        <w:t>Kearney, Joseph D., and Thomas W. Merrill.</w:t>
      </w:r>
      <w:proofErr w:type="gramEnd"/>
      <w:r w:rsidRPr="0027400A">
        <w:rPr>
          <w:rFonts w:cs="Times New Roman"/>
          <w:szCs w:val="24"/>
        </w:rPr>
        <w:t xml:space="preserve"> 2000. “The Influence of Amicus Curiae Briefs on the Supreme Court.”  </w:t>
      </w:r>
      <w:r w:rsidRPr="0027400A">
        <w:rPr>
          <w:rFonts w:cs="Times New Roman"/>
          <w:i/>
          <w:szCs w:val="24"/>
        </w:rPr>
        <w:t>University of Pennsylvania Law Review</w:t>
      </w:r>
      <w:r w:rsidRPr="0027400A">
        <w:rPr>
          <w:rFonts w:cs="Times New Roman"/>
          <w:szCs w:val="24"/>
        </w:rPr>
        <w:t xml:space="preserve"> 148(3): 743-853.</w:t>
      </w:r>
    </w:p>
    <w:p w:rsidR="00C66265" w:rsidRDefault="00C66265" w:rsidP="000E3C4B">
      <w:pPr>
        <w:ind w:hanging="720"/>
        <w:rPr>
          <w:rFonts w:cs="Times New Roman"/>
          <w:szCs w:val="24"/>
        </w:rPr>
      </w:pPr>
    </w:p>
    <w:p w:rsidR="00C66265" w:rsidRPr="0027400A" w:rsidRDefault="00A3683C" w:rsidP="000E3C4B">
      <w:pPr>
        <w:ind w:hanging="720"/>
        <w:rPr>
          <w:rFonts w:cs="Times New Roman"/>
          <w:szCs w:val="24"/>
        </w:rPr>
      </w:pPr>
      <w:r>
        <w:t>Knowles, Helen</w:t>
      </w:r>
      <w:r w:rsidR="00C66265">
        <w:t xml:space="preserve"> J. 2009. </w:t>
      </w:r>
      <w:r w:rsidR="00C66265">
        <w:rPr>
          <w:i/>
          <w:iCs/>
        </w:rPr>
        <w:t>The Tie Goes to Freedom: Justice Anthony M. Kennedy On Liberty</w:t>
      </w:r>
      <w:r w:rsidR="00C66265">
        <w:t xml:space="preserve">. </w:t>
      </w:r>
      <w:proofErr w:type="spellStart"/>
      <w:proofErr w:type="gramStart"/>
      <w:r w:rsidR="00C66265">
        <w:t>Rowman</w:t>
      </w:r>
      <w:proofErr w:type="spellEnd"/>
      <w:r w:rsidR="00C66265">
        <w:t xml:space="preserve"> &amp; Littlefield.</w:t>
      </w:r>
      <w:proofErr w:type="gramEnd"/>
    </w:p>
    <w:p w:rsidR="000E3C4B" w:rsidRPr="0027400A" w:rsidRDefault="000E3C4B" w:rsidP="000E3C4B">
      <w:pPr>
        <w:ind w:hanging="720"/>
        <w:rPr>
          <w:rFonts w:cs="Times New Roman"/>
          <w:szCs w:val="24"/>
        </w:rPr>
      </w:pPr>
    </w:p>
    <w:p w:rsidR="000E3C4B" w:rsidRPr="0027400A" w:rsidRDefault="000E3C4B" w:rsidP="000E3C4B">
      <w:pPr>
        <w:ind w:hanging="720"/>
        <w:rPr>
          <w:rFonts w:cs="Times New Roman"/>
          <w:bCs/>
          <w:szCs w:val="24"/>
        </w:rPr>
      </w:pPr>
      <w:proofErr w:type="spellStart"/>
      <w:r w:rsidRPr="0027400A">
        <w:rPr>
          <w:rFonts w:cs="Times New Roman"/>
          <w:bCs/>
          <w:szCs w:val="24"/>
        </w:rPr>
        <w:t>Kobylka</w:t>
      </w:r>
      <w:proofErr w:type="spellEnd"/>
      <w:r w:rsidRPr="0027400A">
        <w:rPr>
          <w:rFonts w:cs="Times New Roman"/>
          <w:bCs/>
          <w:szCs w:val="24"/>
        </w:rPr>
        <w:t xml:space="preserve">, Joseph F. 1987. "A Court-Created Context for Group Litigation:  Libertarian Groups and Obscenity." </w:t>
      </w:r>
      <w:r w:rsidRPr="0027400A">
        <w:rPr>
          <w:rFonts w:cs="Times New Roman"/>
          <w:bCs/>
          <w:i/>
          <w:szCs w:val="24"/>
        </w:rPr>
        <w:t>Journal of Politics</w:t>
      </w:r>
      <w:r w:rsidRPr="0027400A">
        <w:rPr>
          <w:rFonts w:cs="Times New Roman"/>
          <w:bCs/>
          <w:szCs w:val="24"/>
        </w:rPr>
        <w:t xml:space="preserve"> 49: 1061-78.</w:t>
      </w:r>
    </w:p>
    <w:p w:rsidR="000E3C4B" w:rsidRPr="0027400A" w:rsidRDefault="000E3C4B" w:rsidP="000E3C4B">
      <w:pPr>
        <w:ind w:hanging="720"/>
        <w:rPr>
          <w:rFonts w:cs="Times New Roman"/>
          <w:bCs/>
          <w:szCs w:val="24"/>
        </w:rPr>
      </w:pPr>
    </w:p>
    <w:p w:rsidR="000E3C4B" w:rsidRDefault="000E3C4B" w:rsidP="00145FB1">
      <w:pPr>
        <w:ind w:hanging="720"/>
        <w:rPr>
          <w:rStyle w:val="HTMLCite"/>
          <w:rFonts w:cs="Times New Roman"/>
          <w:szCs w:val="24"/>
        </w:rPr>
      </w:pPr>
      <w:proofErr w:type="spellStart"/>
      <w:r w:rsidRPr="0027400A">
        <w:rPr>
          <w:rStyle w:val="cit-name-surname"/>
          <w:rFonts w:cs="Times New Roman"/>
          <w:iCs/>
          <w:szCs w:val="24"/>
        </w:rPr>
        <w:t>Kolbert</w:t>
      </w:r>
      <w:proofErr w:type="spellEnd"/>
      <w:r w:rsidRPr="0027400A">
        <w:rPr>
          <w:rStyle w:val="cit-name-surname"/>
          <w:rFonts w:cs="Times New Roman"/>
          <w:iCs/>
          <w:szCs w:val="24"/>
        </w:rPr>
        <w:t>, Kathryn</w:t>
      </w:r>
      <w:r w:rsidRPr="0027400A">
        <w:rPr>
          <w:rStyle w:val="HTMLCite"/>
          <w:rFonts w:cs="Times New Roman"/>
          <w:szCs w:val="24"/>
        </w:rPr>
        <w:t xml:space="preserve">. </w:t>
      </w:r>
      <w:r w:rsidRPr="0027400A">
        <w:rPr>
          <w:rStyle w:val="cit-pub-date"/>
          <w:rFonts w:cs="Times New Roman"/>
          <w:iCs/>
          <w:szCs w:val="24"/>
        </w:rPr>
        <w:t>1989</w:t>
      </w:r>
      <w:r w:rsidRPr="0027400A">
        <w:rPr>
          <w:rStyle w:val="HTMLCite"/>
          <w:rFonts w:cs="Times New Roman"/>
          <w:szCs w:val="24"/>
        </w:rPr>
        <w:t>. “</w:t>
      </w:r>
      <w:r w:rsidRPr="0027400A">
        <w:rPr>
          <w:rStyle w:val="cit-article-title"/>
          <w:rFonts w:cs="Times New Roman"/>
          <w:iCs/>
          <w:szCs w:val="24"/>
        </w:rPr>
        <w:t>The Webster amicus curiae briefs: Perspectives on the abortion controversy and the role of the Supreme Court</w:t>
      </w:r>
      <w:r w:rsidRPr="0027400A">
        <w:rPr>
          <w:rStyle w:val="HTMLCite"/>
          <w:rFonts w:cs="Times New Roman"/>
          <w:szCs w:val="24"/>
        </w:rPr>
        <w:t xml:space="preserve">.” American Journal of Law and Medicine </w:t>
      </w:r>
      <w:r w:rsidRPr="00BA5A09">
        <w:rPr>
          <w:rStyle w:val="cit-vol"/>
          <w:rFonts w:cs="Times New Roman"/>
          <w:iCs/>
          <w:szCs w:val="24"/>
        </w:rPr>
        <w:t>15</w:t>
      </w:r>
      <w:r w:rsidR="00BA5A09">
        <w:rPr>
          <w:rStyle w:val="HTMLCite"/>
          <w:rFonts w:cs="Times New Roman"/>
          <w:i w:val="0"/>
          <w:szCs w:val="24"/>
        </w:rPr>
        <w:t>(2)</w:t>
      </w:r>
      <w:r w:rsidRPr="00BA5A09">
        <w:rPr>
          <w:rStyle w:val="HTMLCite"/>
          <w:rFonts w:cs="Times New Roman"/>
          <w:szCs w:val="24"/>
        </w:rPr>
        <w:t>:</w:t>
      </w:r>
      <w:r w:rsidRPr="0027400A">
        <w:rPr>
          <w:rStyle w:val="HTMLCite"/>
          <w:rFonts w:cs="Times New Roman"/>
          <w:szCs w:val="24"/>
        </w:rPr>
        <w:t xml:space="preserve"> </w:t>
      </w:r>
      <w:r w:rsidRPr="0027400A">
        <w:rPr>
          <w:rStyle w:val="cit-fpage"/>
          <w:rFonts w:cs="Times New Roman"/>
          <w:iCs/>
          <w:szCs w:val="24"/>
        </w:rPr>
        <w:t>153</w:t>
      </w:r>
      <w:r w:rsidRPr="0027400A">
        <w:rPr>
          <w:rStyle w:val="HTMLCite"/>
          <w:rFonts w:cs="Times New Roman"/>
          <w:szCs w:val="24"/>
        </w:rPr>
        <w:t>-</w:t>
      </w:r>
      <w:r w:rsidRPr="0027400A">
        <w:rPr>
          <w:rStyle w:val="cit-lpage"/>
          <w:rFonts w:cs="Times New Roman"/>
          <w:szCs w:val="24"/>
        </w:rPr>
        <w:t>168</w:t>
      </w:r>
      <w:r w:rsidRPr="0027400A">
        <w:rPr>
          <w:rStyle w:val="HTMLCite"/>
          <w:rFonts w:cs="Times New Roman"/>
          <w:szCs w:val="24"/>
        </w:rPr>
        <w:t>.</w:t>
      </w:r>
    </w:p>
    <w:p w:rsidR="00815112" w:rsidRPr="00145FB1" w:rsidRDefault="00815112" w:rsidP="00145FB1">
      <w:pPr>
        <w:ind w:hanging="720"/>
        <w:rPr>
          <w:rFonts w:cs="Times New Roman"/>
          <w:i/>
          <w:iCs/>
          <w:szCs w:val="24"/>
        </w:rPr>
      </w:pPr>
    </w:p>
    <w:p w:rsidR="000E3C4B" w:rsidRPr="0027400A" w:rsidRDefault="000E3C4B" w:rsidP="000E3C4B">
      <w:pPr>
        <w:ind w:hanging="720"/>
        <w:rPr>
          <w:rStyle w:val="HTMLCite"/>
          <w:rFonts w:cs="Times New Roman"/>
          <w:szCs w:val="24"/>
        </w:rPr>
      </w:pPr>
      <w:proofErr w:type="spellStart"/>
      <w:r w:rsidRPr="0027400A">
        <w:rPr>
          <w:rStyle w:val="cit-name-surname"/>
          <w:rFonts w:cs="Times New Roman"/>
          <w:iCs/>
          <w:szCs w:val="24"/>
        </w:rPr>
        <w:lastRenderedPageBreak/>
        <w:t>Krislov</w:t>
      </w:r>
      <w:proofErr w:type="spellEnd"/>
      <w:r w:rsidRPr="0027400A">
        <w:rPr>
          <w:rStyle w:val="cit-name-surname"/>
          <w:rFonts w:cs="Times New Roman"/>
          <w:iCs/>
          <w:szCs w:val="24"/>
        </w:rPr>
        <w:t>, Samuel</w:t>
      </w:r>
      <w:r w:rsidRPr="0027400A">
        <w:rPr>
          <w:rStyle w:val="HTMLCite"/>
          <w:rFonts w:cs="Times New Roman"/>
          <w:szCs w:val="24"/>
        </w:rPr>
        <w:t xml:space="preserve">. </w:t>
      </w:r>
      <w:r w:rsidRPr="0027400A">
        <w:rPr>
          <w:rStyle w:val="cit-pub-date"/>
          <w:rFonts w:cs="Times New Roman"/>
          <w:iCs/>
          <w:szCs w:val="24"/>
        </w:rPr>
        <w:t>1963</w:t>
      </w:r>
      <w:r w:rsidRPr="0027400A">
        <w:rPr>
          <w:rStyle w:val="HTMLCite"/>
          <w:rFonts w:cs="Times New Roman"/>
          <w:szCs w:val="24"/>
        </w:rPr>
        <w:t xml:space="preserve">. </w:t>
      </w:r>
      <w:r w:rsidR="00BA5A09">
        <w:rPr>
          <w:rStyle w:val="HTMLCite"/>
          <w:rFonts w:cs="Times New Roman"/>
          <w:i w:val="0"/>
          <w:szCs w:val="24"/>
        </w:rPr>
        <w:t>“</w:t>
      </w:r>
      <w:r w:rsidR="00A3683C">
        <w:rPr>
          <w:rStyle w:val="cit-article-title"/>
          <w:rFonts w:cs="Times New Roman"/>
          <w:iCs/>
          <w:szCs w:val="24"/>
        </w:rPr>
        <w:t>The Amicus Curiae B</w:t>
      </w:r>
      <w:r w:rsidRPr="0027400A">
        <w:rPr>
          <w:rStyle w:val="cit-article-title"/>
          <w:rFonts w:cs="Times New Roman"/>
          <w:iCs/>
          <w:szCs w:val="24"/>
        </w:rPr>
        <w:t>rief: From friendship to advocacy</w:t>
      </w:r>
      <w:r w:rsidRPr="0027400A">
        <w:rPr>
          <w:rStyle w:val="HTMLCite"/>
          <w:rFonts w:cs="Times New Roman"/>
          <w:szCs w:val="24"/>
        </w:rPr>
        <w:t>.</w:t>
      </w:r>
      <w:r w:rsidR="00BA5A09">
        <w:rPr>
          <w:rStyle w:val="HTMLCite"/>
          <w:rFonts w:cs="Times New Roman"/>
          <w:i w:val="0"/>
          <w:szCs w:val="24"/>
        </w:rPr>
        <w:t>”</w:t>
      </w:r>
      <w:r w:rsidRPr="0027400A">
        <w:rPr>
          <w:rStyle w:val="HTMLCite"/>
          <w:rFonts w:cs="Times New Roman"/>
          <w:szCs w:val="24"/>
        </w:rPr>
        <w:t xml:space="preserve"> Yale Law Journal </w:t>
      </w:r>
      <w:r w:rsidRPr="0027400A">
        <w:rPr>
          <w:rStyle w:val="cit-vol"/>
          <w:rFonts w:cs="Times New Roman"/>
          <w:iCs/>
          <w:szCs w:val="24"/>
        </w:rPr>
        <w:t>72</w:t>
      </w:r>
      <w:r w:rsidR="005F66E3">
        <w:rPr>
          <w:rStyle w:val="HTMLCite"/>
          <w:rFonts w:cs="Times New Roman"/>
          <w:i w:val="0"/>
          <w:szCs w:val="24"/>
        </w:rPr>
        <w:t xml:space="preserve">(4): </w:t>
      </w:r>
      <w:r w:rsidRPr="0027400A">
        <w:rPr>
          <w:rStyle w:val="cit-fpage"/>
          <w:rFonts w:cs="Times New Roman"/>
          <w:iCs/>
          <w:szCs w:val="24"/>
        </w:rPr>
        <w:t>694</w:t>
      </w:r>
      <w:r w:rsidRPr="0027400A">
        <w:rPr>
          <w:rStyle w:val="HTMLCite"/>
          <w:rFonts w:cs="Times New Roman"/>
          <w:szCs w:val="24"/>
        </w:rPr>
        <w:t>-</w:t>
      </w:r>
      <w:r w:rsidRPr="0027400A">
        <w:rPr>
          <w:rStyle w:val="cit-lpage"/>
          <w:rFonts w:cs="Times New Roman"/>
          <w:szCs w:val="24"/>
        </w:rPr>
        <w:t>721</w:t>
      </w:r>
      <w:r w:rsidRPr="0027400A">
        <w:rPr>
          <w:rStyle w:val="HTMLCite"/>
          <w:rFonts w:cs="Times New Roman"/>
          <w:szCs w:val="24"/>
        </w:rPr>
        <w:t>.</w:t>
      </w:r>
    </w:p>
    <w:p w:rsidR="000E3C4B" w:rsidRPr="0027400A" w:rsidRDefault="000E3C4B" w:rsidP="000E3C4B">
      <w:pPr>
        <w:ind w:hanging="720"/>
        <w:rPr>
          <w:rStyle w:val="HTMLCite"/>
          <w:rFonts w:cs="Times New Roman"/>
          <w:szCs w:val="24"/>
        </w:rPr>
      </w:pPr>
    </w:p>
    <w:p w:rsidR="00E63A5F" w:rsidRPr="00E63A5F" w:rsidRDefault="00E63A5F" w:rsidP="00E63A5F">
      <w:pPr>
        <w:ind w:hanging="720"/>
        <w:rPr>
          <w:rFonts w:eastAsia="Times New Roman" w:cs="Times New Roman"/>
          <w:szCs w:val="24"/>
        </w:rPr>
      </w:pPr>
      <w:proofErr w:type="gramStart"/>
      <w:r w:rsidRPr="00E63A5F">
        <w:rPr>
          <w:rFonts w:eastAsia="Times New Roman" w:cs="Times New Roman"/>
          <w:szCs w:val="24"/>
        </w:rPr>
        <w:t>Kurland, Philip B., and Dennis J. Hutchinson.</w:t>
      </w:r>
      <w:proofErr w:type="gramEnd"/>
      <w:r w:rsidRPr="00E63A5F">
        <w:rPr>
          <w:rFonts w:eastAsia="Times New Roman" w:cs="Times New Roman"/>
          <w:szCs w:val="24"/>
        </w:rPr>
        <w:t xml:space="preserve"> </w:t>
      </w:r>
      <w:r w:rsidRPr="0027400A">
        <w:rPr>
          <w:rFonts w:eastAsia="Times New Roman" w:cs="Times New Roman"/>
          <w:szCs w:val="24"/>
        </w:rPr>
        <w:t xml:space="preserve">1983. </w:t>
      </w:r>
      <w:r w:rsidRPr="00E63A5F">
        <w:rPr>
          <w:rFonts w:eastAsia="Times New Roman" w:cs="Times New Roman"/>
          <w:szCs w:val="24"/>
        </w:rPr>
        <w:t xml:space="preserve">"The business of the Supreme Court, OT 1982." </w:t>
      </w:r>
      <w:r w:rsidRPr="00E63A5F">
        <w:rPr>
          <w:rFonts w:eastAsia="Times New Roman" w:cs="Times New Roman"/>
          <w:i/>
          <w:iCs/>
          <w:szCs w:val="24"/>
        </w:rPr>
        <w:t>The University of Chicago Law Review</w:t>
      </w:r>
      <w:r w:rsidRPr="00E63A5F">
        <w:rPr>
          <w:rFonts w:eastAsia="Times New Roman" w:cs="Times New Roman"/>
          <w:szCs w:val="24"/>
        </w:rPr>
        <w:t>: 628-651.</w:t>
      </w:r>
    </w:p>
    <w:p w:rsidR="000E3C4B" w:rsidRPr="0027400A" w:rsidRDefault="000E3C4B" w:rsidP="000E3C4B">
      <w:pPr>
        <w:ind w:hanging="720"/>
        <w:rPr>
          <w:rFonts w:cs="Times New Roman"/>
          <w:bCs/>
          <w:color w:val="548DD4" w:themeColor="text2" w:themeTint="99"/>
          <w:szCs w:val="24"/>
        </w:rPr>
      </w:pPr>
    </w:p>
    <w:p w:rsidR="000E3C4B" w:rsidRDefault="000E3C4B" w:rsidP="000E3C4B">
      <w:pPr>
        <w:ind w:hanging="720"/>
        <w:rPr>
          <w:rFonts w:eastAsia="Times New Roman" w:cs="Times New Roman"/>
          <w:szCs w:val="24"/>
        </w:rPr>
      </w:pPr>
      <w:proofErr w:type="spellStart"/>
      <w:r w:rsidRPr="0027400A">
        <w:rPr>
          <w:rFonts w:eastAsia="Times New Roman" w:cs="Times New Roman"/>
          <w:szCs w:val="24"/>
        </w:rPr>
        <w:t>Laroche</w:t>
      </w:r>
      <w:proofErr w:type="spellEnd"/>
      <w:r w:rsidRPr="0027400A">
        <w:rPr>
          <w:rFonts w:eastAsia="Times New Roman" w:cs="Times New Roman"/>
          <w:szCs w:val="24"/>
        </w:rPr>
        <w:t xml:space="preserve">, Matthew. 2009. “Is the New York State Court of Appeals Still Friendless-An Empirical Study of Amicus Curiae </w:t>
      </w:r>
      <w:proofErr w:type="gramStart"/>
      <w:r w:rsidRPr="0027400A">
        <w:rPr>
          <w:rFonts w:eastAsia="Times New Roman" w:cs="Times New Roman"/>
          <w:szCs w:val="24"/>
        </w:rPr>
        <w:t>Participation.</w:t>
      </w:r>
      <w:proofErr w:type="gramEnd"/>
      <w:r w:rsidRPr="0027400A">
        <w:rPr>
          <w:rFonts w:eastAsia="Times New Roman" w:cs="Times New Roman"/>
          <w:szCs w:val="24"/>
        </w:rPr>
        <w:t xml:space="preserve">” </w:t>
      </w:r>
      <w:r w:rsidR="00BA5A09">
        <w:rPr>
          <w:rFonts w:eastAsia="Times New Roman" w:cs="Times New Roman"/>
          <w:i/>
          <w:iCs/>
          <w:szCs w:val="24"/>
        </w:rPr>
        <w:t>Albany Law Review</w:t>
      </w:r>
      <w:r w:rsidR="00BA5A09">
        <w:rPr>
          <w:rFonts w:eastAsia="Times New Roman" w:cs="Times New Roman"/>
          <w:szCs w:val="24"/>
        </w:rPr>
        <w:t xml:space="preserve"> </w:t>
      </w:r>
      <w:r w:rsidRPr="00BA5A09">
        <w:rPr>
          <w:rFonts w:eastAsia="Times New Roman" w:cs="Times New Roman"/>
          <w:iCs/>
          <w:szCs w:val="24"/>
        </w:rPr>
        <w:t>72</w:t>
      </w:r>
      <w:r w:rsidR="00BA5A09">
        <w:rPr>
          <w:rFonts w:eastAsia="Times New Roman" w:cs="Times New Roman"/>
          <w:szCs w:val="24"/>
        </w:rPr>
        <w:t>:</w:t>
      </w:r>
      <w:r w:rsidRPr="0027400A">
        <w:rPr>
          <w:rFonts w:eastAsia="Times New Roman" w:cs="Times New Roman"/>
          <w:szCs w:val="24"/>
        </w:rPr>
        <w:t xml:space="preserve"> 701.</w:t>
      </w:r>
    </w:p>
    <w:p w:rsidR="00034232" w:rsidRDefault="00034232" w:rsidP="000E3C4B">
      <w:pPr>
        <w:ind w:hanging="720"/>
        <w:rPr>
          <w:rFonts w:eastAsia="Times New Roman" w:cs="Times New Roman"/>
          <w:szCs w:val="24"/>
        </w:rPr>
      </w:pPr>
    </w:p>
    <w:p w:rsidR="00034232" w:rsidRDefault="00034232" w:rsidP="000E3C4B">
      <w:pPr>
        <w:ind w:hanging="720"/>
        <w:rPr>
          <w:rFonts w:eastAsia="Times New Roman" w:cs="Times New Roman"/>
          <w:szCs w:val="24"/>
        </w:rPr>
      </w:pPr>
      <w:proofErr w:type="spellStart"/>
      <w:r>
        <w:rPr>
          <w:rFonts w:eastAsia="Times New Roman" w:cs="Times New Roman"/>
          <w:szCs w:val="24"/>
        </w:rPr>
        <w:t>Liptak</w:t>
      </w:r>
      <w:proofErr w:type="spellEnd"/>
      <w:r>
        <w:rPr>
          <w:rFonts w:eastAsia="Times New Roman" w:cs="Times New Roman"/>
          <w:szCs w:val="24"/>
        </w:rPr>
        <w:t>, Adam. 2010.  The Court Under Roberts Is Most Conservative in Decades.</w:t>
      </w:r>
      <w:r>
        <w:rPr>
          <w:rFonts w:eastAsia="Times New Roman" w:cs="Times New Roman"/>
          <w:i/>
          <w:szCs w:val="24"/>
        </w:rPr>
        <w:t xml:space="preserve"> </w:t>
      </w:r>
      <w:proofErr w:type="gramStart"/>
      <w:r>
        <w:rPr>
          <w:rFonts w:eastAsia="Times New Roman" w:cs="Times New Roman"/>
          <w:i/>
          <w:szCs w:val="24"/>
        </w:rPr>
        <w:t>The New York Times.</w:t>
      </w:r>
      <w:proofErr w:type="gramEnd"/>
      <w:r>
        <w:rPr>
          <w:rFonts w:eastAsia="Times New Roman" w:cs="Times New Roman"/>
          <w:szCs w:val="24"/>
        </w:rPr>
        <w:t xml:space="preserve"> July 24, 2010.  </w:t>
      </w:r>
      <w:proofErr w:type="gramStart"/>
      <w:r>
        <w:rPr>
          <w:rFonts w:eastAsia="Times New Roman" w:cs="Times New Roman"/>
          <w:szCs w:val="24"/>
        </w:rPr>
        <w:t xml:space="preserve">Accessed at </w:t>
      </w:r>
      <w:hyperlink r:id="rId38" w:history="1">
        <w:r w:rsidRPr="004941DB">
          <w:rPr>
            <w:rStyle w:val="Hyperlink"/>
            <w:rFonts w:eastAsia="Times New Roman" w:cs="Times New Roman"/>
            <w:szCs w:val="24"/>
          </w:rPr>
          <w:t>http://www.nytimes.com/2010/07/25/us/25roberts.html?ref=therobertscourt</w:t>
        </w:r>
      </w:hyperlink>
      <w:r>
        <w:rPr>
          <w:rFonts w:eastAsia="Times New Roman" w:cs="Times New Roman"/>
          <w:szCs w:val="24"/>
        </w:rPr>
        <w:t>.</w:t>
      </w:r>
      <w:proofErr w:type="gramEnd"/>
    </w:p>
    <w:p w:rsidR="00034232" w:rsidRDefault="00034232" w:rsidP="000E3C4B">
      <w:pPr>
        <w:ind w:hanging="720"/>
        <w:rPr>
          <w:rFonts w:eastAsia="Times New Roman" w:cs="Times New Roman"/>
          <w:szCs w:val="24"/>
        </w:rPr>
      </w:pPr>
    </w:p>
    <w:p w:rsidR="00034232" w:rsidRDefault="00034232" w:rsidP="000E3C4B">
      <w:pPr>
        <w:ind w:hanging="720"/>
        <w:rPr>
          <w:rFonts w:eastAsia="Times New Roman" w:cs="Times New Roman"/>
          <w:szCs w:val="24"/>
        </w:rPr>
      </w:pPr>
      <w:proofErr w:type="spellStart"/>
      <w:r>
        <w:rPr>
          <w:rFonts w:eastAsia="Times New Roman" w:cs="Times New Roman"/>
          <w:szCs w:val="24"/>
        </w:rPr>
        <w:t>Liptak</w:t>
      </w:r>
      <w:proofErr w:type="spellEnd"/>
      <w:r>
        <w:rPr>
          <w:rFonts w:eastAsia="Times New Roman" w:cs="Times New Roman"/>
          <w:szCs w:val="24"/>
        </w:rPr>
        <w:t xml:space="preserve">, Adam. 2013a. “Corporations Find a Friend in the Supreme Court. May 4, 2013. </w:t>
      </w:r>
      <w:proofErr w:type="gramStart"/>
      <w:r>
        <w:rPr>
          <w:rFonts w:eastAsia="Times New Roman" w:cs="Times New Roman"/>
          <w:i/>
          <w:szCs w:val="24"/>
        </w:rPr>
        <w:t>The New York Times.</w:t>
      </w:r>
      <w:proofErr w:type="gramEnd"/>
      <w:r>
        <w:rPr>
          <w:rFonts w:eastAsia="Times New Roman" w:cs="Times New Roman"/>
          <w:i/>
          <w:szCs w:val="24"/>
        </w:rPr>
        <w:t xml:space="preserve"> </w:t>
      </w:r>
      <w:proofErr w:type="gramStart"/>
      <w:r>
        <w:rPr>
          <w:rFonts w:eastAsia="Times New Roman" w:cs="Times New Roman"/>
          <w:szCs w:val="24"/>
        </w:rPr>
        <w:t xml:space="preserve">Accessed at </w:t>
      </w:r>
      <w:hyperlink r:id="rId39" w:history="1">
        <w:r w:rsidRPr="004941DB">
          <w:rPr>
            <w:rStyle w:val="Hyperlink"/>
            <w:rFonts w:eastAsia="Times New Roman" w:cs="Times New Roman"/>
            <w:szCs w:val="24"/>
          </w:rPr>
          <w:t>http://www.nytimes.com/2013/05/05/business/pro-business-decisions-are-defining-this-supreme-court.html?pagewanted=all</w:t>
        </w:r>
      </w:hyperlink>
      <w:r>
        <w:rPr>
          <w:rFonts w:eastAsia="Times New Roman" w:cs="Times New Roman"/>
          <w:szCs w:val="24"/>
        </w:rPr>
        <w:t>.</w:t>
      </w:r>
      <w:proofErr w:type="gramEnd"/>
    </w:p>
    <w:p w:rsidR="00034232" w:rsidRDefault="00034232" w:rsidP="000E3C4B">
      <w:pPr>
        <w:ind w:hanging="720"/>
        <w:rPr>
          <w:rFonts w:eastAsia="Times New Roman" w:cs="Times New Roman"/>
          <w:szCs w:val="24"/>
        </w:rPr>
      </w:pPr>
    </w:p>
    <w:p w:rsidR="00034232" w:rsidRDefault="00034232" w:rsidP="000E3C4B">
      <w:pPr>
        <w:ind w:hanging="720"/>
        <w:rPr>
          <w:rFonts w:eastAsia="Times New Roman" w:cs="Times New Roman"/>
          <w:szCs w:val="24"/>
        </w:rPr>
      </w:pPr>
      <w:proofErr w:type="spellStart"/>
      <w:r>
        <w:rPr>
          <w:rFonts w:eastAsia="Times New Roman" w:cs="Times New Roman"/>
          <w:szCs w:val="24"/>
        </w:rPr>
        <w:t>Liptak</w:t>
      </w:r>
      <w:proofErr w:type="spellEnd"/>
      <w:r>
        <w:rPr>
          <w:rFonts w:eastAsia="Times New Roman" w:cs="Times New Roman"/>
          <w:szCs w:val="24"/>
        </w:rPr>
        <w:t xml:space="preserve">, Adam. 2013b. “Roberts Pull Supreme Court to the Right Step by Step.”  </w:t>
      </w:r>
      <w:proofErr w:type="gramStart"/>
      <w:r>
        <w:rPr>
          <w:rFonts w:eastAsia="Times New Roman" w:cs="Times New Roman"/>
          <w:i/>
          <w:szCs w:val="24"/>
        </w:rPr>
        <w:t>The New York Times.</w:t>
      </w:r>
      <w:proofErr w:type="gramEnd"/>
      <w:r>
        <w:rPr>
          <w:rFonts w:eastAsia="Times New Roman" w:cs="Times New Roman"/>
          <w:i/>
          <w:szCs w:val="24"/>
        </w:rPr>
        <w:t xml:space="preserve"> </w:t>
      </w:r>
      <w:r>
        <w:rPr>
          <w:rFonts w:eastAsia="Times New Roman" w:cs="Times New Roman"/>
          <w:szCs w:val="24"/>
        </w:rPr>
        <w:t xml:space="preserve">June 27, 2013.  </w:t>
      </w:r>
      <w:proofErr w:type="gramStart"/>
      <w:r>
        <w:rPr>
          <w:rFonts w:eastAsia="Times New Roman" w:cs="Times New Roman"/>
          <w:szCs w:val="24"/>
        </w:rPr>
        <w:t xml:space="preserve">Accessed at </w:t>
      </w:r>
      <w:hyperlink r:id="rId40" w:history="1">
        <w:r w:rsidRPr="004941DB">
          <w:rPr>
            <w:rStyle w:val="Hyperlink"/>
            <w:rFonts w:eastAsia="Times New Roman" w:cs="Times New Roman"/>
            <w:szCs w:val="24"/>
          </w:rPr>
          <w:t>http://www.nytimes.com/2013/06/28/us/politics/roberts-plays-a-long-game.html?pagewanted=all&amp;_r=0</w:t>
        </w:r>
      </w:hyperlink>
      <w:r>
        <w:rPr>
          <w:rFonts w:eastAsia="Times New Roman" w:cs="Times New Roman"/>
          <w:szCs w:val="24"/>
        </w:rPr>
        <w:t>.</w:t>
      </w:r>
      <w:proofErr w:type="gramEnd"/>
    </w:p>
    <w:p w:rsidR="000E3C4B" w:rsidRPr="0027400A" w:rsidRDefault="000E3C4B" w:rsidP="00034232">
      <w:pPr>
        <w:ind w:left="0" w:firstLine="0"/>
        <w:rPr>
          <w:rFonts w:cs="Times New Roman"/>
          <w:bCs/>
          <w:color w:val="548DD4" w:themeColor="text2" w:themeTint="99"/>
          <w:szCs w:val="24"/>
        </w:rPr>
      </w:pPr>
    </w:p>
    <w:p w:rsidR="000E3C4B" w:rsidRPr="0027400A" w:rsidRDefault="000E3C4B" w:rsidP="000E3C4B">
      <w:pPr>
        <w:autoSpaceDE w:val="0"/>
        <w:autoSpaceDN w:val="0"/>
        <w:adjustRightInd w:val="0"/>
        <w:ind w:hanging="720"/>
        <w:rPr>
          <w:rStyle w:val="HTMLCite"/>
          <w:rFonts w:cs="Times New Roman"/>
          <w:szCs w:val="24"/>
        </w:rPr>
      </w:pPr>
      <w:r w:rsidRPr="0027400A">
        <w:rPr>
          <w:rStyle w:val="cit-name-surname"/>
          <w:rFonts w:cs="Times New Roman"/>
          <w:iCs/>
          <w:szCs w:val="24"/>
        </w:rPr>
        <w:t>Lynch, Kelly J.</w:t>
      </w:r>
      <w:r w:rsidRPr="0027400A">
        <w:rPr>
          <w:rStyle w:val="HTMLCite"/>
          <w:rFonts w:cs="Times New Roman"/>
          <w:szCs w:val="24"/>
        </w:rPr>
        <w:t xml:space="preserve"> </w:t>
      </w:r>
      <w:r w:rsidRPr="0027400A">
        <w:rPr>
          <w:rStyle w:val="cit-pub-date"/>
          <w:rFonts w:cs="Times New Roman"/>
          <w:iCs/>
          <w:szCs w:val="24"/>
        </w:rPr>
        <w:t>2004</w:t>
      </w:r>
      <w:r w:rsidRPr="0027400A">
        <w:rPr>
          <w:rStyle w:val="HTMLCite"/>
          <w:rFonts w:cs="Times New Roman"/>
          <w:szCs w:val="24"/>
        </w:rPr>
        <w:t>. “</w:t>
      </w:r>
      <w:r w:rsidRPr="0027400A">
        <w:rPr>
          <w:rStyle w:val="cit-article-title"/>
          <w:rFonts w:cs="Times New Roman"/>
          <w:iCs/>
          <w:szCs w:val="24"/>
        </w:rPr>
        <w:t>Best friends? Supreme Court law clerks on effective amicus curiae briefs</w:t>
      </w:r>
      <w:r w:rsidRPr="0027400A">
        <w:rPr>
          <w:rStyle w:val="HTMLCite"/>
          <w:rFonts w:cs="Times New Roman"/>
          <w:szCs w:val="24"/>
        </w:rPr>
        <w:t xml:space="preserve">.” Journal of Law and Politics </w:t>
      </w:r>
      <w:r w:rsidRPr="0027400A">
        <w:rPr>
          <w:rStyle w:val="cit-vol"/>
          <w:rFonts w:cs="Times New Roman"/>
          <w:iCs/>
          <w:szCs w:val="24"/>
        </w:rPr>
        <w:t>20</w:t>
      </w:r>
      <w:r w:rsidR="00BA5A09">
        <w:rPr>
          <w:rStyle w:val="HTMLCite"/>
          <w:rFonts w:cs="Times New Roman"/>
          <w:i w:val="0"/>
          <w:szCs w:val="24"/>
        </w:rPr>
        <w:t>(1):</w:t>
      </w:r>
      <w:r w:rsidRPr="0027400A">
        <w:rPr>
          <w:rStyle w:val="HTMLCite"/>
          <w:rFonts w:cs="Times New Roman"/>
          <w:szCs w:val="24"/>
        </w:rPr>
        <w:t xml:space="preserve"> </w:t>
      </w:r>
      <w:r w:rsidRPr="0027400A">
        <w:rPr>
          <w:rStyle w:val="cit-fpage"/>
          <w:rFonts w:cs="Times New Roman"/>
          <w:iCs/>
          <w:szCs w:val="24"/>
        </w:rPr>
        <w:t>33</w:t>
      </w:r>
      <w:r w:rsidRPr="0027400A">
        <w:rPr>
          <w:rStyle w:val="HTMLCite"/>
          <w:rFonts w:cs="Times New Roman"/>
          <w:szCs w:val="24"/>
        </w:rPr>
        <w:t>-</w:t>
      </w:r>
      <w:r w:rsidRPr="0027400A">
        <w:rPr>
          <w:rStyle w:val="cit-lpage"/>
          <w:rFonts w:cs="Times New Roman"/>
          <w:szCs w:val="24"/>
        </w:rPr>
        <w:t>75</w:t>
      </w:r>
      <w:r w:rsidRPr="0027400A">
        <w:rPr>
          <w:rStyle w:val="HTMLCite"/>
          <w:rFonts w:cs="Times New Roman"/>
          <w:szCs w:val="24"/>
        </w:rPr>
        <w:t>.</w:t>
      </w:r>
    </w:p>
    <w:p w:rsidR="000E3C4B" w:rsidRPr="0027400A" w:rsidRDefault="000E3C4B" w:rsidP="000E3C4B">
      <w:pPr>
        <w:autoSpaceDE w:val="0"/>
        <w:autoSpaceDN w:val="0"/>
        <w:adjustRightInd w:val="0"/>
        <w:ind w:left="0" w:firstLine="0"/>
        <w:rPr>
          <w:rFonts w:cs="Times New Roman"/>
          <w:color w:val="FF0000"/>
          <w:szCs w:val="24"/>
        </w:rPr>
      </w:pPr>
    </w:p>
    <w:p w:rsidR="00E63A5F" w:rsidRPr="00E63A5F" w:rsidRDefault="00E63A5F" w:rsidP="00E63A5F">
      <w:pPr>
        <w:ind w:left="0" w:firstLine="0"/>
        <w:rPr>
          <w:rFonts w:eastAsia="Times New Roman" w:cs="Times New Roman"/>
          <w:szCs w:val="24"/>
        </w:rPr>
      </w:pPr>
      <w:proofErr w:type="spellStart"/>
      <w:proofErr w:type="gramStart"/>
      <w:r w:rsidRPr="00E63A5F">
        <w:rPr>
          <w:rFonts w:eastAsia="Times New Roman" w:cs="Times New Roman"/>
          <w:szCs w:val="24"/>
        </w:rPr>
        <w:t>M</w:t>
      </w:r>
      <w:r w:rsidRPr="0027400A">
        <w:rPr>
          <w:rFonts w:eastAsia="Times New Roman" w:cs="Times New Roman"/>
          <w:szCs w:val="24"/>
        </w:rPr>
        <w:t>altzman</w:t>
      </w:r>
      <w:proofErr w:type="spellEnd"/>
      <w:r w:rsidRPr="0027400A">
        <w:rPr>
          <w:rFonts w:eastAsia="Times New Roman" w:cs="Times New Roman"/>
          <w:szCs w:val="24"/>
        </w:rPr>
        <w:t xml:space="preserve">, Forrest, and J. Paul </w:t>
      </w:r>
      <w:proofErr w:type="spellStart"/>
      <w:r w:rsidRPr="00E63A5F">
        <w:rPr>
          <w:rFonts w:eastAsia="Times New Roman" w:cs="Times New Roman"/>
          <w:szCs w:val="24"/>
        </w:rPr>
        <w:t>Wahlbeck</w:t>
      </w:r>
      <w:proofErr w:type="spellEnd"/>
      <w:r w:rsidRPr="00E63A5F">
        <w:rPr>
          <w:rFonts w:eastAsia="Times New Roman" w:cs="Times New Roman"/>
          <w:szCs w:val="24"/>
        </w:rPr>
        <w:t>.</w:t>
      </w:r>
      <w:proofErr w:type="gramEnd"/>
      <w:r w:rsidRPr="00E63A5F">
        <w:rPr>
          <w:rFonts w:eastAsia="Times New Roman" w:cs="Times New Roman"/>
          <w:szCs w:val="24"/>
        </w:rPr>
        <w:t xml:space="preserve"> 2003.</w:t>
      </w:r>
      <w:r w:rsidR="00CB16B6">
        <w:rPr>
          <w:rFonts w:eastAsia="Times New Roman" w:cs="Times New Roman"/>
          <w:szCs w:val="24"/>
        </w:rPr>
        <w:t xml:space="preserve"> </w:t>
      </w:r>
      <w:r w:rsidRPr="00E63A5F">
        <w:rPr>
          <w:rFonts w:eastAsia="Times New Roman" w:cs="Times New Roman"/>
          <w:szCs w:val="24"/>
        </w:rPr>
        <w:t xml:space="preserve">“Salience or Politics." </w:t>
      </w:r>
      <w:r w:rsidRPr="00E63A5F">
        <w:rPr>
          <w:rFonts w:eastAsia="Times New Roman" w:cs="Times New Roman"/>
          <w:i/>
          <w:iCs/>
          <w:szCs w:val="24"/>
        </w:rPr>
        <w:t>New York Times</w:t>
      </w:r>
      <w:r w:rsidRPr="00E63A5F">
        <w:rPr>
          <w:rFonts w:eastAsia="Times New Roman" w:cs="Times New Roman"/>
          <w:szCs w:val="24"/>
        </w:rPr>
        <w:t>: 3-6.</w:t>
      </w:r>
    </w:p>
    <w:p w:rsidR="00E63A5F" w:rsidRPr="0027400A" w:rsidRDefault="00E63A5F" w:rsidP="000E3C4B">
      <w:pPr>
        <w:autoSpaceDE w:val="0"/>
        <w:autoSpaceDN w:val="0"/>
        <w:adjustRightInd w:val="0"/>
        <w:ind w:left="0" w:firstLine="0"/>
        <w:rPr>
          <w:rFonts w:cs="Times New Roman"/>
          <w:szCs w:val="24"/>
        </w:rPr>
      </w:pPr>
    </w:p>
    <w:p w:rsidR="000E3C4B" w:rsidRDefault="000E3C4B" w:rsidP="000E3C4B">
      <w:pPr>
        <w:ind w:hanging="720"/>
        <w:rPr>
          <w:rFonts w:cs="Times New Roman"/>
          <w:szCs w:val="24"/>
        </w:rPr>
      </w:pPr>
      <w:proofErr w:type="gramStart"/>
      <w:r w:rsidRPr="0027400A">
        <w:rPr>
          <w:rFonts w:cs="Times New Roman"/>
          <w:szCs w:val="24"/>
        </w:rPr>
        <w:t>Martin, Andrew D. and Kevin M. Quinn.</w:t>
      </w:r>
      <w:proofErr w:type="gramEnd"/>
      <w:r w:rsidRPr="0027400A">
        <w:rPr>
          <w:rFonts w:cs="Times New Roman"/>
          <w:szCs w:val="24"/>
        </w:rPr>
        <w:t xml:space="preserve"> 2002. "Dynamic Ideal Point Estimation via Markov Chain Monte Carlo for the U.S. Supreme Court, 1953-1999." </w:t>
      </w:r>
      <w:r w:rsidRPr="0027400A">
        <w:rPr>
          <w:rStyle w:val="Emphasis"/>
          <w:rFonts w:cs="Times New Roman"/>
          <w:szCs w:val="24"/>
        </w:rPr>
        <w:t>Political Analysis</w:t>
      </w:r>
      <w:r w:rsidRPr="0027400A">
        <w:rPr>
          <w:rFonts w:cs="Times New Roman"/>
          <w:szCs w:val="24"/>
        </w:rPr>
        <w:t xml:space="preserve"> 10:134-153.  </w:t>
      </w:r>
    </w:p>
    <w:p w:rsidR="00CB16B6" w:rsidRPr="00CB16B6" w:rsidRDefault="00CB16B6" w:rsidP="000E3C4B">
      <w:pPr>
        <w:ind w:hanging="720"/>
        <w:rPr>
          <w:rFonts w:cs="Times New Roman"/>
          <w:szCs w:val="24"/>
        </w:rPr>
      </w:pPr>
    </w:p>
    <w:p w:rsidR="00CB16B6" w:rsidRPr="00CB16B6" w:rsidRDefault="00CB16B6" w:rsidP="00CB16B6">
      <w:pPr>
        <w:ind w:hanging="720"/>
        <w:rPr>
          <w:rFonts w:eastAsia="Times New Roman" w:cs="Times New Roman"/>
          <w:szCs w:val="24"/>
        </w:rPr>
      </w:pPr>
      <w:proofErr w:type="gramStart"/>
      <w:r w:rsidRPr="00CB16B6">
        <w:rPr>
          <w:rFonts w:eastAsia="Times New Roman" w:cs="Times New Roman"/>
          <w:szCs w:val="24"/>
        </w:rPr>
        <w:t>Martin, Andrew D., Kevin M. Quinn and Lee Epstein.</w:t>
      </w:r>
      <w:proofErr w:type="gramEnd"/>
      <w:r w:rsidRPr="00CB16B6">
        <w:rPr>
          <w:rFonts w:eastAsia="Times New Roman" w:cs="Times New Roman"/>
          <w:szCs w:val="24"/>
        </w:rPr>
        <w:t xml:space="preserve"> 2005. “The Median Justice on </w:t>
      </w:r>
      <w:proofErr w:type="gramStart"/>
      <w:r w:rsidRPr="00CB16B6">
        <w:rPr>
          <w:rFonts w:eastAsia="Times New Roman" w:cs="Times New Roman"/>
          <w:szCs w:val="24"/>
        </w:rPr>
        <w:t xml:space="preserve">the </w:t>
      </w:r>
      <w:r>
        <w:rPr>
          <w:rFonts w:eastAsia="Times New Roman" w:cs="Times New Roman"/>
          <w:szCs w:val="24"/>
        </w:rPr>
        <w:t xml:space="preserve"> </w:t>
      </w:r>
      <w:r w:rsidRPr="00CB16B6">
        <w:rPr>
          <w:rFonts w:eastAsia="Times New Roman" w:cs="Times New Roman"/>
          <w:szCs w:val="24"/>
        </w:rPr>
        <w:t>U.S</w:t>
      </w:r>
      <w:proofErr w:type="gramEnd"/>
      <w:r w:rsidRPr="00CB16B6">
        <w:rPr>
          <w:rFonts w:eastAsia="Times New Roman" w:cs="Times New Roman"/>
          <w:szCs w:val="24"/>
        </w:rPr>
        <w:t xml:space="preserve">. Supreme Court.” </w:t>
      </w:r>
      <w:r>
        <w:rPr>
          <w:rFonts w:eastAsia="Times New Roman" w:cs="Times New Roman"/>
          <w:szCs w:val="24"/>
        </w:rPr>
        <w:t xml:space="preserve"> </w:t>
      </w:r>
      <w:r w:rsidRPr="00CB16B6">
        <w:rPr>
          <w:rFonts w:eastAsia="Times New Roman" w:cs="Times New Roman"/>
          <w:i/>
          <w:szCs w:val="24"/>
        </w:rPr>
        <w:t>North Carolina Law Review</w:t>
      </w:r>
      <w:r>
        <w:rPr>
          <w:rFonts w:eastAsia="Times New Roman" w:cs="Times New Roman"/>
          <w:szCs w:val="24"/>
        </w:rPr>
        <w:t xml:space="preserve"> </w:t>
      </w:r>
      <w:r w:rsidRPr="00CB16B6">
        <w:rPr>
          <w:rFonts w:eastAsia="Times New Roman" w:cs="Times New Roman"/>
          <w:szCs w:val="24"/>
        </w:rPr>
        <w:t xml:space="preserve">83:1275–1322. </w:t>
      </w:r>
    </w:p>
    <w:p w:rsidR="000E3C4B" w:rsidRPr="0027400A" w:rsidRDefault="000E3C4B" w:rsidP="00CB16B6">
      <w:pPr>
        <w:ind w:left="0" w:firstLine="0"/>
        <w:rPr>
          <w:rFonts w:cs="Times New Roman"/>
          <w:szCs w:val="24"/>
        </w:rPr>
      </w:pPr>
    </w:p>
    <w:p w:rsidR="000E3C4B" w:rsidRDefault="000E3C4B" w:rsidP="000E3C4B">
      <w:pPr>
        <w:ind w:left="630" w:hanging="630"/>
        <w:rPr>
          <w:rFonts w:cs="Times New Roman"/>
          <w:bCs/>
          <w:szCs w:val="24"/>
        </w:rPr>
      </w:pPr>
      <w:proofErr w:type="spellStart"/>
      <w:r w:rsidRPr="0027400A">
        <w:rPr>
          <w:rFonts w:cs="Times New Roman"/>
          <w:bCs/>
          <w:szCs w:val="24"/>
        </w:rPr>
        <w:t>Martinek</w:t>
      </w:r>
      <w:proofErr w:type="spellEnd"/>
      <w:r w:rsidRPr="0027400A">
        <w:rPr>
          <w:rFonts w:cs="Times New Roman"/>
          <w:bCs/>
          <w:szCs w:val="24"/>
        </w:rPr>
        <w:t xml:space="preserve">, Wendy L. 2006. </w:t>
      </w:r>
      <w:proofErr w:type="gramStart"/>
      <w:r w:rsidRPr="0027400A">
        <w:rPr>
          <w:rFonts w:cs="Times New Roman"/>
          <w:bCs/>
          <w:szCs w:val="24"/>
        </w:rPr>
        <w:t>“Amici curiae in the U.S. courts of appeals.”</w:t>
      </w:r>
      <w:proofErr w:type="gramEnd"/>
      <w:r w:rsidRPr="0027400A">
        <w:rPr>
          <w:rFonts w:cs="Times New Roman"/>
          <w:bCs/>
          <w:szCs w:val="24"/>
        </w:rPr>
        <w:t xml:space="preserve"> </w:t>
      </w:r>
      <w:r w:rsidRPr="0027400A">
        <w:rPr>
          <w:rFonts w:cs="Times New Roman"/>
          <w:bCs/>
          <w:i/>
          <w:szCs w:val="24"/>
        </w:rPr>
        <w:t>American Politics Research</w:t>
      </w:r>
      <w:r w:rsidRPr="0027400A">
        <w:rPr>
          <w:rFonts w:cs="Times New Roman"/>
          <w:bCs/>
          <w:szCs w:val="24"/>
        </w:rPr>
        <w:t xml:space="preserve"> 34 (6): 803-24.</w:t>
      </w:r>
    </w:p>
    <w:p w:rsidR="00DA1CBB" w:rsidRDefault="00DA1CBB" w:rsidP="000E3C4B">
      <w:pPr>
        <w:ind w:left="630" w:hanging="630"/>
        <w:rPr>
          <w:rFonts w:cs="Times New Roman"/>
          <w:bCs/>
          <w:szCs w:val="24"/>
        </w:rPr>
      </w:pPr>
    </w:p>
    <w:p w:rsidR="00DA1CBB" w:rsidRDefault="00DA1CBB" w:rsidP="000E3C4B">
      <w:pPr>
        <w:ind w:left="630" w:hanging="630"/>
        <w:rPr>
          <w:rFonts w:cs="Times New Roman"/>
          <w:bCs/>
          <w:szCs w:val="24"/>
        </w:rPr>
      </w:pPr>
      <w:r>
        <w:rPr>
          <w:rFonts w:cs="Times New Roman"/>
          <w:bCs/>
          <w:szCs w:val="24"/>
        </w:rPr>
        <w:t xml:space="preserve">Mauro, Tony. July 2, 2012. “For </w:t>
      </w:r>
      <w:proofErr w:type="spellStart"/>
      <w:r>
        <w:rPr>
          <w:rFonts w:cs="Times New Roman"/>
          <w:bCs/>
          <w:szCs w:val="24"/>
        </w:rPr>
        <w:t>Pincus</w:t>
      </w:r>
      <w:proofErr w:type="spellEnd"/>
      <w:r>
        <w:rPr>
          <w:rFonts w:cs="Times New Roman"/>
          <w:bCs/>
          <w:szCs w:val="24"/>
        </w:rPr>
        <w:t xml:space="preserve">, tax issue was always at center of health care case.” </w:t>
      </w:r>
      <w:r>
        <w:rPr>
          <w:rFonts w:cs="Times New Roman"/>
          <w:bCs/>
          <w:i/>
          <w:szCs w:val="24"/>
        </w:rPr>
        <w:t>The National Law Journal: Supreme Court Insider</w:t>
      </w:r>
      <w:r>
        <w:rPr>
          <w:rFonts w:cs="Times New Roman"/>
          <w:bCs/>
          <w:szCs w:val="24"/>
        </w:rPr>
        <w:t xml:space="preserve">.  </w:t>
      </w:r>
      <w:proofErr w:type="gramStart"/>
      <w:r>
        <w:rPr>
          <w:rFonts w:cs="Times New Roman"/>
          <w:bCs/>
          <w:szCs w:val="24"/>
        </w:rPr>
        <w:t xml:space="preserve">Accessed at </w:t>
      </w:r>
      <w:hyperlink r:id="rId41" w:history="1">
        <w:r w:rsidRPr="00F015F3">
          <w:rPr>
            <w:rStyle w:val="Hyperlink"/>
            <w:rFonts w:cs="Times New Roman"/>
            <w:bCs/>
            <w:szCs w:val="24"/>
          </w:rPr>
          <w:t>http://www.law.yale.edu/documents/pdf/News_&amp;_Events/For_Pincus_tax_issue_was_always_at_center_of_HC_case.SCI.PDF</w:t>
        </w:r>
      </w:hyperlink>
      <w:r>
        <w:rPr>
          <w:rFonts w:cs="Times New Roman"/>
          <w:bCs/>
          <w:szCs w:val="24"/>
        </w:rPr>
        <w:t>.</w:t>
      </w:r>
      <w:proofErr w:type="gramEnd"/>
    </w:p>
    <w:p w:rsidR="000E3C4B" w:rsidRPr="0027400A" w:rsidRDefault="000E3C4B" w:rsidP="000E3C4B">
      <w:pPr>
        <w:ind w:left="630" w:hanging="630"/>
        <w:rPr>
          <w:rFonts w:cs="Times New Roman"/>
          <w:bCs/>
          <w:szCs w:val="24"/>
        </w:rPr>
      </w:pPr>
    </w:p>
    <w:p w:rsidR="000E3C4B" w:rsidRPr="0027400A" w:rsidRDefault="000E3C4B" w:rsidP="000E3C4B">
      <w:pPr>
        <w:ind w:hanging="720"/>
        <w:rPr>
          <w:rFonts w:eastAsia="Times New Roman" w:cs="Times New Roman"/>
          <w:szCs w:val="24"/>
        </w:rPr>
      </w:pPr>
      <w:proofErr w:type="spellStart"/>
      <w:proofErr w:type="gramStart"/>
      <w:r w:rsidRPr="0027400A">
        <w:rPr>
          <w:rFonts w:eastAsia="Times New Roman" w:cs="Times New Roman"/>
          <w:szCs w:val="24"/>
        </w:rPr>
        <w:t>McAtee</w:t>
      </w:r>
      <w:proofErr w:type="spellEnd"/>
      <w:r w:rsidRPr="0027400A">
        <w:rPr>
          <w:rFonts w:eastAsia="Times New Roman" w:cs="Times New Roman"/>
          <w:szCs w:val="24"/>
        </w:rPr>
        <w:t>, Andrea, and Kevin T.</w:t>
      </w:r>
      <w:r w:rsidR="00BA5A09" w:rsidRPr="00BA5A09">
        <w:rPr>
          <w:rFonts w:eastAsia="Times New Roman" w:cs="Times New Roman"/>
          <w:szCs w:val="24"/>
        </w:rPr>
        <w:t xml:space="preserve"> </w:t>
      </w:r>
      <w:r w:rsidR="00BA5A09" w:rsidRPr="0027400A">
        <w:rPr>
          <w:rFonts w:eastAsia="Times New Roman" w:cs="Times New Roman"/>
          <w:szCs w:val="24"/>
        </w:rPr>
        <w:t>McGuire</w:t>
      </w:r>
      <w:r w:rsidR="00BA5A09">
        <w:rPr>
          <w:rFonts w:eastAsia="Times New Roman" w:cs="Times New Roman"/>
          <w:szCs w:val="24"/>
        </w:rPr>
        <w:t>.</w:t>
      </w:r>
      <w:proofErr w:type="gramEnd"/>
      <w:r w:rsidRPr="0027400A">
        <w:rPr>
          <w:rFonts w:eastAsia="Times New Roman" w:cs="Times New Roman"/>
          <w:szCs w:val="24"/>
        </w:rPr>
        <w:t xml:space="preserve"> 2007. “Lawyers, Justices, and Issue Salience: When and How Do Legal Argumen</w:t>
      </w:r>
      <w:r w:rsidR="0092545B">
        <w:rPr>
          <w:rFonts w:eastAsia="Times New Roman" w:cs="Times New Roman"/>
          <w:szCs w:val="24"/>
        </w:rPr>
        <w:t>ts Affect the US Supreme Court?</w:t>
      </w:r>
      <w:r w:rsidRPr="0027400A">
        <w:rPr>
          <w:rFonts w:eastAsia="Times New Roman" w:cs="Times New Roman"/>
          <w:szCs w:val="24"/>
        </w:rPr>
        <w:t xml:space="preserve">” </w:t>
      </w:r>
      <w:r w:rsidRPr="0027400A">
        <w:rPr>
          <w:rFonts w:eastAsia="Times New Roman" w:cs="Times New Roman"/>
          <w:i/>
          <w:iCs/>
          <w:szCs w:val="24"/>
        </w:rPr>
        <w:t xml:space="preserve">Law </w:t>
      </w:r>
      <w:r w:rsidR="000D6839" w:rsidRPr="0027400A">
        <w:rPr>
          <w:rFonts w:eastAsia="Times New Roman" w:cs="Times New Roman"/>
          <w:i/>
          <w:iCs/>
          <w:szCs w:val="24"/>
        </w:rPr>
        <w:t>and</w:t>
      </w:r>
      <w:r w:rsidR="0092545B">
        <w:rPr>
          <w:rFonts w:eastAsia="Times New Roman" w:cs="Times New Roman"/>
          <w:i/>
          <w:iCs/>
          <w:szCs w:val="24"/>
        </w:rPr>
        <w:t xml:space="preserve"> Society R</w:t>
      </w:r>
      <w:r w:rsidRPr="0027400A">
        <w:rPr>
          <w:rFonts w:eastAsia="Times New Roman" w:cs="Times New Roman"/>
          <w:i/>
          <w:iCs/>
          <w:szCs w:val="24"/>
        </w:rPr>
        <w:t>eview</w:t>
      </w:r>
      <w:r w:rsidRPr="0027400A">
        <w:rPr>
          <w:rFonts w:eastAsia="Times New Roman" w:cs="Times New Roman"/>
          <w:szCs w:val="24"/>
        </w:rPr>
        <w:t xml:space="preserve"> </w:t>
      </w:r>
      <w:r w:rsidRPr="005F66E3">
        <w:rPr>
          <w:rFonts w:eastAsia="Times New Roman" w:cs="Times New Roman"/>
          <w:iCs/>
          <w:szCs w:val="24"/>
        </w:rPr>
        <w:t>41</w:t>
      </w:r>
      <w:r w:rsidR="00A3683C" w:rsidRPr="005F66E3">
        <w:rPr>
          <w:rFonts w:eastAsia="Times New Roman" w:cs="Times New Roman"/>
          <w:szCs w:val="24"/>
        </w:rPr>
        <w:t>(2):</w:t>
      </w:r>
      <w:r w:rsidRPr="0027400A">
        <w:rPr>
          <w:rFonts w:eastAsia="Times New Roman" w:cs="Times New Roman"/>
          <w:szCs w:val="24"/>
        </w:rPr>
        <w:t xml:space="preserve"> 259-278.</w:t>
      </w:r>
    </w:p>
    <w:p w:rsidR="000E3C4B" w:rsidRPr="0027400A" w:rsidRDefault="000E3C4B" w:rsidP="000E3C4B">
      <w:pPr>
        <w:autoSpaceDE w:val="0"/>
        <w:autoSpaceDN w:val="0"/>
        <w:adjustRightInd w:val="0"/>
        <w:ind w:left="0" w:firstLine="0"/>
        <w:rPr>
          <w:rFonts w:cs="Times New Roman"/>
          <w:szCs w:val="24"/>
        </w:rPr>
      </w:pPr>
    </w:p>
    <w:p w:rsidR="000E3C4B" w:rsidRPr="0027400A" w:rsidRDefault="000E3C4B" w:rsidP="000E3C4B">
      <w:pPr>
        <w:autoSpaceDE w:val="0"/>
        <w:autoSpaceDN w:val="0"/>
        <w:adjustRightInd w:val="0"/>
        <w:ind w:hanging="720"/>
        <w:rPr>
          <w:rFonts w:cs="Times New Roman"/>
          <w:szCs w:val="24"/>
        </w:rPr>
      </w:pPr>
      <w:r w:rsidRPr="0027400A">
        <w:rPr>
          <w:rFonts w:cs="Times New Roman"/>
          <w:szCs w:val="24"/>
        </w:rPr>
        <w:lastRenderedPageBreak/>
        <w:t xml:space="preserve">McGuire, Kevin T. 1995. “Repeat Players in the Supreme Court:  The Role of Experienced Lawyers in Litigation Success.” </w:t>
      </w:r>
      <w:r w:rsidRPr="0027400A">
        <w:rPr>
          <w:rFonts w:cs="Times New Roman"/>
          <w:i/>
          <w:szCs w:val="24"/>
        </w:rPr>
        <w:t>Journal of Politics</w:t>
      </w:r>
      <w:r w:rsidRPr="0027400A">
        <w:rPr>
          <w:rFonts w:cs="Times New Roman"/>
          <w:szCs w:val="24"/>
        </w:rPr>
        <w:t xml:space="preserve"> 57: 187.  </w:t>
      </w:r>
    </w:p>
    <w:p w:rsidR="000E3C4B" w:rsidRPr="0027400A" w:rsidRDefault="000E3C4B" w:rsidP="000E3C4B">
      <w:pPr>
        <w:autoSpaceDE w:val="0"/>
        <w:autoSpaceDN w:val="0"/>
        <w:adjustRightInd w:val="0"/>
        <w:rPr>
          <w:rFonts w:cs="Times New Roman"/>
          <w:szCs w:val="24"/>
        </w:rPr>
      </w:pPr>
    </w:p>
    <w:p w:rsidR="000E3C4B" w:rsidRPr="0027400A" w:rsidRDefault="000E3C4B" w:rsidP="000E3C4B">
      <w:pPr>
        <w:autoSpaceDE w:val="0"/>
        <w:autoSpaceDN w:val="0"/>
        <w:adjustRightInd w:val="0"/>
        <w:ind w:hanging="720"/>
        <w:rPr>
          <w:rFonts w:cs="Times New Roman"/>
          <w:szCs w:val="24"/>
        </w:rPr>
      </w:pPr>
      <w:r w:rsidRPr="0027400A">
        <w:rPr>
          <w:rFonts w:cs="Times New Roman"/>
          <w:szCs w:val="24"/>
        </w:rPr>
        <w:t xml:space="preserve">McGuire, Kevin T. 1994.  </w:t>
      </w:r>
      <w:proofErr w:type="gramStart"/>
      <w:r w:rsidRPr="0027400A">
        <w:rPr>
          <w:rFonts w:cs="Times New Roman"/>
          <w:szCs w:val="24"/>
        </w:rPr>
        <w:t>“Amici Curiae and Strategies for Gaining Access to the Supreme Court.”</w:t>
      </w:r>
      <w:proofErr w:type="gramEnd"/>
      <w:r w:rsidRPr="0027400A">
        <w:rPr>
          <w:rFonts w:cs="Times New Roman"/>
          <w:szCs w:val="24"/>
        </w:rPr>
        <w:t xml:space="preserve"> </w:t>
      </w:r>
      <w:r w:rsidRPr="0027400A">
        <w:rPr>
          <w:rFonts w:cs="Times New Roman"/>
          <w:i/>
          <w:szCs w:val="24"/>
        </w:rPr>
        <w:t>Political Research Quarterly</w:t>
      </w:r>
      <w:r w:rsidRPr="0027400A">
        <w:rPr>
          <w:rFonts w:cs="Times New Roman"/>
          <w:szCs w:val="24"/>
        </w:rPr>
        <w:t xml:space="preserve"> 47(4): 821-837.</w:t>
      </w:r>
    </w:p>
    <w:p w:rsidR="000E3C4B" w:rsidRPr="0027400A" w:rsidRDefault="000E3C4B" w:rsidP="000E3C4B">
      <w:pPr>
        <w:autoSpaceDE w:val="0"/>
        <w:autoSpaceDN w:val="0"/>
        <w:adjustRightInd w:val="0"/>
        <w:ind w:hanging="720"/>
        <w:rPr>
          <w:rFonts w:cs="Times New Roman"/>
          <w:szCs w:val="24"/>
        </w:rPr>
      </w:pPr>
    </w:p>
    <w:p w:rsidR="000E3C4B" w:rsidRPr="0027400A" w:rsidRDefault="000E3C4B" w:rsidP="000E3C4B">
      <w:pPr>
        <w:ind w:hanging="720"/>
        <w:rPr>
          <w:rFonts w:eastAsia="Times New Roman" w:cs="Times New Roman"/>
          <w:szCs w:val="24"/>
        </w:rPr>
      </w:pPr>
      <w:r w:rsidRPr="0027400A">
        <w:rPr>
          <w:rFonts w:eastAsia="Times New Roman" w:cs="Times New Roman"/>
          <w:szCs w:val="24"/>
        </w:rPr>
        <w:t xml:space="preserve">McGuire, Kevin T. 1990. </w:t>
      </w:r>
      <w:proofErr w:type="gramStart"/>
      <w:r w:rsidRPr="0027400A">
        <w:rPr>
          <w:rFonts w:eastAsia="Times New Roman" w:cs="Times New Roman"/>
          <w:szCs w:val="24"/>
        </w:rPr>
        <w:t>“Obscenity, libertarian values, and decision making in the Supreme Court.”</w:t>
      </w:r>
      <w:proofErr w:type="gramEnd"/>
      <w:r w:rsidRPr="0027400A">
        <w:rPr>
          <w:rFonts w:eastAsia="Times New Roman" w:cs="Times New Roman"/>
          <w:szCs w:val="24"/>
        </w:rPr>
        <w:t xml:space="preserve"> </w:t>
      </w:r>
      <w:r w:rsidRPr="0027400A">
        <w:rPr>
          <w:rFonts w:eastAsia="Times New Roman" w:cs="Times New Roman"/>
          <w:i/>
          <w:iCs/>
          <w:szCs w:val="24"/>
        </w:rPr>
        <w:t>American Politics Research</w:t>
      </w:r>
      <w:r w:rsidR="005F66E3">
        <w:rPr>
          <w:rFonts w:eastAsia="Times New Roman" w:cs="Times New Roman"/>
          <w:szCs w:val="24"/>
        </w:rPr>
        <w:t xml:space="preserve"> </w:t>
      </w:r>
      <w:r w:rsidRPr="00A3683C">
        <w:rPr>
          <w:rFonts w:eastAsia="Times New Roman" w:cs="Times New Roman"/>
          <w:iCs/>
          <w:szCs w:val="24"/>
        </w:rPr>
        <w:t>18</w:t>
      </w:r>
      <w:r w:rsidR="00A3683C">
        <w:rPr>
          <w:rFonts w:eastAsia="Times New Roman" w:cs="Times New Roman"/>
          <w:szCs w:val="24"/>
        </w:rPr>
        <w:t>(1):</w:t>
      </w:r>
      <w:r w:rsidRPr="0027400A">
        <w:rPr>
          <w:rFonts w:eastAsia="Times New Roman" w:cs="Times New Roman"/>
          <w:szCs w:val="24"/>
        </w:rPr>
        <w:t xml:space="preserve"> 47-67.</w:t>
      </w:r>
    </w:p>
    <w:p w:rsidR="000E3C4B" w:rsidRPr="0027400A" w:rsidRDefault="000E3C4B" w:rsidP="000E3C4B">
      <w:pPr>
        <w:ind w:hanging="720"/>
        <w:rPr>
          <w:rFonts w:eastAsia="Times New Roman" w:cs="Times New Roman"/>
          <w:szCs w:val="24"/>
        </w:rPr>
      </w:pPr>
    </w:p>
    <w:p w:rsidR="00E63A5F" w:rsidRPr="00E63A5F" w:rsidRDefault="00E63A5F" w:rsidP="00E63A5F">
      <w:pPr>
        <w:ind w:hanging="720"/>
        <w:rPr>
          <w:rFonts w:eastAsia="Times New Roman" w:cs="Times New Roman"/>
          <w:szCs w:val="24"/>
        </w:rPr>
      </w:pPr>
      <w:proofErr w:type="gramStart"/>
      <w:r w:rsidRPr="00E63A5F">
        <w:rPr>
          <w:rFonts w:eastAsia="Times New Roman" w:cs="Times New Roman"/>
          <w:szCs w:val="24"/>
        </w:rPr>
        <w:t>McGuire, Kevin T., and James A. Stimson.</w:t>
      </w:r>
      <w:proofErr w:type="gramEnd"/>
      <w:r w:rsidRPr="0027400A">
        <w:rPr>
          <w:rFonts w:eastAsia="Times New Roman" w:cs="Times New Roman"/>
          <w:szCs w:val="24"/>
        </w:rPr>
        <w:t xml:space="preserve"> 2004.</w:t>
      </w:r>
      <w:r w:rsidRPr="00E63A5F">
        <w:rPr>
          <w:rFonts w:eastAsia="Times New Roman" w:cs="Times New Roman"/>
          <w:szCs w:val="24"/>
        </w:rPr>
        <w:t xml:space="preserve"> "The least dangerous branch revisited: New evidence on Supreme Court responsiveness to public preferences." </w:t>
      </w:r>
      <w:r w:rsidRPr="00E63A5F">
        <w:rPr>
          <w:rFonts w:eastAsia="Times New Roman" w:cs="Times New Roman"/>
          <w:i/>
          <w:iCs/>
          <w:szCs w:val="24"/>
        </w:rPr>
        <w:t>Journal of Politics</w:t>
      </w:r>
      <w:r w:rsidRPr="0027400A">
        <w:rPr>
          <w:rFonts w:eastAsia="Times New Roman" w:cs="Times New Roman"/>
          <w:szCs w:val="24"/>
        </w:rPr>
        <w:t xml:space="preserve"> 66(4)</w:t>
      </w:r>
      <w:r w:rsidRPr="00E63A5F">
        <w:rPr>
          <w:rFonts w:eastAsia="Times New Roman" w:cs="Times New Roman"/>
          <w:szCs w:val="24"/>
        </w:rPr>
        <w:t>: 1018-1035.</w:t>
      </w:r>
    </w:p>
    <w:p w:rsidR="000E3C4B" w:rsidRPr="0027400A" w:rsidRDefault="000E3C4B" w:rsidP="000E3C4B">
      <w:pPr>
        <w:autoSpaceDE w:val="0"/>
        <w:autoSpaceDN w:val="0"/>
        <w:adjustRightInd w:val="0"/>
        <w:ind w:hanging="720"/>
        <w:rPr>
          <w:rFonts w:cs="Times New Roman"/>
          <w:color w:val="548DD4" w:themeColor="text2" w:themeTint="99"/>
          <w:szCs w:val="24"/>
        </w:rPr>
      </w:pPr>
    </w:p>
    <w:p w:rsidR="000E3C4B" w:rsidRPr="0027400A" w:rsidRDefault="000E3C4B" w:rsidP="000E3C4B">
      <w:pPr>
        <w:autoSpaceDE w:val="0"/>
        <w:autoSpaceDN w:val="0"/>
        <w:adjustRightInd w:val="0"/>
        <w:ind w:hanging="720"/>
        <w:rPr>
          <w:rFonts w:cs="Times New Roman"/>
          <w:color w:val="548DD4" w:themeColor="text2" w:themeTint="99"/>
          <w:szCs w:val="24"/>
        </w:rPr>
      </w:pPr>
      <w:proofErr w:type="gramStart"/>
      <w:r w:rsidRPr="0027400A">
        <w:rPr>
          <w:rFonts w:cs="Times New Roman"/>
          <w:bCs/>
          <w:szCs w:val="24"/>
        </w:rPr>
        <w:t>McIntosh, Wayne V., and Paul Parker.</w:t>
      </w:r>
      <w:proofErr w:type="gramEnd"/>
      <w:r w:rsidRPr="0027400A">
        <w:rPr>
          <w:rFonts w:cs="Times New Roman"/>
          <w:bCs/>
          <w:szCs w:val="24"/>
        </w:rPr>
        <w:t xml:space="preserve"> 1986. "Amici Curiae in the Courts of Appeals." Paper presented at the annual meeting of the Law and Society Association, Chicago.</w:t>
      </w:r>
    </w:p>
    <w:p w:rsidR="000E3C4B" w:rsidRPr="0027400A" w:rsidRDefault="000E3C4B" w:rsidP="000E3C4B">
      <w:pPr>
        <w:autoSpaceDE w:val="0"/>
        <w:autoSpaceDN w:val="0"/>
        <w:adjustRightInd w:val="0"/>
        <w:ind w:left="0" w:firstLine="0"/>
        <w:rPr>
          <w:rFonts w:cs="Times New Roman"/>
          <w:szCs w:val="24"/>
        </w:rPr>
      </w:pPr>
    </w:p>
    <w:p w:rsidR="000E3C4B" w:rsidRPr="0027400A" w:rsidRDefault="000E3C4B" w:rsidP="000E3C4B">
      <w:pPr>
        <w:autoSpaceDE w:val="0"/>
        <w:autoSpaceDN w:val="0"/>
        <w:adjustRightInd w:val="0"/>
        <w:ind w:hanging="720"/>
        <w:rPr>
          <w:rFonts w:cs="Times New Roman"/>
          <w:szCs w:val="24"/>
        </w:rPr>
      </w:pPr>
      <w:proofErr w:type="spellStart"/>
      <w:proofErr w:type="gramStart"/>
      <w:r w:rsidRPr="0027400A">
        <w:rPr>
          <w:rFonts w:cs="Times New Roman"/>
          <w:szCs w:val="24"/>
        </w:rPr>
        <w:t>Mishler</w:t>
      </w:r>
      <w:proofErr w:type="spellEnd"/>
      <w:r w:rsidRPr="0027400A">
        <w:rPr>
          <w:rFonts w:cs="Times New Roman"/>
          <w:szCs w:val="24"/>
        </w:rPr>
        <w:t>, William, and Reginald S.</w:t>
      </w:r>
      <w:r w:rsidR="00BA5A09" w:rsidRPr="00BA5A09">
        <w:rPr>
          <w:rFonts w:cs="Times New Roman"/>
          <w:szCs w:val="24"/>
        </w:rPr>
        <w:t xml:space="preserve"> </w:t>
      </w:r>
      <w:r w:rsidR="00BA5A09" w:rsidRPr="0027400A">
        <w:rPr>
          <w:rFonts w:cs="Times New Roman"/>
          <w:szCs w:val="24"/>
        </w:rPr>
        <w:t>Sheehan</w:t>
      </w:r>
      <w:r w:rsidR="00BA5A09">
        <w:rPr>
          <w:rFonts w:cs="Times New Roman"/>
          <w:szCs w:val="24"/>
        </w:rPr>
        <w:t>.</w:t>
      </w:r>
      <w:proofErr w:type="gramEnd"/>
      <w:r w:rsidRPr="0027400A">
        <w:rPr>
          <w:rFonts w:cs="Times New Roman"/>
          <w:szCs w:val="24"/>
        </w:rPr>
        <w:t xml:space="preserve"> 1993.  “The Supreme Court as a </w:t>
      </w:r>
      <w:proofErr w:type="spellStart"/>
      <w:r w:rsidRPr="0027400A">
        <w:rPr>
          <w:rFonts w:cs="Times New Roman"/>
          <w:szCs w:val="24"/>
        </w:rPr>
        <w:t>Countermajoritarian</w:t>
      </w:r>
      <w:proofErr w:type="spellEnd"/>
      <w:r w:rsidRPr="0027400A">
        <w:rPr>
          <w:rFonts w:cs="Times New Roman"/>
          <w:szCs w:val="24"/>
        </w:rPr>
        <w:t xml:space="preserve"> Institution?  </w:t>
      </w:r>
      <w:proofErr w:type="gramStart"/>
      <w:r w:rsidRPr="0027400A">
        <w:rPr>
          <w:rFonts w:cs="Times New Roman"/>
          <w:szCs w:val="24"/>
        </w:rPr>
        <w:t>The Impact of Public Opinion on Supreme Court Decisions.”</w:t>
      </w:r>
      <w:proofErr w:type="gramEnd"/>
      <w:r w:rsidRPr="0027400A">
        <w:rPr>
          <w:rFonts w:cs="Times New Roman"/>
          <w:szCs w:val="24"/>
        </w:rPr>
        <w:t xml:space="preserve"> </w:t>
      </w:r>
      <w:r w:rsidRPr="0027400A">
        <w:rPr>
          <w:rFonts w:cs="Times New Roman"/>
          <w:i/>
          <w:szCs w:val="24"/>
        </w:rPr>
        <w:t>American Political Science</w:t>
      </w:r>
      <w:r w:rsidRPr="0027400A">
        <w:rPr>
          <w:rFonts w:cs="Times New Roman"/>
          <w:szCs w:val="24"/>
        </w:rPr>
        <w:t xml:space="preserve"> </w:t>
      </w:r>
      <w:r w:rsidRPr="0027400A">
        <w:rPr>
          <w:rFonts w:cs="Times New Roman"/>
          <w:i/>
          <w:szCs w:val="24"/>
        </w:rPr>
        <w:t>Review</w:t>
      </w:r>
      <w:r w:rsidRPr="0027400A">
        <w:rPr>
          <w:rFonts w:cs="Times New Roman"/>
          <w:szCs w:val="24"/>
        </w:rPr>
        <w:t xml:space="preserve"> 87(1): 87-101.</w:t>
      </w:r>
    </w:p>
    <w:p w:rsidR="000E3C4B" w:rsidRPr="0027400A" w:rsidRDefault="000E3C4B" w:rsidP="000E3C4B">
      <w:pPr>
        <w:tabs>
          <w:tab w:val="left" w:pos="0"/>
        </w:tabs>
        <w:ind w:hanging="720"/>
        <w:rPr>
          <w:rFonts w:cs="Times New Roman"/>
          <w:color w:val="FF0000"/>
          <w:szCs w:val="24"/>
        </w:rPr>
      </w:pPr>
    </w:p>
    <w:p w:rsidR="00E63A5F" w:rsidRPr="00E63A5F" w:rsidRDefault="00E63A5F" w:rsidP="00595D8A">
      <w:pPr>
        <w:ind w:hanging="720"/>
        <w:rPr>
          <w:rFonts w:eastAsia="Times New Roman" w:cs="Times New Roman"/>
          <w:szCs w:val="24"/>
        </w:rPr>
      </w:pPr>
      <w:proofErr w:type="spellStart"/>
      <w:proofErr w:type="gramStart"/>
      <w:r w:rsidRPr="00E63A5F">
        <w:rPr>
          <w:rFonts w:eastAsia="Times New Roman" w:cs="Times New Roman"/>
          <w:szCs w:val="24"/>
        </w:rPr>
        <w:t>Mondak</w:t>
      </w:r>
      <w:proofErr w:type="spellEnd"/>
      <w:r w:rsidRPr="00E63A5F">
        <w:rPr>
          <w:rFonts w:eastAsia="Times New Roman" w:cs="Times New Roman"/>
          <w:szCs w:val="24"/>
        </w:rPr>
        <w:t xml:space="preserve">, Jeffery J., and Shannon </w:t>
      </w:r>
      <w:proofErr w:type="spellStart"/>
      <w:r w:rsidRPr="00E63A5F">
        <w:rPr>
          <w:rFonts w:eastAsia="Times New Roman" w:cs="Times New Roman"/>
          <w:szCs w:val="24"/>
        </w:rPr>
        <w:t>Ishiyama</w:t>
      </w:r>
      <w:proofErr w:type="spellEnd"/>
      <w:r w:rsidRPr="00E63A5F">
        <w:rPr>
          <w:rFonts w:eastAsia="Times New Roman" w:cs="Times New Roman"/>
          <w:szCs w:val="24"/>
        </w:rPr>
        <w:t xml:space="preserve"> </w:t>
      </w:r>
      <w:proofErr w:type="spellStart"/>
      <w:r w:rsidRPr="00E63A5F">
        <w:rPr>
          <w:rFonts w:eastAsia="Times New Roman" w:cs="Times New Roman"/>
          <w:szCs w:val="24"/>
        </w:rPr>
        <w:t>Smithey</w:t>
      </w:r>
      <w:proofErr w:type="spellEnd"/>
      <w:r w:rsidRPr="00E63A5F">
        <w:rPr>
          <w:rFonts w:eastAsia="Times New Roman" w:cs="Times New Roman"/>
          <w:szCs w:val="24"/>
        </w:rPr>
        <w:t>.</w:t>
      </w:r>
      <w:proofErr w:type="gramEnd"/>
      <w:r w:rsidR="00595D8A" w:rsidRPr="0027400A">
        <w:rPr>
          <w:rFonts w:eastAsia="Times New Roman" w:cs="Times New Roman"/>
          <w:szCs w:val="24"/>
        </w:rPr>
        <w:t xml:space="preserve"> 1997.</w:t>
      </w:r>
      <w:r w:rsidRPr="00E63A5F">
        <w:rPr>
          <w:rFonts w:eastAsia="Times New Roman" w:cs="Times New Roman"/>
          <w:szCs w:val="24"/>
        </w:rPr>
        <w:t xml:space="preserve"> "The dynamics of public support for the Supreme Court." </w:t>
      </w:r>
      <w:r w:rsidRPr="00E63A5F">
        <w:rPr>
          <w:rFonts w:eastAsia="Times New Roman" w:cs="Times New Roman"/>
          <w:i/>
          <w:iCs/>
          <w:szCs w:val="24"/>
        </w:rPr>
        <w:t>The Journal of Politics</w:t>
      </w:r>
      <w:r w:rsidR="00595D8A" w:rsidRPr="0027400A">
        <w:rPr>
          <w:rFonts w:eastAsia="Times New Roman" w:cs="Times New Roman"/>
          <w:szCs w:val="24"/>
        </w:rPr>
        <w:t xml:space="preserve"> 59(</w:t>
      </w:r>
      <w:r w:rsidRPr="00E63A5F">
        <w:rPr>
          <w:rFonts w:eastAsia="Times New Roman" w:cs="Times New Roman"/>
          <w:szCs w:val="24"/>
        </w:rPr>
        <w:t>04</w:t>
      </w:r>
      <w:r w:rsidR="00595D8A" w:rsidRPr="0027400A">
        <w:rPr>
          <w:rFonts w:eastAsia="Times New Roman" w:cs="Times New Roman"/>
          <w:szCs w:val="24"/>
        </w:rPr>
        <w:t>)</w:t>
      </w:r>
      <w:r w:rsidRPr="00E63A5F">
        <w:rPr>
          <w:rFonts w:eastAsia="Times New Roman" w:cs="Times New Roman"/>
          <w:szCs w:val="24"/>
        </w:rPr>
        <w:t>: 1114-1142.</w:t>
      </w:r>
    </w:p>
    <w:p w:rsidR="00E63A5F" w:rsidRPr="0027400A" w:rsidRDefault="00E63A5F" w:rsidP="000E3C4B">
      <w:pPr>
        <w:tabs>
          <w:tab w:val="left" w:pos="0"/>
        </w:tabs>
        <w:ind w:hanging="720"/>
        <w:rPr>
          <w:rFonts w:cs="Times New Roman"/>
          <w:szCs w:val="24"/>
        </w:rPr>
      </w:pPr>
    </w:p>
    <w:p w:rsidR="000E3C4B" w:rsidRPr="0027400A" w:rsidRDefault="000E3C4B" w:rsidP="000E3C4B">
      <w:pPr>
        <w:ind w:hanging="720"/>
        <w:rPr>
          <w:rFonts w:eastAsia="Times New Roman" w:cs="Times New Roman"/>
          <w:szCs w:val="24"/>
        </w:rPr>
      </w:pPr>
      <w:r w:rsidRPr="0027400A">
        <w:rPr>
          <w:rFonts w:eastAsia="Times New Roman" w:cs="Times New Roman"/>
          <w:szCs w:val="24"/>
        </w:rPr>
        <w:t xml:space="preserve">Munford, Luther T. 1999. “When Does the Curiae Need an Amicus.” </w:t>
      </w:r>
      <w:r w:rsidR="00BA5A09">
        <w:rPr>
          <w:rFonts w:eastAsia="Times New Roman" w:cs="Times New Roman"/>
          <w:i/>
          <w:iCs/>
          <w:szCs w:val="24"/>
        </w:rPr>
        <w:t>Journal of Appellate Practice</w:t>
      </w:r>
      <w:r w:rsidRPr="0027400A">
        <w:rPr>
          <w:rFonts w:eastAsia="Times New Roman" w:cs="Times New Roman"/>
          <w:i/>
          <w:iCs/>
          <w:szCs w:val="24"/>
        </w:rPr>
        <w:t xml:space="preserve"> </w:t>
      </w:r>
      <w:r w:rsidR="000D6839" w:rsidRPr="0027400A">
        <w:rPr>
          <w:rFonts w:eastAsia="Times New Roman" w:cs="Times New Roman"/>
          <w:i/>
          <w:iCs/>
          <w:szCs w:val="24"/>
        </w:rPr>
        <w:t>and</w:t>
      </w:r>
      <w:r w:rsidRPr="0027400A">
        <w:rPr>
          <w:rFonts w:eastAsia="Times New Roman" w:cs="Times New Roman"/>
          <w:i/>
          <w:iCs/>
          <w:szCs w:val="24"/>
        </w:rPr>
        <w:t xml:space="preserve"> Process</w:t>
      </w:r>
      <w:r w:rsidR="00BA5A09">
        <w:rPr>
          <w:rFonts w:eastAsia="Times New Roman" w:cs="Times New Roman"/>
          <w:szCs w:val="24"/>
        </w:rPr>
        <w:t xml:space="preserve"> 1: </w:t>
      </w:r>
      <w:r w:rsidRPr="0027400A">
        <w:rPr>
          <w:rFonts w:eastAsia="Times New Roman" w:cs="Times New Roman"/>
          <w:szCs w:val="24"/>
        </w:rPr>
        <w:t>279.</w:t>
      </w:r>
    </w:p>
    <w:p w:rsidR="000E3C4B" w:rsidRPr="0027400A" w:rsidRDefault="000E3C4B" w:rsidP="000E3C4B">
      <w:pPr>
        <w:ind w:hanging="720"/>
        <w:rPr>
          <w:rFonts w:eastAsia="Times New Roman" w:cs="Times New Roman"/>
          <w:szCs w:val="24"/>
        </w:rPr>
      </w:pPr>
    </w:p>
    <w:p w:rsidR="00575589" w:rsidRPr="0027400A" w:rsidRDefault="00575589" w:rsidP="000E3C4B">
      <w:pPr>
        <w:ind w:hanging="720"/>
        <w:rPr>
          <w:rFonts w:cs="Times New Roman"/>
          <w:iCs/>
          <w:szCs w:val="24"/>
        </w:rPr>
      </w:pPr>
      <w:r w:rsidRPr="0027400A">
        <w:rPr>
          <w:rFonts w:cs="Times New Roman"/>
          <w:iCs/>
          <w:szCs w:val="24"/>
        </w:rPr>
        <w:t>Nichol, Gene.  2011. “</w:t>
      </w:r>
      <w:r w:rsidRPr="0027400A">
        <w:rPr>
          <w:rFonts w:cs="Times New Roman"/>
          <w:szCs w:val="24"/>
        </w:rPr>
        <w:t xml:space="preserve">Trumping Politics: The Roberts Court and Judicial Review.” </w:t>
      </w:r>
      <w:r w:rsidRPr="0027400A">
        <w:rPr>
          <w:rFonts w:cs="Times New Roman"/>
          <w:i/>
          <w:iCs/>
          <w:szCs w:val="24"/>
        </w:rPr>
        <w:t>Tulsa Law Review</w:t>
      </w:r>
      <w:r w:rsidR="00BA5A09">
        <w:rPr>
          <w:rFonts w:cs="Times New Roman"/>
          <w:i/>
          <w:iCs/>
          <w:szCs w:val="24"/>
        </w:rPr>
        <w:t xml:space="preserve"> </w:t>
      </w:r>
      <w:r w:rsidR="00BA5A09">
        <w:rPr>
          <w:rFonts w:cs="Times New Roman"/>
          <w:iCs/>
          <w:szCs w:val="24"/>
        </w:rPr>
        <w:t>46:</w:t>
      </w:r>
      <w:r w:rsidRPr="0027400A">
        <w:rPr>
          <w:rFonts w:cs="Times New Roman"/>
          <w:iCs/>
          <w:szCs w:val="24"/>
        </w:rPr>
        <w:t xml:space="preserve"> 421-429.</w:t>
      </w:r>
    </w:p>
    <w:p w:rsidR="00575589" w:rsidRPr="0027400A" w:rsidRDefault="00575589" w:rsidP="000E3C4B">
      <w:pPr>
        <w:ind w:hanging="720"/>
        <w:rPr>
          <w:rFonts w:eastAsia="Times New Roman" w:cs="Times New Roman"/>
          <w:szCs w:val="24"/>
        </w:rPr>
      </w:pPr>
    </w:p>
    <w:p w:rsidR="000E3C4B" w:rsidRDefault="000E3C4B" w:rsidP="000E3C4B">
      <w:pPr>
        <w:ind w:hanging="720"/>
        <w:rPr>
          <w:rFonts w:eastAsia="Times New Roman" w:cs="Times New Roman"/>
          <w:szCs w:val="24"/>
        </w:rPr>
      </w:pPr>
      <w:proofErr w:type="spellStart"/>
      <w:r w:rsidRPr="0027400A">
        <w:rPr>
          <w:rFonts w:eastAsia="Times New Roman" w:cs="Times New Roman"/>
          <w:szCs w:val="24"/>
        </w:rPr>
        <w:t>Nownes</w:t>
      </w:r>
      <w:proofErr w:type="spellEnd"/>
      <w:r w:rsidRPr="0027400A">
        <w:rPr>
          <w:rFonts w:eastAsia="Times New Roman" w:cs="Times New Roman"/>
          <w:szCs w:val="24"/>
        </w:rPr>
        <w:t xml:space="preserve">, Anthony J. 2013. </w:t>
      </w:r>
      <w:r w:rsidRPr="0027400A">
        <w:rPr>
          <w:rFonts w:eastAsia="Times New Roman" w:cs="Times New Roman"/>
          <w:i/>
          <w:szCs w:val="24"/>
        </w:rPr>
        <w:t>Interest Groups in American Politics: Pressure and Power</w:t>
      </w:r>
      <w:r w:rsidRPr="0027400A">
        <w:rPr>
          <w:rFonts w:eastAsia="Times New Roman" w:cs="Times New Roman"/>
          <w:szCs w:val="24"/>
        </w:rPr>
        <w:t>. 2</w:t>
      </w:r>
      <w:r w:rsidRPr="0027400A">
        <w:rPr>
          <w:rFonts w:eastAsia="Times New Roman" w:cs="Times New Roman"/>
          <w:szCs w:val="24"/>
          <w:vertAlign w:val="superscript"/>
        </w:rPr>
        <w:t>nd</w:t>
      </w:r>
      <w:r w:rsidRPr="0027400A">
        <w:rPr>
          <w:rFonts w:eastAsia="Times New Roman" w:cs="Times New Roman"/>
          <w:szCs w:val="24"/>
        </w:rPr>
        <w:t xml:space="preserve"> edition: </w:t>
      </w:r>
      <w:r w:rsidR="00BA5A09">
        <w:rPr>
          <w:rFonts w:eastAsia="Times New Roman" w:cs="Times New Roman"/>
          <w:szCs w:val="24"/>
        </w:rPr>
        <w:t xml:space="preserve">New York, </w:t>
      </w:r>
      <w:r w:rsidRPr="0027400A">
        <w:rPr>
          <w:rFonts w:eastAsia="Times New Roman" w:cs="Times New Roman"/>
          <w:szCs w:val="24"/>
        </w:rPr>
        <w:t>NY: Routledge.</w:t>
      </w:r>
    </w:p>
    <w:p w:rsidR="00FB0669" w:rsidRDefault="00FB0669" w:rsidP="000E3C4B">
      <w:pPr>
        <w:ind w:hanging="720"/>
        <w:rPr>
          <w:rFonts w:eastAsia="Times New Roman" w:cs="Times New Roman"/>
          <w:szCs w:val="24"/>
        </w:rPr>
      </w:pPr>
    </w:p>
    <w:p w:rsidR="00FB0669" w:rsidRDefault="00FB0669" w:rsidP="000E3C4B">
      <w:pPr>
        <w:ind w:hanging="720"/>
        <w:rPr>
          <w:rFonts w:eastAsia="Times New Roman" w:cs="Times New Roman"/>
          <w:szCs w:val="24"/>
        </w:rPr>
      </w:pPr>
      <w:r>
        <w:rPr>
          <w:rFonts w:eastAsia="Times New Roman" w:cs="Times New Roman"/>
          <w:szCs w:val="24"/>
        </w:rPr>
        <w:t xml:space="preserve">O’Connor, Karen. 1980. </w:t>
      </w:r>
      <w:r>
        <w:rPr>
          <w:rFonts w:eastAsia="Times New Roman" w:cs="Times New Roman"/>
          <w:i/>
          <w:szCs w:val="24"/>
        </w:rPr>
        <w:t xml:space="preserve">Women’s Organizations’ Use of the Courts. </w:t>
      </w:r>
      <w:r>
        <w:rPr>
          <w:rFonts w:eastAsia="Times New Roman" w:cs="Times New Roman"/>
          <w:szCs w:val="24"/>
        </w:rPr>
        <w:t>Lexington, MA: Lexington Books.</w:t>
      </w:r>
    </w:p>
    <w:p w:rsidR="00FB0669" w:rsidRDefault="00FB0669" w:rsidP="000E3C4B">
      <w:pPr>
        <w:ind w:hanging="720"/>
        <w:rPr>
          <w:rFonts w:eastAsia="Times New Roman" w:cs="Times New Roman"/>
          <w:szCs w:val="24"/>
        </w:rPr>
      </w:pPr>
    </w:p>
    <w:p w:rsidR="00FB0669" w:rsidRPr="0027400A" w:rsidRDefault="00FB0669" w:rsidP="00FB0669">
      <w:pPr>
        <w:tabs>
          <w:tab w:val="left" w:pos="0"/>
        </w:tabs>
        <w:ind w:hanging="720"/>
        <w:rPr>
          <w:rFonts w:cs="Times New Roman"/>
          <w:color w:val="548DD4" w:themeColor="text2" w:themeTint="99"/>
          <w:szCs w:val="24"/>
        </w:rPr>
      </w:pPr>
      <w:r w:rsidRPr="0027400A">
        <w:rPr>
          <w:rStyle w:val="cit-name-surname"/>
          <w:rFonts w:cs="Times New Roman"/>
          <w:iCs/>
          <w:szCs w:val="24"/>
        </w:rPr>
        <w:t>O'Connor, Karen</w:t>
      </w:r>
      <w:r w:rsidRPr="0027400A">
        <w:rPr>
          <w:rStyle w:val="HTMLCite"/>
          <w:rFonts w:cs="Times New Roman"/>
          <w:szCs w:val="24"/>
        </w:rPr>
        <w:t xml:space="preserve">. </w:t>
      </w:r>
      <w:r w:rsidRPr="0027400A">
        <w:rPr>
          <w:rStyle w:val="cit-pub-date"/>
          <w:rFonts w:cs="Times New Roman"/>
          <w:iCs/>
          <w:szCs w:val="24"/>
        </w:rPr>
        <w:t>1983</w:t>
      </w:r>
      <w:r w:rsidRPr="0027400A">
        <w:rPr>
          <w:rStyle w:val="HTMLCite"/>
          <w:rFonts w:cs="Times New Roman"/>
          <w:szCs w:val="24"/>
        </w:rPr>
        <w:t>. “</w:t>
      </w:r>
      <w:r w:rsidRPr="0027400A">
        <w:rPr>
          <w:rStyle w:val="cit-article-title"/>
          <w:rFonts w:cs="Times New Roman"/>
          <w:iCs/>
          <w:szCs w:val="24"/>
        </w:rPr>
        <w:t>The amicus curiae role of the U.S. solicitor general in Supreme Court litigation</w:t>
      </w:r>
      <w:r w:rsidRPr="0027400A">
        <w:rPr>
          <w:rStyle w:val="HTMLCite"/>
          <w:rFonts w:cs="Times New Roman"/>
          <w:szCs w:val="24"/>
        </w:rPr>
        <w:t xml:space="preserve">.” Judicature </w:t>
      </w:r>
      <w:r w:rsidRPr="0027400A">
        <w:rPr>
          <w:rStyle w:val="cit-vol"/>
          <w:rFonts w:cs="Times New Roman"/>
          <w:iCs/>
          <w:szCs w:val="24"/>
        </w:rPr>
        <w:t>66</w:t>
      </w:r>
      <w:r w:rsidRPr="0027400A">
        <w:rPr>
          <w:rStyle w:val="HTMLCite"/>
          <w:rFonts w:cs="Times New Roman"/>
          <w:szCs w:val="24"/>
        </w:rPr>
        <w:t xml:space="preserve"> </w:t>
      </w:r>
      <w:r w:rsidR="00A95CD9">
        <w:rPr>
          <w:rStyle w:val="HTMLCite"/>
          <w:rFonts w:cs="Times New Roman"/>
          <w:i w:val="0"/>
          <w:szCs w:val="24"/>
        </w:rPr>
        <w:t>(</w:t>
      </w:r>
      <w:r w:rsidRPr="00A95CD9">
        <w:rPr>
          <w:rStyle w:val="cit-issue"/>
          <w:rFonts w:cs="Times New Roman"/>
          <w:iCs/>
          <w:szCs w:val="24"/>
        </w:rPr>
        <w:t>5</w:t>
      </w:r>
      <w:r w:rsidR="00A95CD9">
        <w:rPr>
          <w:rStyle w:val="HTMLCite"/>
          <w:rFonts w:cs="Times New Roman"/>
          <w:i w:val="0"/>
          <w:szCs w:val="24"/>
        </w:rPr>
        <w:t>)</w:t>
      </w:r>
      <w:r w:rsidRPr="00A95CD9">
        <w:rPr>
          <w:rStyle w:val="HTMLCite"/>
          <w:rFonts w:cs="Times New Roman"/>
          <w:szCs w:val="24"/>
        </w:rPr>
        <w:t xml:space="preserve">: </w:t>
      </w:r>
      <w:r w:rsidRPr="0027400A">
        <w:rPr>
          <w:rStyle w:val="cit-fpage"/>
          <w:rFonts w:cs="Times New Roman"/>
          <w:iCs/>
          <w:szCs w:val="24"/>
        </w:rPr>
        <w:t>256</w:t>
      </w:r>
      <w:r w:rsidRPr="0027400A">
        <w:rPr>
          <w:rStyle w:val="HTMLCite"/>
          <w:rFonts w:cs="Times New Roman"/>
          <w:szCs w:val="24"/>
        </w:rPr>
        <w:t>-</w:t>
      </w:r>
      <w:r w:rsidRPr="0027400A">
        <w:rPr>
          <w:rStyle w:val="cit-lpage"/>
          <w:rFonts w:cs="Times New Roman"/>
          <w:szCs w:val="24"/>
        </w:rPr>
        <w:t>264</w:t>
      </w:r>
    </w:p>
    <w:p w:rsidR="000E3C4B" w:rsidRPr="0027400A" w:rsidRDefault="000E3C4B" w:rsidP="00FB0669">
      <w:pPr>
        <w:tabs>
          <w:tab w:val="left" w:pos="0"/>
        </w:tabs>
        <w:ind w:left="0" w:firstLine="0"/>
        <w:rPr>
          <w:rFonts w:cs="Times New Roman"/>
          <w:color w:val="548DD4" w:themeColor="text2" w:themeTint="99"/>
          <w:szCs w:val="24"/>
        </w:rPr>
      </w:pPr>
    </w:p>
    <w:p w:rsidR="000E3C4B" w:rsidRPr="0027400A" w:rsidRDefault="000E3C4B" w:rsidP="000E3C4B">
      <w:pPr>
        <w:ind w:hanging="720"/>
        <w:rPr>
          <w:rFonts w:eastAsia="Times New Roman" w:cs="Times New Roman"/>
          <w:szCs w:val="24"/>
        </w:rPr>
      </w:pPr>
      <w:proofErr w:type="gramStart"/>
      <w:r w:rsidRPr="0027400A">
        <w:rPr>
          <w:rFonts w:eastAsia="Times New Roman" w:cs="Times New Roman"/>
          <w:szCs w:val="24"/>
        </w:rPr>
        <w:t xml:space="preserve">O'Connor, Karen, </w:t>
      </w:r>
      <w:r w:rsidR="000D6839" w:rsidRPr="0027400A">
        <w:rPr>
          <w:rFonts w:eastAsia="Times New Roman" w:cs="Times New Roman"/>
          <w:szCs w:val="24"/>
        </w:rPr>
        <w:t>and</w:t>
      </w:r>
      <w:r w:rsidRPr="0027400A">
        <w:rPr>
          <w:rFonts w:eastAsia="Times New Roman" w:cs="Times New Roman"/>
          <w:szCs w:val="24"/>
        </w:rPr>
        <w:t xml:space="preserve"> Lee</w:t>
      </w:r>
      <w:r w:rsidR="00BA5A09">
        <w:rPr>
          <w:rFonts w:eastAsia="Times New Roman" w:cs="Times New Roman"/>
          <w:szCs w:val="24"/>
        </w:rPr>
        <w:t xml:space="preserve"> Epstein</w:t>
      </w:r>
      <w:r w:rsidR="00FB0669">
        <w:rPr>
          <w:rFonts w:eastAsia="Times New Roman" w:cs="Times New Roman"/>
          <w:szCs w:val="24"/>
        </w:rPr>
        <w:t>.</w:t>
      </w:r>
      <w:proofErr w:type="gramEnd"/>
      <w:r w:rsidR="00FB0669">
        <w:rPr>
          <w:rFonts w:eastAsia="Times New Roman" w:cs="Times New Roman"/>
          <w:szCs w:val="24"/>
        </w:rPr>
        <w:t xml:space="preserve"> 1982</w:t>
      </w:r>
      <w:r w:rsidRPr="0027400A">
        <w:rPr>
          <w:rFonts w:eastAsia="Times New Roman" w:cs="Times New Roman"/>
          <w:szCs w:val="24"/>
        </w:rPr>
        <w:t xml:space="preserve">. “Amicus Curiae Participation in US Supreme Court Litigation: An Appraisal of </w:t>
      </w:r>
      <w:proofErr w:type="spellStart"/>
      <w:r w:rsidRPr="0027400A">
        <w:rPr>
          <w:rFonts w:eastAsia="Times New Roman" w:cs="Times New Roman"/>
          <w:szCs w:val="24"/>
        </w:rPr>
        <w:t>Hakman's</w:t>
      </w:r>
      <w:proofErr w:type="spellEnd"/>
      <w:r w:rsidRPr="0027400A">
        <w:rPr>
          <w:rFonts w:eastAsia="Times New Roman" w:cs="Times New Roman"/>
          <w:szCs w:val="24"/>
        </w:rPr>
        <w:t xml:space="preserve">" Folklore".” </w:t>
      </w:r>
      <w:r w:rsidRPr="0027400A">
        <w:rPr>
          <w:rFonts w:eastAsia="Times New Roman" w:cs="Times New Roman"/>
          <w:i/>
          <w:iCs/>
          <w:szCs w:val="24"/>
        </w:rPr>
        <w:t>Law and Society Review</w:t>
      </w:r>
      <w:r w:rsidR="00FB0669">
        <w:rPr>
          <w:rFonts w:eastAsia="Times New Roman" w:cs="Times New Roman"/>
          <w:i/>
          <w:iCs/>
          <w:szCs w:val="24"/>
        </w:rPr>
        <w:t xml:space="preserve"> </w:t>
      </w:r>
      <w:r w:rsidR="00FB0669">
        <w:rPr>
          <w:rFonts w:eastAsia="Times New Roman" w:cs="Times New Roman"/>
          <w:iCs/>
          <w:szCs w:val="24"/>
        </w:rPr>
        <w:t>16(2)</w:t>
      </w:r>
      <w:r w:rsidR="00BA5A09">
        <w:rPr>
          <w:rFonts w:eastAsia="Times New Roman" w:cs="Times New Roman"/>
          <w:szCs w:val="24"/>
        </w:rPr>
        <w:t>:</w:t>
      </w:r>
      <w:r w:rsidRPr="0027400A">
        <w:rPr>
          <w:rFonts w:eastAsia="Times New Roman" w:cs="Times New Roman"/>
          <w:szCs w:val="24"/>
        </w:rPr>
        <w:t xml:space="preserve"> 311-320.</w:t>
      </w:r>
    </w:p>
    <w:p w:rsidR="000E3C4B" w:rsidRPr="0027400A" w:rsidRDefault="000E3C4B" w:rsidP="00FB0669">
      <w:pPr>
        <w:tabs>
          <w:tab w:val="left" w:pos="0"/>
        </w:tabs>
        <w:ind w:left="0" w:firstLine="0"/>
        <w:rPr>
          <w:rFonts w:cs="Times New Roman"/>
          <w:color w:val="548DD4" w:themeColor="text2" w:themeTint="99"/>
          <w:szCs w:val="24"/>
        </w:rPr>
      </w:pPr>
    </w:p>
    <w:p w:rsidR="000E3C4B" w:rsidRPr="0027400A" w:rsidRDefault="000E3C4B" w:rsidP="000E3C4B">
      <w:pPr>
        <w:tabs>
          <w:tab w:val="left" w:pos="0"/>
        </w:tabs>
        <w:ind w:hanging="720"/>
        <w:rPr>
          <w:rStyle w:val="HTMLCite"/>
          <w:rFonts w:cs="Times New Roman"/>
          <w:szCs w:val="24"/>
        </w:rPr>
      </w:pPr>
      <w:proofErr w:type="gramStart"/>
      <w:r w:rsidRPr="0027400A">
        <w:rPr>
          <w:rStyle w:val="cit-name-surname"/>
          <w:rFonts w:cs="Times New Roman"/>
          <w:iCs/>
          <w:szCs w:val="24"/>
        </w:rPr>
        <w:t>O'Connor, Karen</w:t>
      </w:r>
      <w:r w:rsidRPr="0027400A">
        <w:rPr>
          <w:rStyle w:val="HTMLCite"/>
          <w:rFonts w:cs="Times New Roman"/>
          <w:szCs w:val="24"/>
        </w:rPr>
        <w:t>,</w:t>
      </w:r>
      <w:r w:rsidRPr="0092545B">
        <w:rPr>
          <w:rStyle w:val="HTMLCite"/>
          <w:rFonts w:cs="Times New Roman"/>
          <w:i w:val="0"/>
          <w:szCs w:val="24"/>
        </w:rPr>
        <w:t xml:space="preserve"> and</w:t>
      </w:r>
      <w:r w:rsidRPr="0027400A">
        <w:rPr>
          <w:rStyle w:val="HTMLCite"/>
          <w:rFonts w:cs="Times New Roman"/>
          <w:szCs w:val="24"/>
        </w:rPr>
        <w:t xml:space="preserve"> </w:t>
      </w:r>
      <w:r w:rsidRPr="0027400A">
        <w:rPr>
          <w:rStyle w:val="cit-name-surname"/>
          <w:rFonts w:cs="Times New Roman"/>
          <w:iCs/>
          <w:szCs w:val="24"/>
        </w:rPr>
        <w:t>Lee Epstein</w:t>
      </w:r>
      <w:r w:rsidRPr="0027400A">
        <w:rPr>
          <w:rStyle w:val="HTMLCite"/>
          <w:rFonts w:cs="Times New Roman"/>
          <w:szCs w:val="24"/>
        </w:rPr>
        <w:t>.</w:t>
      </w:r>
      <w:proofErr w:type="gramEnd"/>
      <w:r w:rsidRPr="0027400A">
        <w:rPr>
          <w:rStyle w:val="HTMLCite"/>
          <w:rFonts w:cs="Times New Roman"/>
          <w:szCs w:val="24"/>
        </w:rPr>
        <w:t xml:space="preserve"> </w:t>
      </w:r>
      <w:r w:rsidRPr="0027400A">
        <w:rPr>
          <w:rStyle w:val="cit-pub-date"/>
          <w:rFonts w:cs="Times New Roman"/>
          <w:iCs/>
          <w:szCs w:val="24"/>
        </w:rPr>
        <w:t>1983</w:t>
      </w:r>
      <w:r w:rsidRPr="0027400A">
        <w:rPr>
          <w:rStyle w:val="HTMLCite"/>
          <w:rFonts w:cs="Times New Roman"/>
          <w:szCs w:val="24"/>
        </w:rPr>
        <w:t>. “</w:t>
      </w:r>
      <w:r w:rsidRPr="0027400A">
        <w:rPr>
          <w:rStyle w:val="cit-article-title"/>
          <w:rFonts w:cs="Times New Roman"/>
          <w:iCs/>
          <w:szCs w:val="24"/>
        </w:rPr>
        <w:t>Court rules and workload: A case study of rules governing amicus curiae participation</w:t>
      </w:r>
      <w:r w:rsidRPr="0027400A">
        <w:rPr>
          <w:rStyle w:val="HTMLCite"/>
          <w:rFonts w:cs="Times New Roman"/>
          <w:szCs w:val="24"/>
        </w:rPr>
        <w:t xml:space="preserve">.” Justice System Journal </w:t>
      </w:r>
      <w:r w:rsidRPr="0027400A">
        <w:rPr>
          <w:rStyle w:val="cit-vol"/>
          <w:rFonts w:cs="Times New Roman"/>
          <w:iCs/>
          <w:szCs w:val="24"/>
        </w:rPr>
        <w:t>8</w:t>
      </w:r>
      <w:r w:rsidR="00BA5A09">
        <w:rPr>
          <w:rStyle w:val="HTMLCite"/>
          <w:rFonts w:cs="Times New Roman"/>
          <w:i w:val="0"/>
          <w:szCs w:val="24"/>
        </w:rPr>
        <w:t>(1):</w:t>
      </w:r>
      <w:r w:rsidRPr="0027400A">
        <w:rPr>
          <w:rStyle w:val="HTMLCite"/>
          <w:rFonts w:cs="Times New Roman"/>
          <w:szCs w:val="24"/>
        </w:rPr>
        <w:t xml:space="preserve"> </w:t>
      </w:r>
      <w:r w:rsidRPr="0027400A">
        <w:rPr>
          <w:rStyle w:val="cit-fpage"/>
          <w:rFonts w:cs="Times New Roman"/>
          <w:iCs/>
          <w:szCs w:val="24"/>
        </w:rPr>
        <w:t>35</w:t>
      </w:r>
      <w:r w:rsidRPr="0027400A">
        <w:rPr>
          <w:rStyle w:val="HTMLCite"/>
          <w:rFonts w:cs="Times New Roman"/>
          <w:szCs w:val="24"/>
        </w:rPr>
        <w:t>-</w:t>
      </w:r>
      <w:r w:rsidRPr="0027400A">
        <w:rPr>
          <w:rStyle w:val="cit-lpage"/>
          <w:rFonts w:cs="Times New Roman"/>
          <w:szCs w:val="24"/>
        </w:rPr>
        <w:t>45</w:t>
      </w:r>
      <w:r w:rsidRPr="0027400A">
        <w:rPr>
          <w:rStyle w:val="HTMLCite"/>
          <w:rFonts w:cs="Times New Roman"/>
          <w:szCs w:val="24"/>
        </w:rPr>
        <w:t>.</w:t>
      </w:r>
    </w:p>
    <w:p w:rsidR="000E3C4B" w:rsidRPr="0027400A" w:rsidRDefault="000E3C4B" w:rsidP="000E3C4B">
      <w:pPr>
        <w:tabs>
          <w:tab w:val="left" w:pos="0"/>
        </w:tabs>
        <w:ind w:hanging="720"/>
        <w:rPr>
          <w:rStyle w:val="HTMLCite"/>
          <w:rFonts w:cs="Times New Roman"/>
          <w:szCs w:val="24"/>
        </w:rPr>
      </w:pPr>
    </w:p>
    <w:p w:rsidR="000E3C4B" w:rsidRPr="0027400A" w:rsidRDefault="000E3C4B" w:rsidP="000E3C4B">
      <w:pPr>
        <w:tabs>
          <w:tab w:val="left" w:pos="0"/>
        </w:tabs>
        <w:ind w:hanging="720"/>
        <w:rPr>
          <w:rStyle w:val="HTMLCite"/>
          <w:rFonts w:cs="Times New Roman"/>
          <w:szCs w:val="24"/>
        </w:rPr>
      </w:pPr>
      <w:r w:rsidRPr="0027400A">
        <w:rPr>
          <w:rFonts w:cs="Times New Roman"/>
          <w:szCs w:val="24"/>
        </w:rPr>
        <w:lastRenderedPageBreak/>
        <w:t xml:space="preserve">O’Connor, Sandra Day. 1996. “Henry Clay and the Supreme Court.” October 4, 1996. Speech delivered to the Henry Clay Memorial Foundation. </w:t>
      </w:r>
      <w:r w:rsidRPr="0027400A">
        <w:rPr>
          <w:rFonts w:cs="Times New Roman"/>
          <w:szCs w:val="24"/>
          <w:u w:val="single"/>
        </w:rPr>
        <w:t>http://www.henryclay.org/sc.htm</w:t>
      </w:r>
      <w:r w:rsidRPr="0027400A">
        <w:rPr>
          <w:rFonts w:cs="Times New Roman"/>
          <w:szCs w:val="24"/>
        </w:rPr>
        <w:t>.</w:t>
      </w:r>
    </w:p>
    <w:p w:rsidR="000E3C4B" w:rsidRPr="0027400A" w:rsidRDefault="000E3C4B" w:rsidP="000E3C4B">
      <w:pPr>
        <w:tabs>
          <w:tab w:val="left" w:pos="0"/>
        </w:tabs>
        <w:ind w:hanging="720"/>
        <w:rPr>
          <w:rFonts w:cs="Times New Roman"/>
          <w:color w:val="548DD4" w:themeColor="text2" w:themeTint="99"/>
          <w:szCs w:val="24"/>
        </w:rPr>
      </w:pPr>
    </w:p>
    <w:p w:rsidR="000E3C4B" w:rsidRPr="0027400A" w:rsidRDefault="000E3C4B" w:rsidP="000E3C4B">
      <w:pPr>
        <w:tabs>
          <w:tab w:val="left" w:pos="0"/>
        </w:tabs>
        <w:ind w:hanging="720"/>
        <w:rPr>
          <w:rFonts w:cs="Times New Roman"/>
          <w:szCs w:val="24"/>
        </w:rPr>
      </w:pPr>
      <w:r w:rsidRPr="0027400A">
        <w:rPr>
          <w:rFonts w:cs="Times New Roman"/>
          <w:szCs w:val="24"/>
        </w:rPr>
        <w:t xml:space="preserve">Olson, Susan M. 1990. </w:t>
      </w:r>
      <w:proofErr w:type="gramStart"/>
      <w:r w:rsidRPr="0027400A">
        <w:rPr>
          <w:rFonts w:cs="Times New Roman"/>
          <w:szCs w:val="24"/>
        </w:rPr>
        <w:t>“Interest-Group Litigation in Federal District Court:  Beyond the Political Disadvantage Theory.”</w:t>
      </w:r>
      <w:proofErr w:type="gramEnd"/>
      <w:r w:rsidRPr="0027400A">
        <w:rPr>
          <w:rFonts w:cs="Times New Roman"/>
          <w:szCs w:val="24"/>
        </w:rPr>
        <w:t xml:space="preserve">  </w:t>
      </w:r>
      <w:r w:rsidRPr="0027400A">
        <w:rPr>
          <w:rFonts w:cs="Times New Roman"/>
          <w:i/>
          <w:szCs w:val="24"/>
        </w:rPr>
        <w:t>Journal of Politics</w:t>
      </w:r>
      <w:r w:rsidRPr="0027400A">
        <w:rPr>
          <w:rFonts w:cs="Times New Roman"/>
          <w:szCs w:val="24"/>
        </w:rPr>
        <w:t xml:space="preserve"> 52(3)</w:t>
      </w:r>
      <w:r w:rsidR="00BA5A09">
        <w:rPr>
          <w:rFonts w:cs="Times New Roman"/>
          <w:szCs w:val="24"/>
        </w:rPr>
        <w:t>:</w:t>
      </w:r>
      <w:r w:rsidRPr="0027400A">
        <w:rPr>
          <w:rFonts w:cs="Times New Roman"/>
          <w:szCs w:val="24"/>
        </w:rPr>
        <w:t xml:space="preserve"> 854-882.</w:t>
      </w:r>
    </w:p>
    <w:p w:rsidR="00423FF6" w:rsidRPr="0027400A" w:rsidRDefault="00423FF6" w:rsidP="000E3C4B">
      <w:pPr>
        <w:tabs>
          <w:tab w:val="left" w:pos="0"/>
        </w:tabs>
        <w:ind w:hanging="720"/>
        <w:rPr>
          <w:rFonts w:cs="Times New Roman"/>
          <w:szCs w:val="24"/>
        </w:rPr>
      </w:pPr>
    </w:p>
    <w:p w:rsidR="00423FF6" w:rsidRPr="0027400A" w:rsidRDefault="00423FF6" w:rsidP="00423FF6">
      <w:pPr>
        <w:ind w:hanging="720"/>
        <w:rPr>
          <w:rFonts w:cs="Times New Roman"/>
          <w:szCs w:val="24"/>
        </w:rPr>
      </w:pPr>
      <w:r w:rsidRPr="0027400A">
        <w:rPr>
          <w:rFonts w:cs="Times New Roman"/>
          <w:szCs w:val="24"/>
        </w:rPr>
        <w:t>O’Neill, Michael E. 2009. “</w:t>
      </w:r>
      <w:hyperlink r:id="rId42" w:tgtFrame="_blank" w:history="1">
        <w:r w:rsidRPr="0027400A">
          <w:rPr>
            <w:rStyle w:val="Hyperlink"/>
            <w:rFonts w:cs="Times New Roman"/>
            <w:color w:val="auto"/>
            <w:szCs w:val="24"/>
            <w:u w:val="none"/>
          </w:rPr>
          <w:t>(Un</w:t>
        </w:r>
        <w:proofErr w:type="gramStart"/>
        <w:r w:rsidRPr="0027400A">
          <w:rPr>
            <w:rStyle w:val="Hyperlink"/>
            <w:rFonts w:cs="Times New Roman"/>
            <w:color w:val="auto"/>
            <w:szCs w:val="24"/>
            <w:u w:val="none"/>
          </w:rPr>
          <w:t>)Reasonableness</w:t>
        </w:r>
        <w:proofErr w:type="gramEnd"/>
        <w:r w:rsidRPr="0027400A">
          <w:rPr>
            <w:rStyle w:val="Hyperlink"/>
            <w:rFonts w:cs="Times New Roman"/>
            <w:color w:val="auto"/>
            <w:szCs w:val="24"/>
            <w:u w:val="none"/>
          </w:rPr>
          <w:t xml:space="preserve"> and the Roberts Court: The Fourth Amendment in Flux﻿</w:t>
        </w:r>
      </w:hyperlink>
      <w:r w:rsidRPr="0027400A">
        <w:rPr>
          <w:rFonts w:cs="Times New Roman"/>
          <w:szCs w:val="24"/>
        </w:rPr>
        <w:t xml:space="preserve">.” </w:t>
      </w:r>
      <w:proofErr w:type="gramStart"/>
      <w:r w:rsidRPr="0027400A">
        <w:rPr>
          <w:rFonts w:cs="Times New Roman"/>
          <w:i/>
          <w:szCs w:val="24"/>
        </w:rPr>
        <w:t>Cato Supreme Court Review.</w:t>
      </w:r>
      <w:proofErr w:type="gramEnd"/>
      <w:r w:rsidRPr="0027400A">
        <w:rPr>
          <w:rFonts w:cs="Times New Roman"/>
          <w:i/>
          <w:szCs w:val="24"/>
        </w:rPr>
        <w:t xml:space="preserve"> </w:t>
      </w:r>
      <w:r w:rsidRPr="0027400A">
        <w:rPr>
          <w:rFonts w:cs="Times New Roman"/>
          <w:szCs w:val="24"/>
        </w:rPr>
        <w:t xml:space="preserve">Cato Institute. </w:t>
      </w:r>
    </w:p>
    <w:p w:rsidR="000E3C4B" w:rsidRPr="0027400A" w:rsidRDefault="000E3C4B" w:rsidP="00423FF6">
      <w:pPr>
        <w:tabs>
          <w:tab w:val="left" w:pos="0"/>
        </w:tabs>
        <w:ind w:left="0" w:firstLine="0"/>
        <w:rPr>
          <w:rFonts w:cs="Times New Roman"/>
          <w:szCs w:val="24"/>
        </w:rPr>
      </w:pPr>
    </w:p>
    <w:p w:rsidR="000E3C4B" w:rsidRDefault="000E3C4B" w:rsidP="003F458D">
      <w:pPr>
        <w:ind w:hanging="720"/>
        <w:rPr>
          <w:rFonts w:eastAsia="Times New Roman" w:cs="Times New Roman"/>
          <w:szCs w:val="24"/>
        </w:rPr>
      </w:pPr>
      <w:r w:rsidRPr="0027400A">
        <w:rPr>
          <w:rFonts w:eastAsia="Times New Roman" w:cs="Times New Roman"/>
          <w:szCs w:val="24"/>
        </w:rPr>
        <w:t xml:space="preserve">O'Neill, Timothy J. 1985. </w:t>
      </w:r>
      <w:r w:rsidRPr="0027400A">
        <w:rPr>
          <w:rFonts w:eastAsia="Times New Roman" w:cs="Times New Roman"/>
          <w:i/>
          <w:iCs/>
          <w:szCs w:val="24"/>
        </w:rPr>
        <w:t>Bakke and the Politics of Equality: Friends and Foes in the Classroom of Litigation</w:t>
      </w:r>
      <w:r w:rsidRPr="0027400A">
        <w:rPr>
          <w:rFonts w:eastAsia="Times New Roman" w:cs="Times New Roman"/>
          <w:szCs w:val="24"/>
        </w:rPr>
        <w:t>. Middletown, CT: Wesleyan University Press.</w:t>
      </w:r>
    </w:p>
    <w:p w:rsidR="00C816D4" w:rsidRPr="0027400A" w:rsidRDefault="00C816D4" w:rsidP="003F458D">
      <w:pPr>
        <w:ind w:hanging="720"/>
        <w:rPr>
          <w:rFonts w:eastAsia="Times New Roman" w:cs="Times New Roman"/>
          <w:szCs w:val="24"/>
        </w:rPr>
      </w:pPr>
    </w:p>
    <w:p w:rsidR="000E3C4B" w:rsidRPr="0027400A" w:rsidRDefault="000E3C4B" w:rsidP="000E3C4B">
      <w:pPr>
        <w:ind w:hanging="720"/>
        <w:rPr>
          <w:rFonts w:eastAsia="Times New Roman" w:cs="Times New Roman"/>
          <w:szCs w:val="24"/>
        </w:rPr>
      </w:pPr>
      <w:proofErr w:type="gramStart"/>
      <w:r w:rsidRPr="0027400A">
        <w:rPr>
          <w:rFonts w:eastAsia="Times New Roman" w:cs="Times New Roman"/>
          <w:szCs w:val="24"/>
        </w:rPr>
        <w:t xml:space="preserve">Owens, Ryan J., </w:t>
      </w:r>
      <w:r w:rsidR="000D6839" w:rsidRPr="0027400A">
        <w:rPr>
          <w:rFonts w:eastAsia="Times New Roman" w:cs="Times New Roman"/>
          <w:szCs w:val="24"/>
        </w:rPr>
        <w:t>and</w:t>
      </w:r>
      <w:r w:rsidR="00BA5A09">
        <w:rPr>
          <w:rFonts w:eastAsia="Times New Roman" w:cs="Times New Roman"/>
          <w:szCs w:val="24"/>
        </w:rPr>
        <w:t xml:space="preserve"> </w:t>
      </w:r>
      <w:r w:rsidRPr="0027400A">
        <w:rPr>
          <w:rFonts w:eastAsia="Times New Roman" w:cs="Times New Roman"/>
          <w:szCs w:val="24"/>
        </w:rPr>
        <w:t>Lee</w:t>
      </w:r>
      <w:r w:rsidR="00BA5A09">
        <w:rPr>
          <w:rFonts w:eastAsia="Times New Roman" w:cs="Times New Roman"/>
          <w:szCs w:val="24"/>
        </w:rPr>
        <w:t xml:space="preserve"> Epstein</w:t>
      </w:r>
      <w:r w:rsidRPr="0027400A">
        <w:rPr>
          <w:rFonts w:eastAsia="Times New Roman" w:cs="Times New Roman"/>
          <w:szCs w:val="24"/>
        </w:rPr>
        <w:t>.</w:t>
      </w:r>
      <w:proofErr w:type="gramEnd"/>
      <w:r w:rsidRPr="0027400A">
        <w:rPr>
          <w:rFonts w:eastAsia="Times New Roman" w:cs="Times New Roman"/>
          <w:szCs w:val="24"/>
        </w:rPr>
        <w:t xml:space="preserve"> 2005. “Amici curiae during the Rehnquist years.” </w:t>
      </w:r>
      <w:r w:rsidRPr="0027400A">
        <w:rPr>
          <w:rFonts w:eastAsia="Times New Roman" w:cs="Times New Roman"/>
          <w:i/>
          <w:iCs/>
          <w:szCs w:val="24"/>
        </w:rPr>
        <w:t>Judicature</w:t>
      </w:r>
      <w:r w:rsidRPr="0027400A">
        <w:rPr>
          <w:rFonts w:eastAsia="Times New Roman" w:cs="Times New Roman"/>
          <w:szCs w:val="24"/>
        </w:rPr>
        <w:t xml:space="preserve">, </w:t>
      </w:r>
      <w:r w:rsidRPr="00BA5A09">
        <w:rPr>
          <w:rFonts w:eastAsia="Times New Roman" w:cs="Times New Roman"/>
          <w:iCs/>
          <w:szCs w:val="24"/>
        </w:rPr>
        <w:t>89</w:t>
      </w:r>
      <w:r w:rsidR="00BA5A09">
        <w:rPr>
          <w:rFonts w:eastAsia="Times New Roman" w:cs="Times New Roman"/>
          <w:szCs w:val="24"/>
        </w:rPr>
        <w:t xml:space="preserve">: </w:t>
      </w:r>
      <w:r w:rsidRPr="0027400A">
        <w:rPr>
          <w:rFonts w:eastAsia="Times New Roman" w:cs="Times New Roman"/>
          <w:szCs w:val="24"/>
        </w:rPr>
        <w:t>127.</w:t>
      </w:r>
    </w:p>
    <w:p w:rsidR="000E3C4B" w:rsidRPr="0027400A" w:rsidRDefault="000E3C4B" w:rsidP="000E3C4B">
      <w:pPr>
        <w:ind w:hanging="720"/>
        <w:rPr>
          <w:rFonts w:eastAsia="Times New Roman" w:cs="Times New Roman"/>
          <w:szCs w:val="24"/>
        </w:rPr>
      </w:pPr>
    </w:p>
    <w:p w:rsidR="000E3C4B" w:rsidRPr="0027400A" w:rsidRDefault="000E3C4B" w:rsidP="000E3C4B">
      <w:pPr>
        <w:autoSpaceDE w:val="0"/>
        <w:autoSpaceDN w:val="0"/>
        <w:adjustRightInd w:val="0"/>
        <w:ind w:left="0" w:firstLine="0"/>
        <w:rPr>
          <w:rFonts w:cs="Times New Roman"/>
          <w:szCs w:val="24"/>
        </w:rPr>
      </w:pPr>
      <w:proofErr w:type="spellStart"/>
      <w:r w:rsidRPr="0027400A">
        <w:rPr>
          <w:rFonts w:eastAsia="Times New Roman" w:cs="Times New Roman"/>
          <w:szCs w:val="24"/>
        </w:rPr>
        <w:t>Pacelle</w:t>
      </w:r>
      <w:proofErr w:type="spellEnd"/>
      <w:r w:rsidRPr="0027400A">
        <w:rPr>
          <w:rFonts w:eastAsia="Times New Roman" w:cs="Times New Roman"/>
          <w:szCs w:val="24"/>
        </w:rPr>
        <w:t xml:space="preserve">, Richard L., Jr. 2006. </w:t>
      </w:r>
      <w:proofErr w:type="gramStart"/>
      <w:r w:rsidRPr="0027400A">
        <w:rPr>
          <w:rFonts w:cs="Times New Roman"/>
          <w:szCs w:val="24"/>
        </w:rPr>
        <w:t xml:space="preserve">"Amicus curiae or amicus </w:t>
      </w:r>
      <w:proofErr w:type="spellStart"/>
      <w:r w:rsidRPr="0027400A">
        <w:rPr>
          <w:rFonts w:cs="Times New Roman"/>
          <w:szCs w:val="24"/>
        </w:rPr>
        <w:t>praesidentis</w:t>
      </w:r>
      <w:proofErr w:type="spellEnd"/>
      <w:r w:rsidRPr="0027400A">
        <w:rPr>
          <w:rFonts w:cs="Times New Roman"/>
          <w:szCs w:val="24"/>
        </w:rPr>
        <w:t>?</w:t>
      </w:r>
      <w:proofErr w:type="gramEnd"/>
      <w:r w:rsidRPr="0027400A">
        <w:rPr>
          <w:rFonts w:cs="Times New Roman"/>
          <w:szCs w:val="24"/>
        </w:rPr>
        <w:t xml:space="preserve"> Reexamining the</w:t>
      </w:r>
    </w:p>
    <w:p w:rsidR="000E3C4B" w:rsidRDefault="000E3C4B" w:rsidP="000E3C4B">
      <w:pPr>
        <w:ind w:firstLine="0"/>
        <w:rPr>
          <w:rFonts w:cs="Times New Roman"/>
          <w:szCs w:val="24"/>
        </w:rPr>
      </w:pPr>
      <w:proofErr w:type="gramStart"/>
      <w:r w:rsidRPr="0027400A">
        <w:rPr>
          <w:rFonts w:cs="Times New Roman"/>
          <w:szCs w:val="24"/>
        </w:rPr>
        <w:t>role</w:t>
      </w:r>
      <w:proofErr w:type="gramEnd"/>
      <w:r w:rsidRPr="0027400A">
        <w:rPr>
          <w:rFonts w:cs="Times New Roman"/>
          <w:szCs w:val="24"/>
        </w:rPr>
        <w:t xml:space="preserve"> of the solicitor general in filing amici." </w:t>
      </w:r>
      <w:r w:rsidRPr="0027400A">
        <w:rPr>
          <w:rFonts w:cs="Times New Roman"/>
          <w:i/>
          <w:iCs/>
          <w:szCs w:val="24"/>
        </w:rPr>
        <w:t xml:space="preserve">Judicature </w:t>
      </w:r>
      <w:r w:rsidRPr="0027400A">
        <w:rPr>
          <w:rFonts w:cs="Times New Roman"/>
          <w:szCs w:val="24"/>
        </w:rPr>
        <w:t>89 (May-June): 317–325.</w:t>
      </w:r>
    </w:p>
    <w:p w:rsidR="00532FFE" w:rsidRDefault="00532FFE" w:rsidP="000E3C4B">
      <w:pPr>
        <w:ind w:firstLine="0"/>
        <w:rPr>
          <w:rFonts w:cs="Times New Roman"/>
          <w:szCs w:val="24"/>
        </w:rPr>
      </w:pPr>
    </w:p>
    <w:p w:rsidR="00532FFE" w:rsidRDefault="00532FFE" w:rsidP="00532FFE">
      <w:pPr>
        <w:ind w:hanging="720"/>
        <w:rPr>
          <w:rFonts w:cs="Times New Roman"/>
          <w:szCs w:val="24"/>
        </w:rPr>
      </w:pPr>
      <w:r>
        <w:rPr>
          <w:rFonts w:cs="Times New Roman"/>
          <w:szCs w:val="24"/>
        </w:rPr>
        <w:t xml:space="preserve">Patterson, Jim. July 3, 2012. “Vanderbilt law professor influences SCOTUS health care decision.” </w:t>
      </w:r>
      <w:proofErr w:type="gramStart"/>
      <w:r>
        <w:rPr>
          <w:rFonts w:cs="Times New Roman"/>
          <w:i/>
          <w:szCs w:val="24"/>
        </w:rPr>
        <w:t>Vanderbilt News.</w:t>
      </w:r>
      <w:proofErr w:type="gramEnd"/>
      <w:r>
        <w:rPr>
          <w:rFonts w:cs="Times New Roman"/>
          <w:i/>
          <w:szCs w:val="24"/>
        </w:rPr>
        <w:t xml:space="preserve"> </w:t>
      </w:r>
      <w:proofErr w:type="gramStart"/>
      <w:r>
        <w:rPr>
          <w:rFonts w:cs="Times New Roman"/>
          <w:szCs w:val="24"/>
        </w:rPr>
        <w:t xml:space="preserve">Accessed at </w:t>
      </w:r>
      <w:hyperlink r:id="rId43" w:history="1">
        <w:r w:rsidRPr="00F015F3">
          <w:rPr>
            <w:rStyle w:val="Hyperlink"/>
            <w:rFonts w:cs="Times New Roman"/>
            <w:szCs w:val="24"/>
          </w:rPr>
          <w:t>http://news.vanderbilt.edu/2012/07/aca-scotus/</w:t>
        </w:r>
      </w:hyperlink>
      <w:r>
        <w:rPr>
          <w:rFonts w:cs="Times New Roman"/>
          <w:szCs w:val="24"/>
        </w:rPr>
        <w:t>.</w:t>
      </w:r>
      <w:proofErr w:type="gramEnd"/>
    </w:p>
    <w:p w:rsidR="000E3C4B" w:rsidRPr="0027400A" w:rsidRDefault="000E3C4B" w:rsidP="003505C0">
      <w:pPr>
        <w:tabs>
          <w:tab w:val="left" w:pos="0"/>
        </w:tabs>
        <w:ind w:left="0" w:firstLine="0"/>
        <w:rPr>
          <w:rFonts w:cs="Times New Roman"/>
          <w:szCs w:val="24"/>
        </w:rPr>
      </w:pPr>
    </w:p>
    <w:p w:rsidR="000E3C4B" w:rsidRPr="0027400A" w:rsidRDefault="000E3C4B" w:rsidP="000E3C4B">
      <w:pPr>
        <w:ind w:left="0" w:firstLine="0"/>
        <w:rPr>
          <w:rFonts w:eastAsia="Times New Roman" w:cs="Times New Roman"/>
          <w:szCs w:val="24"/>
        </w:rPr>
      </w:pPr>
      <w:proofErr w:type="spellStart"/>
      <w:r w:rsidRPr="0027400A">
        <w:rPr>
          <w:rFonts w:eastAsia="Times New Roman" w:cs="Times New Roman"/>
          <w:szCs w:val="24"/>
        </w:rPr>
        <w:t>Pfeffer</w:t>
      </w:r>
      <w:proofErr w:type="spellEnd"/>
      <w:r w:rsidRPr="0027400A">
        <w:rPr>
          <w:rFonts w:eastAsia="Times New Roman" w:cs="Times New Roman"/>
          <w:szCs w:val="24"/>
        </w:rPr>
        <w:t xml:space="preserve">, Leo. 1981. “Amici in Church-State Litigation.” </w:t>
      </w:r>
      <w:proofErr w:type="gramStart"/>
      <w:r w:rsidRPr="0027400A">
        <w:rPr>
          <w:rFonts w:eastAsia="Times New Roman" w:cs="Times New Roman"/>
          <w:i/>
          <w:iCs/>
          <w:szCs w:val="24"/>
        </w:rPr>
        <w:t xml:space="preserve">Law </w:t>
      </w:r>
      <w:r w:rsidR="000D6839" w:rsidRPr="0027400A">
        <w:rPr>
          <w:rFonts w:eastAsia="Times New Roman" w:cs="Times New Roman"/>
          <w:i/>
          <w:iCs/>
          <w:szCs w:val="24"/>
        </w:rPr>
        <w:t>and</w:t>
      </w:r>
      <w:r w:rsidRPr="0027400A">
        <w:rPr>
          <w:rFonts w:eastAsia="Times New Roman" w:cs="Times New Roman"/>
          <w:i/>
          <w:iCs/>
          <w:szCs w:val="24"/>
        </w:rPr>
        <w:t xml:space="preserve"> Contemp. Probs.</w:t>
      </w:r>
      <w:r w:rsidRPr="0027400A">
        <w:rPr>
          <w:rFonts w:eastAsia="Times New Roman" w:cs="Times New Roman"/>
          <w:szCs w:val="24"/>
        </w:rPr>
        <w:t xml:space="preserve">, </w:t>
      </w:r>
      <w:r w:rsidRPr="0027400A">
        <w:rPr>
          <w:rFonts w:eastAsia="Times New Roman" w:cs="Times New Roman"/>
          <w:i/>
          <w:iCs/>
          <w:szCs w:val="24"/>
        </w:rPr>
        <w:t>44</w:t>
      </w:r>
      <w:r w:rsidRPr="0027400A">
        <w:rPr>
          <w:rFonts w:eastAsia="Times New Roman" w:cs="Times New Roman"/>
          <w:szCs w:val="24"/>
        </w:rPr>
        <w:t>, 83.</w:t>
      </w:r>
      <w:proofErr w:type="gramEnd"/>
    </w:p>
    <w:p w:rsidR="000E3C4B" w:rsidRPr="0027400A" w:rsidRDefault="000E3C4B" w:rsidP="000E3C4B">
      <w:pPr>
        <w:tabs>
          <w:tab w:val="left" w:pos="0"/>
        </w:tabs>
        <w:ind w:hanging="720"/>
        <w:rPr>
          <w:rFonts w:cs="Times New Roman"/>
          <w:color w:val="548DD4" w:themeColor="text2" w:themeTint="99"/>
          <w:szCs w:val="24"/>
        </w:rPr>
      </w:pPr>
    </w:p>
    <w:p w:rsidR="000E3C4B" w:rsidRDefault="000E3C4B" w:rsidP="000E3C4B">
      <w:pPr>
        <w:tabs>
          <w:tab w:val="left" w:pos="0"/>
        </w:tabs>
        <w:ind w:hanging="720"/>
        <w:rPr>
          <w:rFonts w:cs="Times New Roman"/>
          <w:szCs w:val="24"/>
        </w:rPr>
      </w:pPr>
      <w:proofErr w:type="spellStart"/>
      <w:r w:rsidRPr="0027400A">
        <w:rPr>
          <w:rFonts w:cs="Times New Roman"/>
          <w:bCs/>
          <w:szCs w:val="24"/>
        </w:rPr>
        <w:t>Puro</w:t>
      </w:r>
      <w:proofErr w:type="spellEnd"/>
      <w:r w:rsidRPr="0027400A">
        <w:rPr>
          <w:rFonts w:cs="Times New Roman"/>
          <w:szCs w:val="24"/>
        </w:rPr>
        <w:t xml:space="preserve">, Steven. </w:t>
      </w:r>
      <w:r w:rsidRPr="0027400A">
        <w:rPr>
          <w:rFonts w:cs="Times New Roman"/>
          <w:bCs/>
          <w:szCs w:val="24"/>
        </w:rPr>
        <w:t>1971</w:t>
      </w:r>
      <w:r w:rsidRPr="0027400A">
        <w:rPr>
          <w:rFonts w:cs="Times New Roman"/>
          <w:szCs w:val="24"/>
        </w:rPr>
        <w:t xml:space="preserve">. "The </w:t>
      </w:r>
      <w:r w:rsidRPr="0027400A">
        <w:rPr>
          <w:rFonts w:cs="Times New Roman"/>
          <w:bCs/>
          <w:szCs w:val="24"/>
        </w:rPr>
        <w:t>Role</w:t>
      </w:r>
      <w:r w:rsidRPr="0027400A">
        <w:rPr>
          <w:rFonts w:cs="Times New Roman"/>
          <w:szCs w:val="24"/>
        </w:rPr>
        <w:t xml:space="preserve"> of </w:t>
      </w:r>
      <w:r w:rsidRPr="0027400A">
        <w:rPr>
          <w:rFonts w:cs="Times New Roman"/>
          <w:bCs/>
          <w:szCs w:val="24"/>
        </w:rPr>
        <w:t>Amicus</w:t>
      </w:r>
      <w:r w:rsidRPr="0027400A">
        <w:rPr>
          <w:rFonts w:cs="Times New Roman"/>
          <w:szCs w:val="24"/>
        </w:rPr>
        <w:t xml:space="preserve"> </w:t>
      </w:r>
      <w:r w:rsidRPr="0027400A">
        <w:rPr>
          <w:rFonts w:cs="Times New Roman"/>
          <w:bCs/>
          <w:szCs w:val="24"/>
        </w:rPr>
        <w:t>Curiae</w:t>
      </w:r>
      <w:r w:rsidRPr="0027400A">
        <w:rPr>
          <w:rFonts w:cs="Times New Roman"/>
          <w:szCs w:val="24"/>
        </w:rPr>
        <w:t xml:space="preserve"> in the United States Supreme Court: 1920-1966." </w:t>
      </w:r>
      <w:proofErr w:type="gramStart"/>
      <w:r w:rsidRPr="0027400A">
        <w:rPr>
          <w:rFonts w:cs="Times New Roman"/>
          <w:szCs w:val="24"/>
        </w:rPr>
        <w:t xml:space="preserve">Unpublished Ph.D. </w:t>
      </w:r>
      <w:r w:rsidRPr="0027400A">
        <w:rPr>
          <w:rFonts w:cs="Times New Roman"/>
          <w:bCs/>
          <w:szCs w:val="24"/>
        </w:rPr>
        <w:t>dissertation</w:t>
      </w:r>
      <w:r w:rsidRPr="0027400A">
        <w:rPr>
          <w:rFonts w:cs="Times New Roman"/>
          <w:szCs w:val="24"/>
        </w:rPr>
        <w:t>, State University of New York at Buffalo.</w:t>
      </w:r>
      <w:proofErr w:type="gramEnd"/>
    </w:p>
    <w:p w:rsidR="00EC3717" w:rsidRDefault="00EC3717" w:rsidP="000E3C4B">
      <w:pPr>
        <w:tabs>
          <w:tab w:val="left" w:pos="0"/>
        </w:tabs>
        <w:ind w:hanging="720"/>
        <w:rPr>
          <w:rFonts w:cs="Times New Roman"/>
          <w:szCs w:val="24"/>
        </w:rPr>
      </w:pPr>
    </w:p>
    <w:p w:rsidR="00EC3717" w:rsidRPr="00EC3717" w:rsidRDefault="00EC3717" w:rsidP="00EC3717">
      <w:pPr>
        <w:ind w:hanging="720"/>
        <w:rPr>
          <w:rFonts w:eastAsia="Times New Roman" w:cs="Times New Roman"/>
          <w:szCs w:val="24"/>
        </w:rPr>
      </w:pPr>
      <w:r>
        <w:rPr>
          <w:rFonts w:eastAsia="Times New Roman" w:cs="Times New Roman"/>
          <w:szCs w:val="24"/>
        </w:rPr>
        <w:t>Rhodes, Charles. 2011</w:t>
      </w:r>
      <w:r w:rsidRPr="00EC3717">
        <w:rPr>
          <w:rFonts w:eastAsia="Times New Roman" w:cs="Times New Roman"/>
          <w:szCs w:val="24"/>
        </w:rPr>
        <w:t xml:space="preserve">. </w:t>
      </w:r>
      <w:r>
        <w:rPr>
          <w:rFonts w:eastAsia="Times New Roman" w:cs="Times New Roman"/>
          <w:szCs w:val="24"/>
        </w:rPr>
        <w:t>“</w:t>
      </w:r>
      <w:r w:rsidRPr="00EC3717">
        <w:rPr>
          <w:rFonts w:eastAsia="Times New Roman" w:cs="Times New Roman"/>
          <w:szCs w:val="24"/>
        </w:rPr>
        <w:t xml:space="preserve">What Conservative Constitutional Revolution? </w:t>
      </w:r>
      <w:proofErr w:type="gramStart"/>
      <w:r w:rsidRPr="00EC3717">
        <w:rPr>
          <w:rFonts w:eastAsia="Times New Roman" w:cs="Times New Roman"/>
          <w:szCs w:val="24"/>
        </w:rPr>
        <w:t>Moderating Five Degrees of Judicial Conservatism after Six Years of the Roberts Court.</w:t>
      </w:r>
      <w:r>
        <w:rPr>
          <w:rFonts w:eastAsia="Times New Roman" w:cs="Times New Roman"/>
          <w:szCs w:val="24"/>
        </w:rPr>
        <w:t>”</w:t>
      </w:r>
      <w:proofErr w:type="gramEnd"/>
      <w:r w:rsidRPr="00EC3717">
        <w:rPr>
          <w:rFonts w:eastAsia="Times New Roman" w:cs="Times New Roman"/>
          <w:szCs w:val="24"/>
        </w:rPr>
        <w:t xml:space="preserve"> </w:t>
      </w:r>
      <w:r w:rsidRPr="00EC3717">
        <w:rPr>
          <w:rFonts w:eastAsia="Times New Roman" w:cs="Times New Roman"/>
          <w:i/>
          <w:iCs/>
          <w:szCs w:val="24"/>
        </w:rPr>
        <w:t>Rutgers Law Review</w:t>
      </w:r>
      <w:r w:rsidR="00BA5A09">
        <w:rPr>
          <w:rFonts w:eastAsia="Times New Roman" w:cs="Times New Roman"/>
          <w:szCs w:val="24"/>
        </w:rPr>
        <w:t xml:space="preserve"> </w:t>
      </w:r>
      <w:r w:rsidRPr="00BA5A09">
        <w:rPr>
          <w:rFonts w:eastAsia="Times New Roman" w:cs="Times New Roman"/>
          <w:iCs/>
          <w:szCs w:val="24"/>
        </w:rPr>
        <w:t>64</w:t>
      </w:r>
      <w:r w:rsidR="00BA5A09">
        <w:rPr>
          <w:rFonts w:eastAsia="Times New Roman" w:cs="Times New Roman"/>
          <w:szCs w:val="24"/>
        </w:rPr>
        <w:t>: 1</w:t>
      </w:r>
      <w:r w:rsidRPr="00EC3717">
        <w:rPr>
          <w:rFonts w:eastAsia="Times New Roman" w:cs="Times New Roman"/>
          <w:szCs w:val="24"/>
        </w:rPr>
        <w:t>.</w:t>
      </w:r>
    </w:p>
    <w:p w:rsidR="000E3C4B" w:rsidRPr="0027400A" w:rsidRDefault="000E3C4B" w:rsidP="00EC3717">
      <w:pPr>
        <w:ind w:left="0" w:firstLine="0"/>
        <w:rPr>
          <w:rFonts w:eastAsia="Times New Roman" w:cs="Times New Roman"/>
          <w:szCs w:val="24"/>
        </w:rPr>
      </w:pPr>
    </w:p>
    <w:p w:rsidR="000E3C4B" w:rsidRPr="0027400A" w:rsidRDefault="000E3C4B" w:rsidP="000E3C4B">
      <w:pPr>
        <w:ind w:hanging="720"/>
        <w:rPr>
          <w:rFonts w:eastAsia="Times New Roman" w:cs="Times New Roman"/>
          <w:szCs w:val="24"/>
        </w:rPr>
      </w:pPr>
      <w:r w:rsidRPr="0027400A">
        <w:rPr>
          <w:rFonts w:eastAsia="Times New Roman" w:cs="Times New Roman"/>
          <w:szCs w:val="24"/>
        </w:rPr>
        <w:t>Rice, Douglas. 2012. "Friends in Low (</w:t>
      </w:r>
      <w:proofErr w:type="spellStart"/>
      <w:r w:rsidRPr="0027400A">
        <w:rPr>
          <w:rFonts w:eastAsia="Times New Roman" w:cs="Times New Roman"/>
          <w:szCs w:val="24"/>
        </w:rPr>
        <w:t>er</w:t>
      </w:r>
      <w:proofErr w:type="spellEnd"/>
      <w:r w:rsidRPr="0027400A">
        <w:rPr>
          <w:rFonts w:eastAsia="Times New Roman" w:cs="Times New Roman"/>
          <w:szCs w:val="24"/>
        </w:rPr>
        <w:t xml:space="preserve">) Places: Interest Group Participation as Amicus Curiae in Lower Federal Courts." </w:t>
      </w:r>
      <w:proofErr w:type="gramStart"/>
      <w:r w:rsidR="00BA5A09">
        <w:rPr>
          <w:rFonts w:eastAsia="Times New Roman" w:cs="Times New Roman"/>
          <w:szCs w:val="24"/>
        </w:rPr>
        <w:t>Unpublished manuscript.</w:t>
      </w:r>
      <w:proofErr w:type="gramEnd"/>
    </w:p>
    <w:p w:rsidR="00BC6F01" w:rsidRPr="0027400A" w:rsidRDefault="00BC6F01" w:rsidP="000E3C4B">
      <w:pPr>
        <w:ind w:hanging="720"/>
        <w:rPr>
          <w:rFonts w:eastAsia="Times New Roman" w:cs="Times New Roman"/>
          <w:szCs w:val="24"/>
        </w:rPr>
      </w:pPr>
    </w:p>
    <w:p w:rsidR="00BC6F01" w:rsidRPr="0027400A" w:rsidRDefault="00BC6F01" w:rsidP="000E3C4B">
      <w:pPr>
        <w:ind w:hanging="720"/>
        <w:rPr>
          <w:rFonts w:eastAsia="Times New Roman" w:cs="Times New Roman"/>
          <w:szCs w:val="24"/>
        </w:rPr>
      </w:pPr>
      <w:r w:rsidRPr="0027400A">
        <w:rPr>
          <w:rFonts w:eastAsia="Times New Roman" w:cs="Times New Roman"/>
          <w:szCs w:val="24"/>
        </w:rPr>
        <w:t xml:space="preserve">Roberts, John. 2005.  Confirmation Hearing Opening Statement to Senate Judiciary Committee.  </w:t>
      </w:r>
      <w:proofErr w:type="gramStart"/>
      <w:r w:rsidRPr="0027400A">
        <w:rPr>
          <w:rFonts w:eastAsia="Times New Roman" w:cs="Times New Roman"/>
          <w:szCs w:val="24"/>
        </w:rPr>
        <w:t xml:space="preserve">Accessed at </w:t>
      </w:r>
      <w:hyperlink r:id="rId44" w:history="1">
        <w:r w:rsidRPr="0027400A">
          <w:rPr>
            <w:rStyle w:val="Hyperlink"/>
            <w:rFonts w:eastAsia="Times New Roman" w:cs="Times New Roman"/>
            <w:szCs w:val="24"/>
          </w:rPr>
          <w:t>http://www.cnn.com/2005/POLITICS/09/12/roberts.statement/index.html?_s=PM:POLITICS</w:t>
        </w:r>
      </w:hyperlink>
      <w:r w:rsidRPr="0027400A">
        <w:rPr>
          <w:rFonts w:eastAsia="Times New Roman" w:cs="Times New Roman"/>
          <w:szCs w:val="24"/>
        </w:rPr>
        <w:t>.</w:t>
      </w:r>
      <w:proofErr w:type="gramEnd"/>
    </w:p>
    <w:p w:rsidR="000E3C4B" w:rsidRPr="0027400A" w:rsidRDefault="000E3C4B" w:rsidP="000E3C4B">
      <w:pPr>
        <w:tabs>
          <w:tab w:val="left" w:pos="0"/>
        </w:tabs>
        <w:ind w:left="0" w:firstLine="0"/>
        <w:rPr>
          <w:rFonts w:cs="Times New Roman"/>
          <w:szCs w:val="24"/>
        </w:rPr>
      </w:pPr>
    </w:p>
    <w:p w:rsidR="00EC3717" w:rsidRDefault="000E3C4B" w:rsidP="00DA1CBB">
      <w:pPr>
        <w:autoSpaceDE w:val="0"/>
        <w:autoSpaceDN w:val="0"/>
        <w:adjustRightInd w:val="0"/>
        <w:ind w:hanging="720"/>
        <w:rPr>
          <w:rFonts w:cs="Times New Roman"/>
          <w:szCs w:val="24"/>
        </w:rPr>
      </w:pPr>
      <w:r w:rsidRPr="0027400A">
        <w:rPr>
          <w:rFonts w:cs="Times New Roman"/>
          <w:szCs w:val="24"/>
        </w:rPr>
        <w:t xml:space="preserve">Roberts, Matthew M.C. 2009. Ph.D. Dissertation: “The Amicus Curiae at Oral Argument: New Evidence of How and Why Third Parties Shape Supreme Court Decisions.” </w:t>
      </w:r>
      <w:proofErr w:type="gramStart"/>
      <w:r w:rsidRPr="0027400A">
        <w:rPr>
          <w:rFonts w:cs="Times New Roman"/>
          <w:szCs w:val="24"/>
        </w:rPr>
        <w:t>Advisor Timothy R. Johnson.</w:t>
      </w:r>
      <w:proofErr w:type="gramEnd"/>
      <w:r w:rsidRPr="0027400A">
        <w:rPr>
          <w:rFonts w:cs="Times New Roman"/>
          <w:szCs w:val="24"/>
        </w:rPr>
        <w:t xml:space="preserve">  </w:t>
      </w:r>
      <w:hyperlink r:id="rId45" w:history="1">
        <w:r w:rsidRPr="0027400A">
          <w:rPr>
            <w:rStyle w:val="Hyperlink"/>
            <w:rFonts w:cs="Times New Roman"/>
            <w:szCs w:val="24"/>
          </w:rPr>
          <w:t>http://purl.umn.edu/57307</w:t>
        </w:r>
      </w:hyperlink>
      <w:r w:rsidRPr="0027400A">
        <w:rPr>
          <w:rFonts w:cs="Times New Roman"/>
          <w:szCs w:val="24"/>
        </w:rPr>
        <w:t xml:space="preserve">. </w:t>
      </w:r>
    </w:p>
    <w:p w:rsidR="00DA1CBB" w:rsidRDefault="00DA1CBB" w:rsidP="000E3C4B">
      <w:pPr>
        <w:autoSpaceDE w:val="0"/>
        <w:autoSpaceDN w:val="0"/>
        <w:adjustRightInd w:val="0"/>
        <w:ind w:hanging="720"/>
        <w:rPr>
          <w:rFonts w:cs="Times New Roman"/>
          <w:szCs w:val="24"/>
        </w:rPr>
      </w:pPr>
    </w:p>
    <w:p w:rsidR="00DA1CBB" w:rsidRPr="00DA1CBB" w:rsidRDefault="00DA1CBB" w:rsidP="00DA1CBB">
      <w:pPr>
        <w:ind w:left="0" w:firstLine="0"/>
        <w:rPr>
          <w:rFonts w:eastAsia="Times New Roman" w:cs="Times New Roman"/>
          <w:szCs w:val="24"/>
        </w:rPr>
      </w:pPr>
      <w:r w:rsidRPr="00DA1CBB">
        <w:rPr>
          <w:rFonts w:eastAsia="Times New Roman" w:cs="Times New Roman"/>
          <w:szCs w:val="24"/>
        </w:rPr>
        <w:t xml:space="preserve">Rosen, Jeffrey. </w:t>
      </w:r>
      <w:r>
        <w:rPr>
          <w:rFonts w:eastAsia="Times New Roman" w:cs="Times New Roman"/>
          <w:szCs w:val="24"/>
        </w:rPr>
        <w:t>2013. “</w:t>
      </w:r>
      <w:r w:rsidRPr="00DA1CBB">
        <w:rPr>
          <w:rFonts w:eastAsia="Times New Roman" w:cs="Times New Roman"/>
          <w:szCs w:val="24"/>
        </w:rPr>
        <w:t xml:space="preserve">How New </w:t>
      </w:r>
      <w:r>
        <w:rPr>
          <w:rFonts w:eastAsia="Times New Roman" w:cs="Times New Roman"/>
          <w:szCs w:val="24"/>
        </w:rPr>
        <w:t xml:space="preserve">Is the New </w:t>
      </w:r>
      <w:proofErr w:type="spellStart"/>
      <w:r>
        <w:rPr>
          <w:rFonts w:eastAsia="Times New Roman" w:cs="Times New Roman"/>
          <w:szCs w:val="24"/>
        </w:rPr>
        <w:t>Textualism</w:t>
      </w:r>
      <w:proofErr w:type="spellEnd"/>
      <w:proofErr w:type="gramStart"/>
      <w:r>
        <w:rPr>
          <w:rFonts w:eastAsia="Times New Roman" w:cs="Times New Roman"/>
          <w:szCs w:val="24"/>
        </w:rPr>
        <w:t>?.</w:t>
      </w:r>
      <w:proofErr w:type="gramEnd"/>
      <w:r>
        <w:rPr>
          <w:rFonts w:eastAsia="Times New Roman" w:cs="Times New Roman"/>
          <w:szCs w:val="24"/>
        </w:rPr>
        <w:t>”</w:t>
      </w:r>
      <w:r w:rsidRPr="00DA1CBB">
        <w:rPr>
          <w:rFonts w:eastAsia="Times New Roman" w:cs="Times New Roman"/>
          <w:szCs w:val="24"/>
        </w:rPr>
        <w:t xml:space="preserve"> </w:t>
      </w:r>
      <w:proofErr w:type="gramStart"/>
      <w:r w:rsidRPr="00DA1CBB">
        <w:rPr>
          <w:rFonts w:eastAsia="Times New Roman" w:cs="Times New Roman"/>
          <w:i/>
          <w:iCs/>
          <w:szCs w:val="24"/>
        </w:rPr>
        <w:t>Yale JL &amp; Human.</w:t>
      </w:r>
      <w:proofErr w:type="gramEnd"/>
      <w:r>
        <w:rPr>
          <w:rFonts w:eastAsia="Times New Roman" w:cs="Times New Roman"/>
          <w:szCs w:val="24"/>
        </w:rPr>
        <w:t xml:space="preserve"> 25</w:t>
      </w:r>
      <w:r w:rsidRPr="00DA1CBB">
        <w:rPr>
          <w:rFonts w:eastAsia="Times New Roman" w:cs="Times New Roman"/>
          <w:szCs w:val="24"/>
        </w:rPr>
        <w:t>: 43-149.</w:t>
      </w:r>
    </w:p>
    <w:p w:rsidR="00DA1CBB" w:rsidRDefault="00DA1CBB" w:rsidP="000E3C4B">
      <w:pPr>
        <w:autoSpaceDE w:val="0"/>
        <w:autoSpaceDN w:val="0"/>
        <w:adjustRightInd w:val="0"/>
        <w:ind w:hanging="720"/>
        <w:rPr>
          <w:rFonts w:cs="Times New Roman"/>
          <w:szCs w:val="24"/>
        </w:rPr>
      </w:pPr>
    </w:p>
    <w:p w:rsidR="00EC3717" w:rsidRDefault="00EC3717" w:rsidP="000E3C4B">
      <w:pPr>
        <w:autoSpaceDE w:val="0"/>
        <w:autoSpaceDN w:val="0"/>
        <w:adjustRightInd w:val="0"/>
        <w:ind w:hanging="720"/>
        <w:rPr>
          <w:rFonts w:cs="Times New Roman"/>
          <w:szCs w:val="24"/>
        </w:rPr>
      </w:pPr>
      <w:r>
        <w:rPr>
          <w:rFonts w:cs="Times New Roman"/>
          <w:szCs w:val="24"/>
        </w:rPr>
        <w:t xml:space="preserve">Rosen, Jeffrey. 2008. “Supreme Court Inc.” </w:t>
      </w:r>
      <w:proofErr w:type="gramStart"/>
      <w:r>
        <w:rPr>
          <w:rFonts w:cs="Times New Roman"/>
          <w:i/>
          <w:szCs w:val="24"/>
        </w:rPr>
        <w:t>The New York Times.</w:t>
      </w:r>
      <w:proofErr w:type="gramEnd"/>
      <w:r>
        <w:rPr>
          <w:rFonts w:cs="Times New Roman"/>
          <w:i/>
          <w:szCs w:val="24"/>
        </w:rPr>
        <w:t xml:space="preserve"> </w:t>
      </w:r>
      <w:r>
        <w:rPr>
          <w:rFonts w:cs="Times New Roman"/>
          <w:szCs w:val="24"/>
        </w:rPr>
        <w:t xml:space="preserve">March 16, 2008. </w:t>
      </w:r>
      <w:proofErr w:type="gramStart"/>
      <w:r>
        <w:rPr>
          <w:rFonts w:cs="Times New Roman"/>
          <w:szCs w:val="24"/>
        </w:rPr>
        <w:t xml:space="preserve">Accessed at </w:t>
      </w:r>
      <w:hyperlink r:id="rId46" w:history="1">
        <w:r w:rsidRPr="004941DB">
          <w:rPr>
            <w:rStyle w:val="Hyperlink"/>
            <w:rFonts w:cs="Times New Roman"/>
            <w:szCs w:val="24"/>
          </w:rPr>
          <w:t>http://www.nytimes.com/2008/03/16/magazine/16supreme-t.html?pagewanted=all</w:t>
        </w:r>
      </w:hyperlink>
      <w:r>
        <w:rPr>
          <w:rFonts w:cs="Times New Roman"/>
          <w:szCs w:val="24"/>
        </w:rPr>
        <w:t>.</w:t>
      </w:r>
      <w:proofErr w:type="gramEnd"/>
    </w:p>
    <w:p w:rsidR="000E3C4B" w:rsidRPr="0027400A" w:rsidRDefault="000E3C4B" w:rsidP="000E3C4B">
      <w:pPr>
        <w:autoSpaceDE w:val="0"/>
        <w:autoSpaceDN w:val="0"/>
        <w:adjustRightInd w:val="0"/>
        <w:ind w:hanging="720"/>
        <w:rPr>
          <w:rFonts w:cs="Times New Roman"/>
          <w:szCs w:val="24"/>
        </w:rPr>
      </w:pPr>
    </w:p>
    <w:p w:rsidR="000E3C4B" w:rsidRPr="0027400A" w:rsidRDefault="000E3C4B" w:rsidP="000E3C4B">
      <w:pPr>
        <w:autoSpaceDE w:val="0"/>
        <w:autoSpaceDN w:val="0"/>
        <w:adjustRightInd w:val="0"/>
        <w:ind w:hanging="720"/>
        <w:rPr>
          <w:rStyle w:val="HTMLCite"/>
          <w:rFonts w:cs="Times New Roman"/>
          <w:szCs w:val="24"/>
        </w:rPr>
      </w:pPr>
      <w:proofErr w:type="spellStart"/>
      <w:proofErr w:type="gramStart"/>
      <w:r w:rsidRPr="0027400A">
        <w:rPr>
          <w:rStyle w:val="cit-name-surname"/>
          <w:rFonts w:cs="Times New Roman"/>
          <w:iCs/>
          <w:szCs w:val="24"/>
        </w:rPr>
        <w:t>Rushin</w:t>
      </w:r>
      <w:proofErr w:type="spellEnd"/>
      <w:r w:rsidRPr="0027400A">
        <w:rPr>
          <w:rStyle w:val="cit-name-surname"/>
          <w:rFonts w:cs="Times New Roman"/>
          <w:iCs/>
          <w:szCs w:val="24"/>
        </w:rPr>
        <w:t>, Robert</w:t>
      </w:r>
      <w:r w:rsidRPr="0027400A">
        <w:rPr>
          <w:rStyle w:val="HTMLCite"/>
          <w:rFonts w:cs="Times New Roman"/>
          <w:szCs w:val="24"/>
        </w:rPr>
        <w:t xml:space="preserve">, and </w:t>
      </w:r>
      <w:r w:rsidRPr="0027400A">
        <w:rPr>
          <w:rStyle w:val="cit-name-surname"/>
          <w:rFonts w:cs="Times New Roman"/>
          <w:iCs/>
          <w:szCs w:val="24"/>
        </w:rPr>
        <w:t>Karen O'Connor</w:t>
      </w:r>
      <w:r w:rsidRPr="0027400A">
        <w:rPr>
          <w:rStyle w:val="HTMLCite"/>
          <w:rFonts w:cs="Times New Roman"/>
          <w:szCs w:val="24"/>
        </w:rPr>
        <w:t>.</w:t>
      </w:r>
      <w:proofErr w:type="gramEnd"/>
      <w:r w:rsidRPr="0027400A">
        <w:rPr>
          <w:rStyle w:val="HTMLCite"/>
          <w:rFonts w:cs="Times New Roman"/>
          <w:szCs w:val="24"/>
        </w:rPr>
        <w:t xml:space="preserve"> </w:t>
      </w:r>
      <w:r w:rsidRPr="0027400A">
        <w:rPr>
          <w:rStyle w:val="cit-pub-date"/>
          <w:rFonts w:cs="Times New Roman"/>
          <w:iCs/>
          <w:szCs w:val="24"/>
        </w:rPr>
        <w:t>1987</w:t>
      </w:r>
      <w:r w:rsidRPr="0027400A">
        <w:rPr>
          <w:rStyle w:val="HTMLCite"/>
          <w:rFonts w:cs="Times New Roman"/>
          <w:szCs w:val="24"/>
        </w:rPr>
        <w:t xml:space="preserve">. </w:t>
      </w:r>
      <w:r w:rsidR="00B1051E">
        <w:rPr>
          <w:rStyle w:val="HTMLCite"/>
          <w:rFonts w:cs="Times New Roman"/>
          <w:i w:val="0"/>
          <w:szCs w:val="24"/>
        </w:rPr>
        <w:t>“</w:t>
      </w:r>
      <w:r w:rsidRPr="0027400A">
        <w:rPr>
          <w:rStyle w:val="cit-article-title"/>
          <w:rFonts w:cs="Times New Roman"/>
          <w:iCs/>
          <w:szCs w:val="24"/>
        </w:rPr>
        <w:t>Judicial lobbying: Interest groups, the Supreme Court, and issues of freedom of expression and speech</w:t>
      </w:r>
      <w:r w:rsidR="00B1051E">
        <w:rPr>
          <w:rStyle w:val="cit-article-title"/>
          <w:rFonts w:cs="Times New Roman"/>
          <w:iCs/>
          <w:szCs w:val="24"/>
        </w:rPr>
        <w:t>.”</w:t>
      </w:r>
      <w:r w:rsidRPr="0027400A">
        <w:rPr>
          <w:rStyle w:val="HTMLCite"/>
          <w:rFonts w:cs="Times New Roman"/>
          <w:szCs w:val="24"/>
        </w:rPr>
        <w:t xml:space="preserve"> Southeastern Political Review </w:t>
      </w:r>
      <w:r w:rsidRPr="0027400A">
        <w:rPr>
          <w:rStyle w:val="cit-vol"/>
          <w:rFonts w:cs="Times New Roman"/>
          <w:iCs/>
          <w:szCs w:val="24"/>
        </w:rPr>
        <w:t>15</w:t>
      </w:r>
      <w:r w:rsidR="00BA5A09">
        <w:rPr>
          <w:rStyle w:val="HTMLCite"/>
          <w:rFonts w:cs="Times New Roman"/>
          <w:i w:val="0"/>
          <w:szCs w:val="24"/>
        </w:rPr>
        <w:t>(1):</w:t>
      </w:r>
      <w:r w:rsidRPr="0027400A">
        <w:rPr>
          <w:rStyle w:val="HTMLCite"/>
          <w:rFonts w:cs="Times New Roman"/>
          <w:szCs w:val="24"/>
        </w:rPr>
        <w:t xml:space="preserve"> </w:t>
      </w:r>
      <w:r w:rsidRPr="0027400A">
        <w:rPr>
          <w:rStyle w:val="cit-fpage"/>
          <w:rFonts w:cs="Times New Roman"/>
          <w:iCs/>
          <w:szCs w:val="24"/>
        </w:rPr>
        <w:t>47</w:t>
      </w:r>
      <w:r w:rsidRPr="0027400A">
        <w:rPr>
          <w:rStyle w:val="HTMLCite"/>
          <w:rFonts w:cs="Times New Roman"/>
          <w:szCs w:val="24"/>
        </w:rPr>
        <w:t>-</w:t>
      </w:r>
      <w:r w:rsidRPr="0027400A">
        <w:rPr>
          <w:rStyle w:val="cit-lpage"/>
          <w:rFonts w:cs="Times New Roman"/>
          <w:szCs w:val="24"/>
        </w:rPr>
        <w:t>65</w:t>
      </w:r>
      <w:r w:rsidRPr="0027400A">
        <w:rPr>
          <w:rStyle w:val="HTMLCite"/>
          <w:rFonts w:cs="Times New Roman"/>
          <w:szCs w:val="24"/>
        </w:rPr>
        <w:t>.</w:t>
      </w:r>
    </w:p>
    <w:p w:rsidR="000E3C4B" w:rsidRPr="0027400A" w:rsidRDefault="000E3C4B" w:rsidP="000E3C4B">
      <w:pPr>
        <w:autoSpaceDE w:val="0"/>
        <w:autoSpaceDN w:val="0"/>
        <w:adjustRightInd w:val="0"/>
        <w:ind w:hanging="720"/>
        <w:rPr>
          <w:rStyle w:val="HTMLCite"/>
          <w:rFonts w:cs="Times New Roman"/>
          <w:szCs w:val="24"/>
        </w:rPr>
      </w:pPr>
    </w:p>
    <w:p w:rsidR="000E3C4B" w:rsidRPr="0027400A" w:rsidRDefault="00BA5A09" w:rsidP="000E3C4B">
      <w:pPr>
        <w:autoSpaceDE w:val="0"/>
        <w:autoSpaceDN w:val="0"/>
        <w:adjustRightInd w:val="0"/>
        <w:ind w:hanging="720"/>
        <w:rPr>
          <w:rFonts w:cs="Times New Roman"/>
          <w:szCs w:val="24"/>
        </w:rPr>
      </w:pPr>
      <w:proofErr w:type="gramStart"/>
      <w:r>
        <w:rPr>
          <w:rFonts w:cs="Times New Roman"/>
          <w:szCs w:val="24"/>
        </w:rPr>
        <w:t xml:space="preserve">Sag, Matthew and </w:t>
      </w:r>
      <w:proofErr w:type="spellStart"/>
      <w:r w:rsidR="000E3C4B" w:rsidRPr="0027400A">
        <w:rPr>
          <w:rFonts w:cs="Times New Roman"/>
          <w:szCs w:val="24"/>
        </w:rPr>
        <w:t>Tonja</w:t>
      </w:r>
      <w:proofErr w:type="spellEnd"/>
      <w:r>
        <w:rPr>
          <w:rFonts w:cs="Times New Roman"/>
          <w:szCs w:val="24"/>
        </w:rPr>
        <w:t xml:space="preserve"> Jacobi</w:t>
      </w:r>
      <w:r w:rsidR="000E3C4B" w:rsidRPr="0027400A">
        <w:rPr>
          <w:rFonts w:cs="Times New Roman"/>
          <w:szCs w:val="24"/>
        </w:rPr>
        <w:t>.</w:t>
      </w:r>
      <w:proofErr w:type="gramEnd"/>
      <w:r w:rsidR="000E3C4B" w:rsidRPr="0027400A">
        <w:rPr>
          <w:rFonts w:cs="Times New Roman"/>
          <w:szCs w:val="24"/>
        </w:rPr>
        <w:t xml:space="preserve"> 2009. </w:t>
      </w:r>
      <w:r w:rsidR="00B1051E">
        <w:rPr>
          <w:rFonts w:cs="Times New Roman"/>
          <w:szCs w:val="24"/>
        </w:rPr>
        <w:t>“</w:t>
      </w:r>
      <w:r w:rsidR="000E3C4B" w:rsidRPr="0027400A">
        <w:rPr>
          <w:rFonts w:cs="Times New Roman"/>
          <w:szCs w:val="24"/>
        </w:rPr>
        <w:t>Taking the Measure of Ideology: Empirically Measuring Supreme Court Cases</w:t>
      </w:r>
      <w:r w:rsidR="00B1051E">
        <w:rPr>
          <w:rFonts w:cs="Times New Roman"/>
          <w:szCs w:val="24"/>
        </w:rPr>
        <w:t>.”</w:t>
      </w:r>
      <w:r w:rsidR="007E1E7C">
        <w:rPr>
          <w:rFonts w:cs="Times New Roman"/>
          <w:szCs w:val="24"/>
        </w:rPr>
        <w:t xml:space="preserve"> </w:t>
      </w:r>
      <w:proofErr w:type="gramStart"/>
      <w:r w:rsidR="000E3C4B" w:rsidRPr="0027400A">
        <w:rPr>
          <w:rFonts w:cs="Times New Roman"/>
          <w:i/>
          <w:szCs w:val="24"/>
        </w:rPr>
        <w:t>Georgetown Law Journal</w:t>
      </w:r>
      <w:r w:rsidR="000E3C4B" w:rsidRPr="0027400A">
        <w:rPr>
          <w:rFonts w:cs="Times New Roman"/>
          <w:szCs w:val="24"/>
        </w:rPr>
        <w:t xml:space="preserve"> </w:t>
      </w:r>
      <w:r w:rsidR="007E1E7C">
        <w:rPr>
          <w:rFonts w:cs="Times New Roman"/>
          <w:szCs w:val="24"/>
        </w:rPr>
        <w:t>98(</w:t>
      </w:r>
      <w:r w:rsidR="000E3C4B" w:rsidRPr="0027400A">
        <w:rPr>
          <w:rFonts w:cs="Times New Roman"/>
          <w:szCs w:val="24"/>
        </w:rPr>
        <w:t>1</w:t>
      </w:r>
      <w:r w:rsidR="007E1E7C">
        <w:rPr>
          <w:rFonts w:cs="Times New Roman"/>
          <w:szCs w:val="24"/>
        </w:rPr>
        <w:t>)</w:t>
      </w:r>
      <w:r w:rsidR="000E3C4B" w:rsidRPr="0027400A">
        <w:rPr>
          <w:rFonts w:cs="Times New Roman"/>
          <w:szCs w:val="24"/>
        </w:rPr>
        <w:t>.</w:t>
      </w:r>
      <w:proofErr w:type="gramEnd"/>
    </w:p>
    <w:p w:rsidR="000E3C4B" w:rsidRPr="0027400A" w:rsidRDefault="000E3C4B" w:rsidP="000E3C4B">
      <w:pPr>
        <w:autoSpaceDE w:val="0"/>
        <w:autoSpaceDN w:val="0"/>
        <w:adjustRightInd w:val="0"/>
        <w:ind w:hanging="720"/>
        <w:rPr>
          <w:rFonts w:cs="Times New Roman"/>
          <w:szCs w:val="24"/>
        </w:rPr>
      </w:pPr>
    </w:p>
    <w:p w:rsidR="000E3C4B" w:rsidRPr="0027400A" w:rsidRDefault="000E3C4B" w:rsidP="000E3C4B">
      <w:pPr>
        <w:autoSpaceDE w:val="0"/>
        <w:autoSpaceDN w:val="0"/>
        <w:adjustRightInd w:val="0"/>
        <w:ind w:hanging="720"/>
        <w:rPr>
          <w:rFonts w:cs="Times New Roman"/>
          <w:bCs/>
          <w:szCs w:val="24"/>
        </w:rPr>
      </w:pPr>
      <w:proofErr w:type="spellStart"/>
      <w:r w:rsidRPr="0027400A">
        <w:rPr>
          <w:rFonts w:cs="Times New Roman"/>
          <w:szCs w:val="24"/>
        </w:rPr>
        <w:t>Salokar</w:t>
      </w:r>
      <w:proofErr w:type="spellEnd"/>
      <w:r w:rsidRPr="0027400A">
        <w:rPr>
          <w:rFonts w:cs="Times New Roman"/>
          <w:szCs w:val="24"/>
        </w:rPr>
        <w:t>, Rebecca Mae 1992.</w:t>
      </w:r>
      <w:r w:rsidRPr="0027400A">
        <w:rPr>
          <w:rFonts w:cs="Times New Roman"/>
          <w:bCs/>
          <w:szCs w:val="24"/>
        </w:rPr>
        <w:t xml:space="preserve"> </w:t>
      </w:r>
      <w:r w:rsidRPr="0027400A">
        <w:rPr>
          <w:rFonts w:cs="Times New Roman"/>
          <w:bCs/>
          <w:i/>
          <w:szCs w:val="24"/>
        </w:rPr>
        <w:t>The Solicitor General: The Politics of Law</w:t>
      </w:r>
      <w:r w:rsidR="007E1E7C">
        <w:rPr>
          <w:rFonts w:cs="Times New Roman"/>
          <w:bCs/>
          <w:szCs w:val="24"/>
        </w:rPr>
        <w:t>. Philadelphia: Temple University Press</w:t>
      </w:r>
      <w:r w:rsidRPr="0027400A">
        <w:rPr>
          <w:rFonts w:cs="Times New Roman"/>
          <w:bCs/>
          <w:szCs w:val="24"/>
        </w:rPr>
        <w:t xml:space="preserve">. </w:t>
      </w:r>
    </w:p>
    <w:p w:rsidR="000E3C4B" w:rsidRPr="0027400A" w:rsidRDefault="000E3C4B" w:rsidP="000E3C4B">
      <w:pPr>
        <w:autoSpaceDE w:val="0"/>
        <w:autoSpaceDN w:val="0"/>
        <w:adjustRightInd w:val="0"/>
        <w:ind w:hanging="720"/>
        <w:rPr>
          <w:rFonts w:cs="Times New Roman"/>
          <w:szCs w:val="24"/>
        </w:rPr>
      </w:pPr>
    </w:p>
    <w:p w:rsidR="000E3C4B" w:rsidRPr="0027400A" w:rsidRDefault="000E3C4B" w:rsidP="000E3C4B">
      <w:pPr>
        <w:tabs>
          <w:tab w:val="left" w:pos="0"/>
        </w:tabs>
        <w:ind w:hanging="720"/>
        <w:rPr>
          <w:rFonts w:cs="Times New Roman"/>
          <w:szCs w:val="24"/>
        </w:rPr>
      </w:pPr>
      <w:r w:rsidRPr="0027400A">
        <w:rPr>
          <w:rFonts w:cs="Times New Roman"/>
          <w:szCs w:val="24"/>
        </w:rPr>
        <w:t xml:space="preserve">Samuels, Suzanne U. 2004. </w:t>
      </w:r>
      <w:r w:rsidRPr="0027400A">
        <w:rPr>
          <w:rFonts w:cs="Times New Roman"/>
          <w:i/>
          <w:szCs w:val="24"/>
        </w:rPr>
        <w:t>First among Friends: Interest Groups, the U.S. Supreme Court, and the Right to Privacy</w:t>
      </w:r>
      <w:r w:rsidRPr="0027400A">
        <w:rPr>
          <w:rFonts w:cs="Times New Roman"/>
          <w:szCs w:val="24"/>
        </w:rPr>
        <w:t xml:space="preserve">. </w:t>
      </w:r>
      <w:r w:rsidR="007E1E7C">
        <w:rPr>
          <w:rFonts w:cs="Times New Roman"/>
          <w:szCs w:val="24"/>
        </w:rPr>
        <w:t xml:space="preserve">Westport, CT: </w:t>
      </w:r>
      <w:proofErr w:type="spellStart"/>
      <w:r w:rsidR="007E1E7C">
        <w:rPr>
          <w:rFonts w:cs="Times New Roman"/>
          <w:szCs w:val="24"/>
        </w:rPr>
        <w:t>Praeger</w:t>
      </w:r>
      <w:proofErr w:type="spellEnd"/>
      <w:r w:rsidR="007E1E7C">
        <w:rPr>
          <w:rFonts w:cs="Times New Roman"/>
          <w:szCs w:val="24"/>
        </w:rPr>
        <w:t>.</w:t>
      </w:r>
    </w:p>
    <w:p w:rsidR="000E3C4B" w:rsidRPr="0027400A" w:rsidRDefault="000E3C4B" w:rsidP="000E3C4B">
      <w:pPr>
        <w:tabs>
          <w:tab w:val="left" w:pos="0"/>
        </w:tabs>
        <w:ind w:hanging="720"/>
        <w:rPr>
          <w:rFonts w:cs="Times New Roman"/>
          <w:szCs w:val="24"/>
        </w:rPr>
      </w:pPr>
    </w:p>
    <w:p w:rsidR="000E3C4B" w:rsidRPr="0027400A" w:rsidRDefault="000E3C4B" w:rsidP="000E3C4B">
      <w:pPr>
        <w:autoSpaceDE w:val="0"/>
        <w:autoSpaceDN w:val="0"/>
        <w:adjustRightInd w:val="0"/>
        <w:ind w:left="0" w:firstLine="0"/>
        <w:rPr>
          <w:rFonts w:cs="Times New Roman"/>
          <w:szCs w:val="24"/>
        </w:rPr>
      </w:pPr>
      <w:r w:rsidRPr="0027400A">
        <w:rPr>
          <w:rFonts w:cs="Times New Roman"/>
          <w:szCs w:val="24"/>
        </w:rPr>
        <w:t xml:space="preserve">Savage, David. 2010. </w:t>
      </w:r>
      <w:r w:rsidRPr="00B1051E">
        <w:rPr>
          <w:rFonts w:cs="Times New Roman"/>
          <w:i/>
          <w:szCs w:val="24"/>
        </w:rPr>
        <w:t>Guide to the U.S. Supreme Court</w:t>
      </w:r>
      <w:r w:rsidRPr="0027400A">
        <w:rPr>
          <w:rFonts w:cs="Times New Roman"/>
          <w:szCs w:val="24"/>
        </w:rPr>
        <w:t>, 5th ed. Washington, DC:</w:t>
      </w:r>
    </w:p>
    <w:p w:rsidR="000E3C4B" w:rsidRPr="0027400A" w:rsidRDefault="000E3C4B" w:rsidP="000E3C4B">
      <w:pPr>
        <w:tabs>
          <w:tab w:val="left" w:pos="720"/>
        </w:tabs>
        <w:ind w:left="0" w:firstLine="0"/>
        <w:rPr>
          <w:rFonts w:cs="Times New Roman"/>
          <w:szCs w:val="24"/>
        </w:rPr>
      </w:pPr>
      <w:r w:rsidRPr="0027400A">
        <w:rPr>
          <w:rFonts w:cs="Times New Roman"/>
          <w:szCs w:val="24"/>
        </w:rPr>
        <w:tab/>
      </w:r>
      <w:proofErr w:type="gramStart"/>
      <w:r w:rsidRPr="0027400A">
        <w:rPr>
          <w:rFonts w:cs="Times New Roman"/>
          <w:szCs w:val="24"/>
        </w:rPr>
        <w:t>CQ Press.</w:t>
      </w:r>
      <w:proofErr w:type="gramEnd"/>
    </w:p>
    <w:p w:rsidR="000E3C4B" w:rsidRPr="0027400A" w:rsidRDefault="000E3C4B" w:rsidP="000E3C4B">
      <w:pPr>
        <w:tabs>
          <w:tab w:val="left" w:pos="0"/>
        </w:tabs>
        <w:ind w:left="0" w:firstLine="0"/>
        <w:rPr>
          <w:rFonts w:cs="Times New Roman"/>
          <w:szCs w:val="24"/>
        </w:rPr>
      </w:pPr>
    </w:p>
    <w:p w:rsidR="000E3C4B" w:rsidRPr="0027400A" w:rsidRDefault="000E3C4B" w:rsidP="000E3C4B">
      <w:pPr>
        <w:ind w:hanging="720"/>
        <w:rPr>
          <w:rFonts w:eastAsia="Times New Roman" w:cs="Times New Roman"/>
          <w:szCs w:val="24"/>
        </w:rPr>
      </w:pPr>
      <w:proofErr w:type="spellStart"/>
      <w:r w:rsidRPr="0027400A">
        <w:rPr>
          <w:rFonts w:eastAsia="Times New Roman" w:cs="Times New Roman"/>
          <w:szCs w:val="24"/>
        </w:rPr>
        <w:t>Schattschneider</w:t>
      </w:r>
      <w:proofErr w:type="spellEnd"/>
      <w:r w:rsidRPr="0027400A">
        <w:rPr>
          <w:rFonts w:eastAsia="Times New Roman" w:cs="Times New Roman"/>
          <w:szCs w:val="24"/>
        </w:rPr>
        <w:t xml:space="preserve">, E. E. 1960. </w:t>
      </w:r>
      <w:proofErr w:type="gramStart"/>
      <w:r w:rsidRPr="0027400A">
        <w:rPr>
          <w:rFonts w:eastAsia="Times New Roman" w:cs="Times New Roman"/>
          <w:i/>
          <w:szCs w:val="24"/>
        </w:rPr>
        <w:t xml:space="preserve">The </w:t>
      </w:r>
      <w:proofErr w:type="spellStart"/>
      <w:r w:rsidRPr="0027400A">
        <w:rPr>
          <w:rFonts w:eastAsia="Times New Roman" w:cs="Times New Roman"/>
          <w:i/>
          <w:szCs w:val="24"/>
        </w:rPr>
        <w:t>Semisovereign</w:t>
      </w:r>
      <w:proofErr w:type="spellEnd"/>
      <w:r w:rsidRPr="0027400A">
        <w:rPr>
          <w:rFonts w:eastAsia="Times New Roman" w:cs="Times New Roman"/>
          <w:i/>
          <w:szCs w:val="24"/>
        </w:rPr>
        <w:t xml:space="preserve"> People.</w:t>
      </w:r>
      <w:proofErr w:type="gramEnd"/>
      <w:r w:rsidRPr="0027400A">
        <w:rPr>
          <w:rFonts w:eastAsia="Times New Roman" w:cs="Times New Roman"/>
          <w:szCs w:val="24"/>
        </w:rPr>
        <w:t xml:space="preserve"> New York: Holt, Rinehart, and Winston.</w:t>
      </w:r>
    </w:p>
    <w:p w:rsidR="000E3C4B" w:rsidRPr="0027400A" w:rsidRDefault="000E3C4B" w:rsidP="000E3C4B">
      <w:pPr>
        <w:ind w:left="0" w:firstLine="0"/>
        <w:rPr>
          <w:rFonts w:eastAsia="Times New Roman" w:cs="Times New Roman"/>
          <w:szCs w:val="24"/>
        </w:rPr>
      </w:pPr>
    </w:p>
    <w:p w:rsidR="003F458D" w:rsidRDefault="003F458D" w:rsidP="003F458D">
      <w:pPr>
        <w:tabs>
          <w:tab w:val="left" w:pos="720"/>
        </w:tabs>
        <w:ind w:hanging="720"/>
        <w:rPr>
          <w:rFonts w:eastAsia="Times New Roman" w:cs="Times New Roman"/>
          <w:szCs w:val="24"/>
        </w:rPr>
      </w:pPr>
      <w:proofErr w:type="spellStart"/>
      <w:proofErr w:type="gramStart"/>
      <w:r w:rsidRPr="003F458D">
        <w:rPr>
          <w:rFonts w:eastAsia="Times New Roman" w:cs="Times New Roman"/>
          <w:szCs w:val="24"/>
        </w:rPr>
        <w:t>Schlozman</w:t>
      </w:r>
      <w:proofErr w:type="spellEnd"/>
      <w:r w:rsidRPr="003F458D">
        <w:rPr>
          <w:rFonts w:eastAsia="Times New Roman" w:cs="Times New Roman"/>
          <w:szCs w:val="24"/>
        </w:rPr>
        <w:t>, Kay Lehman, and John T. Tierney.</w:t>
      </w:r>
      <w:proofErr w:type="gramEnd"/>
      <w:r w:rsidRPr="0027400A">
        <w:rPr>
          <w:rFonts w:eastAsia="Times New Roman" w:cs="Times New Roman"/>
          <w:szCs w:val="24"/>
        </w:rPr>
        <w:t xml:space="preserve"> 1986.</w:t>
      </w:r>
      <w:r w:rsidRPr="003F458D">
        <w:rPr>
          <w:rFonts w:eastAsia="Times New Roman" w:cs="Times New Roman"/>
          <w:szCs w:val="24"/>
        </w:rPr>
        <w:t xml:space="preserve"> </w:t>
      </w:r>
      <w:r w:rsidRPr="003F458D">
        <w:rPr>
          <w:rFonts w:eastAsia="Times New Roman" w:cs="Times New Roman"/>
          <w:i/>
          <w:iCs/>
          <w:szCs w:val="24"/>
        </w:rPr>
        <w:t>Organized interests and American democracy</w:t>
      </w:r>
      <w:r w:rsidRPr="003F458D">
        <w:rPr>
          <w:rFonts w:eastAsia="Times New Roman" w:cs="Times New Roman"/>
          <w:szCs w:val="24"/>
        </w:rPr>
        <w:t>. New York: Har</w:t>
      </w:r>
      <w:r w:rsidRPr="0027400A">
        <w:rPr>
          <w:rFonts w:eastAsia="Times New Roman" w:cs="Times New Roman"/>
          <w:szCs w:val="24"/>
        </w:rPr>
        <w:t>per &amp; Row.</w:t>
      </w:r>
    </w:p>
    <w:p w:rsidR="00B1051E" w:rsidRDefault="00B1051E" w:rsidP="003F458D">
      <w:pPr>
        <w:tabs>
          <w:tab w:val="left" w:pos="720"/>
        </w:tabs>
        <w:ind w:hanging="720"/>
        <w:rPr>
          <w:rFonts w:eastAsia="Times New Roman" w:cs="Times New Roman"/>
          <w:szCs w:val="24"/>
        </w:rPr>
      </w:pPr>
    </w:p>
    <w:p w:rsidR="00B1051E" w:rsidRPr="00B1051E" w:rsidRDefault="00B1051E" w:rsidP="00B1051E">
      <w:pPr>
        <w:ind w:left="0" w:firstLine="0"/>
        <w:rPr>
          <w:rFonts w:eastAsia="Times New Roman" w:cs="Times New Roman"/>
          <w:szCs w:val="24"/>
        </w:rPr>
      </w:pPr>
      <w:proofErr w:type="gramStart"/>
      <w:r w:rsidRPr="00B1051E">
        <w:rPr>
          <w:rFonts w:eastAsia="Times New Roman" w:cs="Times New Roman"/>
          <w:szCs w:val="24"/>
        </w:rPr>
        <w:t xml:space="preserve">Schmidt, Patrick D., and David A. </w:t>
      </w:r>
      <w:proofErr w:type="spellStart"/>
      <w:r w:rsidRPr="00B1051E">
        <w:rPr>
          <w:rFonts w:eastAsia="Times New Roman" w:cs="Times New Roman"/>
          <w:szCs w:val="24"/>
        </w:rPr>
        <w:t>Yalof</w:t>
      </w:r>
      <w:proofErr w:type="spellEnd"/>
      <w:r w:rsidRPr="00B1051E">
        <w:rPr>
          <w:rFonts w:eastAsia="Times New Roman" w:cs="Times New Roman"/>
          <w:szCs w:val="24"/>
        </w:rPr>
        <w:t>.</w:t>
      </w:r>
      <w:proofErr w:type="gramEnd"/>
      <w:r w:rsidRPr="00B1051E">
        <w:rPr>
          <w:rFonts w:eastAsia="Times New Roman" w:cs="Times New Roman"/>
          <w:szCs w:val="24"/>
        </w:rPr>
        <w:t xml:space="preserve"> 2004. “The ‘Swing Voter’ Revisited: Justice Anthony </w:t>
      </w:r>
    </w:p>
    <w:p w:rsidR="00B1051E" w:rsidRPr="00B1051E" w:rsidRDefault="00B1051E" w:rsidP="00B1051E">
      <w:pPr>
        <w:ind w:firstLine="0"/>
        <w:rPr>
          <w:rFonts w:eastAsia="Times New Roman" w:cs="Times New Roman"/>
          <w:szCs w:val="24"/>
        </w:rPr>
      </w:pPr>
      <w:proofErr w:type="gramStart"/>
      <w:r w:rsidRPr="00B1051E">
        <w:rPr>
          <w:rFonts w:eastAsia="Times New Roman" w:cs="Times New Roman"/>
          <w:szCs w:val="24"/>
        </w:rPr>
        <w:t>Kennedy and the First Amendment Right of Free Speech.”</w:t>
      </w:r>
      <w:proofErr w:type="gramEnd"/>
      <w:r w:rsidRPr="00B1051E">
        <w:rPr>
          <w:rFonts w:eastAsia="Times New Roman" w:cs="Times New Roman"/>
          <w:szCs w:val="24"/>
        </w:rPr>
        <w:t xml:space="preserve"> </w:t>
      </w:r>
      <w:r>
        <w:rPr>
          <w:rFonts w:eastAsia="Times New Roman" w:cs="Times New Roman"/>
          <w:szCs w:val="24"/>
        </w:rPr>
        <w:t xml:space="preserve"> </w:t>
      </w:r>
      <w:r w:rsidRPr="00B1051E">
        <w:rPr>
          <w:rFonts w:eastAsia="Times New Roman" w:cs="Times New Roman"/>
          <w:i/>
          <w:szCs w:val="24"/>
        </w:rPr>
        <w:t>Political Research Quarterly</w:t>
      </w:r>
      <w:r>
        <w:rPr>
          <w:rFonts w:eastAsia="Times New Roman" w:cs="Times New Roman"/>
          <w:szCs w:val="24"/>
        </w:rPr>
        <w:t xml:space="preserve"> 57: </w:t>
      </w:r>
      <w:r w:rsidRPr="00B1051E">
        <w:rPr>
          <w:rFonts w:eastAsia="Times New Roman" w:cs="Times New Roman"/>
          <w:szCs w:val="24"/>
        </w:rPr>
        <w:t xml:space="preserve">209–217. </w:t>
      </w:r>
    </w:p>
    <w:p w:rsidR="00EE23D3" w:rsidRPr="0027400A" w:rsidRDefault="00EE23D3" w:rsidP="006A782D">
      <w:pPr>
        <w:ind w:left="0" w:firstLine="0"/>
        <w:rPr>
          <w:rFonts w:cs="Times New Roman"/>
          <w:szCs w:val="24"/>
        </w:rPr>
      </w:pPr>
    </w:p>
    <w:p w:rsidR="00EE23D3" w:rsidRPr="0027400A" w:rsidRDefault="00EE23D3" w:rsidP="000E3C4B">
      <w:pPr>
        <w:ind w:hanging="720"/>
        <w:rPr>
          <w:rFonts w:cs="Times New Roman"/>
          <w:szCs w:val="24"/>
        </w:rPr>
      </w:pPr>
      <w:proofErr w:type="spellStart"/>
      <w:r w:rsidRPr="0027400A">
        <w:rPr>
          <w:rFonts w:cs="Times New Roman"/>
          <w:szCs w:val="24"/>
        </w:rPr>
        <w:t>SCOTUSblog</w:t>
      </w:r>
      <w:proofErr w:type="spellEnd"/>
      <w:r w:rsidRPr="0027400A">
        <w:rPr>
          <w:rFonts w:cs="Times New Roman"/>
          <w:szCs w:val="24"/>
        </w:rPr>
        <w:t xml:space="preserve">, June 30, 2012.  “Memorandum: End-of-Term Statistical Analysis – October Term 2011.”  </w:t>
      </w:r>
      <w:proofErr w:type="gramStart"/>
      <w:r w:rsidRPr="0027400A">
        <w:rPr>
          <w:rFonts w:cs="Times New Roman"/>
          <w:szCs w:val="24"/>
        </w:rPr>
        <w:t xml:space="preserve">Accessed at </w:t>
      </w:r>
      <w:hyperlink r:id="rId47" w:history="1">
        <w:r w:rsidRPr="0027400A">
          <w:rPr>
            <w:rStyle w:val="Hyperlink"/>
            <w:rFonts w:cs="Times New Roman"/>
            <w:szCs w:val="24"/>
          </w:rPr>
          <w:t>http://sblog.s3.amazonaws.com/wp-content/uploads/2012/06/SCOTUSblog_Summary_Memo_OT11.pdf</w:t>
        </w:r>
      </w:hyperlink>
      <w:r w:rsidRPr="0027400A">
        <w:rPr>
          <w:rFonts w:cs="Times New Roman"/>
          <w:szCs w:val="24"/>
        </w:rPr>
        <w:t>.</w:t>
      </w:r>
      <w:proofErr w:type="gramEnd"/>
    </w:p>
    <w:p w:rsidR="000E3C4B" w:rsidRPr="0027400A" w:rsidRDefault="000E3C4B" w:rsidP="000E3C4B">
      <w:pPr>
        <w:tabs>
          <w:tab w:val="left" w:pos="0"/>
        </w:tabs>
        <w:ind w:left="0" w:firstLine="0"/>
        <w:rPr>
          <w:rFonts w:cs="Times New Roman"/>
          <w:color w:val="548DD4" w:themeColor="text2" w:themeTint="99"/>
          <w:szCs w:val="24"/>
        </w:rPr>
      </w:pPr>
    </w:p>
    <w:p w:rsidR="000E3C4B" w:rsidRPr="0027400A" w:rsidRDefault="000E3C4B" w:rsidP="000E3C4B">
      <w:pPr>
        <w:ind w:hanging="720"/>
        <w:rPr>
          <w:rFonts w:eastAsia="Times New Roman" w:cs="Times New Roman"/>
          <w:szCs w:val="24"/>
        </w:rPr>
      </w:pPr>
      <w:r w:rsidRPr="0027400A">
        <w:rPr>
          <w:rFonts w:eastAsia="Times New Roman" w:cs="Times New Roman"/>
          <w:iCs/>
          <w:szCs w:val="24"/>
        </w:rPr>
        <w:t xml:space="preserve">Segal, Jeffrey A. 1986. “Supreme Court justices as human decision makers: An individual-level analysis of the search and seizure cases.” </w:t>
      </w:r>
      <w:r w:rsidRPr="0027400A">
        <w:rPr>
          <w:rFonts w:eastAsia="Times New Roman" w:cs="Times New Roman"/>
          <w:i/>
          <w:iCs/>
          <w:szCs w:val="24"/>
        </w:rPr>
        <w:t>Journal of Politics</w:t>
      </w:r>
      <w:r w:rsidRPr="0027400A">
        <w:rPr>
          <w:rFonts w:eastAsia="Times New Roman" w:cs="Times New Roman"/>
          <w:iCs/>
          <w:szCs w:val="24"/>
        </w:rPr>
        <w:t xml:space="preserve"> 48 (4): 938-955.</w:t>
      </w:r>
    </w:p>
    <w:p w:rsidR="000E3C4B" w:rsidRPr="0027400A" w:rsidRDefault="000E3C4B" w:rsidP="000E3C4B">
      <w:pPr>
        <w:tabs>
          <w:tab w:val="left" w:pos="0"/>
        </w:tabs>
        <w:ind w:left="0" w:firstLine="0"/>
        <w:rPr>
          <w:rFonts w:cs="Times New Roman"/>
          <w:color w:val="548DD4" w:themeColor="text2" w:themeTint="99"/>
          <w:szCs w:val="24"/>
        </w:rPr>
      </w:pPr>
    </w:p>
    <w:p w:rsidR="000E3C4B" w:rsidRPr="0027400A" w:rsidRDefault="000E3C4B" w:rsidP="000E3C4B">
      <w:pPr>
        <w:tabs>
          <w:tab w:val="left" w:pos="0"/>
        </w:tabs>
        <w:ind w:hanging="720"/>
        <w:rPr>
          <w:rFonts w:cs="Times New Roman"/>
          <w:szCs w:val="24"/>
        </w:rPr>
      </w:pPr>
      <w:r w:rsidRPr="0027400A">
        <w:rPr>
          <w:rFonts w:cs="Times New Roman"/>
          <w:szCs w:val="24"/>
        </w:rPr>
        <w:t xml:space="preserve">Segal, Jeffrey A. 1988.  “Amicus Curiae Briefs by the Solicitor General </w:t>
      </w:r>
      <w:proofErr w:type="gramStart"/>
      <w:r w:rsidRPr="0027400A">
        <w:rPr>
          <w:rFonts w:cs="Times New Roman"/>
          <w:szCs w:val="24"/>
        </w:rPr>
        <w:t>During</w:t>
      </w:r>
      <w:proofErr w:type="gramEnd"/>
      <w:r w:rsidRPr="0027400A">
        <w:rPr>
          <w:rFonts w:cs="Times New Roman"/>
          <w:szCs w:val="24"/>
        </w:rPr>
        <w:t xml:space="preserve"> the Warren and Burger Courts.” </w:t>
      </w:r>
      <w:r w:rsidR="007E1E7C">
        <w:rPr>
          <w:rFonts w:cs="Times New Roman"/>
          <w:i/>
          <w:szCs w:val="24"/>
        </w:rPr>
        <w:t>Western Political Quarterly</w:t>
      </w:r>
      <w:r w:rsidRPr="0027400A">
        <w:rPr>
          <w:rFonts w:cs="Times New Roman"/>
          <w:szCs w:val="24"/>
        </w:rPr>
        <w:t xml:space="preserve"> </w:t>
      </w:r>
      <w:r w:rsidR="007E1E7C">
        <w:rPr>
          <w:rFonts w:cs="Times New Roman"/>
          <w:szCs w:val="24"/>
        </w:rPr>
        <w:t xml:space="preserve">41: </w:t>
      </w:r>
      <w:r w:rsidRPr="0027400A">
        <w:rPr>
          <w:rFonts w:cs="Times New Roman"/>
          <w:szCs w:val="24"/>
        </w:rPr>
        <w:t>135.</w:t>
      </w:r>
    </w:p>
    <w:p w:rsidR="000E3C4B" w:rsidRPr="0027400A" w:rsidRDefault="000E3C4B" w:rsidP="000E3C4B">
      <w:pPr>
        <w:tabs>
          <w:tab w:val="left" w:pos="0"/>
        </w:tabs>
        <w:ind w:hanging="720"/>
        <w:rPr>
          <w:rFonts w:cs="Times New Roman"/>
          <w:szCs w:val="24"/>
        </w:rPr>
      </w:pPr>
    </w:p>
    <w:p w:rsidR="000E3C4B" w:rsidRPr="0027400A" w:rsidRDefault="007E1E7C" w:rsidP="000E3C4B">
      <w:pPr>
        <w:tabs>
          <w:tab w:val="left" w:pos="0"/>
        </w:tabs>
        <w:ind w:hanging="720"/>
        <w:rPr>
          <w:rFonts w:cs="Times New Roman"/>
          <w:szCs w:val="24"/>
        </w:rPr>
      </w:pPr>
      <w:proofErr w:type="gramStart"/>
      <w:r>
        <w:rPr>
          <w:rFonts w:cs="Times New Roman"/>
          <w:szCs w:val="24"/>
        </w:rPr>
        <w:t>Segal, Jeffrey A., and</w:t>
      </w:r>
      <w:r w:rsidR="000E3C4B" w:rsidRPr="0027400A">
        <w:rPr>
          <w:rFonts w:cs="Times New Roman"/>
          <w:szCs w:val="24"/>
        </w:rPr>
        <w:t xml:space="preserve"> Harold J.</w:t>
      </w:r>
      <w:r>
        <w:rPr>
          <w:rFonts w:cs="Times New Roman"/>
          <w:szCs w:val="24"/>
        </w:rPr>
        <w:t xml:space="preserve"> </w:t>
      </w:r>
      <w:proofErr w:type="spellStart"/>
      <w:r>
        <w:rPr>
          <w:rFonts w:cs="Times New Roman"/>
          <w:szCs w:val="24"/>
        </w:rPr>
        <w:t>Spaeth</w:t>
      </w:r>
      <w:proofErr w:type="spellEnd"/>
      <w:r>
        <w:rPr>
          <w:rFonts w:cs="Times New Roman"/>
          <w:szCs w:val="24"/>
        </w:rPr>
        <w:t>.</w:t>
      </w:r>
      <w:proofErr w:type="gramEnd"/>
      <w:r w:rsidR="000E3C4B" w:rsidRPr="0027400A">
        <w:rPr>
          <w:rFonts w:cs="Times New Roman"/>
          <w:szCs w:val="24"/>
        </w:rPr>
        <w:t xml:space="preserve"> 1993. </w:t>
      </w:r>
      <w:r w:rsidR="00AA7FA2">
        <w:rPr>
          <w:rFonts w:cs="Times New Roman"/>
          <w:i/>
          <w:szCs w:val="24"/>
        </w:rPr>
        <w:t>The Supreme Court and t</w:t>
      </w:r>
      <w:r w:rsidR="000E3C4B" w:rsidRPr="0027400A">
        <w:rPr>
          <w:rFonts w:cs="Times New Roman"/>
          <w:i/>
          <w:szCs w:val="24"/>
        </w:rPr>
        <w:t>he Attitudinal Model.</w:t>
      </w:r>
      <w:r w:rsidR="000E3C4B" w:rsidRPr="0027400A">
        <w:rPr>
          <w:rFonts w:cs="Times New Roman"/>
          <w:szCs w:val="24"/>
        </w:rPr>
        <w:t xml:space="preserve"> Cambridge</w:t>
      </w:r>
      <w:r w:rsidR="00AA7FA2">
        <w:rPr>
          <w:rFonts w:cs="Times New Roman"/>
          <w:szCs w:val="24"/>
        </w:rPr>
        <w:t>, UK</w:t>
      </w:r>
      <w:r w:rsidR="000E3C4B" w:rsidRPr="0027400A">
        <w:rPr>
          <w:rFonts w:cs="Times New Roman"/>
          <w:szCs w:val="24"/>
        </w:rPr>
        <w:t>:  Cambridge University Press.</w:t>
      </w:r>
    </w:p>
    <w:p w:rsidR="000E3C4B" w:rsidRPr="0027400A" w:rsidRDefault="000E3C4B" w:rsidP="000E3C4B">
      <w:pPr>
        <w:tabs>
          <w:tab w:val="left" w:pos="0"/>
        </w:tabs>
        <w:ind w:hanging="720"/>
        <w:rPr>
          <w:rFonts w:cs="Times New Roman"/>
          <w:szCs w:val="24"/>
        </w:rPr>
      </w:pPr>
    </w:p>
    <w:p w:rsidR="000E3C4B" w:rsidRPr="0027400A" w:rsidRDefault="007E1E7C" w:rsidP="000E3C4B">
      <w:pPr>
        <w:tabs>
          <w:tab w:val="left" w:pos="0"/>
        </w:tabs>
        <w:ind w:hanging="720"/>
        <w:rPr>
          <w:rFonts w:cs="Times New Roman"/>
          <w:szCs w:val="24"/>
        </w:rPr>
      </w:pPr>
      <w:proofErr w:type="gramStart"/>
      <w:r>
        <w:rPr>
          <w:rFonts w:cs="Times New Roman"/>
          <w:szCs w:val="24"/>
        </w:rPr>
        <w:t xml:space="preserve">Segal, Jeffrey A., and </w:t>
      </w:r>
      <w:r w:rsidR="003F458D" w:rsidRPr="0027400A">
        <w:rPr>
          <w:rFonts w:cs="Times New Roman"/>
          <w:szCs w:val="24"/>
        </w:rPr>
        <w:t>Harold J.</w:t>
      </w:r>
      <w:r>
        <w:rPr>
          <w:rFonts w:cs="Times New Roman"/>
          <w:szCs w:val="24"/>
        </w:rPr>
        <w:t xml:space="preserve"> </w:t>
      </w:r>
      <w:proofErr w:type="spellStart"/>
      <w:r>
        <w:rPr>
          <w:rFonts w:cs="Times New Roman"/>
          <w:szCs w:val="24"/>
        </w:rPr>
        <w:t>Spaeth</w:t>
      </w:r>
      <w:proofErr w:type="spellEnd"/>
      <w:r>
        <w:rPr>
          <w:rFonts w:cs="Times New Roman"/>
          <w:szCs w:val="24"/>
        </w:rPr>
        <w:t>.</w:t>
      </w:r>
      <w:proofErr w:type="gramEnd"/>
      <w:r w:rsidR="003F458D" w:rsidRPr="0027400A">
        <w:rPr>
          <w:rFonts w:cs="Times New Roman"/>
          <w:szCs w:val="24"/>
        </w:rPr>
        <w:t xml:space="preserve"> 1996. “The influence of stare </w:t>
      </w:r>
      <w:proofErr w:type="spellStart"/>
      <w:r w:rsidR="003F458D" w:rsidRPr="0027400A">
        <w:rPr>
          <w:rFonts w:cs="Times New Roman"/>
          <w:szCs w:val="24"/>
        </w:rPr>
        <w:t>decisis</w:t>
      </w:r>
      <w:proofErr w:type="spellEnd"/>
      <w:r w:rsidR="003F458D" w:rsidRPr="0027400A">
        <w:rPr>
          <w:rFonts w:cs="Times New Roman"/>
          <w:szCs w:val="24"/>
        </w:rPr>
        <w:t xml:space="preserve"> on the votes of United States Supreme Court justices.” </w:t>
      </w:r>
      <w:r w:rsidR="003F458D" w:rsidRPr="0027400A">
        <w:rPr>
          <w:rFonts w:cs="Times New Roman"/>
          <w:i/>
          <w:iCs/>
          <w:szCs w:val="24"/>
        </w:rPr>
        <w:t>American Journal of Political Science</w:t>
      </w:r>
      <w:r>
        <w:rPr>
          <w:rFonts w:cs="Times New Roman"/>
          <w:szCs w:val="24"/>
        </w:rPr>
        <w:t>:</w:t>
      </w:r>
      <w:r w:rsidR="003F458D" w:rsidRPr="0027400A">
        <w:rPr>
          <w:rFonts w:cs="Times New Roman"/>
          <w:szCs w:val="24"/>
        </w:rPr>
        <w:t xml:space="preserve"> 971-1003.</w:t>
      </w:r>
    </w:p>
    <w:p w:rsidR="003F458D" w:rsidRPr="0027400A" w:rsidRDefault="003F458D" w:rsidP="000E3C4B">
      <w:pPr>
        <w:tabs>
          <w:tab w:val="left" w:pos="0"/>
        </w:tabs>
        <w:ind w:hanging="720"/>
        <w:rPr>
          <w:rFonts w:cs="Times New Roman"/>
          <w:szCs w:val="24"/>
        </w:rPr>
      </w:pPr>
    </w:p>
    <w:p w:rsidR="000E3C4B" w:rsidRPr="0027400A" w:rsidRDefault="000E3C4B" w:rsidP="003F458D">
      <w:pPr>
        <w:ind w:hanging="720"/>
        <w:rPr>
          <w:rFonts w:eastAsia="Times New Roman" w:cs="Times New Roman"/>
          <w:szCs w:val="24"/>
        </w:rPr>
      </w:pPr>
      <w:proofErr w:type="gramStart"/>
      <w:r w:rsidRPr="0027400A">
        <w:rPr>
          <w:rFonts w:eastAsia="Times New Roman" w:cs="Times New Roman"/>
          <w:szCs w:val="24"/>
        </w:rPr>
        <w:t xml:space="preserve">Segal, Jeffrey A., </w:t>
      </w:r>
      <w:r w:rsidR="000D6839" w:rsidRPr="0027400A">
        <w:rPr>
          <w:rFonts w:eastAsia="Times New Roman" w:cs="Times New Roman"/>
          <w:szCs w:val="24"/>
        </w:rPr>
        <w:t>and</w:t>
      </w:r>
      <w:r w:rsidR="007E1E7C">
        <w:rPr>
          <w:rFonts w:eastAsia="Times New Roman" w:cs="Times New Roman"/>
          <w:szCs w:val="24"/>
        </w:rPr>
        <w:t xml:space="preserve"> </w:t>
      </w:r>
      <w:r w:rsidRPr="0027400A">
        <w:rPr>
          <w:rFonts w:eastAsia="Times New Roman" w:cs="Times New Roman"/>
          <w:szCs w:val="24"/>
        </w:rPr>
        <w:t>Harold.</w:t>
      </w:r>
      <w:proofErr w:type="gramEnd"/>
      <w:r w:rsidRPr="0027400A">
        <w:rPr>
          <w:rFonts w:eastAsia="Times New Roman" w:cs="Times New Roman"/>
          <w:szCs w:val="24"/>
        </w:rPr>
        <w:t xml:space="preserve"> J.</w:t>
      </w:r>
      <w:r w:rsidR="007E1E7C">
        <w:rPr>
          <w:rFonts w:eastAsia="Times New Roman" w:cs="Times New Roman"/>
          <w:szCs w:val="24"/>
        </w:rPr>
        <w:t xml:space="preserve"> </w:t>
      </w:r>
      <w:proofErr w:type="spellStart"/>
      <w:r w:rsidR="007E1E7C">
        <w:rPr>
          <w:rFonts w:eastAsia="Times New Roman" w:cs="Times New Roman"/>
          <w:szCs w:val="24"/>
        </w:rPr>
        <w:t>Spaeth</w:t>
      </w:r>
      <w:proofErr w:type="spellEnd"/>
      <w:r w:rsidR="007E1E7C">
        <w:rPr>
          <w:rFonts w:eastAsia="Times New Roman" w:cs="Times New Roman"/>
          <w:szCs w:val="24"/>
        </w:rPr>
        <w:t>.</w:t>
      </w:r>
      <w:r w:rsidRPr="0027400A">
        <w:rPr>
          <w:rFonts w:eastAsia="Times New Roman" w:cs="Times New Roman"/>
          <w:szCs w:val="24"/>
        </w:rPr>
        <w:t xml:space="preserve"> 2002. </w:t>
      </w:r>
      <w:r w:rsidR="00AA7FA2">
        <w:rPr>
          <w:rFonts w:eastAsia="Times New Roman" w:cs="Times New Roman"/>
          <w:i/>
          <w:iCs/>
          <w:szCs w:val="24"/>
        </w:rPr>
        <w:t>The Supreme Court and the Attitudinal Model R</w:t>
      </w:r>
      <w:r w:rsidRPr="0027400A">
        <w:rPr>
          <w:rFonts w:eastAsia="Times New Roman" w:cs="Times New Roman"/>
          <w:i/>
          <w:iCs/>
          <w:szCs w:val="24"/>
        </w:rPr>
        <w:t>evisited</w:t>
      </w:r>
      <w:r w:rsidRPr="0027400A">
        <w:rPr>
          <w:rFonts w:eastAsia="Times New Roman" w:cs="Times New Roman"/>
          <w:szCs w:val="24"/>
        </w:rPr>
        <w:t xml:space="preserve">. </w:t>
      </w:r>
      <w:r w:rsidR="00AA7FA2">
        <w:rPr>
          <w:rFonts w:eastAsia="Times New Roman" w:cs="Times New Roman"/>
          <w:szCs w:val="24"/>
        </w:rPr>
        <w:t xml:space="preserve">Cambridge, UK: </w:t>
      </w:r>
      <w:r w:rsidRPr="0027400A">
        <w:rPr>
          <w:rFonts w:eastAsia="Times New Roman" w:cs="Times New Roman"/>
          <w:szCs w:val="24"/>
        </w:rPr>
        <w:t>Cambridge University Press.</w:t>
      </w:r>
    </w:p>
    <w:p w:rsidR="000E3C4B" w:rsidRPr="0027400A" w:rsidRDefault="000E3C4B" w:rsidP="000E3C4B">
      <w:pPr>
        <w:tabs>
          <w:tab w:val="left" w:pos="0"/>
        </w:tabs>
        <w:ind w:hanging="720"/>
        <w:rPr>
          <w:rFonts w:cs="Times New Roman"/>
          <w:color w:val="548DD4" w:themeColor="text2" w:themeTint="99"/>
          <w:szCs w:val="24"/>
        </w:rPr>
      </w:pPr>
    </w:p>
    <w:p w:rsidR="000E3C4B" w:rsidRPr="0027400A" w:rsidRDefault="000E3C4B" w:rsidP="000E3C4B">
      <w:pPr>
        <w:ind w:hanging="720"/>
        <w:rPr>
          <w:rFonts w:eastAsia="Times New Roman" w:cs="Times New Roman"/>
          <w:szCs w:val="24"/>
        </w:rPr>
      </w:pPr>
      <w:r w:rsidRPr="0027400A">
        <w:rPr>
          <w:rFonts w:eastAsia="Times New Roman" w:cs="Times New Roman"/>
          <w:szCs w:val="24"/>
        </w:rPr>
        <w:lastRenderedPageBreak/>
        <w:t xml:space="preserve">Segal, Jeffrey. </w:t>
      </w:r>
      <w:proofErr w:type="gramStart"/>
      <w:r w:rsidRPr="0027400A">
        <w:rPr>
          <w:rFonts w:eastAsia="Times New Roman" w:cs="Times New Roman"/>
          <w:szCs w:val="24"/>
        </w:rPr>
        <w:t>A.,</w:t>
      </w:r>
      <w:proofErr w:type="gramEnd"/>
      <w:r w:rsidRPr="0027400A">
        <w:rPr>
          <w:rFonts w:eastAsia="Times New Roman" w:cs="Times New Roman"/>
          <w:szCs w:val="24"/>
        </w:rPr>
        <w:t xml:space="preserve"> </w:t>
      </w:r>
      <w:r w:rsidR="000D6839" w:rsidRPr="0027400A">
        <w:rPr>
          <w:rFonts w:eastAsia="Times New Roman" w:cs="Times New Roman"/>
          <w:szCs w:val="24"/>
        </w:rPr>
        <w:t>and</w:t>
      </w:r>
      <w:r w:rsidRPr="0027400A">
        <w:rPr>
          <w:rFonts w:eastAsia="Times New Roman" w:cs="Times New Roman"/>
          <w:szCs w:val="24"/>
        </w:rPr>
        <w:t xml:space="preserve"> </w:t>
      </w:r>
      <w:r w:rsidR="007E1E7C">
        <w:rPr>
          <w:rFonts w:eastAsia="Times New Roman" w:cs="Times New Roman"/>
          <w:szCs w:val="24"/>
        </w:rPr>
        <w:t>A.D. Cover.</w:t>
      </w:r>
      <w:r w:rsidRPr="0027400A">
        <w:rPr>
          <w:rFonts w:eastAsia="Times New Roman" w:cs="Times New Roman"/>
          <w:szCs w:val="24"/>
        </w:rPr>
        <w:t xml:space="preserve"> 1989. </w:t>
      </w:r>
      <w:r w:rsidR="003F458D" w:rsidRPr="0027400A">
        <w:rPr>
          <w:rFonts w:eastAsia="Times New Roman" w:cs="Times New Roman"/>
          <w:szCs w:val="24"/>
        </w:rPr>
        <w:t>“</w:t>
      </w:r>
      <w:r w:rsidRPr="0027400A">
        <w:rPr>
          <w:rFonts w:eastAsia="Times New Roman" w:cs="Times New Roman"/>
          <w:szCs w:val="24"/>
        </w:rPr>
        <w:t>Ideological values and the votes of US Supreme Court justices.</w:t>
      </w:r>
      <w:r w:rsidR="003F458D" w:rsidRPr="0027400A">
        <w:rPr>
          <w:rFonts w:eastAsia="Times New Roman" w:cs="Times New Roman"/>
          <w:szCs w:val="24"/>
        </w:rPr>
        <w:t>”</w:t>
      </w:r>
      <w:r w:rsidRPr="0027400A">
        <w:rPr>
          <w:rFonts w:eastAsia="Times New Roman" w:cs="Times New Roman"/>
          <w:szCs w:val="24"/>
        </w:rPr>
        <w:t xml:space="preserve"> </w:t>
      </w:r>
      <w:r w:rsidRPr="0027400A">
        <w:rPr>
          <w:rFonts w:eastAsia="Times New Roman" w:cs="Times New Roman"/>
          <w:i/>
          <w:iCs/>
          <w:szCs w:val="24"/>
        </w:rPr>
        <w:t>The American Political Science Review</w:t>
      </w:r>
      <w:r w:rsidR="007E1E7C">
        <w:rPr>
          <w:rFonts w:eastAsia="Times New Roman" w:cs="Times New Roman"/>
          <w:szCs w:val="24"/>
        </w:rPr>
        <w:t>:</w:t>
      </w:r>
      <w:r w:rsidRPr="0027400A">
        <w:rPr>
          <w:rFonts w:eastAsia="Times New Roman" w:cs="Times New Roman"/>
          <w:szCs w:val="24"/>
        </w:rPr>
        <w:t xml:space="preserve"> 557-565.</w:t>
      </w:r>
    </w:p>
    <w:p w:rsidR="005329F5" w:rsidRPr="0027400A" w:rsidRDefault="005329F5" w:rsidP="000E3C4B">
      <w:pPr>
        <w:tabs>
          <w:tab w:val="left" w:pos="0"/>
        </w:tabs>
        <w:ind w:hanging="720"/>
        <w:rPr>
          <w:rFonts w:cs="Times New Roman"/>
          <w:szCs w:val="24"/>
        </w:rPr>
      </w:pPr>
    </w:p>
    <w:p w:rsidR="003F458D" w:rsidRPr="003F458D" w:rsidRDefault="003F458D" w:rsidP="003F458D">
      <w:pPr>
        <w:tabs>
          <w:tab w:val="left" w:pos="720"/>
        </w:tabs>
        <w:ind w:hanging="720"/>
        <w:rPr>
          <w:rFonts w:eastAsia="Times New Roman" w:cs="Times New Roman"/>
          <w:szCs w:val="24"/>
        </w:rPr>
      </w:pPr>
      <w:proofErr w:type="gramStart"/>
      <w:r w:rsidRPr="003F458D">
        <w:rPr>
          <w:rFonts w:eastAsia="Times New Roman" w:cs="Times New Roman"/>
          <w:szCs w:val="24"/>
        </w:rPr>
        <w:t xml:space="preserve">Sheehan, Reginald S., William </w:t>
      </w:r>
      <w:proofErr w:type="spellStart"/>
      <w:r w:rsidRPr="003F458D">
        <w:rPr>
          <w:rFonts w:eastAsia="Times New Roman" w:cs="Times New Roman"/>
          <w:szCs w:val="24"/>
        </w:rPr>
        <w:t>Mishler</w:t>
      </w:r>
      <w:proofErr w:type="spellEnd"/>
      <w:r w:rsidRPr="003F458D">
        <w:rPr>
          <w:rFonts w:eastAsia="Times New Roman" w:cs="Times New Roman"/>
          <w:szCs w:val="24"/>
        </w:rPr>
        <w:t xml:space="preserve">, and Donald R. </w:t>
      </w:r>
      <w:proofErr w:type="spellStart"/>
      <w:r w:rsidRPr="003F458D">
        <w:rPr>
          <w:rFonts w:eastAsia="Times New Roman" w:cs="Times New Roman"/>
          <w:szCs w:val="24"/>
        </w:rPr>
        <w:t>Songer</w:t>
      </w:r>
      <w:proofErr w:type="spellEnd"/>
      <w:r w:rsidRPr="003F458D">
        <w:rPr>
          <w:rFonts w:eastAsia="Times New Roman" w:cs="Times New Roman"/>
          <w:szCs w:val="24"/>
        </w:rPr>
        <w:t>.</w:t>
      </w:r>
      <w:proofErr w:type="gramEnd"/>
      <w:r w:rsidRPr="003F458D">
        <w:rPr>
          <w:rFonts w:eastAsia="Times New Roman" w:cs="Times New Roman"/>
          <w:szCs w:val="24"/>
        </w:rPr>
        <w:t xml:space="preserve"> </w:t>
      </w:r>
      <w:r w:rsidRPr="0027400A">
        <w:rPr>
          <w:rFonts w:eastAsia="Times New Roman" w:cs="Times New Roman"/>
          <w:szCs w:val="24"/>
        </w:rPr>
        <w:t xml:space="preserve"> 1992. </w:t>
      </w:r>
      <w:r w:rsidRPr="003F458D">
        <w:rPr>
          <w:rFonts w:eastAsia="Times New Roman" w:cs="Times New Roman"/>
          <w:szCs w:val="24"/>
        </w:rPr>
        <w:t xml:space="preserve">"Ideology, status, and the differential success of direct parties before the Supreme Court." </w:t>
      </w:r>
      <w:r w:rsidRPr="003F458D">
        <w:rPr>
          <w:rFonts w:eastAsia="Times New Roman" w:cs="Times New Roman"/>
          <w:i/>
          <w:iCs/>
          <w:szCs w:val="24"/>
        </w:rPr>
        <w:t>The American Political Science Review</w:t>
      </w:r>
      <w:r w:rsidRPr="0027400A">
        <w:rPr>
          <w:rFonts w:eastAsia="Times New Roman" w:cs="Times New Roman"/>
          <w:szCs w:val="24"/>
        </w:rPr>
        <w:t>:</w:t>
      </w:r>
      <w:r w:rsidRPr="003F458D">
        <w:rPr>
          <w:rFonts w:eastAsia="Times New Roman" w:cs="Times New Roman"/>
          <w:szCs w:val="24"/>
        </w:rPr>
        <w:t xml:space="preserve"> 464-471.</w:t>
      </w:r>
    </w:p>
    <w:p w:rsidR="003F458D" w:rsidRPr="0027400A" w:rsidRDefault="003F458D" w:rsidP="000E3C4B">
      <w:pPr>
        <w:tabs>
          <w:tab w:val="left" w:pos="0"/>
        </w:tabs>
        <w:ind w:hanging="720"/>
        <w:rPr>
          <w:rFonts w:cs="Times New Roman"/>
          <w:szCs w:val="24"/>
        </w:rPr>
      </w:pPr>
    </w:p>
    <w:p w:rsidR="005329F5" w:rsidRPr="0027400A" w:rsidRDefault="005329F5" w:rsidP="000E3C4B">
      <w:pPr>
        <w:tabs>
          <w:tab w:val="left" w:pos="0"/>
        </w:tabs>
        <w:ind w:hanging="720"/>
        <w:rPr>
          <w:rFonts w:cs="Times New Roman"/>
          <w:szCs w:val="24"/>
        </w:rPr>
      </w:pPr>
      <w:proofErr w:type="spellStart"/>
      <w:r w:rsidRPr="0027400A">
        <w:rPr>
          <w:rStyle w:val="cit-title"/>
          <w:rFonts w:cs="Times New Roman"/>
          <w:szCs w:val="24"/>
        </w:rPr>
        <w:t>Shortell</w:t>
      </w:r>
      <w:proofErr w:type="spellEnd"/>
      <w:r w:rsidRPr="0027400A">
        <w:rPr>
          <w:rStyle w:val="cit-title"/>
          <w:rFonts w:cs="Times New Roman"/>
          <w:szCs w:val="24"/>
        </w:rPr>
        <w:t xml:space="preserve">, Christopher. 2012. “The End of the Federalism Five? </w:t>
      </w:r>
      <w:proofErr w:type="gramStart"/>
      <w:r w:rsidRPr="0027400A">
        <w:rPr>
          <w:rStyle w:val="cit-title"/>
          <w:rFonts w:cs="Times New Roman"/>
          <w:szCs w:val="24"/>
        </w:rPr>
        <w:t>Statutory Interpretation and the Roberts Court.”</w:t>
      </w:r>
      <w:proofErr w:type="gramEnd"/>
      <w:r w:rsidRPr="0027400A">
        <w:rPr>
          <w:rStyle w:val="cit-title"/>
          <w:rFonts w:cs="Times New Roman"/>
          <w:szCs w:val="24"/>
        </w:rPr>
        <w:t xml:space="preserve">  </w:t>
      </w:r>
      <w:proofErr w:type="spellStart"/>
      <w:r w:rsidRPr="0027400A">
        <w:rPr>
          <w:rStyle w:val="HTMLCite"/>
          <w:rFonts w:cs="Times New Roman"/>
          <w:szCs w:val="24"/>
        </w:rPr>
        <w:t>Publius</w:t>
      </w:r>
      <w:proofErr w:type="spellEnd"/>
      <w:r w:rsidRPr="0027400A">
        <w:rPr>
          <w:rStyle w:val="HTMLCite"/>
          <w:rFonts w:cs="Times New Roman"/>
          <w:szCs w:val="24"/>
        </w:rPr>
        <w:t xml:space="preserve"> </w:t>
      </w:r>
      <w:r w:rsidRPr="0027400A">
        <w:rPr>
          <w:rStyle w:val="cit-vol"/>
          <w:rFonts w:cs="Times New Roman"/>
          <w:iCs/>
          <w:szCs w:val="24"/>
        </w:rPr>
        <w:t xml:space="preserve">42 </w:t>
      </w:r>
      <w:r w:rsidRPr="0027400A">
        <w:rPr>
          <w:rStyle w:val="cit-sep"/>
          <w:rFonts w:cs="Times New Roman"/>
          <w:iCs/>
          <w:szCs w:val="24"/>
        </w:rPr>
        <w:t>(</w:t>
      </w:r>
      <w:r w:rsidRPr="0027400A">
        <w:rPr>
          <w:rStyle w:val="cit-issue"/>
          <w:rFonts w:cs="Times New Roman"/>
          <w:iCs/>
          <w:szCs w:val="24"/>
        </w:rPr>
        <w:t>3</w:t>
      </w:r>
      <w:r w:rsidRPr="0027400A">
        <w:rPr>
          <w:rStyle w:val="cit-sep"/>
          <w:rFonts w:cs="Times New Roman"/>
          <w:iCs/>
          <w:szCs w:val="24"/>
        </w:rPr>
        <w:t>):</w:t>
      </w:r>
      <w:r w:rsidRPr="0027400A">
        <w:rPr>
          <w:rStyle w:val="cit-issue"/>
          <w:rFonts w:cs="Times New Roman"/>
          <w:iCs/>
          <w:szCs w:val="24"/>
        </w:rPr>
        <w:t xml:space="preserve"> </w:t>
      </w:r>
      <w:r w:rsidRPr="0027400A">
        <w:rPr>
          <w:rStyle w:val="cit-first-page"/>
          <w:rFonts w:cs="Times New Roman"/>
          <w:iCs/>
          <w:szCs w:val="24"/>
        </w:rPr>
        <w:t>516</w:t>
      </w:r>
      <w:r w:rsidRPr="0027400A">
        <w:rPr>
          <w:rStyle w:val="cit-sep"/>
          <w:rFonts w:cs="Times New Roman"/>
          <w:iCs/>
          <w:szCs w:val="24"/>
        </w:rPr>
        <w:t>-</w:t>
      </w:r>
      <w:r w:rsidRPr="0027400A">
        <w:rPr>
          <w:rStyle w:val="cit-last-page"/>
          <w:rFonts w:cs="Times New Roman"/>
          <w:iCs/>
          <w:szCs w:val="24"/>
        </w:rPr>
        <w:t>537.</w:t>
      </w:r>
    </w:p>
    <w:p w:rsidR="000E3C4B" w:rsidRPr="0027400A" w:rsidRDefault="000E3C4B" w:rsidP="000E3C4B">
      <w:pPr>
        <w:tabs>
          <w:tab w:val="left" w:pos="0"/>
        </w:tabs>
        <w:ind w:hanging="720"/>
        <w:rPr>
          <w:rFonts w:cs="Times New Roman"/>
          <w:szCs w:val="24"/>
        </w:rPr>
      </w:pPr>
    </w:p>
    <w:p w:rsidR="000E3C4B" w:rsidRPr="0027400A" w:rsidRDefault="003F458D" w:rsidP="000E3C4B">
      <w:pPr>
        <w:tabs>
          <w:tab w:val="left" w:pos="0"/>
        </w:tabs>
        <w:ind w:hanging="720"/>
        <w:rPr>
          <w:rFonts w:cs="Times New Roman"/>
          <w:szCs w:val="24"/>
        </w:rPr>
      </w:pPr>
      <w:proofErr w:type="gramStart"/>
      <w:r w:rsidRPr="0027400A">
        <w:rPr>
          <w:rFonts w:cs="Times New Roman"/>
          <w:szCs w:val="24"/>
        </w:rPr>
        <w:t>Silverstein, Mark, &amp; Ginsberg, Benjamin.</w:t>
      </w:r>
      <w:proofErr w:type="gramEnd"/>
      <w:r w:rsidRPr="0027400A">
        <w:rPr>
          <w:rFonts w:cs="Times New Roman"/>
          <w:szCs w:val="24"/>
        </w:rPr>
        <w:t xml:space="preserve"> 1987. The Supreme Court and the new politics of judicial power. </w:t>
      </w:r>
      <w:r w:rsidRPr="0027400A">
        <w:rPr>
          <w:rFonts w:cs="Times New Roman"/>
          <w:i/>
          <w:iCs/>
          <w:szCs w:val="24"/>
        </w:rPr>
        <w:t>Political Science Quarterly</w:t>
      </w:r>
      <w:r w:rsidR="007E1E7C">
        <w:rPr>
          <w:rFonts w:cs="Times New Roman"/>
          <w:szCs w:val="24"/>
        </w:rPr>
        <w:t xml:space="preserve"> </w:t>
      </w:r>
      <w:r w:rsidRPr="007E1E7C">
        <w:rPr>
          <w:rFonts w:cs="Times New Roman"/>
          <w:iCs/>
          <w:szCs w:val="24"/>
        </w:rPr>
        <w:t>102</w:t>
      </w:r>
      <w:r w:rsidR="007E1E7C">
        <w:rPr>
          <w:rFonts w:cs="Times New Roman"/>
          <w:szCs w:val="24"/>
        </w:rPr>
        <w:t>(3):</w:t>
      </w:r>
      <w:r w:rsidRPr="007E1E7C">
        <w:rPr>
          <w:rFonts w:cs="Times New Roman"/>
          <w:szCs w:val="24"/>
        </w:rPr>
        <w:t xml:space="preserve"> </w:t>
      </w:r>
      <w:r w:rsidRPr="0027400A">
        <w:rPr>
          <w:rFonts w:cs="Times New Roman"/>
          <w:szCs w:val="24"/>
        </w:rPr>
        <w:t>371-388.</w:t>
      </w:r>
    </w:p>
    <w:p w:rsidR="003F458D" w:rsidRPr="0027400A" w:rsidRDefault="003F458D" w:rsidP="000E3C4B">
      <w:pPr>
        <w:tabs>
          <w:tab w:val="left" w:pos="0"/>
        </w:tabs>
        <w:ind w:hanging="720"/>
        <w:rPr>
          <w:rFonts w:cs="Times New Roman"/>
          <w:szCs w:val="24"/>
        </w:rPr>
      </w:pPr>
    </w:p>
    <w:p w:rsidR="000E3C4B" w:rsidRDefault="000E3C4B" w:rsidP="000E3C4B">
      <w:pPr>
        <w:tabs>
          <w:tab w:val="left" w:pos="0"/>
        </w:tabs>
        <w:ind w:hanging="720"/>
        <w:rPr>
          <w:rFonts w:cs="Times New Roman"/>
          <w:szCs w:val="24"/>
        </w:rPr>
      </w:pPr>
      <w:proofErr w:type="gramStart"/>
      <w:r w:rsidRPr="0027400A">
        <w:rPr>
          <w:rFonts w:cs="Times New Roman"/>
          <w:szCs w:val="24"/>
        </w:rPr>
        <w:t xml:space="preserve">Simpson, Reagan W., and </w:t>
      </w:r>
      <w:proofErr w:type="spellStart"/>
      <w:r w:rsidRPr="0027400A">
        <w:rPr>
          <w:rFonts w:cs="Times New Roman"/>
          <w:szCs w:val="24"/>
        </w:rPr>
        <w:t>Vasaly</w:t>
      </w:r>
      <w:proofErr w:type="spellEnd"/>
      <w:r w:rsidRPr="0027400A">
        <w:rPr>
          <w:rFonts w:cs="Times New Roman"/>
          <w:szCs w:val="24"/>
        </w:rPr>
        <w:t>, Mary R. 2004.</w:t>
      </w:r>
      <w:proofErr w:type="gramEnd"/>
      <w:r w:rsidRPr="0027400A">
        <w:rPr>
          <w:rFonts w:cs="Times New Roman"/>
          <w:szCs w:val="24"/>
        </w:rPr>
        <w:t xml:space="preserve">  </w:t>
      </w:r>
      <w:r w:rsidRPr="0027400A">
        <w:rPr>
          <w:rFonts w:cs="Times New Roman"/>
          <w:i/>
          <w:szCs w:val="24"/>
        </w:rPr>
        <w:t>The Amicus Brief: How to Be a Good Friend of the Court</w:t>
      </w:r>
      <w:r w:rsidR="007E1E7C">
        <w:rPr>
          <w:rFonts w:cs="Times New Roman"/>
          <w:szCs w:val="24"/>
        </w:rPr>
        <w:t xml:space="preserve">. </w:t>
      </w:r>
      <w:proofErr w:type="gramStart"/>
      <w:r w:rsidR="007E1E7C">
        <w:rPr>
          <w:rFonts w:cs="Times New Roman"/>
          <w:szCs w:val="24"/>
        </w:rPr>
        <w:t>2nd</w:t>
      </w:r>
      <w:r w:rsidRPr="0027400A">
        <w:rPr>
          <w:rFonts w:cs="Times New Roman"/>
          <w:szCs w:val="24"/>
        </w:rPr>
        <w:t xml:space="preserve"> edition.</w:t>
      </w:r>
      <w:proofErr w:type="gramEnd"/>
      <w:r w:rsidRPr="0027400A">
        <w:rPr>
          <w:rFonts w:cs="Times New Roman"/>
          <w:szCs w:val="24"/>
        </w:rPr>
        <w:t xml:space="preserve">  Chicago: American Bar Association Press.</w:t>
      </w:r>
    </w:p>
    <w:p w:rsidR="00246494" w:rsidRDefault="00246494" w:rsidP="000E3C4B">
      <w:pPr>
        <w:tabs>
          <w:tab w:val="left" w:pos="0"/>
        </w:tabs>
        <w:ind w:hanging="720"/>
        <w:rPr>
          <w:rFonts w:cs="Times New Roman"/>
          <w:szCs w:val="24"/>
        </w:rPr>
      </w:pPr>
    </w:p>
    <w:p w:rsidR="00246494" w:rsidRDefault="00246494" w:rsidP="000E3C4B">
      <w:pPr>
        <w:tabs>
          <w:tab w:val="left" w:pos="0"/>
        </w:tabs>
        <w:ind w:hanging="720"/>
      </w:pPr>
      <w:proofErr w:type="spellStart"/>
      <w:r>
        <w:t>Spaeth</w:t>
      </w:r>
      <w:proofErr w:type="spellEnd"/>
      <w:r>
        <w:t xml:space="preserve">, Harold J. 2012. The United States Supreme Court Judicial Database 1946–2011 terms. </w:t>
      </w:r>
      <w:proofErr w:type="gramStart"/>
      <w:r>
        <w:t>2012 Release 01.</w:t>
      </w:r>
      <w:proofErr w:type="gramEnd"/>
      <w:r>
        <w:t xml:space="preserve"> </w:t>
      </w:r>
      <w:r>
        <w:rPr>
          <w:i/>
          <w:iCs/>
        </w:rPr>
        <w:t>East Lansing, MI: Michigan State University</w:t>
      </w:r>
      <w:r>
        <w:t xml:space="preserve">. </w:t>
      </w:r>
      <w:proofErr w:type="gramStart"/>
      <w:r>
        <w:t xml:space="preserve">Accessed at </w:t>
      </w:r>
      <w:hyperlink r:id="rId48" w:history="1">
        <w:r w:rsidRPr="00194240">
          <w:rPr>
            <w:rStyle w:val="Hyperlink"/>
          </w:rPr>
          <w:t>http://scdb.wustl.edu/</w:t>
        </w:r>
      </w:hyperlink>
      <w:r>
        <w:t>.</w:t>
      </w:r>
      <w:proofErr w:type="gramEnd"/>
    </w:p>
    <w:p w:rsidR="00246494" w:rsidRDefault="00246494" w:rsidP="000E3C4B">
      <w:pPr>
        <w:tabs>
          <w:tab w:val="left" w:pos="0"/>
        </w:tabs>
        <w:ind w:hanging="720"/>
      </w:pPr>
    </w:p>
    <w:p w:rsidR="000E3C4B" w:rsidRDefault="00246494" w:rsidP="00246494">
      <w:pPr>
        <w:tabs>
          <w:tab w:val="left" w:pos="0"/>
        </w:tabs>
        <w:ind w:hanging="720"/>
      </w:pPr>
      <w:proofErr w:type="spellStart"/>
      <w:r>
        <w:t>Spaeth</w:t>
      </w:r>
      <w:proofErr w:type="spellEnd"/>
      <w:r>
        <w:t xml:space="preserve">, Harold J. 2013. The United States Supreme Court Judicial Database 1946–2011 terms. </w:t>
      </w:r>
      <w:proofErr w:type="gramStart"/>
      <w:r>
        <w:t>2013 Release 01.</w:t>
      </w:r>
      <w:proofErr w:type="gramEnd"/>
      <w:r>
        <w:t xml:space="preserve"> </w:t>
      </w:r>
      <w:r>
        <w:rPr>
          <w:i/>
          <w:iCs/>
        </w:rPr>
        <w:t>East Lansing, MI: Michigan State University</w:t>
      </w:r>
      <w:r>
        <w:t xml:space="preserve">. </w:t>
      </w:r>
      <w:proofErr w:type="gramStart"/>
      <w:r>
        <w:t xml:space="preserve">Accessed at </w:t>
      </w:r>
      <w:hyperlink r:id="rId49" w:history="1">
        <w:r w:rsidRPr="00194240">
          <w:rPr>
            <w:rStyle w:val="Hyperlink"/>
          </w:rPr>
          <w:t>http://scdb.wustl.edu/</w:t>
        </w:r>
      </w:hyperlink>
      <w:r>
        <w:t>.</w:t>
      </w:r>
      <w:proofErr w:type="gramEnd"/>
    </w:p>
    <w:p w:rsidR="007E1E7C" w:rsidRPr="00246494" w:rsidRDefault="007E1E7C" w:rsidP="00246494">
      <w:pPr>
        <w:tabs>
          <w:tab w:val="left" w:pos="0"/>
        </w:tabs>
        <w:ind w:hanging="720"/>
      </w:pPr>
    </w:p>
    <w:p w:rsidR="000E3C4B" w:rsidRPr="0027400A" w:rsidRDefault="000E3C4B" w:rsidP="000E3C4B">
      <w:pPr>
        <w:tabs>
          <w:tab w:val="left" w:pos="0"/>
        </w:tabs>
        <w:ind w:hanging="720"/>
        <w:rPr>
          <w:rStyle w:val="HTMLCite"/>
          <w:rFonts w:cs="Times New Roman"/>
          <w:szCs w:val="24"/>
        </w:rPr>
      </w:pPr>
      <w:proofErr w:type="spellStart"/>
      <w:proofErr w:type="gramStart"/>
      <w:r w:rsidRPr="0027400A">
        <w:rPr>
          <w:rStyle w:val="cit-name-surname"/>
          <w:rFonts w:cs="Times New Roman"/>
          <w:iCs/>
          <w:szCs w:val="24"/>
        </w:rPr>
        <w:t>Spaeth</w:t>
      </w:r>
      <w:proofErr w:type="spellEnd"/>
      <w:r w:rsidRPr="0027400A">
        <w:rPr>
          <w:rStyle w:val="HTMLCite"/>
          <w:rFonts w:cs="Times New Roman"/>
          <w:szCs w:val="24"/>
        </w:rPr>
        <w:t xml:space="preserve">, </w:t>
      </w:r>
      <w:r w:rsidRPr="0027400A">
        <w:rPr>
          <w:rStyle w:val="cit-name-surname"/>
          <w:rFonts w:cs="Times New Roman"/>
          <w:iCs/>
          <w:szCs w:val="24"/>
        </w:rPr>
        <w:t>Harold J.</w:t>
      </w:r>
      <w:r w:rsidRPr="0027400A">
        <w:rPr>
          <w:rStyle w:val="HTMLCite"/>
          <w:rFonts w:cs="Times New Roman"/>
          <w:szCs w:val="24"/>
        </w:rPr>
        <w:t xml:space="preserve">, </w:t>
      </w:r>
      <w:r w:rsidRPr="00F122E7">
        <w:rPr>
          <w:rStyle w:val="HTMLCite"/>
          <w:rFonts w:cs="Times New Roman"/>
          <w:i w:val="0"/>
          <w:szCs w:val="24"/>
        </w:rPr>
        <w:t>and</w:t>
      </w:r>
      <w:r w:rsidRPr="0027400A">
        <w:rPr>
          <w:rStyle w:val="HTMLCite"/>
          <w:rFonts w:cs="Times New Roman"/>
          <w:szCs w:val="24"/>
        </w:rPr>
        <w:t xml:space="preserve"> </w:t>
      </w:r>
      <w:r w:rsidRPr="0027400A">
        <w:rPr>
          <w:rStyle w:val="cit-name-surname"/>
          <w:rFonts w:cs="Times New Roman"/>
          <w:iCs/>
          <w:szCs w:val="24"/>
        </w:rPr>
        <w:t>Jeffrey A. Segal</w:t>
      </w:r>
      <w:r w:rsidRPr="0027400A">
        <w:rPr>
          <w:rStyle w:val="HTMLCite"/>
          <w:rFonts w:cs="Times New Roman"/>
          <w:szCs w:val="24"/>
        </w:rPr>
        <w:t>.</w:t>
      </w:r>
      <w:proofErr w:type="gramEnd"/>
      <w:r w:rsidRPr="0027400A">
        <w:rPr>
          <w:rStyle w:val="HTMLCite"/>
          <w:rFonts w:cs="Times New Roman"/>
          <w:szCs w:val="24"/>
        </w:rPr>
        <w:t xml:space="preserve"> </w:t>
      </w:r>
      <w:r w:rsidRPr="0027400A">
        <w:rPr>
          <w:rStyle w:val="cit-pub-date"/>
          <w:rFonts w:cs="Times New Roman"/>
          <w:iCs/>
          <w:szCs w:val="24"/>
        </w:rPr>
        <w:t>1999</w:t>
      </w:r>
      <w:r w:rsidRPr="0027400A">
        <w:rPr>
          <w:rStyle w:val="HTMLCite"/>
          <w:rFonts w:cs="Times New Roman"/>
          <w:szCs w:val="24"/>
        </w:rPr>
        <w:t xml:space="preserve">. </w:t>
      </w:r>
      <w:r w:rsidR="003F458D" w:rsidRPr="0027400A">
        <w:rPr>
          <w:rStyle w:val="HTMLCite"/>
          <w:rFonts w:cs="Times New Roman"/>
          <w:szCs w:val="24"/>
        </w:rPr>
        <w:t>“</w:t>
      </w:r>
      <w:r w:rsidRPr="0027400A">
        <w:rPr>
          <w:rStyle w:val="cit-source"/>
          <w:rFonts w:cs="Times New Roman"/>
          <w:szCs w:val="24"/>
        </w:rPr>
        <w:t>Majority rule or minority will: Adherence to precedent on the U.S. Supreme Court</w:t>
      </w:r>
      <w:r w:rsidRPr="0027400A">
        <w:rPr>
          <w:rStyle w:val="HTMLCite"/>
          <w:rFonts w:cs="Times New Roman"/>
          <w:szCs w:val="24"/>
        </w:rPr>
        <w:t>.</w:t>
      </w:r>
      <w:r w:rsidR="003F458D" w:rsidRPr="0027400A">
        <w:rPr>
          <w:rStyle w:val="HTMLCite"/>
          <w:rFonts w:cs="Times New Roman"/>
          <w:szCs w:val="24"/>
        </w:rPr>
        <w:t>”</w:t>
      </w:r>
      <w:r w:rsidRPr="0027400A">
        <w:rPr>
          <w:rStyle w:val="HTMLCite"/>
          <w:rFonts w:cs="Times New Roman"/>
          <w:szCs w:val="24"/>
        </w:rPr>
        <w:t xml:space="preserve"> </w:t>
      </w:r>
      <w:r w:rsidRPr="0027400A">
        <w:rPr>
          <w:rStyle w:val="cit-publ-loc"/>
          <w:rFonts w:cs="Times New Roman"/>
          <w:iCs/>
          <w:szCs w:val="24"/>
        </w:rPr>
        <w:t>Cambridge</w:t>
      </w:r>
      <w:r w:rsidR="00FA64C2">
        <w:rPr>
          <w:rStyle w:val="HTMLCite"/>
          <w:rFonts w:cs="Times New Roman"/>
          <w:i w:val="0"/>
          <w:szCs w:val="24"/>
        </w:rPr>
        <w:t>, UK:</w:t>
      </w:r>
      <w:r w:rsidRPr="0027400A">
        <w:rPr>
          <w:rStyle w:val="HTMLCite"/>
          <w:rFonts w:cs="Times New Roman"/>
          <w:szCs w:val="24"/>
        </w:rPr>
        <w:t xml:space="preserve"> </w:t>
      </w:r>
      <w:r w:rsidRPr="0027400A">
        <w:rPr>
          <w:rStyle w:val="cit-publ-name"/>
          <w:rFonts w:cs="Times New Roman"/>
          <w:iCs/>
          <w:szCs w:val="24"/>
        </w:rPr>
        <w:t>Cambridge University Press</w:t>
      </w:r>
      <w:r w:rsidRPr="0027400A">
        <w:rPr>
          <w:rStyle w:val="HTMLCite"/>
          <w:rFonts w:cs="Times New Roman"/>
          <w:szCs w:val="24"/>
        </w:rPr>
        <w:t>.</w:t>
      </w:r>
    </w:p>
    <w:p w:rsidR="000E3C4B" w:rsidRPr="0027400A" w:rsidRDefault="000E3C4B" w:rsidP="000E3C4B">
      <w:pPr>
        <w:tabs>
          <w:tab w:val="left" w:pos="0"/>
        </w:tabs>
        <w:ind w:hanging="720"/>
        <w:rPr>
          <w:rFonts w:cs="Times New Roman"/>
          <w:szCs w:val="24"/>
        </w:rPr>
      </w:pPr>
    </w:p>
    <w:p w:rsidR="003F458D" w:rsidRPr="0027400A" w:rsidRDefault="003F458D" w:rsidP="000E3C4B">
      <w:pPr>
        <w:tabs>
          <w:tab w:val="left" w:pos="0"/>
        </w:tabs>
        <w:ind w:hanging="720"/>
        <w:rPr>
          <w:rFonts w:cs="Times New Roman"/>
          <w:szCs w:val="24"/>
        </w:rPr>
      </w:pPr>
      <w:proofErr w:type="spellStart"/>
      <w:r w:rsidRPr="0027400A">
        <w:rPr>
          <w:rFonts w:cs="Times New Roman"/>
          <w:szCs w:val="24"/>
        </w:rPr>
        <w:t>Simard</w:t>
      </w:r>
      <w:proofErr w:type="spellEnd"/>
      <w:r w:rsidRPr="0027400A">
        <w:rPr>
          <w:rFonts w:cs="Times New Roman"/>
          <w:szCs w:val="24"/>
        </w:rPr>
        <w:t xml:space="preserve">, Linda S. 2007. “Empirical Study of Amici Curiae in Federal Court: A Fine Balance of Access, Efficiency, and </w:t>
      </w:r>
      <w:proofErr w:type="spellStart"/>
      <w:r w:rsidRPr="0027400A">
        <w:rPr>
          <w:rFonts w:cs="Times New Roman"/>
          <w:szCs w:val="24"/>
        </w:rPr>
        <w:t>Adversarialism</w:t>
      </w:r>
      <w:proofErr w:type="spellEnd"/>
      <w:r w:rsidRPr="0027400A">
        <w:rPr>
          <w:rFonts w:cs="Times New Roman"/>
          <w:szCs w:val="24"/>
        </w:rPr>
        <w:t>.”</w:t>
      </w:r>
      <w:r w:rsidR="00FA64C2">
        <w:rPr>
          <w:rFonts w:cs="Times New Roman"/>
          <w:szCs w:val="24"/>
        </w:rPr>
        <w:t xml:space="preserve"> </w:t>
      </w:r>
      <w:r w:rsidR="007E1E7C">
        <w:rPr>
          <w:rFonts w:cs="Times New Roman"/>
          <w:i/>
          <w:iCs/>
          <w:szCs w:val="24"/>
        </w:rPr>
        <w:t>Review of Litigation</w:t>
      </w:r>
      <w:r w:rsidRPr="0027400A">
        <w:rPr>
          <w:rFonts w:cs="Times New Roman"/>
          <w:szCs w:val="24"/>
        </w:rPr>
        <w:t xml:space="preserve"> </w:t>
      </w:r>
      <w:r w:rsidRPr="007E1E7C">
        <w:rPr>
          <w:rFonts w:cs="Times New Roman"/>
          <w:iCs/>
          <w:szCs w:val="24"/>
        </w:rPr>
        <w:t>27</w:t>
      </w:r>
      <w:r w:rsidR="007E1E7C">
        <w:rPr>
          <w:rFonts w:cs="Times New Roman"/>
          <w:szCs w:val="24"/>
        </w:rPr>
        <w:t>:</w:t>
      </w:r>
      <w:r w:rsidRPr="0027400A">
        <w:rPr>
          <w:rFonts w:cs="Times New Roman"/>
          <w:szCs w:val="24"/>
        </w:rPr>
        <w:t xml:space="preserve"> 669.</w:t>
      </w:r>
    </w:p>
    <w:p w:rsidR="003F458D" w:rsidRPr="0027400A" w:rsidRDefault="003F458D" w:rsidP="000E3C4B">
      <w:pPr>
        <w:tabs>
          <w:tab w:val="left" w:pos="0"/>
        </w:tabs>
        <w:ind w:hanging="720"/>
        <w:rPr>
          <w:rFonts w:cs="Times New Roman"/>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0E3C4B" w:rsidRPr="0027400A" w:rsidTr="00C54E69">
        <w:trPr>
          <w:tblCellSpacing w:w="15" w:type="dxa"/>
        </w:trPr>
        <w:tc>
          <w:tcPr>
            <w:tcW w:w="0" w:type="auto"/>
            <w:vAlign w:val="center"/>
            <w:hideMark/>
          </w:tcPr>
          <w:p w:rsidR="000E3C4B" w:rsidRPr="0027400A" w:rsidRDefault="000E3C4B" w:rsidP="00C54E69">
            <w:pPr>
              <w:ind w:left="0" w:firstLine="0"/>
              <w:rPr>
                <w:rFonts w:eastAsia="Times New Roman" w:cs="Times New Roman"/>
                <w:szCs w:val="24"/>
              </w:rPr>
            </w:pPr>
          </w:p>
        </w:tc>
        <w:tc>
          <w:tcPr>
            <w:tcW w:w="0" w:type="auto"/>
            <w:vAlign w:val="center"/>
            <w:hideMark/>
          </w:tcPr>
          <w:p w:rsidR="000E3C4B" w:rsidRPr="0027400A" w:rsidRDefault="000E3C4B" w:rsidP="00C54E69">
            <w:pPr>
              <w:ind w:left="654" w:hanging="654"/>
              <w:rPr>
                <w:rFonts w:eastAsia="Times New Roman" w:cs="Times New Roman"/>
                <w:szCs w:val="24"/>
              </w:rPr>
            </w:pPr>
          </w:p>
        </w:tc>
      </w:tr>
    </w:tbl>
    <w:p w:rsidR="000E3C4B" w:rsidRPr="0027400A" w:rsidRDefault="003F458D" w:rsidP="003F458D">
      <w:pPr>
        <w:tabs>
          <w:tab w:val="left" w:pos="720"/>
        </w:tabs>
        <w:ind w:hanging="720"/>
        <w:rPr>
          <w:rFonts w:cs="Times New Roman"/>
          <w:color w:val="548DD4" w:themeColor="text2" w:themeTint="99"/>
          <w:szCs w:val="24"/>
        </w:rPr>
      </w:pPr>
      <w:r w:rsidRPr="0027400A">
        <w:rPr>
          <w:rFonts w:cs="Times New Roman"/>
          <w:szCs w:val="24"/>
        </w:rPr>
        <w:t xml:space="preserve">Simmons, Omari S. 2009. </w:t>
      </w:r>
      <w:proofErr w:type="gramStart"/>
      <w:r w:rsidRPr="0027400A">
        <w:rPr>
          <w:rFonts w:cs="Times New Roman"/>
          <w:szCs w:val="24"/>
        </w:rPr>
        <w:t>“Picking friends from the crowd: Amicus participation as political symbolism.”</w:t>
      </w:r>
      <w:proofErr w:type="gramEnd"/>
      <w:r w:rsidRPr="0027400A">
        <w:rPr>
          <w:rFonts w:cs="Times New Roman"/>
          <w:szCs w:val="24"/>
        </w:rPr>
        <w:t xml:space="preserve"> </w:t>
      </w:r>
      <w:r w:rsidRPr="0027400A">
        <w:rPr>
          <w:rFonts w:cs="Times New Roman"/>
          <w:i/>
          <w:iCs/>
          <w:szCs w:val="24"/>
        </w:rPr>
        <w:t>Connecticut Law Review</w:t>
      </w:r>
      <w:r w:rsidR="007E1E7C">
        <w:rPr>
          <w:rFonts w:cs="Times New Roman"/>
          <w:szCs w:val="24"/>
        </w:rPr>
        <w:t xml:space="preserve"> 42(1): 185.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0E3C4B" w:rsidRPr="0027400A" w:rsidTr="00C54E69">
        <w:trPr>
          <w:tblCellSpacing w:w="15" w:type="dxa"/>
        </w:trPr>
        <w:tc>
          <w:tcPr>
            <w:tcW w:w="0" w:type="auto"/>
            <w:vAlign w:val="center"/>
            <w:hideMark/>
          </w:tcPr>
          <w:p w:rsidR="000E3C4B" w:rsidRPr="0027400A" w:rsidRDefault="000E3C4B" w:rsidP="00C54E69">
            <w:pPr>
              <w:ind w:left="0" w:firstLine="0"/>
              <w:rPr>
                <w:rFonts w:eastAsia="Times New Roman" w:cs="Times New Roman"/>
                <w:szCs w:val="24"/>
              </w:rPr>
            </w:pPr>
          </w:p>
        </w:tc>
        <w:tc>
          <w:tcPr>
            <w:tcW w:w="0" w:type="auto"/>
            <w:vAlign w:val="center"/>
            <w:hideMark/>
          </w:tcPr>
          <w:p w:rsidR="000E3C4B" w:rsidRPr="0027400A" w:rsidRDefault="000E3C4B" w:rsidP="00C54E69">
            <w:pPr>
              <w:ind w:left="654" w:hanging="654"/>
              <w:rPr>
                <w:rFonts w:eastAsia="Times New Roman" w:cs="Times New Roman"/>
                <w:szCs w:val="24"/>
              </w:rPr>
            </w:pPr>
          </w:p>
        </w:tc>
      </w:tr>
    </w:tbl>
    <w:p w:rsidR="000E3C4B" w:rsidRPr="0027400A" w:rsidRDefault="000E3C4B" w:rsidP="000E3C4B">
      <w:pPr>
        <w:tabs>
          <w:tab w:val="left" w:pos="0"/>
        </w:tabs>
        <w:ind w:hanging="720"/>
        <w:rPr>
          <w:rFonts w:cs="Times New Roman"/>
          <w:szCs w:val="24"/>
        </w:rPr>
      </w:pPr>
    </w:p>
    <w:p w:rsidR="000E3C4B" w:rsidRPr="0027400A" w:rsidRDefault="000E3C4B" w:rsidP="000E3C4B">
      <w:pPr>
        <w:tabs>
          <w:tab w:val="left" w:pos="720"/>
        </w:tabs>
        <w:ind w:hanging="720"/>
        <w:rPr>
          <w:rFonts w:cs="Times New Roman"/>
          <w:szCs w:val="24"/>
        </w:rPr>
      </w:pPr>
      <w:proofErr w:type="gramStart"/>
      <w:r w:rsidRPr="0027400A">
        <w:rPr>
          <w:rFonts w:cs="Times New Roman"/>
          <w:szCs w:val="24"/>
        </w:rPr>
        <w:t xml:space="preserve">Solberg, </w:t>
      </w:r>
      <w:proofErr w:type="spellStart"/>
      <w:r w:rsidRPr="0027400A">
        <w:rPr>
          <w:rFonts w:cs="Times New Roman"/>
          <w:szCs w:val="24"/>
        </w:rPr>
        <w:t>Rorie</w:t>
      </w:r>
      <w:proofErr w:type="spellEnd"/>
      <w:r w:rsidRPr="0027400A">
        <w:rPr>
          <w:rFonts w:cs="Times New Roman"/>
          <w:szCs w:val="24"/>
        </w:rPr>
        <w:t xml:space="preserve"> S. and </w:t>
      </w:r>
      <w:r w:rsidR="007E1E7C">
        <w:rPr>
          <w:rFonts w:cs="Times New Roman"/>
          <w:szCs w:val="24"/>
        </w:rPr>
        <w:t xml:space="preserve">E.N. </w:t>
      </w:r>
      <w:proofErr w:type="spellStart"/>
      <w:r w:rsidR="007E1E7C">
        <w:rPr>
          <w:rFonts w:cs="Times New Roman"/>
          <w:szCs w:val="24"/>
        </w:rPr>
        <w:t>Waltenburg</w:t>
      </w:r>
      <w:proofErr w:type="spellEnd"/>
      <w:r w:rsidRPr="0027400A">
        <w:rPr>
          <w:rFonts w:cs="Times New Roman"/>
          <w:szCs w:val="24"/>
        </w:rPr>
        <w:t>.</w:t>
      </w:r>
      <w:proofErr w:type="gramEnd"/>
      <w:r w:rsidRPr="0027400A">
        <w:rPr>
          <w:rFonts w:cs="Times New Roman"/>
          <w:szCs w:val="24"/>
        </w:rPr>
        <w:t xml:space="preserve"> 2006. “Why Do Interest Groups Engage the Judiciary? </w:t>
      </w:r>
      <w:proofErr w:type="gramStart"/>
      <w:r w:rsidRPr="0027400A">
        <w:rPr>
          <w:rFonts w:cs="Times New Roman"/>
          <w:szCs w:val="24"/>
        </w:rPr>
        <w:t>Policy Wishes and Structural Needs.”</w:t>
      </w:r>
      <w:proofErr w:type="gramEnd"/>
      <w:r w:rsidRPr="0027400A">
        <w:rPr>
          <w:rFonts w:cs="Times New Roman"/>
          <w:szCs w:val="24"/>
        </w:rPr>
        <w:t xml:space="preserve">  </w:t>
      </w:r>
      <w:r w:rsidRPr="0027400A">
        <w:rPr>
          <w:rFonts w:cs="Times New Roman"/>
          <w:i/>
          <w:szCs w:val="24"/>
        </w:rPr>
        <w:t>Social Science Quarterly</w:t>
      </w:r>
      <w:r w:rsidRPr="0027400A">
        <w:rPr>
          <w:rFonts w:cs="Times New Roman"/>
          <w:szCs w:val="24"/>
        </w:rPr>
        <w:t xml:space="preserve"> 87: 558–572.</w:t>
      </w:r>
    </w:p>
    <w:p w:rsidR="000E3C4B" w:rsidRPr="0027400A" w:rsidRDefault="000E3C4B" w:rsidP="000E3C4B">
      <w:pPr>
        <w:tabs>
          <w:tab w:val="left" w:pos="0"/>
        </w:tabs>
        <w:ind w:hanging="720"/>
        <w:rPr>
          <w:rFonts w:cs="Times New Roman"/>
          <w:szCs w:val="24"/>
        </w:rPr>
      </w:pPr>
    </w:p>
    <w:p w:rsidR="000E3C4B" w:rsidRDefault="007E1E7C" w:rsidP="003F458D">
      <w:pPr>
        <w:ind w:hanging="720"/>
        <w:rPr>
          <w:rFonts w:cs="Times New Roman"/>
          <w:szCs w:val="24"/>
        </w:rPr>
      </w:pPr>
      <w:proofErr w:type="spellStart"/>
      <w:proofErr w:type="gramStart"/>
      <w:r>
        <w:rPr>
          <w:rFonts w:cs="Times New Roman"/>
          <w:szCs w:val="24"/>
        </w:rPr>
        <w:t>Solowiej</w:t>
      </w:r>
      <w:proofErr w:type="spellEnd"/>
      <w:r>
        <w:rPr>
          <w:rFonts w:cs="Times New Roman"/>
          <w:szCs w:val="24"/>
        </w:rPr>
        <w:t xml:space="preserve">, Lisa A., and </w:t>
      </w:r>
      <w:r w:rsidR="000E3C4B" w:rsidRPr="0027400A">
        <w:rPr>
          <w:rFonts w:cs="Times New Roman"/>
          <w:szCs w:val="24"/>
        </w:rPr>
        <w:t>Paul M.</w:t>
      </w:r>
      <w:r>
        <w:rPr>
          <w:rFonts w:cs="Times New Roman"/>
          <w:szCs w:val="24"/>
        </w:rPr>
        <w:t xml:space="preserve"> Collins</w:t>
      </w:r>
      <w:r w:rsidR="000E3C4B" w:rsidRPr="0027400A">
        <w:rPr>
          <w:rFonts w:cs="Times New Roman"/>
          <w:szCs w:val="24"/>
        </w:rPr>
        <w:t>, Jr. 2009.</w:t>
      </w:r>
      <w:proofErr w:type="gramEnd"/>
      <w:r w:rsidR="000E3C4B" w:rsidRPr="0027400A">
        <w:rPr>
          <w:rFonts w:cs="Times New Roman"/>
          <w:szCs w:val="24"/>
        </w:rPr>
        <w:t xml:space="preserve"> </w:t>
      </w:r>
      <w:proofErr w:type="gramStart"/>
      <w:r w:rsidR="000E3C4B" w:rsidRPr="0027400A">
        <w:rPr>
          <w:rFonts w:cs="Times New Roman"/>
          <w:szCs w:val="24"/>
        </w:rPr>
        <w:t>“Counteractive Lobbying in the U.S. Supreme Court.”</w:t>
      </w:r>
      <w:proofErr w:type="gramEnd"/>
      <w:r w:rsidR="000E3C4B" w:rsidRPr="0027400A">
        <w:rPr>
          <w:rFonts w:cs="Times New Roman"/>
          <w:i/>
          <w:szCs w:val="24"/>
        </w:rPr>
        <w:t xml:space="preserve"> American Politics Research</w:t>
      </w:r>
      <w:r w:rsidR="000E3C4B" w:rsidRPr="0027400A">
        <w:rPr>
          <w:rFonts w:cs="Times New Roman"/>
          <w:szCs w:val="24"/>
        </w:rPr>
        <w:t xml:space="preserve"> 37(4): 670-699.</w:t>
      </w:r>
    </w:p>
    <w:p w:rsidR="00C816D4" w:rsidRPr="0027400A" w:rsidRDefault="00C816D4" w:rsidP="003F458D">
      <w:pPr>
        <w:ind w:hanging="720"/>
        <w:rPr>
          <w:rFonts w:cs="Times New Roman"/>
          <w:szCs w:val="24"/>
        </w:rPr>
      </w:pPr>
    </w:p>
    <w:p w:rsidR="000E3C4B" w:rsidRPr="0027400A" w:rsidRDefault="000E3C4B" w:rsidP="000E3C4B">
      <w:pPr>
        <w:ind w:hanging="720"/>
        <w:rPr>
          <w:rFonts w:cs="Times New Roman"/>
          <w:szCs w:val="24"/>
        </w:rPr>
      </w:pPr>
      <w:proofErr w:type="spellStart"/>
      <w:proofErr w:type="gramStart"/>
      <w:r w:rsidRPr="0027400A">
        <w:rPr>
          <w:rFonts w:cs="Times New Roman"/>
          <w:szCs w:val="24"/>
        </w:rPr>
        <w:t>Songer</w:t>
      </w:r>
      <w:proofErr w:type="spellEnd"/>
      <w:r w:rsidRPr="0027400A">
        <w:rPr>
          <w:rFonts w:cs="Times New Roman"/>
          <w:szCs w:val="24"/>
        </w:rPr>
        <w:t>, Donald R. and Ashlyn</w:t>
      </w:r>
      <w:r w:rsidR="007E1E7C">
        <w:rPr>
          <w:rFonts w:cs="Times New Roman"/>
          <w:szCs w:val="24"/>
        </w:rPr>
        <w:t xml:space="preserve"> </w:t>
      </w:r>
      <w:proofErr w:type="spellStart"/>
      <w:r w:rsidR="007E1E7C">
        <w:rPr>
          <w:rFonts w:cs="Times New Roman"/>
          <w:szCs w:val="24"/>
        </w:rPr>
        <w:t>Kuersten</w:t>
      </w:r>
      <w:proofErr w:type="spellEnd"/>
      <w:r w:rsidRPr="0027400A">
        <w:rPr>
          <w:rFonts w:cs="Times New Roman"/>
          <w:szCs w:val="24"/>
        </w:rPr>
        <w:t>.</w:t>
      </w:r>
      <w:proofErr w:type="gramEnd"/>
      <w:r w:rsidRPr="0027400A">
        <w:rPr>
          <w:rFonts w:cs="Times New Roman"/>
          <w:szCs w:val="24"/>
        </w:rPr>
        <w:t xml:space="preserve"> 1995. “The Success of Amici in State Supreme Courts.”</w:t>
      </w:r>
      <w:r w:rsidRPr="0027400A">
        <w:rPr>
          <w:rFonts w:cs="Times New Roman"/>
          <w:i/>
          <w:szCs w:val="24"/>
        </w:rPr>
        <w:t xml:space="preserve"> Political Research Quarterly</w:t>
      </w:r>
      <w:r w:rsidRPr="0027400A">
        <w:rPr>
          <w:rFonts w:cs="Times New Roman"/>
          <w:szCs w:val="24"/>
        </w:rPr>
        <w:t xml:space="preserve"> 48(1) 31-42.</w:t>
      </w:r>
    </w:p>
    <w:p w:rsidR="000E3C4B" w:rsidRPr="0027400A" w:rsidRDefault="000E3C4B" w:rsidP="000E3C4B">
      <w:pPr>
        <w:rPr>
          <w:rFonts w:cs="Times New Roman"/>
          <w:szCs w:val="24"/>
        </w:rPr>
      </w:pPr>
    </w:p>
    <w:p w:rsidR="000E3C4B" w:rsidRPr="0027400A" w:rsidRDefault="000E3C4B" w:rsidP="000E3C4B">
      <w:pPr>
        <w:ind w:hanging="720"/>
        <w:rPr>
          <w:rFonts w:cs="Times New Roman"/>
          <w:szCs w:val="24"/>
        </w:rPr>
      </w:pPr>
      <w:proofErr w:type="spellStart"/>
      <w:proofErr w:type="gramStart"/>
      <w:r w:rsidRPr="0027400A">
        <w:rPr>
          <w:rFonts w:cs="Times New Roman"/>
          <w:szCs w:val="24"/>
        </w:rPr>
        <w:t>Songe</w:t>
      </w:r>
      <w:r w:rsidR="007E1E7C">
        <w:rPr>
          <w:rFonts w:cs="Times New Roman"/>
          <w:szCs w:val="24"/>
        </w:rPr>
        <w:t>r</w:t>
      </w:r>
      <w:proofErr w:type="spellEnd"/>
      <w:r w:rsidR="007E1E7C">
        <w:rPr>
          <w:rFonts w:cs="Times New Roman"/>
          <w:szCs w:val="24"/>
        </w:rPr>
        <w:t>, Donald R.,</w:t>
      </w:r>
      <w:r w:rsidR="006C472D">
        <w:rPr>
          <w:rFonts w:cs="Times New Roman"/>
          <w:szCs w:val="24"/>
        </w:rPr>
        <w:t xml:space="preserve"> Ashlyn</w:t>
      </w:r>
      <w:r w:rsidR="007E1E7C">
        <w:rPr>
          <w:rFonts w:cs="Times New Roman"/>
          <w:szCs w:val="24"/>
        </w:rPr>
        <w:t xml:space="preserve"> </w:t>
      </w:r>
      <w:proofErr w:type="spellStart"/>
      <w:r w:rsidR="007E1E7C">
        <w:rPr>
          <w:rFonts w:cs="Times New Roman"/>
          <w:szCs w:val="24"/>
        </w:rPr>
        <w:t>Kuersten</w:t>
      </w:r>
      <w:proofErr w:type="spellEnd"/>
      <w:r w:rsidR="007E1E7C">
        <w:rPr>
          <w:rFonts w:cs="Times New Roman"/>
          <w:szCs w:val="24"/>
        </w:rPr>
        <w:t xml:space="preserve">, and Erin </w:t>
      </w:r>
      <w:proofErr w:type="spellStart"/>
      <w:r w:rsidR="007E1E7C">
        <w:rPr>
          <w:rFonts w:cs="Times New Roman"/>
          <w:szCs w:val="24"/>
        </w:rPr>
        <w:t>Kaheny</w:t>
      </w:r>
      <w:proofErr w:type="spellEnd"/>
      <w:r w:rsidRPr="0027400A">
        <w:rPr>
          <w:rFonts w:cs="Times New Roman"/>
          <w:szCs w:val="24"/>
        </w:rPr>
        <w:t>.</w:t>
      </w:r>
      <w:proofErr w:type="gramEnd"/>
      <w:r w:rsidRPr="0027400A">
        <w:rPr>
          <w:rFonts w:cs="Times New Roman"/>
          <w:szCs w:val="24"/>
        </w:rPr>
        <w:t xml:space="preserve"> 2000. “Why </w:t>
      </w:r>
      <w:proofErr w:type="spellStart"/>
      <w:r w:rsidRPr="0027400A">
        <w:rPr>
          <w:rFonts w:cs="Times New Roman"/>
          <w:szCs w:val="24"/>
        </w:rPr>
        <w:t>the</w:t>
      </w:r>
      <w:proofErr w:type="spellEnd"/>
      <w:r w:rsidRPr="0027400A">
        <w:rPr>
          <w:rFonts w:cs="Times New Roman"/>
          <w:szCs w:val="24"/>
        </w:rPr>
        <w:t xml:space="preserve"> Have Don’t Always Come Out Ahead:  Repeat Players Meet Amici Curiae for the Disadvantaged.”</w:t>
      </w:r>
      <w:r w:rsidRPr="0027400A">
        <w:rPr>
          <w:rFonts w:cs="Times New Roman"/>
          <w:i/>
          <w:szCs w:val="24"/>
        </w:rPr>
        <w:t xml:space="preserve"> </w:t>
      </w:r>
      <w:r w:rsidRPr="0027400A">
        <w:rPr>
          <w:rFonts w:cs="Times New Roman"/>
          <w:szCs w:val="24"/>
        </w:rPr>
        <w:t xml:space="preserve"> </w:t>
      </w:r>
      <w:r w:rsidRPr="0027400A">
        <w:rPr>
          <w:rFonts w:cs="Times New Roman"/>
          <w:i/>
          <w:szCs w:val="24"/>
        </w:rPr>
        <w:t>Political Research Quarterly</w:t>
      </w:r>
      <w:r w:rsidRPr="0027400A">
        <w:rPr>
          <w:rFonts w:cs="Times New Roman"/>
          <w:szCs w:val="24"/>
        </w:rPr>
        <w:t xml:space="preserve"> 53(3): 537-556.</w:t>
      </w:r>
    </w:p>
    <w:p w:rsidR="000E3C4B" w:rsidRPr="0027400A" w:rsidRDefault="000E3C4B" w:rsidP="000E3C4B">
      <w:pPr>
        <w:ind w:hanging="720"/>
        <w:rPr>
          <w:rFonts w:cs="Times New Roman"/>
          <w:szCs w:val="24"/>
        </w:rPr>
      </w:pPr>
    </w:p>
    <w:p w:rsidR="000E3C4B" w:rsidRPr="0027400A" w:rsidRDefault="007E1E7C" w:rsidP="000E3C4B">
      <w:pPr>
        <w:ind w:hanging="720"/>
        <w:rPr>
          <w:rFonts w:cs="Times New Roman"/>
          <w:szCs w:val="24"/>
        </w:rPr>
      </w:pPr>
      <w:proofErr w:type="spellStart"/>
      <w:proofErr w:type="gramStart"/>
      <w:r>
        <w:rPr>
          <w:rFonts w:cs="Times New Roman"/>
          <w:szCs w:val="24"/>
        </w:rPr>
        <w:lastRenderedPageBreak/>
        <w:t>Songer</w:t>
      </w:r>
      <w:proofErr w:type="spellEnd"/>
      <w:r>
        <w:rPr>
          <w:rFonts w:cs="Times New Roman"/>
          <w:szCs w:val="24"/>
        </w:rPr>
        <w:t xml:space="preserve">, Donald R., and </w:t>
      </w:r>
      <w:r w:rsidR="000E3C4B" w:rsidRPr="0027400A">
        <w:rPr>
          <w:rFonts w:cs="Times New Roman"/>
          <w:szCs w:val="24"/>
        </w:rPr>
        <w:t>Reginald S.</w:t>
      </w:r>
      <w:r>
        <w:rPr>
          <w:rFonts w:cs="Times New Roman"/>
          <w:szCs w:val="24"/>
        </w:rPr>
        <w:t xml:space="preserve"> Sheehan.</w:t>
      </w:r>
      <w:proofErr w:type="gramEnd"/>
      <w:r w:rsidR="000E3C4B" w:rsidRPr="0027400A">
        <w:rPr>
          <w:rFonts w:cs="Times New Roman"/>
          <w:szCs w:val="24"/>
        </w:rPr>
        <w:t xml:space="preserve"> 1993. “Interest Group Success in the Courts:  Amicus Participation in the Supreme Court.” </w:t>
      </w:r>
      <w:r w:rsidR="000E3C4B" w:rsidRPr="0027400A">
        <w:rPr>
          <w:rFonts w:cs="Times New Roman"/>
          <w:i/>
          <w:szCs w:val="24"/>
        </w:rPr>
        <w:t>Political Research Quarterly</w:t>
      </w:r>
      <w:r w:rsidR="000E3C4B" w:rsidRPr="0027400A">
        <w:rPr>
          <w:rFonts w:cs="Times New Roman"/>
          <w:szCs w:val="24"/>
        </w:rPr>
        <w:t xml:space="preserve"> 46(2): 339-354.</w:t>
      </w:r>
    </w:p>
    <w:p w:rsidR="000E3C4B" w:rsidRPr="0027400A" w:rsidRDefault="000E3C4B" w:rsidP="000E3C4B">
      <w:pPr>
        <w:ind w:hanging="720"/>
        <w:rPr>
          <w:rFonts w:cs="Times New Roman"/>
          <w:szCs w:val="24"/>
        </w:rPr>
      </w:pPr>
    </w:p>
    <w:p w:rsidR="000E3C4B" w:rsidRPr="0027400A" w:rsidRDefault="000E3C4B" w:rsidP="000E3C4B">
      <w:pPr>
        <w:ind w:hanging="720"/>
        <w:rPr>
          <w:rFonts w:eastAsia="Times New Roman" w:cs="Times New Roman"/>
          <w:szCs w:val="24"/>
        </w:rPr>
      </w:pPr>
      <w:proofErr w:type="spellStart"/>
      <w:proofErr w:type="gramStart"/>
      <w:r w:rsidRPr="0027400A">
        <w:rPr>
          <w:rFonts w:eastAsia="Times New Roman" w:cs="Times New Roman"/>
          <w:szCs w:val="24"/>
        </w:rPr>
        <w:t>Songer</w:t>
      </w:r>
      <w:proofErr w:type="spellEnd"/>
      <w:r w:rsidRPr="0027400A">
        <w:rPr>
          <w:rFonts w:eastAsia="Times New Roman" w:cs="Times New Roman"/>
          <w:szCs w:val="24"/>
        </w:rPr>
        <w:t xml:space="preserve">, Donald R., </w:t>
      </w:r>
      <w:r w:rsidR="000D6839" w:rsidRPr="0027400A">
        <w:rPr>
          <w:rFonts w:eastAsia="Times New Roman" w:cs="Times New Roman"/>
          <w:szCs w:val="24"/>
        </w:rPr>
        <w:t>and</w:t>
      </w:r>
      <w:r w:rsidRPr="0027400A">
        <w:rPr>
          <w:rFonts w:eastAsia="Times New Roman" w:cs="Times New Roman"/>
          <w:szCs w:val="24"/>
        </w:rPr>
        <w:t xml:space="preserve"> Susan J.</w:t>
      </w:r>
      <w:r w:rsidR="007E1E7C">
        <w:rPr>
          <w:rFonts w:eastAsia="Times New Roman" w:cs="Times New Roman"/>
          <w:szCs w:val="24"/>
        </w:rPr>
        <w:t xml:space="preserve"> </w:t>
      </w:r>
      <w:proofErr w:type="spellStart"/>
      <w:r w:rsidR="007E1E7C">
        <w:rPr>
          <w:rFonts w:eastAsia="Times New Roman" w:cs="Times New Roman"/>
          <w:szCs w:val="24"/>
        </w:rPr>
        <w:t>Tabrizi</w:t>
      </w:r>
      <w:proofErr w:type="spellEnd"/>
      <w:r w:rsidR="007E1E7C">
        <w:rPr>
          <w:rFonts w:eastAsia="Times New Roman" w:cs="Times New Roman"/>
          <w:szCs w:val="24"/>
        </w:rPr>
        <w:t>.</w:t>
      </w:r>
      <w:proofErr w:type="gramEnd"/>
      <w:r w:rsidR="007E1E7C">
        <w:rPr>
          <w:rFonts w:eastAsia="Times New Roman" w:cs="Times New Roman"/>
          <w:szCs w:val="24"/>
        </w:rPr>
        <w:t xml:space="preserve"> 1999</w:t>
      </w:r>
      <w:r w:rsidRPr="0027400A">
        <w:rPr>
          <w:rFonts w:eastAsia="Times New Roman" w:cs="Times New Roman"/>
          <w:szCs w:val="24"/>
        </w:rPr>
        <w:t xml:space="preserve">. “The religious right in court: The decision making of Christian evangelicals in state supreme courts.” </w:t>
      </w:r>
      <w:r w:rsidRPr="0027400A">
        <w:rPr>
          <w:rFonts w:eastAsia="Times New Roman" w:cs="Times New Roman"/>
          <w:i/>
          <w:iCs/>
          <w:szCs w:val="24"/>
        </w:rPr>
        <w:t>The Journal of Politics</w:t>
      </w:r>
      <w:r w:rsidRPr="0027400A">
        <w:rPr>
          <w:rFonts w:eastAsia="Times New Roman" w:cs="Times New Roman"/>
          <w:szCs w:val="24"/>
        </w:rPr>
        <w:t xml:space="preserve"> </w:t>
      </w:r>
      <w:r w:rsidRPr="0027400A">
        <w:rPr>
          <w:rFonts w:eastAsia="Times New Roman" w:cs="Times New Roman"/>
          <w:iCs/>
          <w:szCs w:val="24"/>
        </w:rPr>
        <w:t>61</w:t>
      </w:r>
      <w:r w:rsidR="007E1E7C">
        <w:rPr>
          <w:rFonts w:eastAsia="Times New Roman" w:cs="Times New Roman"/>
          <w:szCs w:val="24"/>
        </w:rPr>
        <w:t xml:space="preserve">(02): </w:t>
      </w:r>
      <w:r w:rsidRPr="0027400A">
        <w:rPr>
          <w:rFonts w:eastAsia="Times New Roman" w:cs="Times New Roman"/>
          <w:szCs w:val="24"/>
        </w:rPr>
        <w:t>507-526.</w:t>
      </w:r>
    </w:p>
    <w:p w:rsidR="000E3C4B" w:rsidRPr="0027400A" w:rsidRDefault="000E3C4B" w:rsidP="000E3C4B">
      <w:pPr>
        <w:ind w:left="0" w:firstLine="0"/>
        <w:rPr>
          <w:rFonts w:cs="Times New Roman"/>
          <w:bCs/>
          <w:szCs w:val="24"/>
        </w:rPr>
      </w:pPr>
    </w:p>
    <w:p w:rsidR="000E3C4B" w:rsidRPr="0027400A" w:rsidRDefault="000E3C4B" w:rsidP="000E3C4B">
      <w:pPr>
        <w:ind w:hanging="720"/>
        <w:rPr>
          <w:rFonts w:cs="Times New Roman"/>
          <w:szCs w:val="24"/>
        </w:rPr>
      </w:pPr>
      <w:proofErr w:type="spellStart"/>
      <w:proofErr w:type="gramStart"/>
      <w:r w:rsidRPr="0027400A">
        <w:rPr>
          <w:rFonts w:cs="Times New Roman"/>
          <w:szCs w:val="24"/>
        </w:rPr>
        <w:t>S</w:t>
      </w:r>
      <w:r w:rsidR="007E1E7C">
        <w:rPr>
          <w:rFonts w:cs="Times New Roman"/>
          <w:szCs w:val="24"/>
        </w:rPr>
        <w:t>priggs</w:t>
      </w:r>
      <w:proofErr w:type="spellEnd"/>
      <w:r w:rsidR="007E1E7C">
        <w:rPr>
          <w:rFonts w:cs="Times New Roman"/>
          <w:szCs w:val="24"/>
        </w:rPr>
        <w:t xml:space="preserve">, James F., and </w:t>
      </w:r>
      <w:r w:rsidRPr="0027400A">
        <w:rPr>
          <w:rFonts w:cs="Times New Roman"/>
          <w:szCs w:val="24"/>
        </w:rPr>
        <w:t>Paul J.</w:t>
      </w:r>
      <w:r w:rsidR="007E1E7C">
        <w:rPr>
          <w:rFonts w:cs="Times New Roman"/>
          <w:szCs w:val="24"/>
        </w:rPr>
        <w:t xml:space="preserve"> </w:t>
      </w:r>
      <w:proofErr w:type="spellStart"/>
      <w:r w:rsidR="007E1E7C">
        <w:rPr>
          <w:rFonts w:cs="Times New Roman"/>
          <w:szCs w:val="24"/>
        </w:rPr>
        <w:t>Wahlbeck</w:t>
      </w:r>
      <w:proofErr w:type="spellEnd"/>
      <w:r w:rsidR="007E1E7C">
        <w:rPr>
          <w:rFonts w:cs="Times New Roman"/>
          <w:szCs w:val="24"/>
        </w:rPr>
        <w:t>.</w:t>
      </w:r>
      <w:proofErr w:type="gramEnd"/>
      <w:r w:rsidRPr="0027400A">
        <w:rPr>
          <w:rFonts w:cs="Times New Roman"/>
          <w:szCs w:val="24"/>
        </w:rPr>
        <w:t xml:space="preserve"> 1997. “Amicus Curiae and the Role of Information at the Supreme Court.”  </w:t>
      </w:r>
      <w:r w:rsidRPr="0027400A">
        <w:rPr>
          <w:rFonts w:cs="Times New Roman"/>
          <w:i/>
          <w:szCs w:val="24"/>
        </w:rPr>
        <w:t>Political Research Quarterly</w:t>
      </w:r>
      <w:r w:rsidRPr="0027400A">
        <w:rPr>
          <w:rFonts w:cs="Times New Roman"/>
          <w:szCs w:val="24"/>
        </w:rPr>
        <w:t xml:space="preserve"> 50(2)</w:t>
      </w:r>
      <w:r w:rsidR="007E1E7C">
        <w:rPr>
          <w:rFonts w:cs="Times New Roman"/>
          <w:szCs w:val="24"/>
        </w:rPr>
        <w:t>:</w:t>
      </w:r>
      <w:r w:rsidRPr="0027400A">
        <w:rPr>
          <w:rFonts w:cs="Times New Roman"/>
          <w:szCs w:val="24"/>
        </w:rPr>
        <w:t xml:space="preserve"> 365-386.</w:t>
      </w:r>
    </w:p>
    <w:p w:rsidR="000E3C4B" w:rsidRPr="0027400A" w:rsidRDefault="000E3C4B" w:rsidP="000E3C4B">
      <w:pPr>
        <w:ind w:hanging="720"/>
        <w:rPr>
          <w:rFonts w:cs="Times New Roman"/>
          <w:szCs w:val="24"/>
        </w:rPr>
      </w:pPr>
    </w:p>
    <w:p w:rsidR="003F458D" w:rsidRPr="003F458D" w:rsidRDefault="003F458D" w:rsidP="003F458D">
      <w:pPr>
        <w:ind w:hanging="720"/>
        <w:rPr>
          <w:rFonts w:eastAsia="Times New Roman" w:cs="Times New Roman"/>
          <w:szCs w:val="24"/>
        </w:rPr>
      </w:pPr>
      <w:proofErr w:type="spellStart"/>
      <w:proofErr w:type="gramStart"/>
      <w:r w:rsidRPr="003F458D">
        <w:rPr>
          <w:rFonts w:eastAsia="Times New Roman" w:cs="Times New Roman"/>
          <w:szCs w:val="24"/>
        </w:rPr>
        <w:t>Spriggs</w:t>
      </w:r>
      <w:proofErr w:type="spellEnd"/>
      <w:r w:rsidRPr="003F458D">
        <w:rPr>
          <w:rFonts w:eastAsia="Times New Roman" w:cs="Times New Roman"/>
          <w:szCs w:val="24"/>
        </w:rPr>
        <w:t xml:space="preserve">, James F., Forrest </w:t>
      </w:r>
      <w:proofErr w:type="spellStart"/>
      <w:r w:rsidRPr="003F458D">
        <w:rPr>
          <w:rFonts w:eastAsia="Times New Roman" w:cs="Times New Roman"/>
          <w:szCs w:val="24"/>
        </w:rPr>
        <w:t>Maltzman</w:t>
      </w:r>
      <w:proofErr w:type="spellEnd"/>
      <w:r w:rsidRPr="003F458D">
        <w:rPr>
          <w:rFonts w:eastAsia="Times New Roman" w:cs="Times New Roman"/>
          <w:szCs w:val="24"/>
        </w:rPr>
        <w:t xml:space="preserve">, and Paul J. </w:t>
      </w:r>
      <w:proofErr w:type="spellStart"/>
      <w:r w:rsidRPr="003F458D">
        <w:rPr>
          <w:rFonts w:eastAsia="Times New Roman" w:cs="Times New Roman"/>
          <w:szCs w:val="24"/>
        </w:rPr>
        <w:t>Wahlbeck</w:t>
      </w:r>
      <w:proofErr w:type="spellEnd"/>
      <w:r w:rsidRPr="003F458D">
        <w:rPr>
          <w:rFonts w:eastAsia="Times New Roman" w:cs="Times New Roman"/>
          <w:szCs w:val="24"/>
        </w:rPr>
        <w:t>.</w:t>
      </w:r>
      <w:proofErr w:type="gramEnd"/>
      <w:r w:rsidRPr="0027400A">
        <w:rPr>
          <w:rFonts w:eastAsia="Times New Roman" w:cs="Times New Roman"/>
          <w:szCs w:val="24"/>
        </w:rPr>
        <w:t xml:space="preserve"> 1999.</w:t>
      </w:r>
      <w:r w:rsidRPr="003F458D">
        <w:rPr>
          <w:rFonts w:eastAsia="Times New Roman" w:cs="Times New Roman"/>
          <w:szCs w:val="24"/>
        </w:rPr>
        <w:t xml:space="preserve"> "Bargaining on the US Supreme Court: Justices' responses to majority opinion drafts." </w:t>
      </w:r>
      <w:r w:rsidRPr="003F458D">
        <w:rPr>
          <w:rFonts w:eastAsia="Times New Roman" w:cs="Times New Roman"/>
          <w:i/>
          <w:iCs/>
          <w:szCs w:val="24"/>
        </w:rPr>
        <w:t>Journal of Politics</w:t>
      </w:r>
      <w:r w:rsidR="0081056E">
        <w:rPr>
          <w:rFonts w:eastAsia="Times New Roman" w:cs="Times New Roman"/>
          <w:szCs w:val="24"/>
        </w:rPr>
        <w:t xml:space="preserve"> 61</w:t>
      </w:r>
      <w:r w:rsidRPr="003F458D">
        <w:rPr>
          <w:rFonts w:eastAsia="Times New Roman" w:cs="Times New Roman"/>
          <w:szCs w:val="24"/>
        </w:rPr>
        <w:t>: 485-506.</w:t>
      </w:r>
    </w:p>
    <w:p w:rsidR="000E3C4B" w:rsidRPr="0027400A" w:rsidRDefault="000E3C4B" w:rsidP="000E3C4B">
      <w:pPr>
        <w:ind w:hanging="720"/>
        <w:rPr>
          <w:rFonts w:cs="Times New Roman"/>
          <w:szCs w:val="24"/>
        </w:rPr>
      </w:pPr>
    </w:p>
    <w:p w:rsidR="000E3C4B" w:rsidRPr="0027400A" w:rsidRDefault="000E3C4B" w:rsidP="000E3C4B">
      <w:pPr>
        <w:ind w:hanging="720"/>
        <w:rPr>
          <w:rFonts w:eastAsia="Times New Roman" w:cs="Times New Roman"/>
          <w:szCs w:val="24"/>
        </w:rPr>
      </w:pPr>
      <w:proofErr w:type="gramStart"/>
      <w:r w:rsidRPr="0027400A">
        <w:rPr>
          <w:rFonts w:eastAsia="Times New Roman" w:cs="Times New Roman"/>
          <w:szCs w:val="24"/>
        </w:rPr>
        <w:t xml:space="preserve">Stimson, James A., Michael B. </w:t>
      </w:r>
      <w:proofErr w:type="spellStart"/>
      <w:r w:rsidRPr="0027400A">
        <w:rPr>
          <w:rFonts w:eastAsia="Times New Roman" w:cs="Times New Roman"/>
          <w:szCs w:val="24"/>
        </w:rPr>
        <w:t>MacKuen</w:t>
      </w:r>
      <w:proofErr w:type="spellEnd"/>
      <w:r w:rsidRPr="0027400A">
        <w:rPr>
          <w:rFonts w:eastAsia="Times New Roman" w:cs="Times New Roman"/>
          <w:szCs w:val="24"/>
        </w:rPr>
        <w:t>, and Robert S. Erikson.</w:t>
      </w:r>
      <w:proofErr w:type="gramEnd"/>
      <w:r w:rsidRPr="0027400A">
        <w:rPr>
          <w:rFonts w:eastAsia="Times New Roman" w:cs="Times New Roman"/>
          <w:szCs w:val="24"/>
        </w:rPr>
        <w:t xml:space="preserve"> 1995. "Dynamic Representation." </w:t>
      </w:r>
      <w:r w:rsidRPr="0027400A">
        <w:rPr>
          <w:rFonts w:eastAsia="Times New Roman" w:cs="Times New Roman"/>
          <w:i/>
          <w:iCs/>
          <w:szCs w:val="24"/>
        </w:rPr>
        <w:t>American Political Science Review</w:t>
      </w:r>
      <w:r w:rsidR="0081056E">
        <w:rPr>
          <w:rFonts w:eastAsia="Times New Roman" w:cs="Times New Roman"/>
          <w:szCs w:val="24"/>
        </w:rPr>
        <w:t xml:space="preserve">: </w:t>
      </w:r>
      <w:r w:rsidRPr="0027400A">
        <w:rPr>
          <w:rFonts w:eastAsia="Times New Roman" w:cs="Times New Roman"/>
          <w:szCs w:val="24"/>
        </w:rPr>
        <w:t>543-565.</w:t>
      </w:r>
    </w:p>
    <w:p w:rsidR="000E3C4B" w:rsidRPr="0027400A" w:rsidRDefault="000E3C4B" w:rsidP="000E3C4B">
      <w:pPr>
        <w:ind w:hanging="720"/>
        <w:rPr>
          <w:rFonts w:eastAsia="Times New Roman" w:cs="Times New Roman"/>
          <w:szCs w:val="24"/>
        </w:rPr>
      </w:pPr>
    </w:p>
    <w:p w:rsidR="000E3C4B" w:rsidRDefault="000E3C4B" w:rsidP="000E3C4B">
      <w:pPr>
        <w:ind w:hanging="720"/>
        <w:rPr>
          <w:rFonts w:eastAsia="Times New Roman" w:cs="Times New Roman"/>
          <w:i/>
          <w:szCs w:val="24"/>
        </w:rPr>
      </w:pPr>
      <w:proofErr w:type="spellStart"/>
      <w:r w:rsidRPr="0027400A">
        <w:rPr>
          <w:rFonts w:eastAsia="Times New Roman" w:cs="Times New Roman"/>
          <w:szCs w:val="24"/>
        </w:rPr>
        <w:t>Sungaila</w:t>
      </w:r>
      <w:proofErr w:type="spellEnd"/>
      <w:r w:rsidRPr="0027400A">
        <w:rPr>
          <w:rFonts w:eastAsia="Times New Roman" w:cs="Times New Roman"/>
          <w:szCs w:val="24"/>
        </w:rPr>
        <w:t xml:space="preserve">, M.C. March 2010. “A Friend in Need is a Friend Indeed: The Increased Prevalence and Influence of Amicus Briefs.”  </w:t>
      </w:r>
      <w:proofErr w:type="gramStart"/>
      <w:r w:rsidRPr="0027400A">
        <w:rPr>
          <w:rFonts w:eastAsia="Times New Roman" w:cs="Times New Roman"/>
          <w:i/>
          <w:szCs w:val="24"/>
        </w:rPr>
        <w:t xml:space="preserve">International Association </w:t>
      </w:r>
      <w:r w:rsidR="0081056E">
        <w:rPr>
          <w:rFonts w:eastAsia="Times New Roman" w:cs="Times New Roman"/>
          <w:i/>
          <w:szCs w:val="24"/>
        </w:rPr>
        <w:t>of Defense Counsel,</w:t>
      </w:r>
      <w:r w:rsidRPr="0027400A">
        <w:rPr>
          <w:rFonts w:eastAsia="Times New Roman" w:cs="Times New Roman"/>
          <w:i/>
          <w:szCs w:val="24"/>
        </w:rPr>
        <w:t xml:space="preserve"> Appellate Practice Newsletter.</w:t>
      </w:r>
      <w:proofErr w:type="gramEnd"/>
    </w:p>
    <w:p w:rsidR="006A782D" w:rsidRDefault="006A782D" w:rsidP="000E3C4B">
      <w:pPr>
        <w:ind w:hanging="720"/>
        <w:rPr>
          <w:rFonts w:eastAsia="Times New Roman" w:cs="Times New Roman"/>
          <w:i/>
          <w:szCs w:val="24"/>
        </w:rPr>
      </w:pPr>
    </w:p>
    <w:p w:rsidR="006A782D" w:rsidRPr="006A782D" w:rsidRDefault="006A782D" w:rsidP="006A782D">
      <w:pPr>
        <w:ind w:left="0" w:firstLine="0"/>
        <w:rPr>
          <w:rFonts w:eastAsia="Times New Roman" w:cs="Times New Roman"/>
          <w:szCs w:val="24"/>
        </w:rPr>
      </w:pPr>
      <w:proofErr w:type="spellStart"/>
      <w:r>
        <w:rPr>
          <w:rFonts w:eastAsia="Times New Roman" w:cs="Times New Roman"/>
          <w:szCs w:val="24"/>
        </w:rPr>
        <w:t>Sunstein</w:t>
      </w:r>
      <w:proofErr w:type="spellEnd"/>
      <w:r>
        <w:rPr>
          <w:rFonts w:eastAsia="Times New Roman" w:cs="Times New Roman"/>
          <w:szCs w:val="24"/>
        </w:rPr>
        <w:t>, Cass R. 2003.</w:t>
      </w:r>
      <w:r w:rsidRPr="006A782D">
        <w:rPr>
          <w:rFonts w:eastAsia="Times New Roman" w:cs="Times New Roman"/>
          <w:szCs w:val="24"/>
        </w:rPr>
        <w:t xml:space="preserve"> </w:t>
      </w:r>
      <w:r>
        <w:rPr>
          <w:rFonts w:eastAsia="Times New Roman" w:cs="Times New Roman"/>
          <w:i/>
          <w:iCs/>
          <w:szCs w:val="24"/>
        </w:rPr>
        <w:t>Why Societies Need D</w:t>
      </w:r>
      <w:r w:rsidRPr="006A782D">
        <w:rPr>
          <w:rFonts w:eastAsia="Times New Roman" w:cs="Times New Roman"/>
          <w:i/>
          <w:iCs/>
          <w:szCs w:val="24"/>
        </w:rPr>
        <w:t>issent</w:t>
      </w:r>
      <w:r w:rsidRPr="006A782D">
        <w:rPr>
          <w:rFonts w:eastAsia="Times New Roman" w:cs="Times New Roman"/>
          <w:szCs w:val="24"/>
        </w:rPr>
        <w:t xml:space="preserve">. </w:t>
      </w:r>
      <w:proofErr w:type="gramStart"/>
      <w:r w:rsidRPr="006A782D">
        <w:rPr>
          <w:rFonts w:eastAsia="Times New Roman" w:cs="Times New Roman"/>
          <w:szCs w:val="24"/>
        </w:rPr>
        <w:t>Harvard University Press.</w:t>
      </w:r>
      <w:proofErr w:type="gramEnd"/>
    </w:p>
    <w:p w:rsidR="00327DFA" w:rsidRPr="0027400A" w:rsidRDefault="00327DFA" w:rsidP="006A782D">
      <w:pPr>
        <w:ind w:left="0" w:firstLine="0"/>
        <w:rPr>
          <w:rFonts w:eastAsia="Times New Roman" w:cs="Times New Roman"/>
          <w:i/>
          <w:szCs w:val="24"/>
        </w:rPr>
      </w:pPr>
    </w:p>
    <w:p w:rsidR="00C816D4" w:rsidRDefault="00327DFA" w:rsidP="000E3C4B">
      <w:pPr>
        <w:ind w:hanging="720"/>
      </w:pPr>
      <w:r w:rsidRPr="00C816D4">
        <w:rPr>
          <w:rFonts w:eastAsia="Times New Roman" w:cs="Times New Roman"/>
          <w:szCs w:val="24"/>
        </w:rPr>
        <w:t xml:space="preserve">Starr, Kenneth. </w:t>
      </w:r>
      <w:r w:rsidR="00C816D4">
        <w:rPr>
          <w:rFonts w:eastAsia="Times New Roman" w:cs="Times New Roman"/>
          <w:szCs w:val="24"/>
        </w:rPr>
        <w:t xml:space="preserve">March 18, </w:t>
      </w:r>
      <w:r w:rsidRPr="00C816D4">
        <w:rPr>
          <w:rFonts w:eastAsia="Times New Roman" w:cs="Times New Roman"/>
          <w:szCs w:val="24"/>
        </w:rPr>
        <w:t>2011.</w:t>
      </w:r>
      <w:r w:rsidR="00C816D4" w:rsidRPr="00C816D4">
        <w:rPr>
          <w:bCs/>
        </w:rPr>
        <w:t xml:space="preserve"> </w:t>
      </w:r>
      <w:r w:rsidR="00C816D4" w:rsidRPr="00C816D4">
        <w:t xml:space="preserve">Address at the </w:t>
      </w:r>
      <w:r w:rsidR="00C816D4" w:rsidRPr="00C816D4">
        <w:rPr>
          <w:bCs/>
        </w:rPr>
        <w:t>Pepperdine</w:t>
      </w:r>
      <w:r w:rsidR="00C816D4" w:rsidRPr="00C816D4">
        <w:t xml:space="preserve"> Judicial Law Clerk </w:t>
      </w:r>
      <w:r w:rsidR="00C816D4" w:rsidRPr="00C816D4">
        <w:rPr>
          <w:bCs/>
        </w:rPr>
        <w:t>Institute</w:t>
      </w:r>
      <w:r w:rsidR="00C816D4">
        <w:t>.</w:t>
      </w:r>
    </w:p>
    <w:p w:rsidR="00C816D4" w:rsidRPr="00C816D4" w:rsidRDefault="00C816D4" w:rsidP="000E3C4B">
      <w:pPr>
        <w:ind w:hanging="720"/>
        <w:rPr>
          <w:rFonts w:eastAsia="Times New Roman" w:cs="Times New Roman"/>
          <w:i/>
          <w:szCs w:val="24"/>
        </w:rPr>
      </w:pPr>
    </w:p>
    <w:p w:rsidR="00C66265" w:rsidRDefault="00C66265" w:rsidP="000E3C4B">
      <w:pPr>
        <w:ind w:hanging="720"/>
        <w:rPr>
          <w:rFonts w:eastAsia="Times New Roman" w:cs="Times New Roman"/>
          <w:szCs w:val="24"/>
        </w:rPr>
      </w:pPr>
      <w:proofErr w:type="gramStart"/>
      <w:r>
        <w:rPr>
          <w:rFonts w:eastAsia="Times New Roman" w:cs="Times New Roman"/>
          <w:i/>
          <w:szCs w:val="24"/>
        </w:rPr>
        <w:t>Time Magazine.</w:t>
      </w:r>
      <w:proofErr w:type="gramEnd"/>
      <w:r>
        <w:rPr>
          <w:rFonts w:eastAsia="Times New Roman" w:cs="Times New Roman"/>
          <w:szCs w:val="24"/>
        </w:rPr>
        <w:t xml:space="preserve"> June 18, 2012. </w:t>
      </w:r>
      <w:proofErr w:type="gramStart"/>
      <w:r>
        <w:rPr>
          <w:rFonts w:eastAsia="Times New Roman" w:cs="Times New Roman"/>
          <w:szCs w:val="24"/>
        </w:rPr>
        <w:t>“The Decider.”</w:t>
      </w:r>
      <w:proofErr w:type="gramEnd"/>
      <w:r>
        <w:rPr>
          <w:rFonts w:eastAsia="Times New Roman" w:cs="Times New Roman"/>
          <w:szCs w:val="24"/>
        </w:rPr>
        <w:t xml:space="preserve"> </w:t>
      </w:r>
      <w:proofErr w:type="gramStart"/>
      <w:r>
        <w:rPr>
          <w:rFonts w:eastAsia="Times New Roman" w:cs="Times New Roman"/>
          <w:szCs w:val="24"/>
        </w:rPr>
        <w:t xml:space="preserve">Accessed at </w:t>
      </w:r>
      <w:hyperlink r:id="rId50" w:history="1">
        <w:r w:rsidRPr="004941DB">
          <w:rPr>
            <w:rStyle w:val="Hyperlink"/>
            <w:rFonts w:eastAsia="Times New Roman" w:cs="Times New Roman"/>
            <w:szCs w:val="24"/>
          </w:rPr>
          <w:t>http://content.time.com/time/covers/0,16641,20120618,00.html</w:t>
        </w:r>
      </w:hyperlink>
      <w:r>
        <w:rPr>
          <w:rFonts w:eastAsia="Times New Roman" w:cs="Times New Roman"/>
          <w:szCs w:val="24"/>
        </w:rPr>
        <w:t>.</w:t>
      </w:r>
      <w:proofErr w:type="gramEnd"/>
    </w:p>
    <w:p w:rsidR="00C66265" w:rsidRPr="00C66265" w:rsidRDefault="00C66265" w:rsidP="000E3C4B">
      <w:pPr>
        <w:ind w:hanging="720"/>
        <w:rPr>
          <w:rFonts w:eastAsia="Times New Roman" w:cs="Times New Roman"/>
          <w:szCs w:val="24"/>
        </w:rPr>
      </w:pPr>
    </w:p>
    <w:p w:rsidR="00781BBE" w:rsidRPr="0027400A" w:rsidRDefault="00781BBE" w:rsidP="000E3C4B">
      <w:pPr>
        <w:ind w:hanging="720"/>
        <w:rPr>
          <w:rFonts w:eastAsia="Times New Roman" w:cs="Times New Roman"/>
          <w:szCs w:val="24"/>
        </w:rPr>
      </w:pPr>
      <w:proofErr w:type="spellStart"/>
      <w:r w:rsidRPr="0027400A">
        <w:rPr>
          <w:rFonts w:eastAsia="Times New Roman" w:cs="Times New Roman"/>
          <w:szCs w:val="24"/>
        </w:rPr>
        <w:t>Toobin</w:t>
      </w:r>
      <w:proofErr w:type="spellEnd"/>
      <w:r w:rsidRPr="0027400A">
        <w:rPr>
          <w:rFonts w:eastAsia="Times New Roman" w:cs="Times New Roman"/>
          <w:szCs w:val="24"/>
        </w:rPr>
        <w:t xml:space="preserve">, Jeffrey. May 25, 2009. “No More Mr. Nice Guy: The Supreme Court’s Stealth Hard-Liner.” </w:t>
      </w:r>
      <w:proofErr w:type="gramStart"/>
      <w:r w:rsidRPr="0027400A">
        <w:rPr>
          <w:rFonts w:eastAsia="Times New Roman" w:cs="Times New Roman"/>
          <w:i/>
          <w:szCs w:val="24"/>
        </w:rPr>
        <w:t>The New Yorker</w:t>
      </w:r>
      <w:r w:rsidRPr="0027400A">
        <w:rPr>
          <w:rFonts w:eastAsia="Times New Roman" w:cs="Times New Roman"/>
          <w:szCs w:val="24"/>
        </w:rPr>
        <w:t>.</w:t>
      </w:r>
      <w:proofErr w:type="gramEnd"/>
      <w:r w:rsidRPr="0027400A">
        <w:rPr>
          <w:rFonts w:eastAsia="Times New Roman" w:cs="Times New Roman"/>
          <w:szCs w:val="24"/>
        </w:rPr>
        <w:t xml:space="preserve"> </w:t>
      </w:r>
      <w:proofErr w:type="gramStart"/>
      <w:r w:rsidRPr="0027400A">
        <w:rPr>
          <w:rFonts w:eastAsia="Times New Roman" w:cs="Times New Roman"/>
          <w:szCs w:val="24"/>
        </w:rPr>
        <w:t xml:space="preserve">Accessed at </w:t>
      </w:r>
      <w:hyperlink r:id="rId51" w:history="1">
        <w:r w:rsidRPr="0027400A">
          <w:rPr>
            <w:rStyle w:val="Hyperlink"/>
            <w:rFonts w:eastAsia="Times New Roman" w:cs="Times New Roman"/>
            <w:szCs w:val="24"/>
          </w:rPr>
          <w:t>http://www.newyorker.com/reporting/2009/05/25/090525fa_fact_toobin</w:t>
        </w:r>
      </w:hyperlink>
      <w:r w:rsidRPr="0027400A">
        <w:rPr>
          <w:rFonts w:eastAsia="Times New Roman" w:cs="Times New Roman"/>
          <w:szCs w:val="24"/>
        </w:rPr>
        <w:t>.</w:t>
      </w:r>
      <w:proofErr w:type="gramEnd"/>
    </w:p>
    <w:p w:rsidR="000E3C4B" w:rsidRPr="0027400A" w:rsidRDefault="000E3C4B" w:rsidP="000E3C4B">
      <w:pPr>
        <w:ind w:left="0" w:firstLine="0"/>
        <w:rPr>
          <w:rFonts w:cs="Times New Roman"/>
          <w:szCs w:val="24"/>
        </w:rPr>
      </w:pPr>
    </w:p>
    <w:p w:rsidR="000E3C4B" w:rsidRPr="0027400A" w:rsidRDefault="0081056E" w:rsidP="000E3C4B">
      <w:pPr>
        <w:autoSpaceDE w:val="0"/>
        <w:autoSpaceDN w:val="0"/>
        <w:adjustRightInd w:val="0"/>
        <w:ind w:hanging="720"/>
        <w:rPr>
          <w:rFonts w:cs="Times New Roman"/>
          <w:szCs w:val="24"/>
        </w:rPr>
      </w:pPr>
      <w:proofErr w:type="spellStart"/>
      <w:proofErr w:type="gramStart"/>
      <w:r>
        <w:rPr>
          <w:rFonts w:cs="Times New Roman"/>
          <w:szCs w:val="24"/>
        </w:rPr>
        <w:t>Unah</w:t>
      </w:r>
      <w:proofErr w:type="spellEnd"/>
      <w:r>
        <w:rPr>
          <w:rFonts w:cs="Times New Roman"/>
          <w:szCs w:val="24"/>
        </w:rPr>
        <w:t xml:space="preserve">, Isaac, and </w:t>
      </w:r>
      <w:proofErr w:type="spellStart"/>
      <w:r w:rsidR="000E3C4B" w:rsidRPr="0027400A">
        <w:rPr>
          <w:rFonts w:cs="Times New Roman"/>
          <w:szCs w:val="24"/>
        </w:rPr>
        <w:t>Ange</w:t>
      </w:r>
      <w:proofErr w:type="spellEnd"/>
      <w:r w:rsidR="000E3C4B" w:rsidRPr="0027400A">
        <w:rPr>
          <w:rFonts w:cs="Times New Roman"/>
          <w:szCs w:val="24"/>
        </w:rPr>
        <w:t>-Marie</w:t>
      </w:r>
      <w:r>
        <w:rPr>
          <w:rFonts w:cs="Times New Roman"/>
          <w:szCs w:val="24"/>
        </w:rPr>
        <w:t xml:space="preserve"> Hancock</w:t>
      </w:r>
      <w:r w:rsidR="000E3C4B" w:rsidRPr="0027400A">
        <w:rPr>
          <w:rFonts w:cs="Times New Roman"/>
          <w:szCs w:val="24"/>
        </w:rPr>
        <w:t>.</w:t>
      </w:r>
      <w:proofErr w:type="gramEnd"/>
      <w:r w:rsidR="000E3C4B" w:rsidRPr="0027400A">
        <w:rPr>
          <w:rFonts w:cs="Times New Roman"/>
          <w:szCs w:val="24"/>
        </w:rPr>
        <w:t xml:space="preserve"> 2006. “U.S. Supreme Court Decision Making, Case Salience, and the Attitudinal Model.”  </w:t>
      </w:r>
      <w:r w:rsidR="000E3C4B" w:rsidRPr="0027400A">
        <w:rPr>
          <w:rFonts w:cs="Times New Roman"/>
          <w:i/>
          <w:szCs w:val="24"/>
        </w:rPr>
        <w:t>Law and Policy</w:t>
      </w:r>
      <w:r w:rsidR="000E3C4B" w:rsidRPr="0027400A">
        <w:rPr>
          <w:rFonts w:cs="Times New Roman"/>
          <w:szCs w:val="24"/>
        </w:rPr>
        <w:t xml:space="preserve"> 28(3): 295- 320. </w:t>
      </w:r>
    </w:p>
    <w:p w:rsidR="000E3C4B" w:rsidRPr="0027400A" w:rsidRDefault="000E3C4B" w:rsidP="000E3C4B">
      <w:pPr>
        <w:autoSpaceDE w:val="0"/>
        <w:autoSpaceDN w:val="0"/>
        <w:adjustRightInd w:val="0"/>
        <w:ind w:hanging="720"/>
        <w:rPr>
          <w:rFonts w:cs="Times New Roman"/>
          <w:szCs w:val="24"/>
        </w:rPr>
      </w:pPr>
    </w:p>
    <w:p w:rsidR="000E3C4B" w:rsidRPr="0027400A" w:rsidRDefault="000E3C4B" w:rsidP="000E3C4B">
      <w:pPr>
        <w:ind w:hanging="720"/>
        <w:rPr>
          <w:rFonts w:cs="Times New Roman"/>
          <w:szCs w:val="24"/>
        </w:rPr>
      </w:pPr>
      <w:proofErr w:type="spellStart"/>
      <w:proofErr w:type="gramStart"/>
      <w:r w:rsidRPr="0027400A">
        <w:rPr>
          <w:rFonts w:cs="Times New Roman"/>
          <w:szCs w:val="24"/>
        </w:rPr>
        <w:t>Vose</w:t>
      </w:r>
      <w:proofErr w:type="spellEnd"/>
      <w:r w:rsidRPr="0027400A">
        <w:rPr>
          <w:rFonts w:cs="Times New Roman"/>
          <w:szCs w:val="24"/>
        </w:rPr>
        <w:t>, Clement E. 1958.</w:t>
      </w:r>
      <w:proofErr w:type="gramEnd"/>
      <w:r w:rsidRPr="0027400A">
        <w:rPr>
          <w:rFonts w:cs="Times New Roman"/>
          <w:szCs w:val="24"/>
        </w:rPr>
        <w:t xml:space="preserve">  </w:t>
      </w:r>
      <w:proofErr w:type="gramStart"/>
      <w:r w:rsidRPr="0027400A">
        <w:rPr>
          <w:rFonts w:cs="Times New Roman"/>
          <w:szCs w:val="24"/>
        </w:rPr>
        <w:t>“Litigation as a Form of Pressure Group Activity.”</w:t>
      </w:r>
      <w:proofErr w:type="gramEnd"/>
      <w:r w:rsidRPr="0027400A">
        <w:rPr>
          <w:rFonts w:cs="Times New Roman"/>
          <w:szCs w:val="24"/>
        </w:rPr>
        <w:t xml:space="preserve"> </w:t>
      </w:r>
      <w:r w:rsidRPr="0027400A">
        <w:rPr>
          <w:rFonts w:cs="Times New Roman"/>
          <w:i/>
          <w:szCs w:val="24"/>
        </w:rPr>
        <w:t xml:space="preserve">Annals of the American </w:t>
      </w:r>
      <w:proofErr w:type="spellStart"/>
      <w:r w:rsidRPr="0027400A">
        <w:rPr>
          <w:rFonts w:cs="Times New Roman"/>
          <w:i/>
          <w:szCs w:val="24"/>
        </w:rPr>
        <w:t>Academcy</w:t>
      </w:r>
      <w:proofErr w:type="spellEnd"/>
      <w:r w:rsidRPr="0027400A">
        <w:rPr>
          <w:rFonts w:cs="Times New Roman"/>
          <w:i/>
          <w:szCs w:val="24"/>
        </w:rPr>
        <w:t xml:space="preserve"> of Political and Social Science</w:t>
      </w:r>
      <w:r w:rsidRPr="0027400A">
        <w:rPr>
          <w:rFonts w:cs="Times New Roman"/>
          <w:szCs w:val="24"/>
        </w:rPr>
        <w:t xml:space="preserve"> 319: 20-31.</w:t>
      </w:r>
    </w:p>
    <w:p w:rsidR="000E3C4B" w:rsidRPr="0027400A" w:rsidRDefault="000E3C4B" w:rsidP="000E3C4B">
      <w:pPr>
        <w:ind w:hanging="720"/>
        <w:rPr>
          <w:rFonts w:cs="Times New Roman"/>
          <w:szCs w:val="24"/>
        </w:rPr>
      </w:pPr>
    </w:p>
    <w:p w:rsidR="000E3C4B" w:rsidRPr="0027400A" w:rsidRDefault="000E3C4B" w:rsidP="000E3C4B">
      <w:pPr>
        <w:ind w:hanging="720"/>
        <w:rPr>
          <w:rFonts w:cs="Times New Roman"/>
          <w:szCs w:val="24"/>
        </w:rPr>
      </w:pPr>
      <w:proofErr w:type="spellStart"/>
      <w:r w:rsidRPr="0027400A">
        <w:rPr>
          <w:rFonts w:cs="Times New Roman"/>
          <w:szCs w:val="24"/>
        </w:rPr>
        <w:t>Wasby</w:t>
      </w:r>
      <w:proofErr w:type="spellEnd"/>
      <w:r w:rsidRPr="0027400A">
        <w:rPr>
          <w:rFonts w:cs="Times New Roman"/>
          <w:szCs w:val="24"/>
        </w:rPr>
        <w:t xml:space="preserve">, Stephen L. 1983. </w:t>
      </w:r>
      <w:proofErr w:type="gramStart"/>
      <w:r w:rsidRPr="0027400A">
        <w:rPr>
          <w:rFonts w:cs="Times New Roman"/>
          <w:szCs w:val="24"/>
        </w:rPr>
        <w:t>“Interest Groups and Litigation.”</w:t>
      </w:r>
      <w:proofErr w:type="gramEnd"/>
      <w:r w:rsidRPr="0027400A">
        <w:rPr>
          <w:rFonts w:cs="Times New Roman"/>
          <w:szCs w:val="24"/>
        </w:rPr>
        <w:t xml:space="preserve"> </w:t>
      </w:r>
      <w:r w:rsidRPr="0027400A">
        <w:rPr>
          <w:rFonts w:cs="Times New Roman"/>
          <w:i/>
          <w:szCs w:val="24"/>
        </w:rPr>
        <w:t>Policy Studies Journal</w:t>
      </w:r>
      <w:r w:rsidRPr="0027400A">
        <w:rPr>
          <w:rFonts w:cs="Times New Roman"/>
          <w:szCs w:val="24"/>
        </w:rPr>
        <w:t xml:space="preserve"> 11: 657–670.</w:t>
      </w:r>
    </w:p>
    <w:p w:rsidR="000E3C4B" w:rsidRPr="0027400A" w:rsidRDefault="000E3C4B" w:rsidP="000E3C4B">
      <w:pPr>
        <w:ind w:hanging="720"/>
        <w:rPr>
          <w:rFonts w:cs="Times New Roman"/>
          <w:szCs w:val="24"/>
        </w:rPr>
      </w:pPr>
    </w:p>
    <w:p w:rsidR="000E3C4B" w:rsidRPr="0027400A" w:rsidRDefault="000E3C4B" w:rsidP="003F458D">
      <w:pPr>
        <w:ind w:hanging="720"/>
        <w:rPr>
          <w:rFonts w:eastAsia="Times New Roman" w:cs="Times New Roman"/>
          <w:szCs w:val="24"/>
        </w:rPr>
      </w:pPr>
      <w:proofErr w:type="spellStart"/>
      <w:r w:rsidRPr="0027400A">
        <w:rPr>
          <w:rFonts w:eastAsia="Times New Roman" w:cs="Times New Roman"/>
          <w:szCs w:val="24"/>
        </w:rPr>
        <w:t>Wasby</w:t>
      </w:r>
      <w:proofErr w:type="spellEnd"/>
      <w:r w:rsidRPr="0027400A">
        <w:rPr>
          <w:rFonts w:eastAsia="Times New Roman" w:cs="Times New Roman"/>
          <w:szCs w:val="24"/>
        </w:rPr>
        <w:t xml:space="preserve">, Stephen L. 1984. “How Planned Is “Planned Litigation?” </w:t>
      </w:r>
      <w:r w:rsidRPr="0027400A">
        <w:rPr>
          <w:rFonts w:eastAsia="Times New Roman" w:cs="Times New Roman"/>
          <w:i/>
          <w:iCs/>
          <w:szCs w:val="24"/>
        </w:rPr>
        <w:t xml:space="preserve">Law </w:t>
      </w:r>
      <w:r w:rsidR="000D6839" w:rsidRPr="0027400A">
        <w:rPr>
          <w:rFonts w:eastAsia="Times New Roman" w:cs="Times New Roman"/>
          <w:i/>
          <w:iCs/>
          <w:szCs w:val="24"/>
        </w:rPr>
        <w:t>and</w:t>
      </w:r>
      <w:r w:rsidRPr="0027400A">
        <w:rPr>
          <w:rFonts w:eastAsia="Times New Roman" w:cs="Times New Roman"/>
          <w:i/>
          <w:iCs/>
          <w:szCs w:val="24"/>
        </w:rPr>
        <w:t xml:space="preserve"> Social Inquiry</w:t>
      </w:r>
      <w:r w:rsidRPr="0027400A">
        <w:rPr>
          <w:rFonts w:eastAsia="Times New Roman" w:cs="Times New Roman"/>
          <w:szCs w:val="24"/>
        </w:rPr>
        <w:t xml:space="preserve"> </w:t>
      </w:r>
      <w:r w:rsidR="0081056E">
        <w:rPr>
          <w:rFonts w:eastAsia="Times New Roman" w:cs="Times New Roman"/>
          <w:iCs/>
          <w:szCs w:val="24"/>
        </w:rPr>
        <w:t>9</w:t>
      </w:r>
      <w:r w:rsidR="0027400A" w:rsidRPr="0027400A">
        <w:rPr>
          <w:rFonts w:eastAsia="Times New Roman" w:cs="Times New Roman"/>
          <w:szCs w:val="24"/>
        </w:rPr>
        <w:t>(1):</w:t>
      </w:r>
      <w:r w:rsidRPr="0027400A">
        <w:rPr>
          <w:rFonts w:eastAsia="Times New Roman" w:cs="Times New Roman"/>
          <w:szCs w:val="24"/>
        </w:rPr>
        <w:t xml:space="preserve"> 83-138.</w:t>
      </w:r>
    </w:p>
    <w:p w:rsidR="000E3C4B" w:rsidRPr="0027400A" w:rsidRDefault="000E3C4B" w:rsidP="000E3C4B">
      <w:pPr>
        <w:ind w:left="0" w:firstLine="0"/>
        <w:rPr>
          <w:rFonts w:cs="Times New Roman"/>
          <w:color w:val="548DD4" w:themeColor="text2" w:themeTint="99"/>
          <w:szCs w:val="24"/>
        </w:rPr>
      </w:pPr>
    </w:p>
    <w:p w:rsidR="000E3C4B" w:rsidRDefault="000E3C4B" w:rsidP="000E3C4B">
      <w:pPr>
        <w:ind w:hanging="720"/>
        <w:rPr>
          <w:rStyle w:val="HTMLCite"/>
          <w:rFonts w:cs="Times New Roman"/>
          <w:szCs w:val="24"/>
        </w:rPr>
      </w:pPr>
      <w:proofErr w:type="spellStart"/>
      <w:r w:rsidRPr="0027400A">
        <w:rPr>
          <w:rStyle w:val="cit-name-surname"/>
          <w:rFonts w:cs="Times New Roman"/>
          <w:iCs/>
          <w:szCs w:val="24"/>
        </w:rPr>
        <w:t>Wasby</w:t>
      </w:r>
      <w:proofErr w:type="spellEnd"/>
      <w:r w:rsidRPr="0027400A">
        <w:rPr>
          <w:rStyle w:val="cit-name-surname"/>
          <w:rFonts w:cs="Times New Roman"/>
          <w:iCs/>
          <w:szCs w:val="24"/>
        </w:rPr>
        <w:t>, Stephen L.</w:t>
      </w:r>
      <w:r w:rsidRPr="0027400A">
        <w:rPr>
          <w:rStyle w:val="HTMLCite"/>
          <w:rFonts w:cs="Times New Roman"/>
          <w:szCs w:val="24"/>
        </w:rPr>
        <w:t xml:space="preserve"> </w:t>
      </w:r>
      <w:r w:rsidRPr="0027400A">
        <w:rPr>
          <w:rStyle w:val="cit-pub-date"/>
          <w:rFonts w:cs="Times New Roman"/>
          <w:iCs/>
          <w:szCs w:val="24"/>
        </w:rPr>
        <w:t>1995</w:t>
      </w:r>
      <w:r w:rsidRPr="0027400A">
        <w:rPr>
          <w:rStyle w:val="HTMLCite"/>
          <w:rFonts w:cs="Times New Roman"/>
          <w:szCs w:val="24"/>
        </w:rPr>
        <w:t xml:space="preserve">. </w:t>
      </w:r>
      <w:proofErr w:type="gramStart"/>
      <w:r w:rsidRPr="0081056E">
        <w:rPr>
          <w:rStyle w:val="cit-source"/>
          <w:rFonts w:cs="Times New Roman"/>
          <w:i/>
          <w:szCs w:val="24"/>
        </w:rPr>
        <w:t>Race relations litigation in an age of complexity</w:t>
      </w:r>
      <w:r w:rsidRPr="0027400A">
        <w:rPr>
          <w:rStyle w:val="HTMLCite"/>
          <w:rFonts w:cs="Times New Roman"/>
          <w:szCs w:val="24"/>
        </w:rPr>
        <w:t>.</w:t>
      </w:r>
      <w:proofErr w:type="gramEnd"/>
      <w:r w:rsidRPr="0027400A">
        <w:rPr>
          <w:rStyle w:val="HTMLCite"/>
          <w:rFonts w:cs="Times New Roman"/>
          <w:szCs w:val="24"/>
        </w:rPr>
        <w:t xml:space="preserve"> </w:t>
      </w:r>
      <w:r w:rsidRPr="0027400A">
        <w:rPr>
          <w:rStyle w:val="cit-publ-loc"/>
          <w:rFonts w:cs="Times New Roman"/>
          <w:iCs/>
          <w:szCs w:val="24"/>
        </w:rPr>
        <w:t>Charlottesville</w:t>
      </w:r>
      <w:r w:rsidRPr="0027400A">
        <w:rPr>
          <w:rStyle w:val="HTMLCite"/>
          <w:rFonts w:cs="Times New Roman"/>
          <w:szCs w:val="24"/>
        </w:rPr>
        <w:t xml:space="preserve">: </w:t>
      </w:r>
      <w:r w:rsidRPr="0027400A">
        <w:rPr>
          <w:rStyle w:val="cit-publ-name"/>
          <w:rFonts w:cs="Times New Roman"/>
          <w:iCs/>
          <w:szCs w:val="24"/>
        </w:rPr>
        <w:t>University Press of Virginia</w:t>
      </w:r>
      <w:r w:rsidRPr="0027400A">
        <w:rPr>
          <w:rStyle w:val="HTMLCite"/>
          <w:rFonts w:cs="Times New Roman"/>
          <w:szCs w:val="24"/>
        </w:rPr>
        <w:t>.</w:t>
      </w:r>
    </w:p>
    <w:p w:rsidR="00C66265" w:rsidRDefault="00C66265" w:rsidP="000E3C4B">
      <w:pPr>
        <w:ind w:hanging="720"/>
        <w:rPr>
          <w:rStyle w:val="HTMLCite"/>
          <w:rFonts w:cs="Times New Roman"/>
          <w:szCs w:val="24"/>
        </w:rPr>
      </w:pPr>
    </w:p>
    <w:p w:rsidR="00C66265" w:rsidRPr="0027400A" w:rsidRDefault="00C66265" w:rsidP="000E3C4B">
      <w:pPr>
        <w:ind w:hanging="720"/>
        <w:rPr>
          <w:rStyle w:val="HTMLCite"/>
          <w:rFonts w:cs="Times New Roman"/>
          <w:szCs w:val="24"/>
        </w:rPr>
      </w:pPr>
      <w:r>
        <w:t xml:space="preserve">Wasserman, Howard M. 2012. </w:t>
      </w:r>
      <w:proofErr w:type="gramStart"/>
      <w:r w:rsidR="0081056E">
        <w:t>“</w:t>
      </w:r>
      <w:r>
        <w:t>The Roberts Court and the Civil Procedure Revival.</w:t>
      </w:r>
      <w:r w:rsidR="0081056E">
        <w:t>”</w:t>
      </w:r>
      <w:proofErr w:type="gramEnd"/>
      <w:r>
        <w:t xml:space="preserve"> </w:t>
      </w:r>
      <w:r w:rsidR="0081056E">
        <w:rPr>
          <w:i/>
          <w:iCs/>
        </w:rPr>
        <w:t>Review of Litigation</w:t>
      </w:r>
      <w:r>
        <w:t xml:space="preserve"> </w:t>
      </w:r>
      <w:r w:rsidRPr="0081056E">
        <w:rPr>
          <w:iCs/>
        </w:rPr>
        <w:t>31</w:t>
      </w:r>
      <w:r>
        <w:t>: 311-315.</w:t>
      </w:r>
    </w:p>
    <w:p w:rsidR="000E3C4B" w:rsidRPr="0027400A" w:rsidRDefault="000E3C4B" w:rsidP="000E3C4B">
      <w:pPr>
        <w:ind w:hanging="720"/>
        <w:rPr>
          <w:rFonts w:cs="Times New Roman"/>
          <w:color w:val="548DD4" w:themeColor="text2" w:themeTint="99"/>
          <w:szCs w:val="24"/>
        </w:rPr>
      </w:pPr>
    </w:p>
    <w:p w:rsidR="0027400A" w:rsidRPr="0027400A" w:rsidRDefault="0081056E" w:rsidP="0027400A">
      <w:pPr>
        <w:ind w:hanging="720"/>
        <w:rPr>
          <w:rFonts w:eastAsia="Times New Roman" w:cs="Times New Roman"/>
          <w:szCs w:val="24"/>
        </w:rPr>
      </w:pPr>
      <w:proofErr w:type="gramStart"/>
      <w:r>
        <w:rPr>
          <w:rFonts w:eastAsia="Times New Roman" w:cs="Times New Roman"/>
          <w:szCs w:val="24"/>
        </w:rPr>
        <w:t>Wheeler, Stanton</w:t>
      </w:r>
      <w:r w:rsidR="0027400A" w:rsidRPr="0027400A">
        <w:rPr>
          <w:rFonts w:eastAsia="Times New Roman" w:cs="Times New Roman"/>
          <w:szCs w:val="24"/>
        </w:rPr>
        <w:t xml:space="preserve">, </w:t>
      </w:r>
      <w:r>
        <w:rPr>
          <w:rFonts w:eastAsia="Times New Roman" w:cs="Times New Roman"/>
          <w:szCs w:val="24"/>
        </w:rPr>
        <w:t>Bliss Cartwright</w:t>
      </w:r>
      <w:r w:rsidR="0027400A" w:rsidRPr="0027400A">
        <w:rPr>
          <w:rFonts w:eastAsia="Times New Roman" w:cs="Times New Roman"/>
          <w:szCs w:val="24"/>
        </w:rPr>
        <w:t xml:space="preserve">, </w:t>
      </w:r>
      <w:r>
        <w:rPr>
          <w:rFonts w:eastAsia="Times New Roman" w:cs="Times New Roman"/>
          <w:szCs w:val="24"/>
        </w:rPr>
        <w:t>Robert A. Kagan, and Lawrence M. Friedman</w:t>
      </w:r>
      <w:r w:rsidR="0027400A" w:rsidRPr="0027400A">
        <w:rPr>
          <w:rFonts w:eastAsia="Times New Roman" w:cs="Times New Roman"/>
          <w:szCs w:val="24"/>
        </w:rPr>
        <w:t>.</w:t>
      </w:r>
      <w:proofErr w:type="gramEnd"/>
      <w:r w:rsidR="0027400A" w:rsidRPr="0027400A">
        <w:rPr>
          <w:rFonts w:eastAsia="Times New Roman" w:cs="Times New Roman"/>
          <w:szCs w:val="24"/>
        </w:rPr>
        <w:t xml:space="preserve"> 1987. “Do </w:t>
      </w:r>
      <w:proofErr w:type="spellStart"/>
      <w:r w:rsidR="0027400A" w:rsidRPr="0027400A">
        <w:rPr>
          <w:rFonts w:eastAsia="Times New Roman" w:cs="Times New Roman"/>
          <w:szCs w:val="24"/>
        </w:rPr>
        <w:t>the'Haves</w:t>
      </w:r>
      <w:proofErr w:type="spellEnd"/>
      <w:r w:rsidR="0027400A" w:rsidRPr="0027400A">
        <w:rPr>
          <w:rFonts w:eastAsia="Times New Roman" w:cs="Times New Roman"/>
          <w:szCs w:val="24"/>
        </w:rPr>
        <w:t xml:space="preserve">' Come </w:t>
      </w:r>
      <w:proofErr w:type="gramStart"/>
      <w:r w:rsidR="0027400A" w:rsidRPr="0027400A">
        <w:rPr>
          <w:rFonts w:eastAsia="Times New Roman" w:cs="Times New Roman"/>
          <w:szCs w:val="24"/>
        </w:rPr>
        <w:t>Out</w:t>
      </w:r>
      <w:proofErr w:type="gramEnd"/>
      <w:r w:rsidR="0027400A" w:rsidRPr="0027400A">
        <w:rPr>
          <w:rFonts w:eastAsia="Times New Roman" w:cs="Times New Roman"/>
          <w:szCs w:val="24"/>
        </w:rPr>
        <w:t xml:space="preserve"> Ahead? Winning and Losing in State Supreme Courts, 1870-1970." </w:t>
      </w:r>
      <w:r w:rsidR="0027400A" w:rsidRPr="0027400A">
        <w:rPr>
          <w:rFonts w:eastAsia="Times New Roman" w:cs="Times New Roman"/>
          <w:i/>
          <w:iCs/>
          <w:szCs w:val="24"/>
        </w:rPr>
        <w:t>Law and Society Review</w:t>
      </w:r>
      <w:r w:rsidR="0027400A" w:rsidRPr="0027400A">
        <w:rPr>
          <w:rFonts w:eastAsia="Times New Roman" w:cs="Times New Roman"/>
          <w:szCs w:val="24"/>
        </w:rPr>
        <w:t xml:space="preserve"> </w:t>
      </w:r>
      <w:r w:rsidR="0027400A" w:rsidRPr="0081056E">
        <w:rPr>
          <w:rFonts w:eastAsia="Times New Roman" w:cs="Times New Roman"/>
          <w:iCs/>
          <w:szCs w:val="24"/>
        </w:rPr>
        <w:t>21</w:t>
      </w:r>
      <w:r w:rsidR="0027400A" w:rsidRPr="0027400A">
        <w:rPr>
          <w:rFonts w:eastAsia="Times New Roman" w:cs="Times New Roman"/>
          <w:szCs w:val="24"/>
        </w:rPr>
        <w:t>: 403.</w:t>
      </w:r>
    </w:p>
    <w:p w:rsidR="00327DFA" w:rsidRPr="0027400A" w:rsidRDefault="00327DFA" w:rsidP="000E3C4B">
      <w:pPr>
        <w:ind w:hanging="720"/>
        <w:rPr>
          <w:rFonts w:cs="Times New Roman"/>
          <w:szCs w:val="24"/>
        </w:rPr>
      </w:pPr>
    </w:p>
    <w:p w:rsidR="00C66265" w:rsidRPr="0027400A" w:rsidRDefault="0027400A" w:rsidP="00C66265">
      <w:pPr>
        <w:ind w:hanging="720"/>
        <w:rPr>
          <w:rFonts w:cs="Times New Roman"/>
          <w:szCs w:val="24"/>
        </w:rPr>
      </w:pPr>
      <w:r w:rsidRPr="0027400A">
        <w:rPr>
          <w:rFonts w:cs="Times New Roman"/>
          <w:szCs w:val="24"/>
        </w:rPr>
        <w:t xml:space="preserve">Winkler, Adam. June 28, </w:t>
      </w:r>
      <w:r w:rsidR="00327DFA" w:rsidRPr="0027400A">
        <w:rPr>
          <w:rFonts w:cs="Times New Roman"/>
          <w:szCs w:val="24"/>
        </w:rPr>
        <w:t>2012.</w:t>
      </w:r>
      <w:r w:rsidRPr="0027400A">
        <w:rPr>
          <w:rFonts w:cs="Times New Roman"/>
          <w:szCs w:val="24"/>
        </w:rPr>
        <w:t xml:space="preserve"> “The Roberts Court is Born.” </w:t>
      </w:r>
      <w:proofErr w:type="gramStart"/>
      <w:r w:rsidRPr="0027400A">
        <w:rPr>
          <w:rFonts w:cs="Times New Roman"/>
          <w:szCs w:val="24"/>
        </w:rPr>
        <w:t xml:space="preserve">Accessed at </w:t>
      </w:r>
      <w:hyperlink r:id="rId52" w:history="1">
        <w:r w:rsidRPr="0027400A">
          <w:rPr>
            <w:rStyle w:val="Hyperlink"/>
            <w:rFonts w:cs="Times New Roman"/>
            <w:color w:val="auto"/>
            <w:szCs w:val="24"/>
          </w:rPr>
          <w:t>http://www.scotusblog.com/2012/06/the-roberts-court-is-born/</w:t>
        </w:r>
      </w:hyperlink>
      <w:r w:rsidRPr="0027400A">
        <w:rPr>
          <w:rFonts w:cs="Times New Roman"/>
          <w:szCs w:val="24"/>
        </w:rPr>
        <w:t>.</w:t>
      </w:r>
      <w:proofErr w:type="gramEnd"/>
    </w:p>
    <w:p w:rsidR="000E3C4B" w:rsidRPr="0027400A" w:rsidRDefault="000E3C4B" w:rsidP="0027400A">
      <w:pPr>
        <w:ind w:left="0" w:firstLine="0"/>
        <w:rPr>
          <w:rFonts w:cs="Times New Roman"/>
          <w:szCs w:val="24"/>
        </w:rPr>
      </w:pPr>
    </w:p>
    <w:p w:rsidR="000E3C4B" w:rsidRPr="00C66265" w:rsidRDefault="000E3C4B" w:rsidP="000E3C4B">
      <w:pPr>
        <w:ind w:hanging="720"/>
        <w:rPr>
          <w:rFonts w:cs="Times New Roman"/>
          <w:color w:val="548DD4" w:themeColor="text2" w:themeTint="99"/>
          <w:szCs w:val="24"/>
        </w:rPr>
      </w:pPr>
      <w:proofErr w:type="spellStart"/>
      <w:r w:rsidRPr="0027400A">
        <w:rPr>
          <w:rFonts w:cs="Times New Roman"/>
          <w:szCs w:val="24"/>
        </w:rPr>
        <w:t>Wohl</w:t>
      </w:r>
      <w:proofErr w:type="spellEnd"/>
      <w:r w:rsidRPr="0027400A">
        <w:rPr>
          <w:rFonts w:cs="Times New Roman"/>
          <w:szCs w:val="24"/>
        </w:rPr>
        <w:t>, Alexander. 1996. “Friends with Agendas: Amicus Curiae Briefs May Be Mo</w:t>
      </w:r>
      <w:r w:rsidR="0081056E">
        <w:rPr>
          <w:rFonts w:cs="Times New Roman"/>
          <w:szCs w:val="24"/>
        </w:rPr>
        <w:t xml:space="preserve">re Popular Than Persuasive.” </w:t>
      </w:r>
      <w:proofErr w:type="gramStart"/>
      <w:r w:rsidR="0081056E">
        <w:rPr>
          <w:rFonts w:cs="Times New Roman"/>
          <w:i/>
          <w:szCs w:val="24"/>
        </w:rPr>
        <w:t>American Bar Association</w:t>
      </w:r>
      <w:r w:rsidRPr="00C66265">
        <w:rPr>
          <w:rFonts w:cs="Times New Roman"/>
          <w:i/>
          <w:szCs w:val="24"/>
        </w:rPr>
        <w:t xml:space="preserve"> Journal</w:t>
      </w:r>
      <w:r w:rsidR="0081056E">
        <w:rPr>
          <w:rFonts w:cs="Times New Roman"/>
          <w:szCs w:val="24"/>
        </w:rPr>
        <w:t xml:space="preserve"> 46.</w:t>
      </w:r>
      <w:proofErr w:type="gramEnd"/>
    </w:p>
    <w:p w:rsidR="000E3C4B" w:rsidRPr="0027400A" w:rsidRDefault="000E3C4B" w:rsidP="000E3C4B">
      <w:pPr>
        <w:ind w:hanging="720"/>
        <w:rPr>
          <w:rFonts w:cs="Times New Roman"/>
          <w:color w:val="548DD4" w:themeColor="text2" w:themeTint="99"/>
          <w:szCs w:val="24"/>
        </w:rPr>
      </w:pPr>
    </w:p>
    <w:p w:rsidR="00D50941" w:rsidRPr="0027400A" w:rsidRDefault="000E3C4B" w:rsidP="000E3C4B">
      <w:pPr>
        <w:ind w:hanging="720"/>
        <w:rPr>
          <w:rFonts w:eastAsia="Times New Roman" w:cs="Times New Roman"/>
          <w:szCs w:val="24"/>
        </w:rPr>
      </w:pPr>
      <w:proofErr w:type="spellStart"/>
      <w:r w:rsidRPr="0027400A">
        <w:rPr>
          <w:rFonts w:eastAsia="Times New Roman" w:cs="Times New Roman"/>
          <w:szCs w:val="24"/>
        </w:rPr>
        <w:t>Wolpert</w:t>
      </w:r>
      <w:proofErr w:type="spellEnd"/>
      <w:r w:rsidRPr="0027400A">
        <w:rPr>
          <w:rFonts w:eastAsia="Times New Roman" w:cs="Times New Roman"/>
          <w:szCs w:val="24"/>
        </w:rPr>
        <w:t xml:space="preserve">, Robin M. 1991, April. “Explaining and Predicting Supreme Court Decision-Making: The Gender Discrimination Cases, 1971-1987.” </w:t>
      </w:r>
      <w:proofErr w:type="gramStart"/>
      <w:r w:rsidRPr="0027400A">
        <w:rPr>
          <w:rFonts w:eastAsia="Times New Roman" w:cs="Times New Roman"/>
          <w:szCs w:val="24"/>
        </w:rPr>
        <w:t xml:space="preserve">In </w:t>
      </w:r>
      <w:r w:rsidRPr="0027400A">
        <w:rPr>
          <w:rFonts w:eastAsia="Times New Roman" w:cs="Times New Roman"/>
          <w:i/>
          <w:iCs/>
          <w:szCs w:val="24"/>
        </w:rPr>
        <w:t>annual meeting of the Midwest Political Science Association, Chicago</w:t>
      </w:r>
      <w:r w:rsidRPr="0027400A">
        <w:rPr>
          <w:rFonts w:eastAsia="Times New Roman" w:cs="Times New Roman"/>
          <w:szCs w:val="24"/>
        </w:rPr>
        <w:t>.</w:t>
      </w:r>
      <w:proofErr w:type="gramEnd"/>
    </w:p>
    <w:p w:rsidR="00D50941" w:rsidRDefault="00D50941" w:rsidP="00D50941">
      <w:pPr>
        <w:spacing w:line="480" w:lineRule="auto"/>
        <w:jc w:val="center"/>
      </w:pPr>
    </w:p>
    <w:p w:rsidR="000F14A0" w:rsidRDefault="000F14A0" w:rsidP="00355B2A">
      <w:pPr>
        <w:spacing w:line="480" w:lineRule="auto"/>
        <w:ind w:left="0" w:firstLine="0"/>
      </w:pPr>
    </w:p>
    <w:p w:rsidR="00DB0B46" w:rsidRDefault="00DB0B46" w:rsidP="00355B2A">
      <w:pPr>
        <w:spacing w:line="480" w:lineRule="auto"/>
        <w:ind w:left="0" w:firstLine="0"/>
      </w:pPr>
    </w:p>
    <w:p w:rsidR="00340615" w:rsidRDefault="00340615" w:rsidP="00355B2A">
      <w:pPr>
        <w:spacing w:line="480" w:lineRule="auto"/>
        <w:ind w:left="0" w:firstLine="0"/>
      </w:pPr>
    </w:p>
    <w:p w:rsidR="00042573" w:rsidRDefault="00042573" w:rsidP="00355B2A">
      <w:pPr>
        <w:spacing w:line="480" w:lineRule="auto"/>
        <w:ind w:left="0" w:firstLine="0"/>
      </w:pPr>
    </w:p>
    <w:p w:rsidR="00042573" w:rsidRDefault="00042573" w:rsidP="00355B2A">
      <w:pPr>
        <w:spacing w:line="480" w:lineRule="auto"/>
        <w:ind w:left="0" w:firstLine="0"/>
      </w:pPr>
    </w:p>
    <w:p w:rsidR="00042573" w:rsidRDefault="00042573" w:rsidP="00355B2A">
      <w:pPr>
        <w:spacing w:line="480" w:lineRule="auto"/>
        <w:ind w:left="0" w:firstLine="0"/>
      </w:pPr>
    </w:p>
    <w:p w:rsidR="00042573" w:rsidRDefault="00042573" w:rsidP="00355B2A">
      <w:pPr>
        <w:spacing w:line="480" w:lineRule="auto"/>
        <w:ind w:left="0" w:firstLine="0"/>
      </w:pPr>
    </w:p>
    <w:p w:rsidR="00042573" w:rsidRDefault="00042573" w:rsidP="00355B2A">
      <w:pPr>
        <w:spacing w:line="480" w:lineRule="auto"/>
        <w:ind w:left="0" w:firstLine="0"/>
      </w:pPr>
    </w:p>
    <w:p w:rsidR="00042573" w:rsidRDefault="00042573" w:rsidP="00355B2A">
      <w:pPr>
        <w:spacing w:line="480" w:lineRule="auto"/>
        <w:ind w:left="0" w:firstLine="0"/>
      </w:pPr>
    </w:p>
    <w:p w:rsidR="00DB0B46" w:rsidRDefault="00DB0B46" w:rsidP="00956507">
      <w:pPr>
        <w:spacing w:line="480" w:lineRule="auto"/>
        <w:ind w:left="0" w:firstLine="0"/>
      </w:pPr>
    </w:p>
    <w:p w:rsidR="002C44B3" w:rsidRDefault="002C44B3" w:rsidP="00956507">
      <w:pPr>
        <w:spacing w:line="480" w:lineRule="auto"/>
        <w:ind w:left="0" w:firstLine="0"/>
        <w:rPr>
          <w:b/>
        </w:rPr>
      </w:pPr>
    </w:p>
    <w:p w:rsidR="002C44B3" w:rsidRDefault="002C44B3" w:rsidP="00355B2A">
      <w:pPr>
        <w:spacing w:line="480" w:lineRule="auto"/>
        <w:ind w:left="0" w:firstLine="0"/>
        <w:jc w:val="center"/>
        <w:rPr>
          <w:b/>
          <w:sz w:val="32"/>
          <w:szCs w:val="32"/>
        </w:rPr>
      </w:pPr>
    </w:p>
    <w:p w:rsidR="002C44B3" w:rsidRDefault="002C44B3" w:rsidP="00355B2A">
      <w:pPr>
        <w:spacing w:line="480" w:lineRule="auto"/>
        <w:ind w:left="0" w:firstLine="0"/>
        <w:jc w:val="center"/>
        <w:rPr>
          <w:b/>
          <w:sz w:val="32"/>
          <w:szCs w:val="32"/>
        </w:rPr>
      </w:pPr>
    </w:p>
    <w:p w:rsidR="00355B2A" w:rsidRPr="002C44B3" w:rsidRDefault="002C44B3" w:rsidP="00355B2A">
      <w:pPr>
        <w:spacing w:line="480" w:lineRule="auto"/>
        <w:ind w:left="0" w:firstLine="0"/>
        <w:jc w:val="center"/>
        <w:rPr>
          <w:b/>
          <w:sz w:val="32"/>
          <w:szCs w:val="32"/>
        </w:rPr>
      </w:pPr>
      <w:r>
        <w:rPr>
          <w:b/>
          <w:sz w:val="32"/>
          <w:szCs w:val="32"/>
        </w:rPr>
        <w:lastRenderedPageBreak/>
        <w:t>APPENDIX</w:t>
      </w:r>
    </w:p>
    <w:p w:rsidR="00956507" w:rsidRDefault="00956507" w:rsidP="00355B2A">
      <w:pPr>
        <w:spacing w:line="480" w:lineRule="auto"/>
        <w:ind w:left="0" w:firstLine="0"/>
        <w:jc w:val="center"/>
        <w:rPr>
          <w:b/>
        </w:rPr>
      </w:pPr>
    </w:p>
    <w:p w:rsidR="00956507" w:rsidRDefault="00956507" w:rsidP="00355B2A">
      <w:pPr>
        <w:spacing w:line="480" w:lineRule="auto"/>
        <w:ind w:left="0" w:firstLine="0"/>
        <w:jc w:val="center"/>
        <w:rPr>
          <w:b/>
        </w:rPr>
      </w:pPr>
    </w:p>
    <w:p w:rsidR="00956507" w:rsidRDefault="00956507" w:rsidP="00355B2A">
      <w:pPr>
        <w:spacing w:line="480" w:lineRule="auto"/>
        <w:ind w:left="0" w:firstLine="0"/>
        <w:jc w:val="center"/>
        <w:rPr>
          <w:b/>
        </w:rPr>
      </w:pPr>
    </w:p>
    <w:p w:rsidR="00956507" w:rsidRDefault="00956507" w:rsidP="00355B2A">
      <w:pPr>
        <w:spacing w:line="480" w:lineRule="auto"/>
        <w:ind w:left="0" w:firstLine="0"/>
        <w:jc w:val="center"/>
        <w:rPr>
          <w:b/>
        </w:rPr>
      </w:pPr>
    </w:p>
    <w:p w:rsidR="00956507" w:rsidRDefault="00956507" w:rsidP="00355B2A">
      <w:pPr>
        <w:spacing w:line="480" w:lineRule="auto"/>
        <w:ind w:left="0" w:firstLine="0"/>
        <w:jc w:val="center"/>
        <w:rPr>
          <w:b/>
        </w:rPr>
      </w:pPr>
    </w:p>
    <w:p w:rsidR="00956507" w:rsidRDefault="00956507" w:rsidP="00355B2A">
      <w:pPr>
        <w:spacing w:line="480" w:lineRule="auto"/>
        <w:ind w:left="0" w:firstLine="0"/>
        <w:jc w:val="center"/>
        <w:rPr>
          <w:b/>
        </w:rPr>
      </w:pPr>
    </w:p>
    <w:p w:rsidR="00956507" w:rsidRDefault="00956507" w:rsidP="00355B2A">
      <w:pPr>
        <w:spacing w:line="480" w:lineRule="auto"/>
        <w:ind w:left="0" w:firstLine="0"/>
        <w:jc w:val="center"/>
        <w:rPr>
          <w:b/>
        </w:rPr>
      </w:pPr>
    </w:p>
    <w:p w:rsidR="00956507" w:rsidRDefault="00956507" w:rsidP="00355B2A">
      <w:pPr>
        <w:spacing w:line="480" w:lineRule="auto"/>
        <w:ind w:left="0" w:firstLine="0"/>
        <w:jc w:val="center"/>
        <w:rPr>
          <w:b/>
        </w:rPr>
      </w:pPr>
    </w:p>
    <w:p w:rsidR="00956507" w:rsidRDefault="00956507" w:rsidP="00355B2A">
      <w:pPr>
        <w:spacing w:line="480" w:lineRule="auto"/>
        <w:ind w:left="0" w:firstLine="0"/>
        <w:jc w:val="center"/>
        <w:rPr>
          <w:b/>
        </w:rPr>
      </w:pPr>
    </w:p>
    <w:p w:rsidR="00956507" w:rsidRDefault="00956507" w:rsidP="00355B2A">
      <w:pPr>
        <w:spacing w:line="480" w:lineRule="auto"/>
        <w:ind w:left="0" w:firstLine="0"/>
        <w:jc w:val="center"/>
        <w:rPr>
          <w:b/>
        </w:rPr>
      </w:pPr>
    </w:p>
    <w:p w:rsidR="00956507" w:rsidRDefault="00956507" w:rsidP="00355B2A">
      <w:pPr>
        <w:spacing w:line="480" w:lineRule="auto"/>
        <w:ind w:left="0" w:firstLine="0"/>
        <w:jc w:val="center"/>
        <w:rPr>
          <w:b/>
        </w:rPr>
      </w:pPr>
    </w:p>
    <w:p w:rsidR="00956507" w:rsidRDefault="00956507" w:rsidP="00355B2A">
      <w:pPr>
        <w:spacing w:line="480" w:lineRule="auto"/>
        <w:ind w:left="0" w:firstLine="0"/>
        <w:jc w:val="center"/>
        <w:rPr>
          <w:b/>
        </w:rPr>
      </w:pPr>
    </w:p>
    <w:p w:rsidR="00956507" w:rsidRDefault="00956507" w:rsidP="00355B2A">
      <w:pPr>
        <w:spacing w:line="480" w:lineRule="auto"/>
        <w:ind w:left="0" w:firstLine="0"/>
        <w:jc w:val="center"/>
        <w:rPr>
          <w:b/>
        </w:rPr>
      </w:pPr>
    </w:p>
    <w:p w:rsidR="00956507" w:rsidRDefault="00956507" w:rsidP="00355B2A">
      <w:pPr>
        <w:spacing w:line="480" w:lineRule="auto"/>
        <w:ind w:left="0" w:firstLine="0"/>
        <w:jc w:val="center"/>
        <w:rPr>
          <w:b/>
        </w:rPr>
      </w:pPr>
    </w:p>
    <w:p w:rsidR="00956507" w:rsidRDefault="00956507" w:rsidP="00355B2A">
      <w:pPr>
        <w:spacing w:line="480" w:lineRule="auto"/>
        <w:ind w:left="0" w:firstLine="0"/>
        <w:jc w:val="center"/>
        <w:rPr>
          <w:b/>
        </w:rPr>
      </w:pPr>
    </w:p>
    <w:p w:rsidR="00956507" w:rsidRDefault="00956507" w:rsidP="00355B2A">
      <w:pPr>
        <w:spacing w:line="480" w:lineRule="auto"/>
        <w:ind w:left="0" w:firstLine="0"/>
        <w:jc w:val="center"/>
        <w:rPr>
          <w:b/>
        </w:rPr>
      </w:pPr>
    </w:p>
    <w:p w:rsidR="00956507" w:rsidRDefault="00956507" w:rsidP="00355B2A">
      <w:pPr>
        <w:spacing w:line="480" w:lineRule="auto"/>
        <w:ind w:left="0" w:firstLine="0"/>
        <w:jc w:val="center"/>
        <w:rPr>
          <w:b/>
        </w:rPr>
      </w:pPr>
    </w:p>
    <w:p w:rsidR="00956507" w:rsidRDefault="00956507" w:rsidP="00355B2A">
      <w:pPr>
        <w:spacing w:line="480" w:lineRule="auto"/>
        <w:ind w:left="0" w:firstLine="0"/>
        <w:jc w:val="center"/>
        <w:rPr>
          <w:b/>
        </w:rPr>
      </w:pPr>
    </w:p>
    <w:p w:rsidR="00956507" w:rsidRDefault="00956507" w:rsidP="00355B2A">
      <w:pPr>
        <w:spacing w:line="480" w:lineRule="auto"/>
        <w:ind w:left="0" w:firstLine="0"/>
        <w:jc w:val="center"/>
        <w:rPr>
          <w:b/>
        </w:rPr>
      </w:pPr>
    </w:p>
    <w:p w:rsidR="00956507" w:rsidRDefault="00956507" w:rsidP="00355B2A">
      <w:pPr>
        <w:spacing w:line="480" w:lineRule="auto"/>
        <w:ind w:left="0" w:firstLine="0"/>
        <w:jc w:val="center"/>
        <w:rPr>
          <w:b/>
        </w:rPr>
      </w:pPr>
    </w:p>
    <w:p w:rsidR="002C44B3" w:rsidRDefault="002C44B3" w:rsidP="006641D3">
      <w:pPr>
        <w:spacing w:line="480" w:lineRule="auto"/>
        <w:ind w:left="0" w:firstLine="0"/>
        <w:rPr>
          <w:rFonts w:cs="Times New Roman"/>
          <w:b/>
          <w:szCs w:val="24"/>
        </w:rPr>
      </w:pPr>
    </w:p>
    <w:p w:rsidR="002C44B3" w:rsidRDefault="002C44B3" w:rsidP="006641D3">
      <w:pPr>
        <w:spacing w:line="480" w:lineRule="auto"/>
        <w:ind w:left="0" w:firstLine="0"/>
        <w:rPr>
          <w:rFonts w:cs="Times New Roman"/>
          <w:b/>
          <w:szCs w:val="24"/>
        </w:rPr>
      </w:pPr>
    </w:p>
    <w:p w:rsidR="006641D3" w:rsidRDefault="006641D3" w:rsidP="006641D3">
      <w:pPr>
        <w:spacing w:line="480" w:lineRule="auto"/>
        <w:ind w:left="0" w:firstLine="0"/>
        <w:rPr>
          <w:rFonts w:cs="Times New Roman"/>
          <w:b/>
          <w:szCs w:val="24"/>
        </w:rPr>
      </w:pPr>
      <w:r>
        <w:rPr>
          <w:rFonts w:cs="Times New Roman"/>
          <w:b/>
          <w:szCs w:val="24"/>
        </w:rPr>
        <w:lastRenderedPageBreak/>
        <w:t xml:space="preserve">Table A.1. </w:t>
      </w:r>
      <w:r w:rsidRPr="008A3F28">
        <w:rPr>
          <w:rFonts w:cs="Times New Roman"/>
          <w:b/>
          <w:szCs w:val="24"/>
        </w:rPr>
        <w:t>List of Cases Attracting At Least 25 Amicus Briefs, 2007-2011</w:t>
      </w:r>
    </w:p>
    <w:tbl>
      <w:tblPr>
        <w:tblStyle w:val="LightShading-Accent1"/>
        <w:tblW w:w="0" w:type="auto"/>
        <w:tblLook w:val="04A0" w:firstRow="1" w:lastRow="0" w:firstColumn="1" w:lastColumn="0" w:noHBand="0" w:noVBand="1"/>
      </w:tblPr>
      <w:tblGrid>
        <w:gridCol w:w="730"/>
        <w:gridCol w:w="1521"/>
        <w:gridCol w:w="742"/>
        <w:gridCol w:w="656"/>
        <w:gridCol w:w="1443"/>
        <w:gridCol w:w="1015"/>
        <w:gridCol w:w="1483"/>
        <w:gridCol w:w="1986"/>
      </w:tblGrid>
      <w:tr w:rsidR="006641D3" w:rsidRPr="00F15DE0" w:rsidTr="00331DA0">
        <w:trPr>
          <w:cnfStyle w:val="100000000000" w:firstRow="1" w:lastRow="0" w:firstColumn="0" w:lastColumn="0" w:oddVBand="0" w:evenVBand="0" w:oddHBand="0" w:evenHBand="0" w:firstRowFirstColumn="0" w:firstRowLastColumn="0" w:lastRowFirstColumn="0" w:lastRowLastColumn="0"/>
          <w:trHeight w:val="1200"/>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18" w:space="0" w:color="auto"/>
              <w:bottom w:val="single" w:sz="18" w:space="0" w:color="auto"/>
            </w:tcBorders>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Rank</w:t>
            </w:r>
          </w:p>
        </w:tc>
        <w:tc>
          <w:tcPr>
            <w:tcW w:w="0" w:type="auto"/>
            <w:tcBorders>
              <w:top w:val="single" w:sz="18" w:space="0" w:color="auto"/>
              <w:bottom w:val="single" w:sz="18" w:space="0" w:color="auto"/>
            </w:tcBorders>
            <w:hideMark/>
          </w:tcPr>
          <w:p w:rsidR="006641D3" w:rsidRDefault="006641D3" w:rsidP="00660FC6">
            <w:pPr>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Case Name</w:t>
            </w:r>
          </w:p>
          <w:p w:rsidR="006641D3" w:rsidRDefault="000D6839" w:rsidP="00660FC6">
            <w:pPr>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and</w:t>
            </w:r>
          </w:p>
          <w:p w:rsidR="006641D3" w:rsidRDefault="006641D3" w:rsidP="00660FC6">
            <w:pPr>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Docket</w:t>
            </w:r>
          </w:p>
          <w:p w:rsidR="006641D3" w:rsidRPr="00F15DE0" w:rsidRDefault="006641D3" w:rsidP="00660FC6">
            <w:pPr>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Number</w:t>
            </w:r>
          </w:p>
        </w:tc>
        <w:tc>
          <w:tcPr>
            <w:tcW w:w="0" w:type="auto"/>
            <w:tcBorders>
              <w:top w:val="single" w:sz="18" w:space="0" w:color="auto"/>
              <w:bottom w:val="single" w:sz="18" w:space="0" w:color="auto"/>
            </w:tcBorders>
            <w:hideMark/>
          </w:tcPr>
          <w:p w:rsidR="006641D3" w:rsidRPr="00F15DE0" w:rsidRDefault="006641D3" w:rsidP="00660FC6">
            <w:pPr>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Term</w:t>
            </w:r>
          </w:p>
        </w:tc>
        <w:tc>
          <w:tcPr>
            <w:tcW w:w="0" w:type="auto"/>
            <w:tcBorders>
              <w:top w:val="single" w:sz="18" w:space="0" w:color="auto"/>
              <w:bottom w:val="single" w:sz="18" w:space="0" w:color="auto"/>
            </w:tcBorders>
            <w:hideMark/>
          </w:tcPr>
          <w:p w:rsidR="006641D3" w:rsidRPr="00F15DE0" w:rsidRDefault="006641D3" w:rsidP="00660FC6">
            <w:pPr>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Vote</w:t>
            </w:r>
          </w:p>
        </w:tc>
        <w:tc>
          <w:tcPr>
            <w:tcW w:w="0" w:type="auto"/>
            <w:tcBorders>
              <w:top w:val="single" w:sz="18" w:space="0" w:color="auto"/>
              <w:bottom w:val="single" w:sz="18" w:space="0" w:color="auto"/>
            </w:tcBorders>
            <w:hideMark/>
          </w:tcPr>
          <w:p w:rsidR="006641D3" w:rsidRPr="00F15DE0" w:rsidRDefault="006641D3" w:rsidP="00660FC6">
            <w:pPr>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Decision Direction</w:t>
            </w:r>
          </w:p>
        </w:tc>
        <w:tc>
          <w:tcPr>
            <w:tcW w:w="0" w:type="auto"/>
            <w:tcBorders>
              <w:top w:val="single" w:sz="18" w:space="0" w:color="auto"/>
              <w:bottom w:val="single" w:sz="18" w:space="0" w:color="auto"/>
            </w:tcBorders>
            <w:hideMark/>
          </w:tcPr>
          <w:p w:rsidR="006641D3" w:rsidRPr="00F15DE0" w:rsidRDefault="006641D3" w:rsidP="00660FC6">
            <w:pPr>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Number of Amicus Briefs</w:t>
            </w:r>
          </w:p>
        </w:tc>
        <w:tc>
          <w:tcPr>
            <w:tcW w:w="0" w:type="auto"/>
            <w:tcBorders>
              <w:top w:val="single" w:sz="18" w:space="0" w:color="auto"/>
              <w:bottom w:val="single" w:sz="18" w:space="0" w:color="auto"/>
            </w:tcBorders>
            <w:hideMark/>
          </w:tcPr>
          <w:p w:rsidR="006641D3" w:rsidRPr="00F15DE0" w:rsidRDefault="006641D3" w:rsidP="00660FC6">
            <w:pPr>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 xml:space="preserve">Liberal - Conservative Amicus Brief Difference </w:t>
            </w:r>
          </w:p>
        </w:tc>
        <w:tc>
          <w:tcPr>
            <w:tcW w:w="0" w:type="auto"/>
            <w:tcBorders>
              <w:top w:val="single" w:sz="18" w:space="0" w:color="auto"/>
              <w:bottom w:val="single" w:sz="18" w:space="0" w:color="auto"/>
            </w:tcBorders>
            <w:hideMark/>
          </w:tcPr>
          <w:p w:rsidR="006641D3" w:rsidRPr="00F15DE0" w:rsidRDefault="006641D3" w:rsidP="00660FC6">
            <w:pPr>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Holding</w:t>
            </w:r>
            <w:r>
              <w:rPr>
                <w:rFonts w:eastAsia="Times New Roman" w:cs="Times New Roman"/>
                <w:color w:val="000000"/>
                <w:sz w:val="22"/>
              </w:rPr>
              <w:t>*</w:t>
            </w:r>
          </w:p>
        </w:tc>
      </w:tr>
      <w:tr w:rsidR="006641D3" w:rsidRPr="00F15DE0" w:rsidTr="00660FC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tcBorders>
              <w:top w:val="single" w:sz="18" w:space="0" w:color="auto"/>
            </w:tcBorders>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1</w:t>
            </w:r>
          </w:p>
        </w:tc>
        <w:tc>
          <w:tcPr>
            <w:tcW w:w="0" w:type="auto"/>
            <w:tcBorders>
              <w:top w:val="single" w:sz="18" w:space="0" w:color="auto"/>
            </w:tcBorders>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Department of Health and Human Services v. Florida</w:t>
            </w:r>
          </w:p>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11-398</w:t>
            </w:r>
            <w:r w:rsidRPr="00F15DE0">
              <w:rPr>
                <w:rFonts w:eastAsia="Times New Roman" w:cs="Times New Roman"/>
                <w:i/>
                <w:iCs/>
                <w:color w:val="000000"/>
                <w:sz w:val="22"/>
              </w:rPr>
              <w:t xml:space="preserve"> </w:t>
            </w:r>
          </w:p>
        </w:tc>
        <w:tc>
          <w:tcPr>
            <w:tcW w:w="0" w:type="auto"/>
            <w:tcBorders>
              <w:top w:val="single" w:sz="18" w:space="0" w:color="auto"/>
            </w:tcBorders>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2011</w:t>
            </w:r>
          </w:p>
        </w:tc>
        <w:tc>
          <w:tcPr>
            <w:tcW w:w="0" w:type="auto"/>
            <w:tcBorders>
              <w:top w:val="single" w:sz="18" w:space="0" w:color="auto"/>
            </w:tcBorders>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F15DE0">
              <w:rPr>
                <w:rFonts w:eastAsia="Times New Roman" w:cs="Times New Roman"/>
                <w:color w:val="000000"/>
                <w:sz w:val="22"/>
              </w:rPr>
              <w:t>4</w:t>
            </w:r>
          </w:p>
        </w:tc>
        <w:tc>
          <w:tcPr>
            <w:tcW w:w="0" w:type="auto"/>
            <w:tcBorders>
              <w:top w:val="single" w:sz="18" w:space="0" w:color="auto"/>
            </w:tcBorders>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Liberal</w:t>
            </w:r>
          </w:p>
        </w:tc>
        <w:tc>
          <w:tcPr>
            <w:tcW w:w="0" w:type="auto"/>
            <w:tcBorders>
              <w:top w:val="single" w:sz="18" w:space="0" w:color="auto"/>
            </w:tcBorders>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87</w:t>
            </w:r>
          </w:p>
        </w:tc>
        <w:tc>
          <w:tcPr>
            <w:tcW w:w="0" w:type="auto"/>
            <w:tcBorders>
              <w:top w:val="single" w:sz="18" w:space="0" w:color="auto"/>
            </w:tcBorders>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-16</w:t>
            </w:r>
          </w:p>
        </w:tc>
        <w:tc>
          <w:tcPr>
            <w:tcW w:w="0" w:type="auto"/>
            <w:tcBorders>
              <w:top w:val="single" w:sz="18" w:space="0" w:color="auto"/>
            </w:tcBorders>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Upholds Affordable Care Act</w:t>
            </w:r>
            <w:r>
              <w:rPr>
                <w:rFonts w:eastAsia="Times New Roman" w:cs="Times New Roman"/>
                <w:color w:val="000000"/>
                <w:sz w:val="22"/>
              </w:rPr>
              <w:t>; narrows enforcement of Medicaid expansion (7-2)</w:t>
            </w:r>
          </w:p>
        </w:tc>
      </w:tr>
      <w:tr w:rsidR="006641D3" w:rsidRPr="00F15DE0" w:rsidTr="00660FC6">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2</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roofErr w:type="spellStart"/>
            <w:r w:rsidRPr="00F15DE0">
              <w:rPr>
                <w:rFonts w:eastAsia="Times New Roman" w:cs="Times New Roman"/>
                <w:i/>
                <w:iCs/>
                <w:color w:val="000000"/>
                <w:sz w:val="22"/>
              </w:rPr>
              <w:t>Bilski</w:t>
            </w:r>
            <w:proofErr w:type="spellEnd"/>
            <w:r w:rsidRPr="00F15DE0">
              <w:rPr>
                <w:rFonts w:eastAsia="Times New Roman" w:cs="Times New Roman"/>
                <w:i/>
                <w:iCs/>
                <w:color w:val="000000"/>
                <w:sz w:val="22"/>
              </w:rPr>
              <w:t xml:space="preserve"> v. </w:t>
            </w:r>
            <w:proofErr w:type="spellStart"/>
            <w:r w:rsidRPr="00F15DE0">
              <w:rPr>
                <w:rFonts w:eastAsia="Times New Roman" w:cs="Times New Roman"/>
                <w:i/>
                <w:iCs/>
                <w:color w:val="000000"/>
                <w:sz w:val="22"/>
              </w:rPr>
              <w:t>Kappos</w:t>
            </w:r>
            <w:proofErr w:type="spellEnd"/>
            <w:r w:rsidRPr="00F15DE0">
              <w:rPr>
                <w:rFonts w:eastAsia="Times New Roman" w:cs="Times New Roman"/>
                <w:color w:val="000000"/>
                <w:sz w:val="22"/>
              </w:rPr>
              <w:t xml:space="preserve"> </w:t>
            </w:r>
          </w:p>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08-964</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2009</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9-</w:t>
            </w:r>
            <w:r w:rsidRPr="00F15DE0">
              <w:rPr>
                <w:rFonts w:eastAsia="Times New Roman" w:cs="Times New Roman"/>
                <w:color w:val="000000"/>
                <w:sz w:val="22"/>
              </w:rPr>
              <w:t>0</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Liberal</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69</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6</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Allows patents for some "business methods"</w:t>
            </w:r>
          </w:p>
        </w:tc>
      </w:tr>
      <w:tr w:rsidR="006641D3" w:rsidRPr="00F15DE0" w:rsidTr="00660F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3</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District of Columbia v. Heller</w:t>
            </w:r>
          </w:p>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07-290</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2007</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F15DE0">
              <w:rPr>
                <w:rFonts w:eastAsia="Times New Roman" w:cs="Times New Roman"/>
                <w:color w:val="000000"/>
                <w:sz w:val="22"/>
              </w:rPr>
              <w:t>4</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Conservative</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68</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-28</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Strikes down D.C. gun ban</w:t>
            </w:r>
          </w:p>
        </w:tc>
      </w:tr>
      <w:tr w:rsidR="006641D3" w:rsidRPr="00F15DE0" w:rsidTr="00660FC6">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4</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proofErr w:type="spellStart"/>
            <w:r w:rsidRPr="00F15DE0">
              <w:rPr>
                <w:rFonts w:eastAsia="Times New Roman" w:cs="Times New Roman"/>
                <w:i/>
                <w:iCs/>
                <w:color w:val="000000"/>
                <w:sz w:val="22"/>
              </w:rPr>
              <w:t>Citzens</w:t>
            </w:r>
            <w:proofErr w:type="spellEnd"/>
            <w:r w:rsidRPr="00F15DE0">
              <w:rPr>
                <w:rFonts w:eastAsia="Times New Roman" w:cs="Times New Roman"/>
                <w:i/>
                <w:iCs/>
                <w:color w:val="000000"/>
                <w:sz w:val="22"/>
              </w:rPr>
              <w:t xml:space="preserve"> United v. Federal Election Commission</w:t>
            </w:r>
          </w:p>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08-205</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2009</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F15DE0">
              <w:rPr>
                <w:rFonts w:eastAsia="Times New Roman" w:cs="Times New Roman"/>
                <w:color w:val="000000"/>
                <w:sz w:val="22"/>
              </w:rPr>
              <w:t>4</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Conservative</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53</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-17</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Permits corporations to spend own money on political campaigns</w:t>
            </w:r>
          </w:p>
        </w:tc>
      </w:tr>
      <w:tr w:rsidR="006641D3" w:rsidRPr="00F15DE0" w:rsidTr="00660FC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5</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Florida v. Department of Health and Human Services</w:t>
            </w:r>
          </w:p>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11-400</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2011</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F15DE0">
              <w:rPr>
                <w:rFonts w:eastAsia="Times New Roman" w:cs="Times New Roman"/>
                <w:color w:val="000000"/>
                <w:sz w:val="22"/>
              </w:rPr>
              <w:t>4</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Liberal</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52</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6</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Upholds Affordable Care Act</w:t>
            </w:r>
            <w:r>
              <w:rPr>
                <w:rFonts w:eastAsia="Times New Roman" w:cs="Times New Roman"/>
                <w:color w:val="000000"/>
                <w:sz w:val="22"/>
              </w:rPr>
              <w:t>; narrows enforcement of Medicaid expansion (7-2)</w:t>
            </w:r>
          </w:p>
        </w:tc>
      </w:tr>
      <w:tr w:rsidR="006641D3" w:rsidRPr="00F15DE0" w:rsidTr="00660FC6">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6</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McDonald v. Chicago</w:t>
            </w:r>
          </w:p>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08-1521</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2009</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F15DE0">
              <w:rPr>
                <w:rFonts w:eastAsia="Times New Roman" w:cs="Times New Roman"/>
                <w:color w:val="000000"/>
                <w:sz w:val="22"/>
              </w:rPr>
              <w:t>4</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Conservative</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51</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-15</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Applies Second Amendment gun rights to state and local governments</w:t>
            </w:r>
          </w:p>
        </w:tc>
      </w:tr>
      <w:tr w:rsidR="006641D3" w:rsidRPr="00F15DE0" w:rsidTr="00660F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7</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Microsoft v. i4i Limited Partnership</w:t>
            </w:r>
          </w:p>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10-290</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2010</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8-</w:t>
            </w:r>
            <w:r w:rsidRPr="00F15DE0">
              <w:rPr>
                <w:rFonts w:eastAsia="Times New Roman" w:cs="Times New Roman"/>
                <w:color w:val="000000"/>
                <w:sz w:val="22"/>
              </w:rPr>
              <w:t>0</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Liberal</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48</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5</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64F22">
              <w:rPr>
                <w:color w:val="auto"/>
              </w:rPr>
              <w:t>Patent Act requires an invalidity defense to be proved by clear and convincing evidence</w:t>
            </w:r>
          </w:p>
        </w:tc>
      </w:tr>
      <w:tr w:rsidR="006641D3" w:rsidRPr="00F15DE0" w:rsidTr="00660FC6">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8</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Arizona v. United States</w:t>
            </w:r>
          </w:p>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11-182</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2011</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F15DE0">
              <w:rPr>
                <w:rFonts w:eastAsia="Times New Roman" w:cs="Times New Roman"/>
                <w:color w:val="000000"/>
                <w:sz w:val="22"/>
              </w:rPr>
              <w:t>3</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Liberal</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47</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4</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Strikes three parts of state immigration law; allows immigration status checks (8-0)</w:t>
            </w:r>
          </w:p>
        </w:tc>
      </w:tr>
      <w:tr w:rsidR="006641D3" w:rsidRPr="00F15DE0" w:rsidTr="00660FC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9</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 xml:space="preserve">Crawford v. Marion County </w:t>
            </w:r>
            <w:r w:rsidRPr="00F15DE0">
              <w:rPr>
                <w:rFonts w:eastAsia="Times New Roman" w:cs="Times New Roman"/>
                <w:i/>
                <w:iCs/>
                <w:color w:val="000000"/>
                <w:sz w:val="22"/>
              </w:rPr>
              <w:lastRenderedPageBreak/>
              <w:t>Election Board</w:t>
            </w:r>
          </w:p>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07--21</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lastRenderedPageBreak/>
              <w:t>2007</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6-</w:t>
            </w:r>
            <w:r w:rsidRPr="00F15DE0">
              <w:rPr>
                <w:rFonts w:eastAsia="Times New Roman" w:cs="Times New Roman"/>
                <w:color w:val="000000"/>
                <w:sz w:val="22"/>
              </w:rPr>
              <w:t>3</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Conservative</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41</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8</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Upholds state voter ID law</w:t>
            </w:r>
          </w:p>
        </w:tc>
      </w:tr>
      <w:tr w:rsidR="006641D3" w:rsidRPr="00F15DE0" w:rsidTr="00660FC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lastRenderedPageBreak/>
              <w:t>9</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 xml:space="preserve">Indiana Democratic Party v. </w:t>
            </w:r>
            <w:proofErr w:type="spellStart"/>
            <w:r w:rsidRPr="00F15DE0">
              <w:rPr>
                <w:rFonts w:eastAsia="Times New Roman" w:cs="Times New Roman"/>
                <w:i/>
                <w:iCs/>
                <w:color w:val="000000"/>
                <w:sz w:val="22"/>
              </w:rPr>
              <w:t>Rotika</w:t>
            </w:r>
            <w:proofErr w:type="spellEnd"/>
          </w:p>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07--25</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2007</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6-</w:t>
            </w:r>
            <w:r w:rsidRPr="00F15DE0">
              <w:rPr>
                <w:rFonts w:eastAsia="Times New Roman" w:cs="Times New Roman"/>
                <w:color w:val="000000"/>
                <w:sz w:val="22"/>
              </w:rPr>
              <w:t>3</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Conservative</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41</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8</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Upholds state voter ID law</w:t>
            </w:r>
          </w:p>
        </w:tc>
      </w:tr>
      <w:tr w:rsidR="006641D3" w:rsidRPr="00F15DE0" w:rsidTr="00660FC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10</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Christian Legal Society v. Martinez</w:t>
            </w:r>
          </w:p>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08-1371</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2009</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F15DE0">
              <w:rPr>
                <w:rFonts w:eastAsia="Times New Roman" w:cs="Times New Roman"/>
                <w:color w:val="000000"/>
                <w:sz w:val="22"/>
              </w:rPr>
              <w:t>4</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Conservative</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39</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6</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 xml:space="preserve">Upholds public law school's </w:t>
            </w:r>
            <w:proofErr w:type="spellStart"/>
            <w:r w:rsidRPr="00F15DE0">
              <w:rPr>
                <w:rFonts w:eastAsia="Times New Roman" w:cs="Times New Roman"/>
                <w:color w:val="000000"/>
                <w:sz w:val="22"/>
              </w:rPr>
              <w:t>nonrecognition</w:t>
            </w:r>
            <w:proofErr w:type="spellEnd"/>
            <w:r w:rsidRPr="00F15DE0">
              <w:rPr>
                <w:rFonts w:eastAsia="Times New Roman" w:cs="Times New Roman"/>
                <w:color w:val="000000"/>
                <w:sz w:val="22"/>
              </w:rPr>
              <w:t xml:space="preserve"> of campus group that excludes gays</w:t>
            </w:r>
          </w:p>
        </w:tc>
      </w:tr>
      <w:tr w:rsidR="006641D3" w:rsidRPr="00F15DE0" w:rsidTr="00660FC6">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11</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American Electric Power Co. v. Connecticut</w:t>
            </w:r>
          </w:p>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10-174</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2010</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8-</w:t>
            </w:r>
            <w:r w:rsidRPr="00F15DE0">
              <w:rPr>
                <w:rFonts w:eastAsia="Times New Roman" w:cs="Times New Roman"/>
                <w:color w:val="000000"/>
                <w:sz w:val="22"/>
              </w:rPr>
              <w:t>0</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Conservative</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33</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-13</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Bars climate change suit in federal court against major electric utilities</w:t>
            </w:r>
          </w:p>
        </w:tc>
      </w:tr>
      <w:tr w:rsidR="006641D3" w:rsidRPr="00F15DE0" w:rsidTr="00660FC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12</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Brown v. Entertainment Merchants Association</w:t>
            </w:r>
          </w:p>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08-1448</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2010</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7-</w:t>
            </w:r>
            <w:r w:rsidRPr="00F15DE0">
              <w:rPr>
                <w:rFonts w:eastAsia="Times New Roman" w:cs="Times New Roman"/>
                <w:color w:val="000000"/>
                <w:sz w:val="22"/>
              </w:rPr>
              <w:t>2</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Liberal</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31</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21</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Strikes down California law banning the sale or rental of violent video games to minors</w:t>
            </w:r>
          </w:p>
        </w:tc>
      </w:tr>
      <w:tr w:rsidR="006641D3" w:rsidRPr="00F15DE0" w:rsidTr="00660FC6">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12</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 xml:space="preserve">Hosanna-Tabor Evangelical Lutheran Church </w:t>
            </w:r>
            <w:r w:rsidR="000D6839">
              <w:rPr>
                <w:rFonts w:eastAsia="Times New Roman" w:cs="Times New Roman"/>
                <w:i/>
                <w:iCs/>
                <w:color w:val="000000"/>
                <w:sz w:val="22"/>
              </w:rPr>
              <w:t>and</w:t>
            </w:r>
            <w:r w:rsidRPr="00F15DE0">
              <w:rPr>
                <w:rFonts w:eastAsia="Times New Roman" w:cs="Times New Roman"/>
                <w:i/>
                <w:iCs/>
                <w:color w:val="000000"/>
                <w:sz w:val="22"/>
              </w:rPr>
              <w:t xml:space="preserve"> School v. EEOC</w:t>
            </w:r>
          </w:p>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10-553</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2011</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9-</w:t>
            </w:r>
            <w:r w:rsidRPr="00F15DE0">
              <w:rPr>
                <w:rFonts w:eastAsia="Times New Roman" w:cs="Times New Roman"/>
                <w:color w:val="000000"/>
                <w:sz w:val="22"/>
              </w:rPr>
              <w:t>0</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Liberal</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31</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11</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Exempts religious organizations from antidiscrimination laws in hiring of clergy</w:t>
            </w:r>
          </w:p>
        </w:tc>
      </w:tr>
      <w:tr w:rsidR="006641D3" w:rsidRPr="00F15DE0" w:rsidTr="00660FC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14</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proofErr w:type="spellStart"/>
            <w:r w:rsidRPr="00F15DE0">
              <w:rPr>
                <w:rFonts w:eastAsia="Times New Roman" w:cs="Times New Roman"/>
                <w:i/>
                <w:iCs/>
                <w:color w:val="000000"/>
                <w:sz w:val="22"/>
              </w:rPr>
              <w:t>Stoneridge</w:t>
            </w:r>
            <w:proofErr w:type="spellEnd"/>
            <w:r w:rsidRPr="00F15DE0">
              <w:rPr>
                <w:rFonts w:eastAsia="Times New Roman" w:cs="Times New Roman"/>
                <w:i/>
                <w:iCs/>
                <w:color w:val="000000"/>
                <w:sz w:val="22"/>
              </w:rPr>
              <w:t xml:space="preserve"> Investment Partners, LLC v. Scientific-Atlanta, Inc.</w:t>
            </w:r>
          </w:p>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06-43</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2007</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F15DE0">
              <w:rPr>
                <w:rFonts w:eastAsia="Times New Roman" w:cs="Times New Roman"/>
                <w:color w:val="000000"/>
                <w:sz w:val="22"/>
              </w:rPr>
              <w:t>3</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Conservative</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30</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0</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Limits security fraud suits against companies vendors, customers</w:t>
            </w:r>
          </w:p>
        </w:tc>
      </w:tr>
      <w:tr w:rsidR="006641D3" w:rsidRPr="00F15DE0" w:rsidTr="00660FC6">
        <w:trPr>
          <w:trHeight w:val="9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14</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Wyeth v. Levine</w:t>
            </w:r>
          </w:p>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06-1249</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2008</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6-</w:t>
            </w:r>
            <w:r w:rsidRPr="00F15DE0">
              <w:rPr>
                <w:rFonts w:eastAsia="Times New Roman" w:cs="Times New Roman"/>
                <w:color w:val="000000"/>
                <w:sz w:val="22"/>
              </w:rPr>
              <w:t>3</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Conservative</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30</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-14</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 xml:space="preserve">Allows failure-to-warn suits in state court against </w:t>
            </w:r>
            <w:proofErr w:type="spellStart"/>
            <w:r w:rsidRPr="00F15DE0">
              <w:rPr>
                <w:rFonts w:eastAsia="Times New Roman" w:cs="Times New Roman"/>
                <w:color w:val="000000"/>
                <w:sz w:val="22"/>
              </w:rPr>
              <w:t>drugmakers</w:t>
            </w:r>
            <w:proofErr w:type="spellEnd"/>
            <w:r w:rsidRPr="00F15DE0">
              <w:rPr>
                <w:rFonts w:eastAsia="Times New Roman" w:cs="Times New Roman"/>
                <w:color w:val="000000"/>
                <w:sz w:val="22"/>
              </w:rPr>
              <w:t xml:space="preserve"> despite federal regulation</w:t>
            </w:r>
          </w:p>
        </w:tc>
      </w:tr>
      <w:tr w:rsidR="006641D3" w:rsidRPr="00F15DE0" w:rsidTr="00660FC6">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lastRenderedPageBreak/>
              <w:t>14</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 xml:space="preserve">Salazar v. </w:t>
            </w:r>
            <w:proofErr w:type="spellStart"/>
            <w:r w:rsidRPr="00F15DE0">
              <w:rPr>
                <w:rFonts w:eastAsia="Times New Roman" w:cs="Times New Roman"/>
                <w:i/>
                <w:iCs/>
                <w:color w:val="000000"/>
                <w:sz w:val="22"/>
              </w:rPr>
              <w:t>Buono</w:t>
            </w:r>
            <w:proofErr w:type="spellEnd"/>
          </w:p>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08-472</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2009</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F15DE0">
              <w:rPr>
                <w:rFonts w:eastAsia="Times New Roman" w:cs="Times New Roman"/>
                <w:color w:val="000000"/>
                <w:sz w:val="22"/>
              </w:rPr>
              <w:t>4</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Conservative</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30</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-8</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Deflects Establishment Clause challenge to a Christian cross erected on public land as a memorial to veterans</w:t>
            </w:r>
          </w:p>
        </w:tc>
      </w:tr>
      <w:tr w:rsidR="006641D3" w:rsidRPr="00F15DE0" w:rsidTr="00660FC6">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17</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Quanta Computer, Inc. v. LG Electronics, Inc.</w:t>
            </w:r>
          </w:p>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06-937</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2007</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9-</w:t>
            </w:r>
            <w:r w:rsidRPr="00F15DE0">
              <w:rPr>
                <w:rFonts w:eastAsia="Times New Roman" w:cs="Times New Roman"/>
                <w:color w:val="000000"/>
                <w:sz w:val="22"/>
              </w:rPr>
              <w:t>0</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Liberal</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29</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-3</w:t>
            </w:r>
          </w:p>
        </w:tc>
        <w:tc>
          <w:tcPr>
            <w:tcW w:w="0" w:type="auto"/>
            <w:hideMark/>
          </w:tcPr>
          <w:p w:rsidR="006641D3" w:rsidRPr="00F24D3D"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rPr>
            </w:pPr>
            <w:r w:rsidRPr="00F24D3D">
              <w:rPr>
                <w:color w:val="auto"/>
              </w:rPr>
              <w:t>Extends the doctrine of patent exhaustion to method patents, and removes the ability of patentees to rely on patent law to restrict authorized sales of products embodying their inventions</w:t>
            </w:r>
          </w:p>
        </w:tc>
      </w:tr>
      <w:tr w:rsidR="006641D3" w:rsidRPr="00F15DE0" w:rsidTr="00660FC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17</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Wal-Mart Stores, Inc. v. Dukes</w:t>
            </w:r>
          </w:p>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10-277</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2010</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F15DE0">
              <w:rPr>
                <w:rFonts w:eastAsia="Times New Roman" w:cs="Times New Roman"/>
                <w:color w:val="000000"/>
                <w:sz w:val="22"/>
              </w:rPr>
              <w:t>4</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Conservative</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29</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-1</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Rejects class action sex discrimination suit against Wal-Mart</w:t>
            </w:r>
          </w:p>
        </w:tc>
      </w:tr>
      <w:tr w:rsidR="006641D3" w:rsidRPr="00F15DE0" w:rsidTr="00660FC6">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17</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 xml:space="preserve">National Federation of Independent Business v. </w:t>
            </w:r>
            <w:proofErr w:type="spellStart"/>
            <w:r w:rsidRPr="00F15DE0">
              <w:rPr>
                <w:rFonts w:eastAsia="Times New Roman" w:cs="Times New Roman"/>
                <w:i/>
                <w:iCs/>
                <w:color w:val="000000"/>
                <w:sz w:val="22"/>
              </w:rPr>
              <w:t>Sebelius</w:t>
            </w:r>
            <w:proofErr w:type="spellEnd"/>
          </w:p>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11-393</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2011</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F15DE0">
              <w:rPr>
                <w:rFonts w:eastAsia="Times New Roman" w:cs="Times New Roman"/>
                <w:color w:val="000000"/>
                <w:sz w:val="22"/>
              </w:rPr>
              <w:t>4</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Liberal</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29</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-1</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Upholds Affordable Care Act</w:t>
            </w:r>
            <w:r>
              <w:rPr>
                <w:rFonts w:eastAsia="Times New Roman" w:cs="Times New Roman"/>
                <w:color w:val="000000"/>
                <w:sz w:val="22"/>
              </w:rPr>
              <w:t>; narrows enforcement of Medicaid expansion (7-2)</w:t>
            </w:r>
          </w:p>
        </w:tc>
      </w:tr>
      <w:tr w:rsidR="006641D3" w:rsidRPr="00F15DE0" w:rsidTr="00660FC6">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20</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 xml:space="preserve">Ricci v. </w:t>
            </w:r>
            <w:proofErr w:type="spellStart"/>
            <w:r w:rsidRPr="00F15DE0">
              <w:rPr>
                <w:rFonts w:eastAsia="Times New Roman" w:cs="Times New Roman"/>
                <w:i/>
                <w:iCs/>
                <w:color w:val="000000"/>
                <w:sz w:val="22"/>
              </w:rPr>
              <w:t>DeStefano</w:t>
            </w:r>
            <w:proofErr w:type="spellEnd"/>
          </w:p>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07-1428</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2008</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F15DE0">
              <w:rPr>
                <w:rFonts w:eastAsia="Times New Roman" w:cs="Times New Roman"/>
                <w:color w:val="000000"/>
                <w:sz w:val="22"/>
              </w:rPr>
              <w:t>4</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Conservative</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28</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1</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Requires employers to have a "substantial basis" to fear disparate-impact liability before adopting race-conscious policies to avoid liability</w:t>
            </w:r>
          </w:p>
        </w:tc>
      </w:tr>
      <w:tr w:rsidR="006641D3" w:rsidRPr="00F15DE0" w:rsidTr="00660FC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20</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Alford v. Greene</w:t>
            </w:r>
          </w:p>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09-1478</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2010</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7-</w:t>
            </w:r>
            <w:r w:rsidRPr="00F15DE0">
              <w:rPr>
                <w:rFonts w:eastAsia="Times New Roman" w:cs="Times New Roman"/>
                <w:color w:val="000000"/>
                <w:sz w:val="22"/>
              </w:rPr>
              <w:t>2</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Liberal</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28</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-10</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24D3D">
              <w:rPr>
                <w:color w:val="auto"/>
              </w:rPr>
              <w:t xml:space="preserve">A government official can ask the USSC to review a lower court’s ruling that he violated the </w:t>
            </w:r>
            <w:r w:rsidRPr="00F24D3D">
              <w:rPr>
                <w:color w:val="auto"/>
              </w:rPr>
              <w:lastRenderedPageBreak/>
              <w:t>Constitution, even if the lower court ultimately concluded that he could not be sued for that conduct.</w:t>
            </w:r>
          </w:p>
        </w:tc>
      </w:tr>
      <w:tr w:rsidR="006641D3" w:rsidRPr="00F15DE0" w:rsidTr="00660FC6">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lastRenderedPageBreak/>
              <w:t>21</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 xml:space="preserve">Ricci v. </w:t>
            </w:r>
            <w:proofErr w:type="spellStart"/>
            <w:r w:rsidRPr="00F15DE0">
              <w:rPr>
                <w:rFonts w:eastAsia="Times New Roman" w:cs="Times New Roman"/>
                <w:i/>
                <w:iCs/>
                <w:color w:val="000000"/>
                <w:sz w:val="22"/>
              </w:rPr>
              <w:t>DeStefano</w:t>
            </w:r>
            <w:proofErr w:type="spellEnd"/>
          </w:p>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08-328</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2008</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5</w:t>
            </w:r>
            <w:r>
              <w:rPr>
                <w:rFonts w:eastAsia="Times New Roman" w:cs="Times New Roman"/>
                <w:color w:val="000000"/>
                <w:sz w:val="22"/>
              </w:rPr>
              <w:t>-</w:t>
            </w:r>
            <w:r w:rsidRPr="00F15DE0">
              <w:rPr>
                <w:rFonts w:eastAsia="Times New Roman" w:cs="Times New Roman"/>
                <w:color w:val="000000"/>
                <w:sz w:val="22"/>
              </w:rPr>
              <w:t>4</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Conservative</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27</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0</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Requires employers to have a "substantial basis" to fear disparate-impact liability before adopting race-conscious policies to avoid liability</w:t>
            </w:r>
          </w:p>
        </w:tc>
      </w:tr>
      <w:tr w:rsidR="006641D3" w:rsidRPr="00F15DE0" w:rsidTr="00660FC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21</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proofErr w:type="spellStart"/>
            <w:r w:rsidRPr="00F15DE0">
              <w:rPr>
                <w:rFonts w:eastAsia="Times New Roman" w:cs="Times New Roman"/>
                <w:i/>
                <w:iCs/>
                <w:color w:val="000000"/>
                <w:sz w:val="22"/>
              </w:rPr>
              <w:t>Camreta</w:t>
            </w:r>
            <w:proofErr w:type="spellEnd"/>
            <w:r w:rsidRPr="00F15DE0">
              <w:rPr>
                <w:rFonts w:eastAsia="Times New Roman" w:cs="Times New Roman"/>
                <w:i/>
                <w:iCs/>
                <w:color w:val="000000"/>
                <w:sz w:val="22"/>
              </w:rPr>
              <w:t xml:space="preserve"> v. Greene</w:t>
            </w:r>
          </w:p>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09-1454</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2010</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7-</w:t>
            </w:r>
            <w:r w:rsidRPr="00F15DE0">
              <w:rPr>
                <w:rFonts w:eastAsia="Times New Roman" w:cs="Times New Roman"/>
                <w:color w:val="000000"/>
                <w:sz w:val="22"/>
              </w:rPr>
              <w:t>2</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Liberal</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27</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-10</w:t>
            </w:r>
          </w:p>
        </w:tc>
        <w:tc>
          <w:tcPr>
            <w:tcW w:w="0" w:type="auto"/>
            <w:hideMark/>
          </w:tcPr>
          <w:p w:rsidR="006641D3" w:rsidRPr="00F24D3D"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rPr>
            </w:pPr>
            <w:r w:rsidRPr="00F24D3D">
              <w:rPr>
                <w:color w:val="auto"/>
              </w:rPr>
              <w:t>A government official can ask the USSC to review a lower court’s ruling that he violated the Constitution, even if the lower court ultimately concluded that he could not be sued for that conduct.</w:t>
            </w:r>
          </w:p>
        </w:tc>
      </w:tr>
      <w:tr w:rsidR="006641D3" w:rsidRPr="00F15DE0" w:rsidTr="00660F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21</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Sorrell v. IMS Health Inc.</w:t>
            </w:r>
          </w:p>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10-779</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2010</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6-</w:t>
            </w:r>
            <w:r w:rsidRPr="00F15DE0">
              <w:rPr>
                <w:rFonts w:eastAsia="Times New Roman" w:cs="Times New Roman"/>
                <w:color w:val="000000"/>
                <w:sz w:val="22"/>
              </w:rPr>
              <w:t>3</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Liberal</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27</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7</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501FD0">
              <w:rPr>
                <w:color w:val="auto"/>
              </w:rPr>
              <w:t>Vermont's Prescription Confidentiality Law is subject to heightened judicial scrutiny because it imposes content- and speaker-based burdens on protected expression</w:t>
            </w:r>
          </w:p>
        </w:tc>
      </w:tr>
      <w:tr w:rsidR="006641D3" w:rsidRPr="00F15DE0" w:rsidTr="00660FC6">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21</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 xml:space="preserve">Mayo Collaborative Services v. Prometheus </w:t>
            </w:r>
            <w:r w:rsidRPr="00F15DE0">
              <w:rPr>
                <w:rFonts w:eastAsia="Times New Roman" w:cs="Times New Roman"/>
                <w:i/>
                <w:iCs/>
                <w:color w:val="000000"/>
                <w:sz w:val="22"/>
              </w:rPr>
              <w:lastRenderedPageBreak/>
              <w:t>Laboratories, Inc.</w:t>
            </w:r>
          </w:p>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10-1150</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lastRenderedPageBreak/>
              <w:t>2011</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9-</w:t>
            </w:r>
            <w:r w:rsidRPr="00F15DE0">
              <w:rPr>
                <w:rFonts w:eastAsia="Times New Roman" w:cs="Times New Roman"/>
                <w:color w:val="000000"/>
                <w:sz w:val="22"/>
              </w:rPr>
              <w:t>0</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Liberal</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27</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0</w:t>
            </w:r>
          </w:p>
        </w:tc>
        <w:tc>
          <w:tcPr>
            <w:tcW w:w="0" w:type="auto"/>
            <w:hideMark/>
          </w:tcPr>
          <w:p w:rsidR="006641D3" w:rsidRPr="00501FD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rPr>
            </w:pPr>
            <w:r>
              <w:rPr>
                <w:color w:val="auto"/>
              </w:rPr>
              <w:t xml:space="preserve">Process patents that incorporate laws of nature are </w:t>
            </w:r>
            <w:r>
              <w:rPr>
                <w:color w:val="auto"/>
              </w:rPr>
              <w:lastRenderedPageBreak/>
              <w:t>not eligible for patents</w:t>
            </w:r>
          </w:p>
        </w:tc>
      </w:tr>
      <w:tr w:rsidR="006641D3" w:rsidRPr="00F15DE0" w:rsidTr="00660FC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lastRenderedPageBreak/>
              <w:t>21</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First American Financial Corporation v. Edwards</w:t>
            </w:r>
          </w:p>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10-708</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2011</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9-</w:t>
            </w:r>
            <w:r w:rsidRPr="00F15DE0">
              <w:rPr>
                <w:rFonts w:eastAsia="Times New Roman" w:cs="Times New Roman"/>
                <w:color w:val="000000"/>
                <w:sz w:val="22"/>
              </w:rPr>
              <w:t>0</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Unspecifiable</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27</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0</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USSC dismissed the writ of certiorari as improvidently granted</w:t>
            </w:r>
          </w:p>
        </w:tc>
      </w:tr>
      <w:tr w:rsidR="006641D3" w:rsidRPr="00F15DE0" w:rsidTr="00660FC6">
        <w:trPr>
          <w:trHeight w:val="9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26</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proofErr w:type="spellStart"/>
            <w:r w:rsidRPr="00F15DE0">
              <w:rPr>
                <w:rFonts w:eastAsia="Times New Roman" w:cs="Times New Roman"/>
                <w:i/>
                <w:iCs/>
                <w:color w:val="000000"/>
                <w:sz w:val="22"/>
              </w:rPr>
              <w:t>Boumediene</w:t>
            </w:r>
            <w:proofErr w:type="spellEnd"/>
            <w:r w:rsidRPr="00F15DE0">
              <w:rPr>
                <w:rFonts w:eastAsia="Times New Roman" w:cs="Times New Roman"/>
                <w:i/>
                <w:iCs/>
                <w:color w:val="000000"/>
                <w:sz w:val="22"/>
              </w:rPr>
              <w:t xml:space="preserve"> v. Bush</w:t>
            </w:r>
          </w:p>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06-1195</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2007</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F15DE0">
              <w:rPr>
                <w:rFonts w:eastAsia="Times New Roman" w:cs="Times New Roman"/>
                <w:color w:val="000000"/>
                <w:sz w:val="22"/>
              </w:rPr>
              <w:t>4</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Liberal</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26</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 xml:space="preserve">Strikes down Military Commissions Act; extends </w:t>
            </w:r>
            <w:proofErr w:type="spellStart"/>
            <w:r w:rsidRPr="00F15DE0">
              <w:rPr>
                <w:rFonts w:eastAsia="Times New Roman" w:cs="Times New Roman"/>
                <w:color w:val="000000"/>
                <w:sz w:val="22"/>
              </w:rPr>
              <w:t>habeus</w:t>
            </w:r>
            <w:proofErr w:type="spellEnd"/>
            <w:r w:rsidRPr="00F15DE0">
              <w:rPr>
                <w:rFonts w:eastAsia="Times New Roman" w:cs="Times New Roman"/>
                <w:color w:val="000000"/>
                <w:sz w:val="22"/>
              </w:rPr>
              <w:t xml:space="preserve"> corpus to Guantanamo detainees</w:t>
            </w:r>
          </w:p>
        </w:tc>
      </w:tr>
      <w:tr w:rsidR="006641D3" w:rsidRPr="00F15DE0" w:rsidTr="00660FC6">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26</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proofErr w:type="spellStart"/>
            <w:r w:rsidRPr="00F15DE0">
              <w:rPr>
                <w:rFonts w:eastAsia="Times New Roman" w:cs="Times New Roman"/>
                <w:i/>
                <w:iCs/>
                <w:color w:val="000000"/>
                <w:sz w:val="22"/>
              </w:rPr>
              <w:t>Khalad</w:t>
            </w:r>
            <w:proofErr w:type="spellEnd"/>
            <w:r w:rsidRPr="00F15DE0">
              <w:rPr>
                <w:rFonts w:eastAsia="Times New Roman" w:cs="Times New Roman"/>
                <w:i/>
                <w:iCs/>
                <w:color w:val="000000"/>
                <w:sz w:val="22"/>
              </w:rPr>
              <w:t xml:space="preserve"> A.F. Al </w:t>
            </w:r>
            <w:proofErr w:type="spellStart"/>
            <w:r w:rsidRPr="00F15DE0">
              <w:rPr>
                <w:rFonts w:eastAsia="Times New Roman" w:cs="Times New Roman"/>
                <w:i/>
                <w:iCs/>
                <w:color w:val="000000"/>
                <w:sz w:val="22"/>
              </w:rPr>
              <w:t>Odah</w:t>
            </w:r>
            <w:proofErr w:type="spellEnd"/>
            <w:r w:rsidRPr="00F15DE0">
              <w:rPr>
                <w:rFonts w:eastAsia="Times New Roman" w:cs="Times New Roman"/>
                <w:i/>
                <w:iCs/>
                <w:color w:val="000000"/>
                <w:sz w:val="22"/>
              </w:rPr>
              <w:t xml:space="preserve"> v. United States</w:t>
            </w:r>
          </w:p>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06-1196</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2007</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F15DE0">
              <w:rPr>
                <w:rFonts w:eastAsia="Times New Roman" w:cs="Times New Roman"/>
                <w:color w:val="000000"/>
                <w:sz w:val="22"/>
              </w:rPr>
              <w:t>4</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Liberal</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26</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 xml:space="preserve">Strikes down Military Commissions Act; extends </w:t>
            </w:r>
            <w:proofErr w:type="spellStart"/>
            <w:r w:rsidRPr="00F15DE0">
              <w:rPr>
                <w:rFonts w:eastAsia="Times New Roman" w:cs="Times New Roman"/>
                <w:color w:val="000000"/>
                <w:sz w:val="22"/>
              </w:rPr>
              <w:t>habeus</w:t>
            </w:r>
            <w:proofErr w:type="spellEnd"/>
            <w:r w:rsidRPr="00F15DE0">
              <w:rPr>
                <w:rFonts w:eastAsia="Times New Roman" w:cs="Times New Roman"/>
                <w:color w:val="000000"/>
                <w:sz w:val="22"/>
              </w:rPr>
              <w:t xml:space="preserve"> corpus to Guantanamo detainees</w:t>
            </w:r>
          </w:p>
        </w:tc>
      </w:tr>
      <w:tr w:rsidR="006641D3" w:rsidRPr="00F15DE0" w:rsidTr="00660FC6">
        <w:trPr>
          <w:trHeight w:val="12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26</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Northwest Austin Municipal Utility District No. 1 v. Holder</w:t>
            </w:r>
          </w:p>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08-322</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2008</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8-</w:t>
            </w:r>
            <w:r w:rsidRPr="00F15DE0">
              <w:rPr>
                <w:rFonts w:eastAsia="Times New Roman" w:cs="Times New Roman"/>
                <w:color w:val="000000"/>
                <w:sz w:val="22"/>
              </w:rPr>
              <w:t>1</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Liberal</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26</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0</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Expands eligibility for municipalities to "bail out" of preclearance requirement in Voting Rights Act; constitutional challenge left unresolved</w:t>
            </w:r>
          </w:p>
        </w:tc>
      </w:tr>
      <w:tr w:rsidR="006641D3" w:rsidRPr="00F15DE0" w:rsidTr="00660FC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26</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Doe v. Reed</w:t>
            </w:r>
          </w:p>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09-559</w:t>
            </w:r>
            <w:r w:rsidRPr="00F15DE0">
              <w:rPr>
                <w:rFonts w:eastAsia="Times New Roman" w:cs="Times New Roman"/>
                <w:i/>
                <w:iCs/>
                <w:color w:val="000000"/>
                <w:sz w:val="22"/>
              </w:rPr>
              <w:t xml:space="preserve"> </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2009</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8-</w:t>
            </w:r>
            <w:r w:rsidRPr="00F15DE0">
              <w:rPr>
                <w:rFonts w:eastAsia="Times New Roman" w:cs="Times New Roman"/>
                <w:color w:val="000000"/>
                <w:sz w:val="22"/>
              </w:rPr>
              <w:t>1</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Conservative</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26</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7</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Upholds disclosure law for ballot measure petition signers</w:t>
            </w:r>
          </w:p>
        </w:tc>
      </w:tr>
      <w:tr w:rsidR="006641D3" w:rsidRPr="00F15DE0" w:rsidTr="00660FC6">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26</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AT</w:t>
            </w:r>
            <w:r w:rsidR="0057162A">
              <w:rPr>
                <w:rFonts w:eastAsia="Times New Roman" w:cs="Times New Roman"/>
                <w:i/>
                <w:iCs/>
                <w:color w:val="000000"/>
                <w:sz w:val="22"/>
              </w:rPr>
              <w:t>&amp;</w:t>
            </w:r>
            <w:r w:rsidRPr="00F15DE0">
              <w:rPr>
                <w:rFonts w:eastAsia="Times New Roman" w:cs="Times New Roman"/>
                <w:i/>
                <w:iCs/>
                <w:color w:val="000000"/>
                <w:sz w:val="22"/>
              </w:rPr>
              <w:t>T v. Concepcion</w:t>
            </w:r>
          </w:p>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t>09-893</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2010</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F15DE0">
              <w:rPr>
                <w:rFonts w:eastAsia="Times New Roman" w:cs="Times New Roman"/>
                <w:color w:val="000000"/>
                <w:sz w:val="22"/>
              </w:rPr>
              <w:t>4</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Conservative</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26</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4</w:t>
            </w: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Allows companies to bar class actions under arbitration agreements</w:t>
            </w:r>
          </w:p>
        </w:tc>
      </w:tr>
      <w:tr w:rsidR="006641D3" w:rsidRPr="00F15DE0" w:rsidTr="00660FC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r w:rsidRPr="00F15DE0">
              <w:rPr>
                <w:rFonts w:eastAsia="Times New Roman" w:cs="Times New Roman"/>
                <w:color w:val="000000"/>
                <w:sz w:val="22"/>
              </w:rPr>
              <w:t>31</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i/>
                <w:iCs/>
                <w:color w:val="000000"/>
                <w:sz w:val="22"/>
              </w:rPr>
              <w:t>Arizona Free Enterprise Club's Freedom Club PAC v. Bennett</w:t>
            </w:r>
          </w:p>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F15DE0">
              <w:rPr>
                <w:rFonts w:eastAsia="Times New Roman" w:cs="Times New Roman"/>
                <w:color w:val="000000"/>
                <w:sz w:val="22"/>
              </w:rPr>
              <w:lastRenderedPageBreak/>
              <w:t>10-238</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lastRenderedPageBreak/>
              <w:t>2010</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F15DE0">
              <w:rPr>
                <w:rFonts w:eastAsia="Times New Roman" w:cs="Times New Roman"/>
                <w:color w:val="000000"/>
                <w:sz w:val="22"/>
              </w:rPr>
              <w:t>4</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Conservative</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25</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11</w:t>
            </w:r>
          </w:p>
        </w:tc>
        <w:tc>
          <w:tcPr>
            <w:tcW w:w="0" w:type="auto"/>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F15DE0">
              <w:rPr>
                <w:rFonts w:eastAsia="Times New Roman" w:cs="Times New Roman"/>
                <w:color w:val="000000"/>
                <w:sz w:val="22"/>
              </w:rPr>
              <w:t>Strikes down "matching-fund" provision in Arizona public campaign financing law</w:t>
            </w:r>
          </w:p>
        </w:tc>
      </w:tr>
      <w:tr w:rsidR="006641D3" w:rsidRPr="00F15DE0" w:rsidTr="00660FC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641D3" w:rsidRPr="00F15DE0" w:rsidRDefault="006641D3" w:rsidP="00660FC6">
            <w:pPr>
              <w:ind w:left="0" w:firstLine="0"/>
              <w:jc w:val="center"/>
              <w:rPr>
                <w:rFonts w:eastAsia="Times New Roman" w:cs="Times New Roman"/>
                <w:color w:val="000000"/>
                <w:sz w:val="22"/>
              </w:rPr>
            </w:pP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tc>
        <w:tc>
          <w:tcPr>
            <w:tcW w:w="0" w:type="auto"/>
            <w:hideMark/>
          </w:tcPr>
          <w:p w:rsidR="006641D3" w:rsidRPr="00F15DE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tc>
        <w:tc>
          <w:tcPr>
            <w:tcW w:w="0" w:type="auto"/>
            <w:hideMark/>
          </w:tcPr>
          <w:p w:rsidR="006641D3" w:rsidRPr="00F15DE0" w:rsidRDefault="006641D3" w:rsidP="00660FC6">
            <w:pPr>
              <w:ind w:left="0"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tc>
      </w:tr>
      <w:tr w:rsidR="006641D3" w:rsidRPr="00F15DE0" w:rsidTr="00660F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single" w:sz="18" w:space="0" w:color="auto"/>
            </w:tcBorders>
            <w:noWrap/>
            <w:hideMark/>
          </w:tcPr>
          <w:p w:rsidR="006641D3" w:rsidRPr="00F15DE0" w:rsidRDefault="006641D3" w:rsidP="00660FC6">
            <w:pPr>
              <w:ind w:left="0" w:firstLine="0"/>
              <w:jc w:val="center"/>
              <w:rPr>
                <w:rFonts w:eastAsia="Times New Roman" w:cs="Times New Roman"/>
                <w:color w:val="000000"/>
                <w:sz w:val="22"/>
              </w:rPr>
            </w:pPr>
          </w:p>
        </w:tc>
        <w:tc>
          <w:tcPr>
            <w:tcW w:w="0" w:type="auto"/>
            <w:tcBorders>
              <w:bottom w:val="single" w:sz="18" w:space="0" w:color="auto"/>
            </w:tcBorders>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p>
        </w:tc>
        <w:tc>
          <w:tcPr>
            <w:tcW w:w="0" w:type="auto"/>
            <w:tcBorders>
              <w:bottom w:val="single" w:sz="18" w:space="0" w:color="auto"/>
            </w:tcBorders>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p>
        </w:tc>
        <w:tc>
          <w:tcPr>
            <w:tcW w:w="0" w:type="auto"/>
            <w:tcBorders>
              <w:bottom w:val="single" w:sz="18" w:space="0" w:color="auto"/>
            </w:tcBorders>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p>
        </w:tc>
        <w:tc>
          <w:tcPr>
            <w:tcW w:w="0" w:type="auto"/>
            <w:tcBorders>
              <w:bottom w:val="single" w:sz="18" w:space="0" w:color="auto"/>
            </w:tcBorders>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p>
        </w:tc>
        <w:tc>
          <w:tcPr>
            <w:tcW w:w="0" w:type="auto"/>
            <w:tcBorders>
              <w:bottom w:val="single" w:sz="18" w:space="0" w:color="auto"/>
            </w:tcBorders>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p>
        </w:tc>
        <w:tc>
          <w:tcPr>
            <w:tcW w:w="0" w:type="auto"/>
            <w:tcBorders>
              <w:bottom w:val="single" w:sz="18" w:space="0" w:color="auto"/>
            </w:tcBorders>
            <w:hideMark/>
          </w:tcPr>
          <w:p w:rsidR="006641D3" w:rsidRPr="00F15DE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p>
        </w:tc>
        <w:tc>
          <w:tcPr>
            <w:tcW w:w="0" w:type="auto"/>
            <w:tcBorders>
              <w:bottom w:val="single" w:sz="18" w:space="0" w:color="auto"/>
            </w:tcBorders>
            <w:hideMark/>
          </w:tcPr>
          <w:p w:rsidR="006641D3" w:rsidRPr="00F15DE0" w:rsidRDefault="006641D3" w:rsidP="00660FC6">
            <w:pPr>
              <w:ind w:left="0"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p>
        </w:tc>
      </w:tr>
    </w:tbl>
    <w:p w:rsidR="006641D3" w:rsidRPr="004F50FC" w:rsidRDefault="006641D3" w:rsidP="006641D3">
      <w:pPr>
        <w:ind w:left="0" w:firstLine="0"/>
        <w:rPr>
          <w:rFonts w:cs="Times New Roman"/>
          <w:szCs w:val="24"/>
        </w:rPr>
      </w:pPr>
      <w:r>
        <w:rPr>
          <w:rFonts w:cs="Times New Roman"/>
          <w:b/>
          <w:szCs w:val="24"/>
        </w:rPr>
        <w:t>*</w:t>
      </w:r>
      <w:r>
        <w:rPr>
          <w:rFonts w:cs="Times New Roman"/>
          <w:szCs w:val="24"/>
        </w:rPr>
        <w:t xml:space="preserve">Description of holding is borrowed from </w:t>
      </w:r>
      <w:proofErr w:type="spellStart"/>
      <w:r>
        <w:rPr>
          <w:rFonts w:cs="Times New Roman"/>
          <w:szCs w:val="24"/>
        </w:rPr>
        <w:t>Jost’s</w:t>
      </w:r>
      <w:proofErr w:type="spellEnd"/>
      <w:r>
        <w:rPr>
          <w:rFonts w:cs="Times New Roman"/>
          <w:szCs w:val="24"/>
        </w:rPr>
        <w:t xml:space="preserve"> (2012, 2011, 2010, 2009, 2008) list of major cases published annually in CQ Press’ </w:t>
      </w:r>
      <w:r>
        <w:rPr>
          <w:rFonts w:cs="Times New Roman"/>
          <w:i/>
          <w:szCs w:val="24"/>
        </w:rPr>
        <w:t>Supreme Court Yearbook.</w:t>
      </w:r>
    </w:p>
    <w:p w:rsidR="006641D3" w:rsidRDefault="006641D3" w:rsidP="006641D3">
      <w:pPr>
        <w:spacing w:line="480" w:lineRule="auto"/>
        <w:ind w:left="0" w:firstLine="0"/>
        <w:rPr>
          <w:rFonts w:cs="Times New Roman"/>
          <w:b/>
          <w:szCs w:val="24"/>
        </w:rPr>
      </w:pPr>
    </w:p>
    <w:p w:rsidR="006641D3" w:rsidRDefault="006641D3" w:rsidP="006641D3">
      <w:pPr>
        <w:spacing w:line="480" w:lineRule="auto"/>
        <w:ind w:left="0" w:firstLine="0"/>
        <w:rPr>
          <w:rFonts w:cs="Times New Roman"/>
          <w:b/>
          <w:szCs w:val="24"/>
        </w:rPr>
      </w:pPr>
    </w:p>
    <w:p w:rsidR="006641D3" w:rsidRDefault="006641D3" w:rsidP="006641D3">
      <w:pPr>
        <w:spacing w:line="480" w:lineRule="auto"/>
        <w:ind w:left="0" w:firstLine="0"/>
        <w:rPr>
          <w:rFonts w:cs="Times New Roman"/>
          <w:b/>
          <w:szCs w:val="24"/>
        </w:rPr>
      </w:pPr>
    </w:p>
    <w:p w:rsidR="006641D3" w:rsidRDefault="006641D3" w:rsidP="006641D3">
      <w:pPr>
        <w:spacing w:line="480" w:lineRule="auto"/>
        <w:ind w:left="0" w:firstLine="0"/>
        <w:rPr>
          <w:rFonts w:cs="Times New Roman"/>
          <w:b/>
          <w:szCs w:val="24"/>
        </w:rPr>
      </w:pPr>
    </w:p>
    <w:p w:rsidR="00293313" w:rsidRDefault="00293313" w:rsidP="006641D3">
      <w:pPr>
        <w:spacing w:line="480" w:lineRule="auto"/>
        <w:ind w:left="0" w:firstLine="0"/>
        <w:rPr>
          <w:rFonts w:cs="Times New Roman"/>
          <w:b/>
          <w:szCs w:val="24"/>
        </w:rPr>
      </w:pPr>
    </w:p>
    <w:p w:rsidR="00293313" w:rsidRDefault="00293313" w:rsidP="006641D3">
      <w:pPr>
        <w:spacing w:line="480" w:lineRule="auto"/>
        <w:ind w:left="0" w:firstLine="0"/>
        <w:rPr>
          <w:rFonts w:cs="Times New Roman"/>
          <w:b/>
          <w:szCs w:val="24"/>
        </w:rPr>
      </w:pPr>
    </w:p>
    <w:p w:rsidR="00331DA0" w:rsidRDefault="00331DA0" w:rsidP="006641D3">
      <w:pPr>
        <w:spacing w:line="480" w:lineRule="auto"/>
        <w:ind w:left="0" w:firstLine="0"/>
        <w:rPr>
          <w:rFonts w:cs="Times New Roman"/>
          <w:b/>
          <w:szCs w:val="24"/>
        </w:rPr>
      </w:pPr>
    </w:p>
    <w:p w:rsidR="00331DA0" w:rsidRDefault="00331DA0" w:rsidP="006641D3">
      <w:pPr>
        <w:spacing w:line="480" w:lineRule="auto"/>
        <w:ind w:left="0" w:firstLine="0"/>
        <w:rPr>
          <w:rFonts w:cs="Times New Roman"/>
          <w:b/>
          <w:szCs w:val="24"/>
        </w:rPr>
      </w:pPr>
    </w:p>
    <w:p w:rsidR="00331DA0" w:rsidRDefault="00331DA0" w:rsidP="006641D3">
      <w:pPr>
        <w:spacing w:line="480" w:lineRule="auto"/>
        <w:ind w:left="0" w:firstLine="0"/>
        <w:rPr>
          <w:rFonts w:cs="Times New Roman"/>
          <w:b/>
          <w:szCs w:val="24"/>
        </w:rPr>
      </w:pPr>
    </w:p>
    <w:p w:rsidR="00331DA0" w:rsidRDefault="00331DA0" w:rsidP="006641D3">
      <w:pPr>
        <w:spacing w:line="480" w:lineRule="auto"/>
        <w:ind w:left="0" w:firstLine="0"/>
        <w:rPr>
          <w:rFonts w:cs="Times New Roman"/>
          <w:b/>
          <w:szCs w:val="24"/>
        </w:rPr>
      </w:pPr>
    </w:p>
    <w:p w:rsidR="00331DA0" w:rsidRDefault="00331DA0" w:rsidP="006641D3">
      <w:pPr>
        <w:spacing w:line="480" w:lineRule="auto"/>
        <w:ind w:left="0" w:firstLine="0"/>
        <w:rPr>
          <w:rFonts w:cs="Times New Roman"/>
          <w:b/>
          <w:szCs w:val="24"/>
        </w:rPr>
      </w:pPr>
    </w:p>
    <w:p w:rsidR="00331DA0" w:rsidRDefault="00331DA0" w:rsidP="006641D3">
      <w:pPr>
        <w:spacing w:line="480" w:lineRule="auto"/>
        <w:ind w:left="0" w:firstLine="0"/>
        <w:rPr>
          <w:rFonts w:cs="Times New Roman"/>
          <w:b/>
          <w:szCs w:val="24"/>
        </w:rPr>
      </w:pPr>
    </w:p>
    <w:p w:rsidR="00331DA0" w:rsidRDefault="00331DA0" w:rsidP="006641D3">
      <w:pPr>
        <w:spacing w:line="480" w:lineRule="auto"/>
        <w:ind w:left="0" w:firstLine="0"/>
        <w:rPr>
          <w:rFonts w:cs="Times New Roman"/>
          <w:b/>
          <w:szCs w:val="24"/>
        </w:rPr>
      </w:pPr>
    </w:p>
    <w:p w:rsidR="00331DA0" w:rsidRDefault="00331DA0" w:rsidP="006641D3">
      <w:pPr>
        <w:spacing w:line="480" w:lineRule="auto"/>
        <w:ind w:left="0" w:firstLine="0"/>
        <w:rPr>
          <w:rFonts w:cs="Times New Roman"/>
          <w:b/>
          <w:szCs w:val="24"/>
        </w:rPr>
      </w:pPr>
    </w:p>
    <w:p w:rsidR="00331DA0" w:rsidRDefault="00331DA0" w:rsidP="006641D3">
      <w:pPr>
        <w:spacing w:line="480" w:lineRule="auto"/>
        <w:ind w:left="0" w:firstLine="0"/>
        <w:rPr>
          <w:rFonts w:cs="Times New Roman"/>
          <w:b/>
          <w:szCs w:val="24"/>
        </w:rPr>
      </w:pPr>
    </w:p>
    <w:p w:rsidR="00331DA0" w:rsidRDefault="00331DA0" w:rsidP="006641D3">
      <w:pPr>
        <w:spacing w:line="480" w:lineRule="auto"/>
        <w:ind w:left="0" w:firstLine="0"/>
        <w:rPr>
          <w:rFonts w:cs="Times New Roman"/>
          <w:b/>
          <w:szCs w:val="24"/>
        </w:rPr>
      </w:pPr>
    </w:p>
    <w:p w:rsidR="00331DA0" w:rsidRDefault="00331DA0" w:rsidP="006641D3">
      <w:pPr>
        <w:spacing w:line="480" w:lineRule="auto"/>
        <w:ind w:left="0" w:firstLine="0"/>
        <w:rPr>
          <w:rFonts w:cs="Times New Roman"/>
          <w:b/>
          <w:szCs w:val="24"/>
        </w:rPr>
      </w:pPr>
    </w:p>
    <w:p w:rsidR="00293313" w:rsidRDefault="00293313" w:rsidP="006641D3">
      <w:pPr>
        <w:spacing w:line="480" w:lineRule="auto"/>
        <w:ind w:left="0" w:firstLine="0"/>
        <w:rPr>
          <w:rFonts w:cs="Times New Roman"/>
          <w:b/>
          <w:szCs w:val="24"/>
        </w:rPr>
      </w:pPr>
    </w:p>
    <w:p w:rsidR="006641D3" w:rsidRDefault="006641D3" w:rsidP="006641D3">
      <w:pPr>
        <w:spacing w:line="480" w:lineRule="auto"/>
        <w:ind w:left="0" w:firstLine="0"/>
        <w:rPr>
          <w:rFonts w:cs="Times New Roman"/>
          <w:b/>
          <w:szCs w:val="24"/>
        </w:rPr>
      </w:pPr>
      <w:r>
        <w:rPr>
          <w:rFonts w:cs="Times New Roman"/>
          <w:b/>
          <w:szCs w:val="24"/>
        </w:rPr>
        <w:lastRenderedPageBreak/>
        <w:t xml:space="preserve">Table A.2. </w:t>
      </w:r>
      <w:r w:rsidRPr="008A3F28">
        <w:rPr>
          <w:rFonts w:cs="Times New Roman"/>
          <w:b/>
          <w:szCs w:val="24"/>
        </w:rPr>
        <w:t>List</w:t>
      </w:r>
      <w:r>
        <w:rPr>
          <w:rFonts w:cs="Times New Roman"/>
          <w:b/>
          <w:szCs w:val="24"/>
        </w:rPr>
        <w:t xml:space="preserve"> of Cases Attracting At Least 125 Amicus Cosigners</w:t>
      </w:r>
      <w:r w:rsidRPr="008A3F28">
        <w:rPr>
          <w:rFonts w:cs="Times New Roman"/>
          <w:b/>
          <w:szCs w:val="24"/>
        </w:rPr>
        <w:t>, 2007-2011</w:t>
      </w:r>
    </w:p>
    <w:tbl>
      <w:tblPr>
        <w:tblStyle w:val="LightShading-Accent1"/>
        <w:tblW w:w="0" w:type="auto"/>
        <w:tblLayout w:type="fixed"/>
        <w:tblLook w:val="04A0" w:firstRow="1" w:lastRow="0" w:firstColumn="1" w:lastColumn="0" w:noHBand="0" w:noVBand="1"/>
      </w:tblPr>
      <w:tblGrid>
        <w:gridCol w:w="738"/>
        <w:gridCol w:w="1440"/>
        <w:gridCol w:w="810"/>
        <w:gridCol w:w="720"/>
        <w:gridCol w:w="1440"/>
        <w:gridCol w:w="1165"/>
        <w:gridCol w:w="1535"/>
        <w:gridCol w:w="1728"/>
      </w:tblGrid>
      <w:tr w:rsidR="006641D3" w:rsidRPr="003258EF" w:rsidTr="00331DA0">
        <w:trPr>
          <w:cnfStyle w:val="100000000000" w:firstRow="1" w:lastRow="0" w:firstColumn="0" w:lastColumn="0" w:oddVBand="0" w:evenVBand="0" w:oddHBand="0" w:evenHBand="0" w:firstRowFirstColumn="0" w:firstRowLastColumn="0" w:lastRowFirstColumn="0" w:lastRowLastColumn="0"/>
          <w:trHeight w:val="1200"/>
          <w:tblHeader/>
        </w:trPr>
        <w:tc>
          <w:tcPr>
            <w:cnfStyle w:val="001000000000" w:firstRow="0" w:lastRow="0" w:firstColumn="1" w:lastColumn="0" w:oddVBand="0" w:evenVBand="0" w:oddHBand="0" w:evenHBand="0" w:firstRowFirstColumn="0" w:firstRowLastColumn="0" w:lastRowFirstColumn="0" w:lastRowLastColumn="0"/>
            <w:tcW w:w="738" w:type="dxa"/>
            <w:tcBorders>
              <w:top w:val="single" w:sz="18" w:space="0" w:color="auto"/>
              <w:bottom w:val="single" w:sz="18" w:space="0" w:color="auto"/>
            </w:tcBorders>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Rank</w:t>
            </w:r>
          </w:p>
        </w:tc>
        <w:tc>
          <w:tcPr>
            <w:tcW w:w="1440" w:type="dxa"/>
            <w:tcBorders>
              <w:top w:val="single" w:sz="18" w:space="0" w:color="auto"/>
              <w:bottom w:val="single" w:sz="18" w:space="0" w:color="auto"/>
            </w:tcBorders>
            <w:hideMark/>
          </w:tcPr>
          <w:p w:rsidR="006641D3" w:rsidRDefault="006641D3" w:rsidP="00660FC6">
            <w:pPr>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Case Name</w:t>
            </w:r>
          </w:p>
          <w:p w:rsidR="006641D3" w:rsidRDefault="000D6839" w:rsidP="00660FC6">
            <w:pPr>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and</w:t>
            </w:r>
          </w:p>
          <w:p w:rsidR="006641D3" w:rsidRDefault="006641D3" w:rsidP="00660FC6">
            <w:pPr>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Docket</w:t>
            </w:r>
          </w:p>
          <w:p w:rsidR="006641D3" w:rsidRPr="003258EF" w:rsidRDefault="006641D3" w:rsidP="00660FC6">
            <w:pPr>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Number</w:t>
            </w:r>
          </w:p>
        </w:tc>
        <w:tc>
          <w:tcPr>
            <w:tcW w:w="810" w:type="dxa"/>
            <w:tcBorders>
              <w:top w:val="single" w:sz="18" w:space="0" w:color="auto"/>
              <w:bottom w:val="single" w:sz="18" w:space="0" w:color="auto"/>
            </w:tcBorders>
            <w:noWrap/>
            <w:hideMark/>
          </w:tcPr>
          <w:p w:rsidR="006641D3" w:rsidRPr="003258EF" w:rsidRDefault="006641D3" w:rsidP="00660FC6">
            <w:pPr>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Term</w:t>
            </w:r>
          </w:p>
        </w:tc>
        <w:tc>
          <w:tcPr>
            <w:tcW w:w="720" w:type="dxa"/>
            <w:tcBorders>
              <w:top w:val="single" w:sz="18" w:space="0" w:color="auto"/>
              <w:bottom w:val="single" w:sz="18" w:space="0" w:color="auto"/>
            </w:tcBorders>
            <w:noWrap/>
            <w:hideMark/>
          </w:tcPr>
          <w:p w:rsidR="006641D3" w:rsidRPr="003258EF" w:rsidRDefault="006641D3" w:rsidP="00660FC6">
            <w:pPr>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Vote</w:t>
            </w:r>
          </w:p>
        </w:tc>
        <w:tc>
          <w:tcPr>
            <w:tcW w:w="1440" w:type="dxa"/>
            <w:tcBorders>
              <w:top w:val="single" w:sz="18" w:space="0" w:color="auto"/>
              <w:bottom w:val="single" w:sz="18" w:space="0" w:color="auto"/>
            </w:tcBorders>
            <w:hideMark/>
          </w:tcPr>
          <w:p w:rsidR="006641D3" w:rsidRPr="003258EF" w:rsidRDefault="006641D3" w:rsidP="00660FC6">
            <w:pPr>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Decision Direction</w:t>
            </w:r>
          </w:p>
        </w:tc>
        <w:tc>
          <w:tcPr>
            <w:tcW w:w="1165" w:type="dxa"/>
            <w:tcBorders>
              <w:top w:val="single" w:sz="18" w:space="0" w:color="auto"/>
              <w:bottom w:val="single" w:sz="18" w:space="0" w:color="auto"/>
            </w:tcBorders>
            <w:hideMark/>
          </w:tcPr>
          <w:p w:rsidR="006641D3" w:rsidRPr="003258EF" w:rsidRDefault="006641D3" w:rsidP="00660FC6">
            <w:pPr>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Number of Amicus Cosigners</w:t>
            </w:r>
          </w:p>
        </w:tc>
        <w:tc>
          <w:tcPr>
            <w:tcW w:w="1535" w:type="dxa"/>
            <w:tcBorders>
              <w:top w:val="single" w:sz="18" w:space="0" w:color="auto"/>
              <w:bottom w:val="single" w:sz="18" w:space="0" w:color="auto"/>
            </w:tcBorders>
            <w:hideMark/>
          </w:tcPr>
          <w:p w:rsidR="006641D3" w:rsidRPr="003258EF" w:rsidRDefault="006641D3" w:rsidP="00660FC6">
            <w:pPr>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2"/>
              </w:rPr>
            </w:pPr>
            <w:r w:rsidRPr="003258EF">
              <w:rPr>
                <w:rFonts w:eastAsia="Times New Roman" w:cs="Times New Roman"/>
                <w:color w:val="000000"/>
                <w:sz w:val="22"/>
              </w:rPr>
              <w:t>Liberal - Conservative Amic</w:t>
            </w:r>
            <w:r w:rsidRPr="003258EF">
              <w:rPr>
                <w:rFonts w:eastAsia="Times New Roman" w:cs="Times New Roman"/>
                <w:bCs w:val="0"/>
                <w:color w:val="000000"/>
                <w:sz w:val="22"/>
              </w:rPr>
              <w:t xml:space="preserve">us Cosigner Difference </w:t>
            </w:r>
          </w:p>
          <w:p w:rsidR="006641D3" w:rsidRPr="003258EF" w:rsidRDefault="006641D3" w:rsidP="00660FC6">
            <w:pPr>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rPr>
            </w:pPr>
          </w:p>
        </w:tc>
        <w:tc>
          <w:tcPr>
            <w:tcW w:w="1728" w:type="dxa"/>
            <w:tcBorders>
              <w:top w:val="single" w:sz="18" w:space="0" w:color="auto"/>
              <w:bottom w:val="single" w:sz="18" w:space="0" w:color="auto"/>
            </w:tcBorders>
            <w:hideMark/>
          </w:tcPr>
          <w:p w:rsidR="006641D3" w:rsidRPr="003258EF" w:rsidRDefault="006641D3" w:rsidP="00660FC6">
            <w:pPr>
              <w:ind w:left="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Holding</w:t>
            </w:r>
            <w:r>
              <w:rPr>
                <w:rFonts w:eastAsia="Times New Roman" w:cs="Times New Roman"/>
                <w:color w:val="000000"/>
                <w:sz w:val="22"/>
              </w:rPr>
              <w:t>*</w:t>
            </w:r>
          </w:p>
        </w:tc>
      </w:tr>
      <w:tr w:rsidR="006641D3" w:rsidRPr="003258EF" w:rsidTr="00660FC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38" w:type="dxa"/>
            <w:tcBorders>
              <w:top w:val="single" w:sz="18" w:space="0" w:color="auto"/>
            </w:tcBorders>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1</w:t>
            </w:r>
          </w:p>
        </w:tc>
        <w:tc>
          <w:tcPr>
            <w:tcW w:w="1440" w:type="dxa"/>
            <w:tcBorders>
              <w:top w:val="single" w:sz="18" w:space="0" w:color="auto"/>
            </w:tcBorders>
            <w:hideMark/>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Department of Health and Human Services v. Florida</w:t>
            </w:r>
          </w:p>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11-398</w:t>
            </w:r>
            <w:r>
              <w:rPr>
                <w:rFonts w:eastAsia="Times New Roman" w:cs="Times New Roman"/>
                <w:color w:val="000000"/>
                <w:sz w:val="22"/>
              </w:rPr>
              <w:t>)</w:t>
            </w:r>
          </w:p>
        </w:tc>
        <w:tc>
          <w:tcPr>
            <w:tcW w:w="810" w:type="dxa"/>
            <w:tcBorders>
              <w:top w:val="single" w:sz="18" w:space="0" w:color="auto"/>
            </w:tcBorders>
            <w:noWrap/>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2011</w:t>
            </w:r>
          </w:p>
        </w:tc>
        <w:tc>
          <w:tcPr>
            <w:tcW w:w="720" w:type="dxa"/>
            <w:tcBorders>
              <w:top w:val="single" w:sz="18" w:space="0" w:color="auto"/>
            </w:tcBorders>
            <w:noWrap/>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3258EF">
              <w:rPr>
                <w:rFonts w:eastAsia="Times New Roman" w:cs="Times New Roman"/>
                <w:color w:val="000000"/>
                <w:sz w:val="22"/>
              </w:rPr>
              <w:t>4</w:t>
            </w:r>
          </w:p>
        </w:tc>
        <w:tc>
          <w:tcPr>
            <w:tcW w:w="1440" w:type="dxa"/>
            <w:tcBorders>
              <w:top w:val="single" w:sz="18" w:space="0" w:color="auto"/>
            </w:tcBorders>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Liberal</w:t>
            </w:r>
          </w:p>
        </w:tc>
        <w:tc>
          <w:tcPr>
            <w:tcW w:w="1165" w:type="dxa"/>
            <w:tcBorders>
              <w:top w:val="single" w:sz="18" w:space="0" w:color="auto"/>
            </w:tcBorders>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1,928</w:t>
            </w:r>
          </w:p>
        </w:tc>
        <w:tc>
          <w:tcPr>
            <w:tcW w:w="1535" w:type="dxa"/>
            <w:tcBorders>
              <w:top w:val="single" w:sz="18" w:space="0" w:color="auto"/>
            </w:tcBorders>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-94</w:t>
            </w:r>
          </w:p>
        </w:tc>
        <w:tc>
          <w:tcPr>
            <w:tcW w:w="1728" w:type="dxa"/>
            <w:tcBorders>
              <w:top w:val="single" w:sz="18" w:space="0" w:color="auto"/>
            </w:tcBorders>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Upholds Affordable Care Act</w:t>
            </w:r>
            <w:r>
              <w:rPr>
                <w:rFonts w:eastAsia="Times New Roman" w:cs="Times New Roman"/>
                <w:color w:val="000000"/>
                <w:sz w:val="22"/>
              </w:rPr>
              <w:t>; narrows enforcement of Medicaid expansion (7-2)</w:t>
            </w:r>
          </w:p>
        </w:tc>
      </w:tr>
      <w:tr w:rsidR="006641D3" w:rsidRPr="003258EF" w:rsidTr="00660FC6">
        <w:trPr>
          <w:trHeight w:val="6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2</w:t>
            </w:r>
          </w:p>
        </w:tc>
        <w:tc>
          <w:tcPr>
            <w:tcW w:w="1440" w:type="dxa"/>
            <w:hideMark/>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McDonald v. Chicago</w:t>
            </w:r>
          </w:p>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08-1521</w:t>
            </w:r>
            <w:r>
              <w:rPr>
                <w:rFonts w:eastAsia="Times New Roman" w:cs="Times New Roman"/>
                <w:color w:val="000000"/>
                <w:sz w:val="22"/>
              </w:rPr>
              <w:t>)</w:t>
            </w:r>
          </w:p>
        </w:tc>
        <w:tc>
          <w:tcPr>
            <w:tcW w:w="81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2009</w:t>
            </w:r>
          </w:p>
        </w:tc>
        <w:tc>
          <w:tcPr>
            <w:tcW w:w="72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3258EF">
              <w:rPr>
                <w:rFonts w:eastAsia="Times New Roman" w:cs="Times New Roman"/>
                <w:color w:val="000000"/>
                <w:sz w:val="22"/>
              </w:rPr>
              <w:t>4</w:t>
            </w:r>
          </w:p>
        </w:tc>
        <w:tc>
          <w:tcPr>
            <w:tcW w:w="144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Conservative</w:t>
            </w:r>
          </w:p>
        </w:tc>
        <w:tc>
          <w:tcPr>
            <w:tcW w:w="116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1,622</w:t>
            </w:r>
          </w:p>
        </w:tc>
        <w:tc>
          <w:tcPr>
            <w:tcW w:w="153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-1,269</w:t>
            </w:r>
          </w:p>
        </w:tc>
        <w:tc>
          <w:tcPr>
            <w:tcW w:w="1728"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Applies Second Amendment gun rights to state and local governments</w:t>
            </w:r>
          </w:p>
        </w:tc>
      </w:tr>
      <w:tr w:rsidR="006641D3" w:rsidRPr="003258EF" w:rsidTr="00660FC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3</w:t>
            </w:r>
          </w:p>
        </w:tc>
        <w:tc>
          <w:tcPr>
            <w:tcW w:w="1440" w:type="dxa"/>
            <w:hideMark/>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Florida v. Department of Health and Human Services</w:t>
            </w:r>
          </w:p>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11-400</w:t>
            </w:r>
            <w:r>
              <w:rPr>
                <w:rFonts w:eastAsia="Times New Roman" w:cs="Times New Roman"/>
                <w:color w:val="000000"/>
                <w:sz w:val="22"/>
              </w:rPr>
              <w:t>)</w:t>
            </w:r>
          </w:p>
        </w:tc>
        <w:tc>
          <w:tcPr>
            <w:tcW w:w="81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2011</w:t>
            </w:r>
          </w:p>
        </w:tc>
        <w:tc>
          <w:tcPr>
            <w:tcW w:w="72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3258EF">
              <w:rPr>
                <w:rFonts w:eastAsia="Times New Roman" w:cs="Times New Roman"/>
                <w:color w:val="000000"/>
                <w:sz w:val="22"/>
              </w:rPr>
              <w:t>4</w:t>
            </w:r>
          </w:p>
        </w:tc>
        <w:tc>
          <w:tcPr>
            <w:tcW w:w="144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Liberal</w:t>
            </w:r>
          </w:p>
        </w:tc>
        <w:tc>
          <w:tcPr>
            <w:tcW w:w="116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1,413</w:t>
            </w:r>
          </w:p>
        </w:tc>
        <w:tc>
          <w:tcPr>
            <w:tcW w:w="153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348</w:t>
            </w:r>
          </w:p>
        </w:tc>
        <w:tc>
          <w:tcPr>
            <w:tcW w:w="1728"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Upholds Affordable Care Act</w:t>
            </w:r>
            <w:r>
              <w:rPr>
                <w:rFonts w:eastAsia="Times New Roman" w:cs="Times New Roman"/>
                <w:color w:val="000000"/>
                <w:sz w:val="22"/>
              </w:rPr>
              <w:t>; narrows enforcement of Medicaid expansion (7-2)</w:t>
            </w:r>
          </w:p>
        </w:tc>
      </w:tr>
      <w:tr w:rsidR="006641D3" w:rsidRPr="003258EF" w:rsidTr="00660FC6">
        <w:trPr>
          <w:trHeight w:val="3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4</w:t>
            </w:r>
          </w:p>
        </w:tc>
        <w:tc>
          <w:tcPr>
            <w:tcW w:w="1440" w:type="dxa"/>
            <w:hideMark/>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District of Columbia v. Heller</w:t>
            </w:r>
          </w:p>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07-290</w:t>
            </w:r>
            <w:r>
              <w:rPr>
                <w:rFonts w:eastAsia="Times New Roman" w:cs="Times New Roman"/>
                <w:color w:val="000000"/>
                <w:sz w:val="22"/>
              </w:rPr>
              <w:t>)</w:t>
            </w:r>
          </w:p>
        </w:tc>
        <w:tc>
          <w:tcPr>
            <w:tcW w:w="81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2007</w:t>
            </w:r>
          </w:p>
        </w:tc>
        <w:tc>
          <w:tcPr>
            <w:tcW w:w="72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3258EF">
              <w:rPr>
                <w:rFonts w:eastAsia="Times New Roman" w:cs="Times New Roman"/>
                <w:color w:val="000000"/>
                <w:sz w:val="22"/>
              </w:rPr>
              <w:t>4</w:t>
            </w:r>
          </w:p>
        </w:tc>
        <w:tc>
          <w:tcPr>
            <w:tcW w:w="144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Conservative</w:t>
            </w:r>
          </w:p>
        </w:tc>
        <w:tc>
          <w:tcPr>
            <w:tcW w:w="116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920</w:t>
            </w:r>
          </w:p>
        </w:tc>
        <w:tc>
          <w:tcPr>
            <w:tcW w:w="153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-482</w:t>
            </w:r>
          </w:p>
        </w:tc>
        <w:tc>
          <w:tcPr>
            <w:tcW w:w="1728"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Strikes down D.C. gun ban</w:t>
            </w:r>
          </w:p>
        </w:tc>
      </w:tr>
      <w:tr w:rsidR="006641D3" w:rsidRPr="003258EF" w:rsidTr="00660FC6">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5</w:t>
            </w:r>
          </w:p>
        </w:tc>
        <w:tc>
          <w:tcPr>
            <w:tcW w:w="1440" w:type="dxa"/>
            <w:hideMark/>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proofErr w:type="spellStart"/>
            <w:r w:rsidRPr="003258EF">
              <w:rPr>
                <w:rFonts w:eastAsia="Times New Roman" w:cs="Times New Roman"/>
                <w:i/>
                <w:iCs/>
                <w:color w:val="000000"/>
                <w:sz w:val="22"/>
              </w:rPr>
              <w:t>Boumediene</w:t>
            </w:r>
            <w:proofErr w:type="spellEnd"/>
            <w:r w:rsidRPr="003258EF">
              <w:rPr>
                <w:rFonts w:eastAsia="Times New Roman" w:cs="Times New Roman"/>
                <w:i/>
                <w:iCs/>
                <w:color w:val="000000"/>
                <w:sz w:val="22"/>
              </w:rPr>
              <w:t xml:space="preserve"> v. Bush</w:t>
            </w:r>
          </w:p>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Cs/>
                <w:color w:val="000000"/>
                <w:sz w:val="22"/>
              </w:rPr>
            </w:pPr>
            <w:r>
              <w:rPr>
                <w:rFonts w:eastAsia="Times New Roman" w:cs="Times New Roman"/>
                <w:color w:val="000000"/>
                <w:sz w:val="22"/>
              </w:rPr>
              <w:t>(</w:t>
            </w:r>
            <w:r w:rsidRPr="003258EF">
              <w:rPr>
                <w:rFonts w:eastAsia="Times New Roman" w:cs="Times New Roman"/>
                <w:color w:val="000000"/>
                <w:sz w:val="22"/>
              </w:rPr>
              <w:t>06-1195</w:t>
            </w:r>
            <w:r>
              <w:rPr>
                <w:rFonts w:eastAsia="Times New Roman" w:cs="Times New Roman"/>
                <w:color w:val="000000"/>
                <w:sz w:val="22"/>
              </w:rPr>
              <w:t>)</w:t>
            </w:r>
          </w:p>
        </w:tc>
        <w:tc>
          <w:tcPr>
            <w:tcW w:w="81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2007</w:t>
            </w:r>
          </w:p>
        </w:tc>
        <w:tc>
          <w:tcPr>
            <w:tcW w:w="72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3258EF">
              <w:rPr>
                <w:rFonts w:eastAsia="Times New Roman" w:cs="Times New Roman"/>
                <w:color w:val="000000"/>
                <w:sz w:val="22"/>
              </w:rPr>
              <w:t>4</w:t>
            </w:r>
          </w:p>
        </w:tc>
        <w:tc>
          <w:tcPr>
            <w:tcW w:w="144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Liberal</w:t>
            </w:r>
          </w:p>
        </w:tc>
        <w:tc>
          <w:tcPr>
            <w:tcW w:w="116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625</w:t>
            </w:r>
          </w:p>
        </w:tc>
        <w:tc>
          <w:tcPr>
            <w:tcW w:w="153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603</w:t>
            </w:r>
          </w:p>
        </w:tc>
        <w:tc>
          <w:tcPr>
            <w:tcW w:w="1728"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 xml:space="preserve">Strikes down Military Commissions Act; extends </w:t>
            </w:r>
            <w:proofErr w:type="spellStart"/>
            <w:r w:rsidRPr="003258EF">
              <w:rPr>
                <w:rFonts w:eastAsia="Times New Roman" w:cs="Times New Roman"/>
                <w:color w:val="000000"/>
                <w:sz w:val="22"/>
              </w:rPr>
              <w:t>habeus</w:t>
            </w:r>
            <w:proofErr w:type="spellEnd"/>
            <w:r w:rsidRPr="003258EF">
              <w:rPr>
                <w:rFonts w:eastAsia="Times New Roman" w:cs="Times New Roman"/>
                <w:color w:val="000000"/>
                <w:sz w:val="22"/>
              </w:rPr>
              <w:t xml:space="preserve"> corpus to Guantanamo detainees</w:t>
            </w:r>
          </w:p>
        </w:tc>
      </w:tr>
      <w:tr w:rsidR="006641D3" w:rsidRPr="003258EF" w:rsidTr="00660FC6">
        <w:trPr>
          <w:trHeight w:val="9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5</w:t>
            </w:r>
          </w:p>
        </w:tc>
        <w:tc>
          <w:tcPr>
            <w:tcW w:w="1440" w:type="dxa"/>
            <w:hideMark/>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proofErr w:type="spellStart"/>
            <w:r w:rsidRPr="003258EF">
              <w:rPr>
                <w:rFonts w:eastAsia="Times New Roman" w:cs="Times New Roman"/>
                <w:i/>
                <w:iCs/>
                <w:color w:val="000000"/>
                <w:sz w:val="22"/>
              </w:rPr>
              <w:t>Khalad</w:t>
            </w:r>
            <w:proofErr w:type="spellEnd"/>
            <w:r w:rsidRPr="003258EF">
              <w:rPr>
                <w:rFonts w:eastAsia="Times New Roman" w:cs="Times New Roman"/>
                <w:i/>
                <w:iCs/>
                <w:color w:val="000000"/>
                <w:sz w:val="22"/>
              </w:rPr>
              <w:t xml:space="preserve"> A.F. Al </w:t>
            </w:r>
            <w:proofErr w:type="spellStart"/>
            <w:r w:rsidRPr="003258EF">
              <w:rPr>
                <w:rFonts w:eastAsia="Times New Roman" w:cs="Times New Roman"/>
                <w:i/>
                <w:iCs/>
                <w:color w:val="000000"/>
                <w:sz w:val="22"/>
              </w:rPr>
              <w:t>Odah</w:t>
            </w:r>
            <w:proofErr w:type="spellEnd"/>
            <w:r w:rsidRPr="003258EF">
              <w:rPr>
                <w:rFonts w:eastAsia="Times New Roman" w:cs="Times New Roman"/>
                <w:i/>
                <w:iCs/>
                <w:color w:val="000000"/>
                <w:sz w:val="22"/>
              </w:rPr>
              <w:t xml:space="preserve"> v. United States</w:t>
            </w:r>
          </w:p>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06-1196</w:t>
            </w:r>
            <w:r>
              <w:rPr>
                <w:rFonts w:eastAsia="Times New Roman" w:cs="Times New Roman"/>
                <w:color w:val="000000"/>
                <w:sz w:val="22"/>
              </w:rPr>
              <w:t>)</w:t>
            </w:r>
          </w:p>
        </w:tc>
        <w:tc>
          <w:tcPr>
            <w:tcW w:w="81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2007</w:t>
            </w:r>
          </w:p>
        </w:tc>
        <w:tc>
          <w:tcPr>
            <w:tcW w:w="72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3258EF">
              <w:rPr>
                <w:rFonts w:eastAsia="Times New Roman" w:cs="Times New Roman"/>
                <w:color w:val="000000"/>
                <w:sz w:val="22"/>
              </w:rPr>
              <w:t>4</w:t>
            </w:r>
          </w:p>
        </w:tc>
        <w:tc>
          <w:tcPr>
            <w:tcW w:w="144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Liberal</w:t>
            </w:r>
          </w:p>
        </w:tc>
        <w:tc>
          <w:tcPr>
            <w:tcW w:w="116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625</w:t>
            </w:r>
          </w:p>
        </w:tc>
        <w:tc>
          <w:tcPr>
            <w:tcW w:w="153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603</w:t>
            </w:r>
          </w:p>
        </w:tc>
        <w:tc>
          <w:tcPr>
            <w:tcW w:w="1728"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 xml:space="preserve">Strikes down Military Commissions Act; extends </w:t>
            </w:r>
            <w:proofErr w:type="spellStart"/>
            <w:r w:rsidRPr="003258EF">
              <w:rPr>
                <w:rFonts w:eastAsia="Times New Roman" w:cs="Times New Roman"/>
                <w:color w:val="000000"/>
                <w:sz w:val="22"/>
              </w:rPr>
              <w:t>habeus</w:t>
            </w:r>
            <w:proofErr w:type="spellEnd"/>
            <w:r w:rsidRPr="003258EF">
              <w:rPr>
                <w:rFonts w:eastAsia="Times New Roman" w:cs="Times New Roman"/>
                <w:color w:val="000000"/>
                <w:sz w:val="22"/>
              </w:rPr>
              <w:t xml:space="preserve"> corpus to Guantanamo detainees</w:t>
            </w:r>
          </w:p>
        </w:tc>
      </w:tr>
      <w:tr w:rsidR="006641D3" w:rsidRPr="003258EF" w:rsidTr="00660FC6">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7</w:t>
            </w:r>
          </w:p>
        </w:tc>
        <w:tc>
          <w:tcPr>
            <w:tcW w:w="1440" w:type="dxa"/>
            <w:hideMark/>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Arizona v. United States</w:t>
            </w:r>
          </w:p>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11-182</w:t>
            </w:r>
            <w:r>
              <w:rPr>
                <w:rFonts w:eastAsia="Times New Roman" w:cs="Times New Roman"/>
                <w:color w:val="000000"/>
                <w:sz w:val="22"/>
              </w:rPr>
              <w:t>)</w:t>
            </w:r>
          </w:p>
        </w:tc>
        <w:tc>
          <w:tcPr>
            <w:tcW w:w="81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2011</w:t>
            </w:r>
          </w:p>
        </w:tc>
        <w:tc>
          <w:tcPr>
            <w:tcW w:w="72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3258EF">
              <w:rPr>
                <w:rFonts w:eastAsia="Times New Roman" w:cs="Times New Roman"/>
                <w:color w:val="000000"/>
                <w:sz w:val="22"/>
              </w:rPr>
              <w:t>3</w:t>
            </w:r>
          </w:p>
        </w:tc>
        <w:tc>
          <w:tcPr>
            <w:tcW w:w="144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Liberal</w:t>
            </w:r>
          </w:p>
        </w:tc>
        <w:tc>
          <w:tcPr>
            <w:tcW w:w="116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528</w:t>
            </w:r>
          </w:p>
        </w:tc>
        <w:tc>
          <w:tcPr>
            <w:tcW w:w="153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219</w:t>
            </w:r>
          </w:p>
        </w:tc>
        <w:tc>
          <w:tcPr>
            <w:tcW w:w="1728"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Strikes three parts of state immigration law; allows immigration status checks (8-0)</w:t>
            </w:r>
          </w:p>
        </w:tc>
      </w:tr>
      <w:tr w:rsidR="006641D3" w:rsidRPr="003258EF" w:rsidTr="00660FC6">
        <w:trPr>
          <w:trHeight w:val="9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lastRenderedPageBreak/>
              <w:t>8</w:t>
            </w:r>
          </w:p>
        </w:tc>
        <w:tc>
          <w:tcPr>
            <w:tcW w:w="1440" w:type="dxa"/>
            <w:hideMark/>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 xml:space="preserve">National Federation of Independent Business v. </w:t>
            </w:r>
            <w:proofErr w:type="spellStart"/>
            <w:r w:rsidRPr="003258EF">
              <w:rPr>
                <w:rFonts w:eastAsia="Times New Roman" w:cs="Times New Roman"/>
                <w:i/>
                <w:iCs/>
                <w:color w:val="000000"/>
                <w:sz w:val="22"/>
              </w:rPr>
              <w:t>Sebelius</w:t>
            </w:r>
            <w:proofErr w:type="spellEnd"/>
          </w:p>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11-393</w:t>
            </w:r>
            <w:r>
              <w:rPr>
                <w:rFonts w:eastAsia="Times New Roman" w:cs="Times New Roman"/>
                <w:color w:val="000000"/>
                <w:sz w:val="22"/>
              </w:rPr>
              <w:t>)</w:t>
            </w:r>
          </w:p>
        </w:tc>
        <w:tc>
          <w:tcPr>
            <w:tcW w:w="81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2011</w:t>
            </w:r>
          </w:p>
        </w:tc>
        <w:tc>
          <w:tcPr>
            <w:tcW w:w="72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3258EF">
              <w:rPr>
                <w:rFonts w:eastAsia="Times New Roman" w:cs="Times New Roman"/>
                <w:color w:val="000000"/>
                <w:sz w:val="22"/>
              </w:rPr>
              <w:t>4</w:t>
            </w:r>
          </w:p>
        </w:tc>
        <w:tc>
          <w:tcPr>
            <w:tcW w:w="144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Liberal</w:t>
            </w:r>
          </w:p>
        </w:tc>
        <w:tc>
          <w:tcPr>
            <w:tcW w:w="116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450</w:t>
            </w:r>
          </w:p>
        </w:tc>
        <w:tc>
          <w:tcPr>
            <w:tcW w:w="153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-181</w:t>
            </w:r>
          </w:p>
        </w:tc>
        <w:tc>
          <w:tcPr>
            <w:tcW w:w="1728"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Upholds Affordable Care Act</w:t>
            </w:r>
            <w:r>
              <w:rPr>
                <w:rFonts w:eastAsia="Times New Roman" w:cs="Times New Roman"/>
                <w:color w:val="000000"/>
                <w:sz w:val="22"/>
              </w:rPr>
              <w:t>; narrows enforcement of Medicaid expansion (7-2)</w:t>
            </w:r>
          </w:p>
        </w:tc>
      </w:tr>
      <w:tr w:rsidR="006641D3" w:rsidRPr="003258EF" w:rsidTr="00660FC6">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9</w:t>
            </w:r>
          </w:p>
        </w:tc>
        <w:tc>
          <w:tcPr>
            <w:tcW w:w="1440" w:type="dxa"/>
            <w:hideMark/>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Christian Legal Society v. Martinez</w:t>
            </w:r>
          </w:p>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08-1371</w:t>
            </w:r>
            <w:r>
              <w:rPr>
                <w:rFonts w:eastAsia="Times New Roman" w:cs="Times New Roman"/>
                <w:color w:val="000000"/>
                <w:sz w:val="22"/>
              </w:rPr>
              <w:t>)</w:t>
            </w:r>
          </w:p>
        </w:tc>
        <w:tc>
          <w:tcPr>
            <w:tcW w:w="81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2009</w:t>
            </w:r>
          </w:p>
        </w:tc>
        <w:tc>
          <w:tcPr>
            <w:tcW w:w="72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3258EF">
              <w:rPr>
                <w:rFonts w:eastAsia="Times New Roman" w:cs="Times New Roman"/>
                <w:color w:val="000000"/>
                <w:sz w:val="22"/>
              </w:rPr>
              <w:t>4</w:t>
            </w:r>
          </w:p>
        </w:tc>
        <w:tc>
          <w:tcPr>
            <w:tcW w:w="144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Conservative</w:t>
            </w:r>
          </w:p>
        </w:tc>
        <w:tc>
          <w:tcPr>
            <w:tcW w:w="116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249</w:t>
            </w:r>
          </w:p>
        </w:tc>
        <w:tc>
          <w:tcPr>
            <w:tcW w:w="153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7</w:t>
            </w:r>
          </w:p>
        </w:tc>
        <w:tc>
          <w:tcPr>
            <w:tcW w:w="1728"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 xml:space="preserve">Upholds public law school's </w:t>
            </w:r>
            <w:proofErr w:type="spellStart"/>
            <w:r w:rsidRPr="003258EF">
              <w:rPr>
                <w:rFonts w:eastAsia="Times New Roman" w:cs="Times New Roman"/>
                <w:color w:val="000000"/>
                <w:sz w:val="22"/>
              </w:rPr>
              <w:t>nonrecognition</w:t>
            </w:r>
            <w:proofErr w:type="spellEnd"/>
            <w:r w:rsidRPr="003258EF">
              <w:rPr>
                <w:rFonts w:eastAsia="Times New Roman" w:cs="Times New Roman"/>
                <w:color w:val="000000"/>
                <w:sz w:val="22"/>
              </w:rPr>
              <w:t xml:space="preserve"> of campus group that excludes gays</w:t>
            </w:r>
          </w:p>
        </w:tc>
      </w:tr>
      <w:tr w:rsidR="006641D3" w:rsidRPr="003258EF" w:rsidTr="00660FC6">
        <w:trPr>
          <w:trHeight w:val="6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10</w:t>
            </w:r>
          </w:p>
        </w:tc>
        <w:tc>
          <w:tcPr>
            <w:tcW w:w="1440" w:type="dxa"/>
            <w:hideMark/>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Miller v. Alabama</w:t>
            </w:r>
          </w:p>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10-946</w:t>
            </w:r>
            <w:r>
              <w:rPr>
                <w:rFonts w:eastAsia="Times New Roman" w:cs="Times New Roman"/>
                <w:color w:val="000000"/>
                <w:sz w:val="22"/>
              </w:rPr>
              <w:t>)</w:t>
            </w:r>
          </w:p>
        </w:tc>
        <w:tc>
          <w:tcPr>
            <w:tcW w:w="810" w:type="dxa"/>
            <w:noWrap/>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2011</w:t>
            </w:r>
          </w:p>
        </w:tc>
        <w:tc>
          <w:tcPr>
            <w:tcW w:w="720" w:type="dxa"/>
            <w:noWrap/>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3258EF">
              <w:rPr>
                <w:rFonts w:eastAsia="Times New Roman" w:cs="Times New Roman"/>
                <w:color w:val="000000"/>
                <w:sz w:val="22"/>
              </w:rPr>
              <w:t>4</w:t>
            </w:r>
          </w:p>
        </w:tc>
        <w:tc>
          <w:tcPr>
            <w:tcW w:w="144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Liberal</w:t>
            </w:r>
          </w:p>
        </w:tc>
        <w:tc>
          <w:tcPr>
            <w:tcW w:w="116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237</w:t>
            </w:r>
          </w:p>
        </w:tc>
        <w:tc>
          <w:tcPr>
            <w:tcW w:w="153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191</w:t>
            </w:r>
          </w:p>
        </w:tc>
        <w:tc>
          <w:tcPr>
            <w:tcW w:w="1728"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 xml:space="preserve">Bars mandatory life-without-parole sentence for juvenile </w:t>
            </w:r>
            <w:proofErr w:type="spellStart"/>
            <w:r w:rsidRPr="003258EF">
              <w:rPr>
                <w:rFonts w:eastAsia="Times New Roman" w:cs="Times New Roman"/>
                <w:color w:val="000000"/>
                <w:sz w:val="22"/>
              </w:rPr>
              <w:t>muderers</w:t>
            </w:r>
            <w:proofErr w:type="spellEnd"/>
          </w:p>
        </w:tc>
      </w:tr>
      <w:tr w:rsidR="006641D3" w:rsidRPr="003258EF" w:rsidTr="00660FC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10</w:t>
            </w:r>
          </w:p>
        </w:tc>
        <w:tc>
          <w:tcPr>
            <w:tcW w:w="1440" w:type="dxa"/>
            <w:hideMark/>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Jackson v. Hobbs</w:t>
            </w:r>
          </w:p>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10-947</w:t>
            </w:r>
            <w:r>
              <w:rPr>
                <w:rFonts w:eastAsia="Times New Roman" w:cs="Times New Roman"/>
                <w:color w:val="000000"/>
                <w:sz w:val="22"/>
              </w:rPr>
              <w:t>)</w:t>
            </w:r>
          </w:p>
        </w:tc>
        <w:tc>
          <w:tcPr>
            <w:tcW w:w="810" w:type="dxa"/>
            <w:noWrap/>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2011</w:t>
            </w:r>
          </w:p>
        </w:tc>
        <w:tc>
          <w:tcPr>
            <w:tcW w:w="720" w:type="dxa"/>
            <w:noWrap/>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3258EF">
              <w:rPr>
                <w:rFonts w:eastAsia="Times New Roman" w:cs="Times New Roman"/>
                <w:color w:val="000000"/>
                <w:sz w:val="22"/>
              </w:rPr>
              <w:t>4</w:t>
            </w:r>
          </w:p>
        </w:tc>
        <w:tc>
          <w:tcPr>
            <w:tcW w:w="144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Liberal</w:t>
            </w:r>
          </w:p>
        </w:tc>
        <w:tc>
          <w:tcPr>
            <w:tcW w:w="116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237</w:t>
            </w:r>
          </w:p>
        </w:tc>
        <w:tc>
          <w:tcPr>
            <w:tcW w:w="153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191</w:t>
            </w:r>
          </w:p>
        </w:tc>
        <w:tc>
          <w:tcPr>
            <w:tcW w:w="1728"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 xml:space="preserve">Bars mandatory life-without-parole sentence for juvenile </w:t>
            </w:r>
            <w:proofErr w:type="spellStart"/>
            <w:r w:rsidRPr="003258EF">
              <w:rPr>
                <w:rFonts w:eastAsia="Times New Roman" w:cs="Times New Roman"/>
                <w:color w:val="000000"/>
                <w:sz w:val="22"/>
              </w:rPr>
              <w:t>muderers</w:t>
            </w:r>
            <w:proofErr w:type="spellEnd"/>
          </w:p>
        </w:tc>
      </w:tr>
      <w:tr w:rsidR="006641D3" w:rsidRPr="003258EF" w:rsidTr="00660FC6">
        <w:trPr>
          <w:trHeight w:val="3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12</w:t>
            </w:r>
          </w:p>
        </w:tc>
        <w:tc>
          <w:tcPr>
            <w:tcW w:w="1440" w:type="dxa"/>
            <w:hideMark/>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Republic of Iraq v. Simon</w:t>
            </w:r>
          </w:p>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08-539</w:t>
            </w:r>
            <w:r>
              <w:rPr>
                <w:rFonts w:eastAsia="Times New Roman" w:cs="Times New Roman"/>
                <w:color w:val="000000"/>
                <w:sz w:val="22"/>
              </w:rPr>
              <w:t>)</w:t>
            </w:r>
          </w:p>
        </w:tc>
        <w:tc>
          <w:tcPr>
            <w:tcW w:w="810" w:type="dxa"/>
            <w:noWrap/>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2008</w:t>
            </w:r>
          </w:p>
        </w:tc>
        <w:tc>
          <w:tcPr>
            <w:tcW w:w="720" w:type="dxa"/>
            <w:noWrap/>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9-</w:t>
            </w:r>
            <w:r w:rsidRPr="003258EF">
              <w:rPr>
                <w:rFonts w:eastAsia="Times New Roman" w:cs="Times New Roman"/>
                <w:color w:val="000000"/>
                <w:sz w:val="22"/>
              </w:rPr>
              <w:t>0</w:t>
            </w:r>
          </w:p>
        </w:tc>
        <w:tc>
          <w:tcPr>
            <w:tcW w:w="144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Conservative</w:t>
            </w:r>
          </w:p>
        </w:tc>
        <w:tc>
          <w:tcPr>
            <w:tcW w:w="116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228</w:t>
            </w:r>
          </w:p>
        </w:tc>
        <w:tc>
          <w:tcPr>
            <w:tcW w:w="153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226</w:t>
            </w:r>
          </w:p>
        </w:tc>
        <w:tc>
          <w:tcPr>
            <w:tcW w:w="1728" w:type="dxa"/>
            <w:hideMark/>
          </w:tcPr>
          <w:p w:rsidR="006641D3" w:rsidRPr="00501FD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rPr>
            </w:pPr>
            <w:r w:rsidRPr="00501FD0">
              <w:rPr>
                <w:color w:val="auto"/>
              </w:rPr>
              <w:t>U.S. Courts do not have jurisdiction over Iraq in claims involving alleged misdeeds that occurred during Saddam Hussein’s regime</w:t>
            </w:r>
          </w:p>
        </w:tc>
      </w:tr>
      <w:tr w:rsidR="006641D3" w:rsidRPr="003258EF" w:rsidTr="00660F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13</w:t>
            </w:r>
          </w:p>
        </w:tc>
        <w:tc>
          <w:tcPr>
            <w:tcW w:w="1440" w:type="dxa"/>
            <w:hideMark/>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 xml:space="preserve">Republic of Iraq v. </w:t>
            </w:r>
            <w:proofErr w:type="spellStart"/>
            <w:r w:rsidRPr="003258EF">
              <w:rPr>
                <w:rFonts w:eastAsia="Times New Roman" w:cs="Times New Roman"/>
                <w:i/>
                <w:iCs/>
                <w:color w:val="000000"/>
                <w:sz w:val="22"/>
              </w:rPr>
              <w:t>Beaty</w:t>
            </w:r>
            <w:proofErr w:type="spellEnd"/>
          </w:p>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07-1090</w:t>
            </w:r>
            <w:r>
              <w:rPr>
                <w:rFonts w:eastAsia="Times New Roman" w:cs="Times New Roman"/>
                <w:color w:val="000000"/>
                <w:sz w:val="22"/>
              </w:rPr>
              <w:t>)</w:t>
            </w:r>
          </w:p>
        </w:tc>
        <w:tc>
          <w:tcPr>
            <w:tcW w:w="810" w:type="dxa"/>
            <w:noWrap/>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2008</w:t>
            </w:r>
          </w:p>
        </w:tc>
        <w:tc>
          <w:tcPr>
            <w:tcW w:w="720" w:type="dxa"/>
            <w:noWrap/>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9-</w:t>
            </w:r>
            <w:r w:rsidRPr="003258EF">
              <w:rPr>
                <w:rFonts w:eastAsia="Times New Roman" w:cs="Times New Roman"/>
                <w:color w:val="000000"/>
                <w:sz w:val="22"/>
              </w:rPr>
              <w:t>0</w:t>
            </w:r>
          </w:p>
        </w:tc>
        <w:tc>
          <w:tcPr>
            <w:tcW w:w="144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Conservative</w:t>
            </w:r>
          </w:p>
        </w:tc>
        <w:tc>
          <w:tcPr>
            <w:tcW w:w="116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217</w:t>
            </w:r>
          </w:p>
        </w:tc>
        <w:tc>
          <w:tcPr>
            <w:tcW w:w="153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215</w:t>
            </w:r>
          </w:p>
        </w:tc>
        <w:tc>
          <w:tcPr>
            <w:tcW w:w="1728" w:type="dxa"/>
            <w:hideMark/>
          </w:tcPr>
          <w:p w:rsidR="006641D3" w:rsidRPr="00501FD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rPr>
            </w:pPr>
            <w:r w:rsidRPr="00501FD0">
              <w:rPr>
                <w:color w:val="auto"/>
              </w:rPr>
              <w:t xml:space="preserve">U.S. Courts </w:t>
            </w:r>
            <w:r>
              <w:rPr>
                <w:color w:val="auto"/>
              </w:rPr>
              <w:t xml:space="preserve">do not </w:t>
            </w:r>
            <w:r w:rsidRPr="00501FD0">
              <w:rPr>
                <w:color w:val="auto"/>
              </w:rPr>
              <w:t xml:space="preserve">have jurisdiction over Iraq in claims involving alleged misdeeds that </w:t>
            </w:r>
            <w:r w:rsidRPr="00501FD0">
              <w:rPr>
                <w:color w:val="auto"/>
              </w:rPr>
              <w:lastRenderedPageBreak/>
              <w:t>occurred during Saddam Hussein’s regime</w:t>
            </w:r>
          </w:p>
        </w:tc>
      </w:tr>
      <w:tr w:rsidR="006641D3" w:rsidRPr="003258EF" w:rsidTr="00660FC6">
        <w:trPr>
          <w:trHeight w:val="9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lastRenderedPageBreak/>
              <w:t>14</w:t>
            </w:r>
          </w:p>
        </w:tc>
        <w:tc>
          <w:tcPr>
            <w:tcW w:w="1440" w:type="dxa"/>
            <w:hideMark/>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 xml:space="preserve">Hosanna-Tabor Evangelical Lutheran Church </w:t>
            </w:r>
            <w:r w:rsidR="000D6839">
              <w:rPr>
                <w:rFonts w:eastAsia="Times New Roman" w:cs="Times New Roman"/>
                <w:i/>
                <w:iCs/>
                <w:color w:val="000000"/>
                <w:sz w:val="22"/>
              </w:rPr>
              <w:t>and</w:t>
            </w:r>
            <w:r w:rsidRPr="003258EF">
              <w:rPr>
                <w:rFonts w:eastAsia="Times New Roman" w:cs="Times New Roman"/>
                <w:i/>
                <w:iCs/>
                <w:color w:val="000000"/>
                <w:sz w:val="22"/>
              </w:rPr>
              <w:t xml:space="preserve"> School v. EEOC</w:t>
            </w:r>
          </w:p>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10-553</w:t>
            </w:r>
            <w:r>
              <w:rPr>
                <w:rFonts w:eastAsia="Times New Roman" w:cs="Times New Roman"/>
                <w:color w:val="000000"/>
                <w:sz w:val="22"/>
              </w:rPr>
              <w:t>)</w:t>
            </w:r>
          </w:p>
        </w:tc>
        <w:tc>
          <w:tcPr>
            <w:tcW w:w="81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2011</w:t>
            </w:r>
          </w:p>
        </w:tc>
        <w:tc>
          <w:tcPr>
            <w:tcW w:w="72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9-</w:t>
            </w:r>
            <w:r w:rsidRPr="003258EF">
              <w:rPr>
                <w:rFonts w:eastAsia="Times New Roman" w:cs="Times New Roman"/>
                <w:color w:val="000000"/>
                <w:sz w:val="22"/>
              </w:rPr>
              <w:t>0</w:t>
            </w:r>
          </w:p>
        </w:tc>
        <w:tc>
          <w:tcPr>
            <w:tcW w:w="144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Liberal</w:t>
            </w:r>
          </w:p>
        </w:tc>
        <w:tc>
          <w:tcPr>
            <w:tcW w:w="116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195</w:t>
            </w:r>
          </w:p>
        </w:tc>
        <w:tc>
          <w:tcPr>
            <w:tcW w:w="153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-31</w:t>
            </w:r>
          </w:p>
        </w:tc>
        <w:tc>
          <w:tcPr>
            <w:tcW w:w="1728"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Exempts religious organizations from antidiscrimination laws in hiring of clergy</w:t>
            </w:r>
          </w:p>
        </w:tc>
      </w:tr>
      <w:tr w:rsidR="006641D3" w:rsidRPr="003258EF" w:rsidTr="00660FC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15</w:t>
            </w:r>
          </w:p>
        </w:tc>
        <w:tc>
          <w:tcPr>
            <w:tcW w:w="1440" w:type="dxa"/>
            <w:hideMark/>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proofErr w:type="spellStart"/>
            <w:r w:rsidRPr="003258EF">
              <w:rPr>
                <w:rFonts w:eastAsia="Times New Roman" w:cs="Times New Roman"/>
                <w:i/>
                <w:iCs/>
                <w:color w:val="000000"/>
                <w:sz w:val="22"/>
              </w:rPr>
              <w:t>Citzens</w:t>
            </w:r>
            <w:proofErr w:type="spellEnd"/>
            <w:r w:rsidRPr="003258EF">
              <w:rPr>
                <w:rFonts w:eastAsia="Times New Roman" w:cs="Times New Roman"/>
                <w:i/>
                <w:iCs/>
                <w:color w:val="000000"/>
                <w:sz w:val="22"/>
              </w:rPr>
              <w:t xml:space="preserve"> United v. Federal Election Commission</w:t>
            </w:r>
          </w:p>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08-205</w:t>
            </w:r>
            <w:r>
              <w:rPr>
                <w:rFonts w:eastAsia="Times New Roman" w:cs="Times New Roman"/>
                <w:color w:val="000000"/>
                <w:sz w:val="22"/>
              </w:rPr>
              <w:t>)</w:t>
            </w:r>
          </w:p>
        </w:tc>
        <w:tc>
          <w:tcPr>
            <w:tcW w:w="81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2009</w:t>
            </w:r>
          </w:p>
        </w:tc>
        <w:tc>
          <w:tcPr>
            <w:tcW w:w="72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3258EF">
              <w:rPr>
                <w:rFonts w:eastAsia="Times New Roman" w:cs="Times New Roman"/>
                <w:color w:val="000000"/>
                <w:sz w:val="22"/>
              </w:rPr>
              <w:t>4</w:t>
            </w:r>
          </w:p>
        </w:tc>
        <w:tc>
          <w:tcPr>
            <w:tcW w:w="144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Conservative</w:t>
            </w:r>
          </w:p>
        </w:tc>
        <w:tc>
          <w:tcPr>
            <w:tcW w:w="116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192</w:t>
            </w:r>
          </w:p>
        </w:tc>
        <w:tc>
          <w:tcPr>
            <w:tcW w:w="153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-22</w:t>
            </w:r>
          </w:p>
        </w:tc>
        <w:tc>
          <w:tcPr>
            <w:tcW w:w="1728"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Permits corporations to spend own money on political campaigns</w:t>
            </w:r>
          </w:p>
        </w:tc>
      </w:tr>
      <w:tr w:rsidR="006641D3" w:rsidRPr="003258EF" w:rsidTr="00660FC6">
        <w:trPr>
          <w:trHeight w:val="9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16</w:t>
            </w:r>
          </w:p>
        </w:tc>
        <w:tc>
          <w:tcPr>
            <w:tcW w:w="1440" w:type="dxa"/>
            <w:hideMark/>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Brown v. Entertainment Merchants Association</w:t>
            </w:r>
          </w:p>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08-1448</w:t>
            </w:r>
            <w:r>
              <w:rPr>
                <w:rFonts w:eastAsia="Times New Roman" w:cs="Times New Roman"/>
                <w:color w:val="000000"/>
                <w:sz w:val="22"/>
              </w:rPr>
              <w:t>)</w:t>
            </w:r>
          </w:p>
        </w:tc>
        <w:tc>
          <w:tcPr>
            <w:tcW w:w="81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2010</w:t>
            </w:r>
          </w:p>
        </w:tc>
        <w:tc>
          <w:tcPr>
            <w:tcW w:w="72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7-</w:t>
            </w:r>
            <w:r w:rsidRPr="003258EF">
              <w:rPr>
                <w:rFonts w:eastAsia="Times New Roman" w:cs="Times New Roman"/>
                <w:color w:val="000000"/>
                <w:sz w:val="22"/>
              </w:rPr>
              <w:t>2</w:t>
            </w:r>
          </w:p>
        </w:tc>
        <w:tc>
          <w:tcPr>
            <w:tcW w:w="144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Liberal</w:t>
            </w:r>
          </w:p>
        </w:tc>
        <w:tc>
          <w:tcPr>
            <w:tcW w:w="116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182</w:t>
            </w:r>
          </w:p>
        </w:tc>
        <w:tc>
          <w:tcPr>
            <w:tcW w:w="153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146</w:t>
            </w:r>
          </w:p>
        </w:tc>
        <w:tc>
          <w:tcPr>
            <w:tcW w:w="1728"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Strikes down California law banning the sale or rental of violent video games to minors</w:t>
            </w:r>
          </w:p>
        </w:tc>
      </w:tr>
      <w:tr w:rsidR="006641D3" w:rsidRPr="003258EF" w:rsidTr="00660FC6">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17</w:t>
            </w:r>
          </w:p>
        </w:tc>
        <w:tc>
          <w:tcPr>
            <w:tcW w:w="1440" w:type="dxa"/>
            <w:hideMark/>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Northwest Austin Municipal Utility District No. 1 v. Holder</w:t>
            </w:r>
          </w:p>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08-322</w:t>
            </w:r>
            <w:r>
              <w:rPr>
                <w:rFonts w:eastAsia="Times New Roman" w:cs="Times New Roman"/>
                <w:color w:val="000000"/>
                <w:sz w:val="22"/>
              </w:rPr>
              <w:t>)</w:t>
            </w:r>
          </w:p>
        </w:tc>
        <w:tc>
          <w:tcPr>
            <w:tcW w:w="81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2008</w:t>
            </w:r>
          </w:p>
        </w:tc>
        <w:tc>
          <w:tcPr>
            <w:tcW w:w="72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8-</w:t>
            </w:r>
            <w:r w:rsidRPr="003258EF">
              <w:rPr>
                <w:rFonts w:eastAsia="Times New Roman" w:cs="Times New Roman"/>
                <w:color w:val="000000"/>
                <w:sz w:val="22"/>
              </w:rPr>
              <w:t>1</w:t>
            </w:r>
          </w:p>
        </w:tc>
        <w:tc>
          <w:tcPr>
            <w:tcW w:w="144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Liberal</w:t>
            </w:r>
          </w:p>
        </w:tc>
        <w:tc>
          <w:tcPr>
            <w:tcW w:w="116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179</w:t>
            </w:r>
          </w:p>
        </w:tc>
        <w:tc>
          <w:tcPr>
            <w:tcW w:w="153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0</w:t>
            </w:r>
          </w:p>
        </w:tc>
        <w:tc>
          <w:tcPr>
            <w:tcW w:w="1728"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Expands eligibility for municipalities to "bail out" of preclearance requirement in Voting Rights Act; constitutional challenge left unresolved</w:t>
            </w:r>
          </w:p>
        </w:tc>
      </w:tr>
      <w:tr w:rsidR="006641D3" w:rsidRPr="003258EF" w:rsidTr="00660FC6">
        <w:trPr>
          <w:trHeight w:val="6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18</w:t>
            </w:r>
          </w:p>
        </w:tc>
        <w:tc>
          <w:tcPr>
            <w:tcW w:w="1440" w:type="dxa"/>
            <w:hideMark/>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Microsoft v. i4i Limited Partnership</w:t>
            </w:r>
          </w:p>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10-290</w:t>
            </w:r>
            <w:r>
              <w:rPr>
                <w:rFonts w:eastAsia="Times New Roman" w:cs="Times New Roman"/>
                <w:color w:val="000000"/>
                <w:sz w:val="22"/>
              </w:rPr>
              <w:t>)</w:t>
            </w:r>
          </w:p>
        </w:tc>
        <w:tc>
          <w:tcPr>
            <w:tcW w:w="81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2010</w:t>
            </w:r>
          </w:p>
        </w:tc>
        <w:tc>
          <w:tcPr>
            <w:tcW w:w="72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8-</w:t>
            </w:r>
            <w:r w:rsidRPr="003258EF">
              <w:rPr>
                <w:rFonts w:eastAsia="Times New Roman" w:cs="Times New Roman"/>
                <w:color w:val="000000"/>
                <w:sz w:val="22"/>
              </w:rPr>
              <w:t>0</w:t>
            </w:r>
          </w:p>
        </w:tc>
        <w:tc>
          <w:tcPr>
            <w:tcW w:w="144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Liberal</w:t>
            </w:r>
          </w:p>
        </w:tc>
        <w:tc>
          <w:tcPr>
            <w:tcW w:w="116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178</w:t>
            </w:r>
          </w:p>
        </w:tc>
        <w:tc>
          <w:tcPr>
            <w:tcW w:w="153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-27</w:t>
            </w:r>
          </w:p>
        </w:tc>
        <w:tc>
          <w:tcPr>
            <w:tcW w:w="1728" w:type="dxa"/>
            <w:hideMark/>
          </w:tcPr>
          <w:p w:rsidR="006641D3" w:rsidRPr="00F64F22"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rPr>
            </w:pPr>
            <w:r w:rsidRPr="00F64F22">
              <w:rPr>
                <w:color w:val="auto"/>
              </w:rPr>
              <w:t>Patent Act requires an invalidity defense to be proved by clear and convincing evidence</w:t>
            </w:r>
          </w:p>
        </w:tc>
      </w:tr>
      <w:tr w:rsidR="006641D3" w:rsidRPr="003258EF" w:rsidTr="00660FC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lastRenderedPageBreak/>
              <w:t>19</w:t>
            </w:r>
          </w:p>
        </w:tc>
        <w:tc>
          <w:tcPr>
            <w:tcW w:w="1440" w:type="dxa"/>
            <w:hideMark/>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proofErr w:type="spellStart"/>
            <w:r w:rsidRPr="003258EF">
              <w:rPr>
                <w:rFonts w:eastAsia="Times New Roman" w:cs="Times New Roman"/>
                <w:i/>
                <w:iCs/>
                <w:color w:val="000000"/>
                <w:sz w:val="22"/>
              </w:rPr>
              <w:t>Bilski</w:t>
            </w:r>
            <w:proofErr w:type="spellEnd"/>
            <w:r w:rsidRPr="003258EF">
              <w:rPr>
                <w:rFonts w:eastAsia="Times New Roman" w:cs="Times New Roman"/>
                <w:i/>
                <w:iCs/>
                <w:color w:val="000000"/>
                <w:sz w:val="22"/>
              </w:rPr>
              <w:t xml:space="preserve"> v. </w:t>
            </w:r>
            <w:proofErr w:type="spellStart"/>
            <w:r w:rsidRPr="003258EF">
              <w:rPr>
                <w:rFonts w:eastAsia="Times New Roman" w:cs="Times New Roman"/>
                <w:i/>
                <w:iCs/>
                <w:color w:val="000000"/>
                <w:sz w:val="22"/>
              </w:rPr>
              <w:t>Kappos</w:t>
            </w:r>
            <w:proofErr w:type="spellEnd"/>
          </w:p>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w:t>
            </w:r>
            <w:r w:rsidRPr="003258EF">
              <w:rPr>
                <w:rFonts w:eastAsia="Times New Roman" w:cs="Times New Roman"/>
                <w:color w:val="000000"/>
                <w:sz w:val="22"/>
              </w:rPr>
              <w:t>08-964</w:t>
            </w:r>
            <w:r>
              <w:rPr>
                <w:rFonts w:eastAsia="Times New Roman" w:cs="Times New Roman"/>
                <w:color w:val="000000"/>
                <w:sz w:val="22"/>
              </w:rPr>
              <w:t>)</w:t>
            </w:r>
            <w:r w:rsidRPr="003258EF">
              <w:rPr>
                <w:rFonts w:eastAsia="Times New Roman" w:cs="Times New Roman"/>
                <w:color w:val="000000"/>
                <w:sz w:val="22"/>
              </w:rPr>
              <w:t xml:space="preserve"> </w:t>
            </w:r>
          </w:p>
        </w:tc>
        <w:tc>
          <w:tcPr>
            <w:tcW w:w="81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2009</w:t>
            </w:r>
          </w:p>
        </w:tc>
        <w:tc>
          <w:tcPr>
            <w:tcW w:w="72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9-</w:t>
            </w:r>
            <w:r w:rsidRPr="003258EF">
              <w:rPr>
                <w:rFonts w:eastAsia="Times New Roman" w:cs="Times New Roman"/>
                <w:color w:val="000000"/>
                <w:sz w:val="22"/>
              </w:rPr>
              <w:t>0</w:t>
            </w:r>
          </w:p>
        </w:tc>
        <w:tc>
          <w:tcPr>
            <w:tcW w:w="144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Liberal</w:t>
            </w:r>
          </w:p>
        </w:tc>
        <w:tc>
          <w:tcPr>
            <w:tcW w:w="116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166</w:t>
            </w:r>
          </w:p>
        </w:tc>
        <w:tc>
          <w:tcPr>
            <w:tcW w:w="153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46</w:t>
            </w:r>
          </w:p>
        </w:tc>
        <w:tc>
          <w:tcPr>
            <w:tcW w:w="1728"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Allows patents for some "business methods"</w:t>
            </w:r>
          </w:p>
        </w:tc>
      </w:tr>
      <w:tr w:rsidR="006641D3" w:rsidRPr="003258EF" w:rsidTr="00660FC6">
        <w:trPr>
          <w:trHeight w:val="6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19</w:t>
            </w:r>
          </w:p>
        </w:tc>
        <w:tc>
          <w:tcPr>
            <w:tcW w:w="1440" w:type="dxa"/>
            <w:hideMark/>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American Electric Power Co. v. Connecticut</w:t>
            </w:r>
          </w:p>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10-174</w:t>
            </w:r>
            <w:r>
              <w:rPr>
                <w:rFonts w:eastAsia="Times New Roman" w:cs="Times New Roman"/>
                <w:color w:val="000000"/>
                <w:sz w:val="22"/>
              </w:rPr>
              <w:t>)</w:t>
            </w:r>
          </w:p>
        </w:tc>
        <w:tc>
          <w:tcPr>
            <w:tcW w:w="81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2010</w:t>
            </w:r>
          </w:p>
        </w:tc>
        <w:tc>
          <w:tcPr>
            <w:tcW w:w="72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8-</w:t>
            </w:r>
            <w:r w:rsidRPr="003258EF">
              <w:rPr>
                <w:rFonts w:eastAsia="Times New Roman" w:cs="Times New Roman"/>
                <w:color w:val="000000"/>
                <w:sz w:val="22"/>
              </w:rPr>
              <w:t>0</w:t>
            </w:r>
          </w:p>
        </w:tc>
        <w:tc>
          <w:tcPr>
            <w:tcW w:w="144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Conservative</w:t>
            </w:r>
          </w:p>
        </w:tc>
        <w:tc>
          <w:tcPr>
            <w:tcW w:w="116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166</w:t>
            </w:r>
          </w:p>
        </w:tc>
        <w:tc>
          <w:tcPr>
            <w:tcW w:w="153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4</w:t>
            </w:r>
          </w:p>
        </w:tc>
        <w:tc>
          <w:tcPr>
            <w:tcW w:w="1728"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Bars climate change suit in federal court against major electric utilities</w:t>
            </w:r>
          </w:p>
        </w:tc>
      </w:tr>
      <w:tr w:rsidR="006641D3" w:rsidRPr="003258EF" w:rsidTr="00660F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21</w:t>
            </w:r>
          </w:p>
        </w:tc>
        <w:tc>
          <w:tcPr>
            <w:tcW w:w="1440" w:type="dxa"/>
            <w:hideMark/>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Kennedy v. Louisiana</w:t>
            </w:r>
          </w:p>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07-343</w:t>
            </w:r>
            <w:r>
              <w:rPr>
                <w:rFonts w:eastAsia="Times New Roman" w:cs="Times New Roman"/>
                <w:color w:val="000000"/>
                <w:sz w:val="22"/>
              </w:rPr>
              <w:t>)</w:t>
            </w:r>
          </w:p>
        </w:tc>
        <w:tc>
          <w:tcPr>
            <w:tcW w:w="810" w:type="dxa"/>
            <w:noWrap/>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2007</w:t>
            </w:r>
          </w:p>
        </w:tc>
        <w:tc>
          <w:tcPr>
            <w:tcW w:w="720" w:type="dxa"/>
            <w:noWrap/>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3258EF">
              <w:rPr>
                <w:rFonts w:eastAsia="Times New Roman" w:cs="Times New Roman"/>
                <w:color w:val="000000"/>
                <w:sz w:val="22"/>
              </w:rPr>
              <w:t>4</w:t>
            </w:r>
          </w:p>
        </w:tc>
        <w:tc>
          <w:tcPr>
            <w:tcW w:w="144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Liberal</w:t>
            </w:r>
          </w:p>
        </w:tc>
        <w:tc>
          <w:tcPr>
            <w:tcW w:w="116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165</w:t>
            </w:r>
          </w:p>
        </w:tc>
        <w:tc>
          <w:tcPr>
            <w:tcW w:w="153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89</w:t>
            </w:r>
          </w:p>
        </w:tc>
        <w:tc>
          <w:tcPr>
            <w:tcW w:w="1728"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Bars death penalty for child rape</w:t>
            </w:r>
          </w:p>
        </w:tc>
      </w:tr>
      <w:tr w:rsidR="006641D3" w:rsidRPr="003258EF" w:rsidTr="00660FC6">
        <w:trPr>
          <w:trHeight w:val="9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22</w:t>
            </w:r>
          </w:p>
        </w:tc>
        <w:tc>
          <w:tcPr>
            <w:tcW w:w="1440" w:type="dxa"/>
            <w:hideMark/>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Speaker of the Arizona House of Representatives v. Flores</w:t>
            </w:r>
          </w:p>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08-294</w:t>
            </w:r>
            <w:r>
              <w:rPr>
                <w:rFonts w:eastAsia="Times New Roman" w:cs="Times New Roman"/>
                <w:color w:val="000000"/>
                <w:sz w:val="22"/>
              </w:rPr>
              <w:t>)</w:t>
            </w:r>
          </w:p>
        </w:tc>
        <w:tc>
          <w:tcPr>
            <w:tcW w:w="810" w:type="dxa"/>
            <w:noWrap/>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2008</w:t>
            </w:r>
          </w:p>
        </w:tc>
        <w:tc>
          <w:tcPr>
            <w:tcW w:w="720" w:type="dxa"/>
            <w:noWrap/>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3258EF">
              <w:rPr>
                <w:rFonts w:eastAsia="Times New Roman" w:cs="Times New Roman"/>
                <w:color w:val="000000"/>
                <w:sz w:val="22"/>
              </w:rPr>
              <w:t>4</w:t>
            </w:r>
          </w:p>
        </w:tc>
        <w:tc>
          <w:tcPr>
            <w:tcW w:w="144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Conservative</w:t>
            </w:r>
          </w:p>
        </w:tc>
        <w:tc>
          <w:tcPr>
            <w:tcW w:w="116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152</w:t>
            </w:r>
          </w:p>
        </w:tc>
        <w:tc>
          <w:tcPr>
            <w:tcW w:w="153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24</w:t>
            </w:r>
          </w:p>
        </w:tc>
        <w:tc>
          <w:tcPr>
            <w:tcW w:w="1728"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State can determine its own requirements with regard to English Language Learner instruction</w:t>
            </w:r>
          </w:p>
        </w:tc>
      </w:tr>
      <w:tr w:rsidR="006641D3" w:rsidRPr="003258EF" w:rsidTr="00660F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23</w:t>
            </w:r>
          </w:p>
        </w:tc>
        <w:tc>
          <w:tcPr>
            <w:tcW w:w="1440" w:type="dxa"/>
            <w:hideMark/>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Sorrell v. IMS Health Inc.</w:t>
            </w:r>
          </w:p>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10-779</w:t>
            </w:r>
            <w:r>
              <w:rPr>
                <w:rFonts w:eastAsia="Times New Roman" w:cs="Times New Roman"/>
                <w:color w:val="000000"/>
                <w:sz w:val="22"/>
              </w:rPr>
              <w:t>)</w:t>
            </w:r>
          </w:p>
        </w:tc>
        <w:tc>
          <w:tcPr>
            <w:tcW w:w="81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2010</w:t>
            </w:r>
          </w:p>
        </w:tc>
        <w:tc>
          <w:tcPr>
            <w:tcW w:w="72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6-</w:t>
            </w:r>
            <w:r w:rsidRPr="003258EF">
              <w:rPr>
                <w:rFonts w:eastAsia="Times New Roman" w:cs="Times New Roman"/>
                <w:color w:val="000000"/>
                <w:sz w:val="22"/>
              </w:rPr>
              <w:t>3</w:t>
            </w:r>
          </w:p>
        </w:tc>
        <w:tc>
          <w:tcPr>
            <w:tcW w:w="144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Liberal</w:t>
            </w:r>
          </w:p>
        </w:tc>
        <w:tc>
          <w:tcPr>
            <w:tcW w:w="116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146</w:t>
            </w:r>
          </w:p>
        </w:tc>
        <w:tc>
          <w:tcPr>
            <w:tcW w:w="153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-58</w:t>
            </w:r>
          </w:p>
        </w:tc>
        <w:tc>
          <w:tcPr>
            <w:tcW w:w="1728" w:type="dxa"/>
            <w:hideMark/>
          </w:tcPr>
          <w:p w:rsidR="006641D3" w:rsidRPr="00501FD0" w:rsidRDefault="006641D3" w:rsidP="00660FC6">
            <w:pPr>
              <w:ind w:left="0"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rPr>
            </w:pPr>
            <w:r>
              <w:rPr>
                <w:color w:val="auto"/>
              </w:rPr>
              <w:t>State</w:t>
            </w:r>
            <w:r w:rsidRPr="00501FD0">
              <w:rPr>
                <w:color w:val="auto"/>
              </w:rPr>
              <w:t>'s Prescription Confidentiality Law is subject to heightened judicial scrutiny because it imposes content- and speaker-based burdens on protected expression</w:t>
            </w:r>
          </w:p>
        </w:tc>
      </w:tr>
      <w:tr w:rsidR="006641D3" w:rsidRPr="003258EF" w:rsidTr="00660FC6">
        <w:trPr>
          <w:trHeight w:val="9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24</w:t>
            </w:r>
          </w:p>
        </w:tc>
        <w:tc>
          <w:tcPr>
            <w:tcW w:w="1440" w:type="dxa"/>
            <w:hideMark/>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Cuomo v. The Clearinghouse Association, LLC.</w:t>
            </w:r>
          </w:p>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08-453</w:t>
            </w:r>
            <w:r>
              <w:rPr>
                <w:rFonts w:eastAsia="Times New Roman" w:cs="Times New Roman"/>
                <w:color w:val="000000"/>
                <w:sz w:val="22"/>
              </w:rPr>
              <w:t>)</w:t>
            </w:r>
          </w:p>
        </w:tc>
        <w:tc>
          <w:tcPr>
            <w:tcW w:w="810" w:type="dxa"/>
            <w:noWrap/>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2008</w:t>
            </w:r>
          </w:p>
        </w:tc>
        <w:tc>
          <w:tcPr>
            <w:tcW w:w="720" w:type="dxa"/>
            <w:noWrap/>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3258EF">
              <w:rPr>
                <w:rFonts w:eastAsia="Times New Roman" w:cs="Times New Roman"/>
                <w:color w:val="000000"/>
                <w:sz w:val="22"/>
              </w:rPr>
              <w:t>4</w:t>
            </w:r>
          </w:p>
        </w:tc>
        <w:tc>
          <w:tcPr>
            <w:tcW w:w="144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Conservative</w:t>
            </w:r>
          </w:p>
        </w:tc>
        <w:tc>
          <w:tcPr>
            <w:tcW w:w="116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145</w:t>
            </w:r>
          </w:p>
        </w:tc>
        <w:tc>
          <w:tcPr>
            <w:tcW w:w="153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0</w:t>
            </w:r>
          </w:p>
        </w:tc>
        <w:tc>
          <w:tcPr>
            <w:tcW w:w="1728"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Allows state enforcement of fair-lending laws against national banks despite federal regulation</w:t>
            </w:r>
          </w:p>
        </w:tc>
      </w:tr>
      <w:tr w:rsidR="006641D3" w:rsidRPr="003258EF" w:rsidTr="00660FC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lastRenderedPageBreak/>
              <w:t>25</w:t>
            </w:r>
          </w:p>
        </w:tc>
        <w:tc>
          <w:tcPr>
            <w:tcW w:w="1440" w:type="dxa"/>
            <w:hideMark/>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 xml:space="preserve">Doe v. Reed </w:t>
            </w:r>
          </w:p>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09-559</w:t>
            </w:r>
            <w:r>
              <w:rPr>
                <w:rFonts w:eastAsia="Times New Roman" w:cs="Times New Roman"/>
                <w:color w:val="000000"/>
                <w:sz w:val="22"/>
              </w:rPr>
              <w:t>)</w:t>
            </w:r>
          </w:p>
        </w:tc>
        <w:tc>
          <w:tcPr>
            <w:tcW w:w="81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2009</w:t>
            </w:r>
          </w:p>
        </w:tc>
        <w:tc>
          <w:tcPr>
            <w:tcW w:w="72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8-</w:t>
            </w:r>
            <w:r w:rsidRPr="003258EF">
              <w:rPr>
                <w:rFonts w:eastAsia="Times New Roman" w:cs="Times New Roman"/>
                <w:color w:val="000000"/>
                <w:sz w:val="22"/>
              </w:rPr>
              <w:t>1</w:t>
            </w:r>
          </w:p>
        </w:tc>
        <w:tc>
          <w:tcPr>
            <w:tcW w:w="144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Conservative</w:t>
            </w:r>
          </w:p>
        </w:tc>
        <w:tc>
          <w:tcPr>
            <w:tcW w:w="116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144</w:t>
            </w:r>
          </w:p>
        </w:tc>
        <w:tc>
          <w:tcPr>
            <w:tcW w:w="153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7</w:t>
            </w:r>
          </w:p>
        </w:tc>
        <w:tc>
          <w:tcPr>
            <w:tcW w:w="1728"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Upholds disclosure law for ballot measure petition signers</w:t>
            </w:r>
          </w:p>
        </w:tc>
      </w:tr>
      <w:tr w:rsidR="006641D3" w:rsidRPr="003258EF" w:rsidTr="00660FC6">
        <w:trPr>
          <w:trHeight w:val="6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26</w:t>
            </w:r>
          </w:p>
        </w:tc>
        <w:tc>
          <w:tcPr>
            <w:tcW w:w="1440" w:type="dxa"/>
            <w:hideMark/>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Exxon Shipping Co. v. Baker</w:t>
            </w:r>
          </w:p>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07-219</w:t>
            </w:r>
            <w:r>
              <w:rPr>
                <w:rFonts w:eastAsia="Times New Roman" w:cs="Times New Roman"/>
                <w:color w:val="000000"/>
                <w:sz w:val="22"/>
              </w:rPr>
              <w:t>)</w:t>
            </w:r>
          </w:p>
        </w:tc>
        <w:tc>
          <w:tcPr>
            <w:tcW w:w="810" w:type="dxa"/>
            <w:noWrap/>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2007</w:t>
            </w:r>
          </w:p>
        </w:tc>
        <w:tc>
          <w:tcPr>
            <w:tcW w:w="720" w:type="dxa"/>
            <w:noWrap/>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w:t>
            </w:r>
            <w:r w:rsidRPr="003258EF">
              <w:rPr>
                <w:rFonts w:eastAsia="Times New Roman" w:cs="Times New Roman"/>
                <w:color w:val="000000"/>
                <w:sz w:val="22"/>
              </w:rPr>
              <w:t>3</w:t>
            </w:r>
          </w:p>
        </w:tc>
        <w:tc>
          <w:tcPr>
            <w:tcW w:w="144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Conservative</w:t>
            </w:r>
          </w:p>
        </w:tc>
        <w:tc>
          <w:tcPr>
            <w:tcW w:w="116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143</w:t>
            </w:r>
          </w:p>
        </w:tc>
        <w:tc>
          <w:tcPr>
            <w:tcW w:w="153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103</w:t>
            </w:r>
          </w:p>
        </w:tc>
        <w:tc>
          <w:tcPr>
            <w:tcW w:w="1728"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 xml:space="preserve">Cuts punitive damages for </w:t>
            </w:r>
            <w:r w:rsidRPr="003258EF">
              <w:rPr>
                <w:rFonts w:eastAsia="Times New Roman" w:cs="Times New Roman"/>
                <w:i/>
                <w:iCs/>
                <w:color w:val="000000"/>
                <w:sz w:val="22"/>
              </w:rPr>
              <w:t xml:space="preserve">Exxon Valdez </w:t>
            </w:r>
            <w:r w:rsidRPr="003258EF">
              <w:rPr>
                <w:rFonts w:eastAsia="Times New Roman" w:cs="Times New Roman"/>
                <w:color w:val="000000"/>
                <w:sz w:val="22"/>
              </w:rPr>
              <w:t>oil spill</w:t>
            </w:r>
          </w:p>
        </w:tc>
      </w:tr>
      <w:tr w:rsidR="006641D3" w:rsidRPr="003258EF" w:rsidTr="00660FC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27</w:t>
            </w:r>
          </w:p>
        </w:tc>
        <w:tc>
          <w:tcPr>
            <w:tcW w:w="1440" w:type="dxa"/>
            <w:hideMark/>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Snyder v. Phelps</w:t>
            </w:r>
          </w:p>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09-751</w:t>
            </w:r>
            <w:r>
              <w:rPr>
                <w:rFonts w:eastAsia="Times New Roman" w:cs="Times New Roman"/>
                <w:color w:val="000000"/>
                <w:sz w:val="22"/>
              </w:rPr>
              <w:t>)</w:t>
            </w:r>
          </w:p>
        </w:tc>
        <w:tc>
          <w:tcPr>
            <w:tcW w:w="810" w:type="dxa"/>
            <w:noWrap/>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2010</w:t>
            </w:r>
          </w:p>
        </w:tc>
        <w:tc>
          <w:tcPr>
            <w:tcW w:w="720" w:type="dxa"/>
            <w:noWrap/>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8-</w:t>
            </w:r>
            <w:r w:rsidRPr="003258EF">
              <w:rPr>
                <w:rFonts w:eastAsia="Times New Roman" w:cs="Times New Roman"/>
                <w:color w:val="000000"/>
                <w:sz w:val="22"/>
              </w:rPr>
              <w:t>1</w:t>
            </w:r>
          </w:p>
        </w:tc>
        <w:tc>
          <w:tcPr>
            <w:tcW w:w="144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Liberal</w:t>
            </w:r>
          </w:p>
        </w:tc>
        <w:tc>
          <w:tcPr>
            <w:tcW w:w="116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142</w:t>
            </w:r>
          </w:p>
        </w:tc>
        <w:tc>
          <w:tcPr>
            <w:tcW w:w="153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-51</w:t>
            </w:r>
          </w:p>
        </w:tc>
        <w:tc>
          <w:tcPr>
            <w:tcW w:w="1728"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Allows peaceful protests at military funerals</w:t>
            </w:r>
          </w:p>
        </w:tc>
      </w:tr>
      <w:tr w:rsidR="006641D3" w:rsidRPr="003258EF" w:rsidTr="00660FC6">
        <w:trPr>
          <w:trHeight w:val="6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28</w:t>
            </w:r>
          </w:p>
        </w:tc>
        <w:tc>
          <w:tcPr>
            <w:tcW w:w="1440" w:type="dxa"/>
            <w:hideMark/>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Crawford v. Marion County Election Board</w:t>
            </w:r>
          </w:p>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07</w:t>
            </w:r>
            <w:r>
              <w:rPr>
                <w:rFonts w:eastAsia="Times New Roman" w:cs="Times New Roman"/>
                <w:color w:val="000000"/>
                <w:sz w:val="22"/>
              </w:rPr>
              <w:t>-</w:t>
            </w:r>
            <w:r w:rsidRPr="003258EF">
              <w:rPr>
                <w:rFonts w:eastAsia="Times New Roman" w:cs="Times New Roman"/>
                <w:color w:val="000000"/>
                <w:sz w:val="22"/>
              </w:rPr>
              <w:t>21</w:t>
            </w:r>
            <w:r>
              <w:rPr>
                <w:rFonts w:eastAsia="Times New Roman" w:cs="Times New Roman"/>
                <w:color w:val="000000"/>
                <w:sz w:val="22"/>
              </w:rPr>
              <w:t>)</w:t>
            </w:r>
          </w:p>
        </w:tc>
        <w:tc>
          <w:tcPr>
            <w:tcW w:w="81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2007</w:t>
            </w:r>
          </w:p>
        </w:tc>
        <w:tc>
          <w:tcPr>
            <w:tcW w:w="72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6-</w:t>
            </w:r>
            <w:r w:rsidRPr="003258EF">
              <w:rPr>
                <w:rFonts w:eastAsia="Times New Roman" w:cs="Times New Roman"/>
                <w:color w:val="000000"/>
                <w:sz w:val="22"/>
              </w:rPr>
              <w:t>3</w:t>
            </w:r>
          </w:p>
        </w:tc>
        <w:tc>
          <w:tcPr>
            <w:tcW w:w="144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Conservative</w:t>
            </w:r>
          </w:p>
        </w:tc>
        <w:tc>
          <w:tcPr>
            <w:tcW w:w="116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141</w:t>
            </w:r>
          </w:p>
        </w:tc>
        <w:tc>
          <w:tcPr>
            <w:tcW w:w="153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60</w:t>
            </w:r>
          </w:p>
        </w:tc>
        <w:tc>
          <w:tcPr>
            <w:tcW w:w="1728"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Upholds state voter ID law</w:t>
            </w:r>
          </w:p>
        </w:tc>
      </w:tr>
      <w:tr w:rsidR="006641D3" w:rsidRPr="003258EF" w:rsidTr="00660FC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28</w:t>
            </w:r>
          </w:p>
        </w:tc>
        <w:tc>
          <w:tcPr>
            <w:tcW w:w="1440" w:type="dxa"/>
            <w:hideMark/>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 xml:space="preserve">Indiana Democratic Party v. </w:t>
            </w:r>
            <w:proofErr w:type="spellStart"/>
            <w:r w:rsidRPr="003258EF">
              <w:rPr>
                <w:rFonts w:eastAsia="Times New Roman" w:cs="Times New Roman"/>
                <w:i/>
                <w:iCs/>
                <w:color w:val="000000"/>
                <w:sz w:val="22"/>
              </w:rPr>
              <w:t>Rotika</w:t>
            </w:r>
            <w:proofErr w:type="spellEnd"/>
          </w:p>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07</w:t>
            </w:r>
            <w:r>
              <w:rPr>
                <w:rFonts w:eastAsia="Times New Roman" w:cs="Times New Roman"/>
                <w:color w:val="000000"/>
                <w:sz w:val="22"/>
              </w:rPr>
              <w:t>-</w:t>
            </w:r>
            <w:r w:rsidRPr="003258EF">
              <w:rPr>
                <w:rFonts w:eastAsia="Times New Roman" w:cs="Times New Roman"/>
                <w:color w:val="000000"/>
                <w:sz w:val="22"/>
              </w:rPr>
              <w:t>25</w:t>
            </w:r>
            <w:r>
              <w:rPr>
                <w:rFonts w:eastAsia="Times New Roman" w:cs="Times New Roman"/>
                <w:color w:val="000000"/>
                <w:sz w:val="22"/>
              </w:rPr>
              <w:t>)</w:t>
            </w:r>
          </w:p>
        </w:tc>
        <w:tc>
          <w:tcPr>
            <w:tcW w:w="81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2007</w:t>
            </w:r>
          </w:p>
        </w:tc>
        <w:tc>
          <w:tcPr>
            <w:tcW w:w="72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6-</w:t>
            </w:r>
            <w:r w:rsidRPr="003258EF">
              <w:rPr>
                <w:rFonts w:eastAsia="Times New Roman" w:cs="Times New Roman"/>
                <w:color w:val="000000"/>
                <w:sz w:val="22"/>
              </w:rPr>
              <w:t>3</w:t>
            </w:r>
          </w:p>
        </w:tc>
        <w:tc>
          <w:tcPr>
            <w:tcW w:w="144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Conservative</w:t>
            </w:r>
          </w:p>
        </w:tc>
        <w:tc>
          <w:tcPr>
            <w:tcW w:w="116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141</w:t>
            </w:r>
          </w:p>
        </w:tc>
        <w:tc>
          <w:tcPr>
            <w:tcW w:w="153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60</w:t>
            </w:r>
          </w:p>
        </w:tc>
        <w:tc>
          <w:tcPr>
            <w:tcW w:w="1728"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Upholds state voter ID law</w:t>
            </w:r>
          </w:p>
        </w:tc>
      </w:tr>
      <w:tr w:rsidR="006641D3" w:rsidRPr="003258EF" w:rsidTr="00660FC6">
        <w:trPr>
          <w:trHeight w:val="6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28</w:t>
            </w:r>
          </w:p>
        </w:tc>
        <w:tc>
          <w:tcPr>
            <w:tcW w:w="1440" w:type="dxa"/>
            <w:hideMark/>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CBOCS West, Inc. v. Humphries</w:t>
            </w:r>
          </w:p>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06-1431</w:t>
            </w:r>
            <w:r>
              <w:rPr>
                <w:rFonts w:eastAsia="Times New Roman" w:cs="Times New Roman"/>
                <w:color w:val="000000"/>
                <w:sz w:val="22"/>
              </w:rPr>
              <w:t>)</w:t>
            </w:r>
          </w:p>
        </w:tc>
        <w:tc>
          <w:tcPr>
            <w:tcW w:w="810" w:type="dxa"/>
            <w:noWrap/>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2007</w:t>
            </w:r>
          </w:p>
        </w:tc>
        <w:tc>
          <w:tcPr>
            <w:tcW w:w="720" w:type="dxa"/>
            <w:noWrap/>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7-</w:t>
            </w:r>
            <w:r w:rsidRPr="003258EF">
              <w:rPr>
                <w:rFonts w:eastAsia="Times New Roman" w:cs="Times New Roman"/>
                <w:color w:val="000000"/>
                <w:sz w:val="22"/>
              </w:rPr>
              <w:t>2</w:t>
            </w:r>
          </w:p>
        </w:tc>
        <w:tc>
          <w:tcPr>
            <w:tcW w:w="1440"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Liberal</w:t>
            </w:r>
          </w:p>
        </w:tc>
        <w:tc>
          <w:tcPr>
            <w:tcW w:w="116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141</w:t>
            </w:r>
          </w:p>
        </w:tc>
        <w:tc>
          <w:tcPr>
            <w:tcW w:w="1535"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135</w:t>
            </w:r>
          </w:p>
        </w:tc>
        <w:tc>
          <w:tcPr>
            <w:tcW w:w="1728" w:type="dxa"/>
            <w:hideMark/>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Allows anti-retaliation suit under Civil-War era civil rights law</w:t>
            </w:r>
          </w:p>
        </w:tc>
      </w:tr>
      <w:tr w:rsidR="006641D3" w:rsidRPr="003258EF" w:rsidTr="00660FC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38" w:type="dxa"/>
            <w:noWrap/>
            <w:hideMark/>
          </w:tcPr>
          <w:p w:rsidR="006641D3" w:rsidRPr="003258EF" w:rsidRDefault="006641D3" w:rsidP="00660FC6">
            <w:pPr>
              <w:ind w:left="0" w:firstLine="0"/>
              <w:jc w:val="center"/>
              <w:rPr>
                <w:rFonts w:eastAsia="Times New Roman" w:cs="Times New Roman"/>
                <w:color w:val="000000"/>
                <w:sz w:val="22"/>
              </w:rPr>
            </w:pPr>
            <w:r w:rsidRPr="003258EF">
              <w:rPr>
                <w:rFonts w:eastAsia="Times New Roman" w:cs="Times New Roman"/>
                <w:color w:val="000000"/>
                <w:sz w:val="22"/>
              </w:rPr>
              <w:t>28</w:t>
            </w:r>
          </w:p>
        </w:tc>
        <w:tc>
          <w:tcPr>
            <w:tcW w:w="1440" w:type="dxa"/>
            <w:hideMark/>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sidRPr="003258EF">
              <w:rPr>
                <w:rFonts w:eastAsia="Times New Roman" w:cs="Times New Roman"/>
                <w:i/>
                <w:iCs/>
                <w:color w:val="000000"/>
                <w:sz w:val="22"/>
              </w:rPr>
              <w:t>United States v. Stevens</w:t>
            </w:r>
          </w:p>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Pr>
                <w:rFonts w:eastAsia="Times New Roman" w:cs="Times New Roman"/>
                <w:color w:val="000000"/>
                <w:sz w:val="22"/>
              </w:rPr>
              <w:t>(</w:t>
            </w:r>
            <w:r w:rsidRPr="003258EF">
              <w:rPr>
                <w:rFonts w:eastAsia="Times New Roman" w:cs="Times New Roman"/>
                <w:color w:val="000000"/>
                <w:sz w:val="22"/>
              </w:rPr>
              <w:t>08-769</w:t>
            </w:r>
            <w:r>
              <w:rPr>
                <w:rFonts w:eastAsia="Times New Roman" w:cs="Times New Roman"/>
                <w:color w:val="000000"/>
                <w:sz w:val="22"/>
              </w:rPr>
              <w:t>)</w:t>
            </w:r>
          </w:p>
        </w:tc>
        <w:tc>
          <w:tcPr>
            <w:tcW w:w="810" w:type="dxa"/>
            <w:noWrap/>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2009</w:t>
            </w:r>
          </w:p>
        </w:tc>
        <w:tc>
          <w:tcPr>
            <w:tcW w:w="720" w:type="dxa"/>
            <w:noWrap/>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8-</w:t>
            </w:r>
            <w:r w:rsidRPr="003258EF">
              <w:rPr>
                <w:rFonts w:eastAsia="Times New Roman" w:cs="Times New Roman"/>
                <w:color w:val="000000"/>
                <w:sz w:val="22"/>
              </w:rPr>
              <w:t>1</w:t>
            </w:r>
          </w:p>
        </w:tc>
        <w:tc>
          <w:tcPr>
            <w:tcW w:w="1440"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Liberal</w:t>
            </w:r>
          </w:p>
        </w:tc>
        <w:tc>
          <w:tcPr>
            <w:tcW w:w="116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141</w:t>
            </w:r>
          </w:p>
        </w:tc>
        <w:tc>
          <w:tcPr>
            <w:tcW w:w="1535" w:type="dxa"/>
            <w:hideMark/>
          </w:tcPr>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28</w:t>
            </w:r>
          </w:p>
        </w:tc>
        <w:tc>
          <w:tcPr>
            <w:tcW w:w="1728" w:type="dxa"/>
            <w:hideMark/>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3258EF">
              <w:rPr>
                <w:rFonts w:eastAsia="Times New Roman" w:cs="Times New Roman"/>
                <w:color w:val="000000"/>
                <w:sz w:val="22"/>
              </w:rPr>
              <w:t>Strikes d</w:t>
            </w:r>
            <w:r>
              <w:rPr>
                <w:rFonts w:eastAsia="Times New Roman" w:cs="Times New Roman"/>
                <w:color w:val="000000"/>
                <w:sz w:val="22"/>
              </w:rPr>
              <w:t>own federal "animal cruelty" law</w:t>
            </w:r>
          </w:p>
          <w:p w:rsidR="006641D3" w:rsidRPr="003258EF"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p>
        </w:tc>
      </w:tr>
      <w:tr w:rsidR="006641D3" w:rsidRPr="003258EF" w:rsidTr="00660FC6">
        <w:trPr>
          <w:trHeight w:val="600"/>
        </w:trPr>
        <w:tc>
          <w:tcPr>
            <w:cnfStyle w:val="001000000000" w:firstRow="0" w:lastRow="0" w:firstColumn="1" w:lastColumn="0" w:oddVBand="0" w:evenVBand="0" w:oddHBand="0" w:evenHBand="0" w:firstRowFirstColumn="0" w:firstRowLastColumn="0" w:lastRowFirstColumn="0" w:lastRowLastColumn="0"/>
            <w:tcW w:w="738" w:type="dxa"/>
            <w:noWrap/>
          </w:tcPr>
          <w:p w:rsidR="006641D3" w:rsidRPr="003258EF" w:rsidRDefault="006641D3" w:rsidP="00660FC6">
            <w:pPr>
              <w:ind w:left="0" w:firstLine="0"/>
              <w:jc w:val="center"/>
              <w:rPr>
                <w:rFonts w:eastAsia="Times New Roman" w:cs="Times New Roman"/>
                <w:color w:val="000000"/>
                <w:sz w:val="22"/>
              </w:rPr>
            </w:pPr>
            <w:r>
              <w:rPr>
                <w:rFonts w:eastAsia="Times New Roman" w:cs="Times New Roman"/>
                <w:color w:val="000000"/>
                <w:sz w:val="22"/>
              </w:rPr>
              <w:t>32</w:t>
            </w:r>
          </w:p>
        </w:tc>
        <w:tc>
          <w:tcPr>
            <w:tcW w:w="1440" w:type="dxa"/>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Pr>
                <w:rFonts w:eastAsia="Times New Roman" w:cs="Times New Roman"/>
                <w:i/>
                <w:iCs/>
                <w:color w:val="000000"/>
                <w:sz w:val="22"/>
              </w:rPr>
              <w:t>Graham v. Florida</w:t>
            </w:r>
          </w:p>
          <w:p w:rsidR="006641D3" w:rsidRPr="004031A7"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Cs/>
                <w:color w:val="000000"/>
                <w:sz w:val="22"/>
              </w:rPr>
            </w:pPr>
            <w:r>
              <w:rPr>
                <w:rFonts w:eastAsia="Times New Roman" w:cs="Times New Roman"/>
                <w:iCs/>
                <w:color w:val="000000"/>
                <w:sz w:val="22"/>
              </w:rPr>
              <w:t>(08-7412)</w:t>
            </w:r>
          </w:p>
        </w:tc>
        <w:tc>
          <w:tcPr>
            <w:tcW w:w="810" w:type="dxa"/>
            <w:noWrap/>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2009</w:t>
            </w:r>
          </w:p>
        </w:tc>
        <w:tc>
          <w:tcPr>
            <w:tcW w:w="720" w:type="dxa"/>
            <w:noWrap/>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6-3</w:t>
            </w:r>
          </w:p>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tc>
        <w:tc>
          <w:tcPr>
            <w:tcW w:w="1440" w:type="dxa"/>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Liberal</w:t>
            </w:r>
          </w:p>
        </w:tc>
        <w:tc>
          <w:tcPr>
            <w:tcW w:w="1165" w:type="dxa"/>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139</w:t>
            </w:r>
          </w:p>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tc>
        <w:tc>
          <w:tcPr>
            <w:tcW w:w="1535" w:type="dxa"/>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69</w:t>
            </w:r>
          </w:p>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tc>
        <w:tc>
          <w:tcPr>
            <w:tcW w:w="1728" w:type="dxa"/>
          </w:tcPr>
          <w:p w:rsidR="006641D3" w:rsidRPr="003258EF"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Bars life without parole for juveniles</w:t>
            </w:r>
          </w:p>
        </w:tc>
      </w:tr>
      <w:tr w:rsidR="006641D3" w:rsidRPr="003258EF" w:rsidTr="00660FC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38" w:type="dxa"/>
            <w:noWrap/>
          </w:tcPr>
          <w:p w:rsidR="006641D3" w:rsidRDefault="006641D3" w:rsidP="00660FC6">
            <w:pPr>
              <w:ind w:left="0" w:firstLine="0"/>
              <w:jc w:val="center"/>
              <w:rPr>
                <w:rFonts w:eastAsia="Times New Roman" w:cs="Times New Roman"/>
                <w:color w:val="000000"/>
                <w:sz w:val="22"/>
              </w:rPr>
            </w:pPr>
            <w:r>
              <w:rPr>
                <w:rFonts w:eastAsia="Times New Roman" w:cs="Times New Roman"/>
                <w:color w:val="000000"/>
                <w:sz w:val="22"/>
              </w:rPr>
              <w:t>33</w:t>
            </w:r>
          </w:p>
        </w:tc>
        <w:tc>
          <w:tcPr>
            <w:tcW w:w="1440" w:type="dxa"/>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Pr>
                <w:rFonts w:eastAsia="Times New Roman" w:cs="Times New Roman"/>
                <w:i/>
                <w:iCs/>
                <w:color w:val="000000"/>
                <w:sz w:val="22"/>
              </w:rPr>
              <w:t>AT</w:t>
            </w:r>
            <w:r w:rsidR="00C82205">
              <w:rPr>
                <w:rFonts w:eastAsia="Times New Roman" w:cs="Times New Roman"/>
                <w:i/>
                <w:iCs/>
                <w:color w:val="000000"/>
                <w:sz w:val="22"/>
              </w:rPr>
              <w:t>&amp;</w:t>
            </w:r>
            <w:r>
              <w:rPr>
                <w:rFonts w:eastAsia="Times New Roman" w:cs="Times New Roman"/>
                <w:i/>
                <w:iCs/>
                <w:color w:val="000000"/>
                <w:sz w:val="22"/>
              </w:rPr>
              <w:t>T v. Concepcion</w:t>
            </w:r>
          </w:p>
          <w:p w:rsidR="006641D3" w:rsidRPr="0097724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Cs/>
                <w:color w:val="000000"/>
                <w:sz w:val="22"/>
              </w:rPr>
            </w:pPr>
            <w:r>
              <w:rPr>
                <w:rFonts w:eastAsia="Times New Roman" w:cs="Times New Roman"/>
                <w:iCs/>
                <w:color w:val="000000"/>
                <w:sz w:val="22"/>
              </w:rPr>
              <w:t>(09-893)</w:t>
            </w:r>
          </w:p>
        </w:tc>
        <w:tc>
          <w:tcPr>
            <w:tcW w:w="810" w:type="dxa"/>
            <w:noWrap/>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2010</w:t>
            </w:r>
          </w:p>
        </w:tc>
        <w:tc>
          <w:tcPr>
            <w:tcW w:w="720" w:type="dxa"/>
            <w:noWrap/>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5-4</w:t>
            </w:r>
          </w:p>
        </w:tc>
        <w:tc>
          <w:tcPr>
            <w:tcW w:w="1440" w:type="dxa"/>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Conservative</w:t>
            </w:r>
          </w:p>
        </w:tc>
        <w:tc>
          <w:tcPr>
            <w:tcW w:w="1165" w:type="dxa"/>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135</w:t>
            </w:r>
          </w:p>
        </w:tc>
        <w:tc>
          <w:tcPr>
            <w:tcW w:w="1535" w:type="dxa"/>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75</w:t>
            </w:r>
          </w:p>
        </w:tc>
        <w:tc>
          <w:tcPr>
            <w:tcW w:w="1728" w:type="dxa"/>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Allows companies to bar class actions under arbitration agreements</w:t>
            </w:r>
          </w:p>
        </w:tc>
      </w:tr>
      <w:tr w:rsidR="006641D3" w:rsidRPr="003258EF" w:rsidTr="00660FC6">
        <w:trPr>
          <w:trHeight w:val="600"/>
        </w:trPr>
        <w:tc>
          <w:tcPr>
            <w:cnfStyle w:val="001000000000" w:firstRow="0" w:lastRow="0" w:firstColumn="1" w:lastColumn="0" w:oddVBand="0" w:evenVBand="0" w:oddHBand="0" w:evenHBand="0" w:firstRowFirstColumn="0" w:firstRowLastColumn="0" w:lastRowFirstColumn="0" w:lastRowLastColumn="0"/>
            <w:tcW w:w="738" w:type="dxa"/>
            <w:noWrap/>
          </w:tcPr>
          <w:p w:rsidR="006641D3" w:rsidRDefault="006641D3" w:rsidP="00660FC6">
            <w:pPr>
              <w:ind w:left="0" w:firstLine="0"/>
              <w:jc w:val="center"/>
              <w:rPr>
                <w:rFonts w:eastAsia="Times New Roman" w:cs="Times New Roman"/>
                <w:color w:val="000000"/>
                <w:sz w:val="22"/>
              </w:rPr>
            </w:pPr>
            <w:r>
              <w:rPr>
                <w:rFonts w:eastAsia="Times New Roman" w:cs="Times New Roman"/>
                <w:color w:val="000000"/>
                <w:sz w:val="22"/>
              </w:rPr>
              <w:t>34</w:t>
            </w:r>
          </w:p>
        </w:tc>
        <w:tc>
          <w:tcPr>
            <w:tcW w:w="1440" w:type="dxa"/>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Pr>
                <w:rFonts w:eastAsia="Times New Roman" w:cs="Times New Roman"/>
                <w:i/>
                <w:iCs/>
                <w:color w:val="000000"/>
                <w:sz w:val="22"/>
              </w:rPr>
              <w:t>Wyeth v. Levin</w:t>
            </w:r>
          </w:p>
          <w:p w:rsidR="006641D3" w:rsidRPr="0097724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Cs/>
                <w:color w:val="000000"/>
                <w:sz w:val="22"/>
              </w:rPr>
            </w:pPr>
            <w:r>
              <w:rPr>
                <w:rFonts w:eastAsia="Times New Roman" w:cs="Times New Roman"/>
                <w:iCs/>
                <w:color w:val="000000"/>
                <w:sz w:val="22"/>
              </w:rPr>
              <w:t>(06-1249)</w:t>
            </w:r>
          </w:p>
        </w:tc>
        <w:tc>
          <w:tcPr>
            <w:tcW w:w="810" w:type="dxa"/>
            <w:noWrap/>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2008</w:t>
            </w:r>
          </w:p>
        </w:tc>
        <w:tc>
          <w:tcPr>
            <w:tcW w:w="720" w:type="dxa"/>
            <w:noWrap/>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6-3</w:t>
            </w:r>
          </w:p>
        </w:tc>
        <w:tc>
          <w:tcPr>
            <w:tcW w:w="1440" w:type="dxa"/>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Conservative</w:t>
            </w:r>
          </w:p>
        </w:tc>
        <w:tc>
          <w:tcPr>
            <w:tcW w:w="1165" w:type="dxa"/>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131</w:t>
            </w:r>
          </w:p>
        </w:tc>
        <w:tc>
          <w:tcPr>
            <w:tcW w:w="1535" w:type="dxa"/>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-101</w:t>
            </w:r>
          </w:p>
        </w:tc>
        <w:tc>
          <w:tcPr>
            <w:tcW w:w="1728" w:type="dxa"/>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 xml:space="preserve">Allows failure-to-warn suits in state court against </w:t>
            </w:r>
            <w:proofErr w:type="spellStart"/>
            <w:r>
              <w:rPr>
                <w:rFonts w:eastAsia="Times New Roman" w:cs="Times New Roman"/>
                <w:color w:val="000000"/>
                <w:sz w:val="22"/>
              </w:rPr>
              <w:lastRenderedPageBreak/>
              <w:t>drugmakers</w:t>
            </w:r>
            <w:proofErr w:type="spellEnd"/>
            <w:r>
              <w:rPr>
                <w:rFonts w:eastAsia="Times New Roman" w:cs="Times New Roman"/>
                <w:color w:val="000000"/>
                <w:sz w:val="22"/>
              </w:rPr>
              <w:t xml:space="preserve"> despite federal regulation</w:t>
            </w:r>
          </w:p>
        </w:tc>
      </w:tr>
      <w:tr w:rsidR="006641D3" w:rsidRPr="003258EF" w:rsidTr="00660FC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38" w:type="dxa"/>
            <w:noWrap/>
          </w:tcPr>
          <w:p w:rsidR="006641D3" w:rsidRDefault="006641D3" w:rsidP="00660FC6">
            <w:pPr>
              <w:ind w:left="0" w:firstLine="0"/>
              <w:jc w:val="center"/>
              <w:rPr>
                <w:rFonts w:eastAsia="Times New Roman" w:cs="Times New Roman"/>
                <w:color w:val="000000"/>
                <w:sz w:val="22"/>
              </w:rPr>
            </w:pPr>
            <w:r>
              <w:rPr>
                <w:rFonts w:eastAsia="Times New Roman" w:cs="Times New Roman"/>
                <w:color w:val="000000"/>
                <w:sz w:val="22"/>
              </w:rPr>
              <w:lastRenderedPageBreak/>
              <w:t>35</w:t>
            </w:r>
          </w:p>
        </w:tc>
        <w:tc>
          <w:tcPr>
            <w:tcW w:w="1440" w:type="dxa"/>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rPr>
            </w:pPr>
            <w:r>
              <w:rPr>
                <w:rFonts w:eastAsia="Times New Roman" w:cs="Times New Roman"/>
                <w:i/>
                <w:iCs/>
                <w:color w:val="000000"/>
                <w:sz w:val="22"/>
              </w:rPr>
              <w:t>Horne v. Flores</w:t>
            </w:r>
          </w:p>
          <w:p w:rsidR="006641D3" w:rsidRPr="00977240"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Cs/>
                <w:color w:val="000000"/>
                <w:sz w:val="22"/>
              </w:rPr>
            </w:pPr>
            <w:r>
              <w:rPr>
                <w:rFonts w:eastAsia="Times New Roman" w:cs="Times New Roman"/>
                <w:iCs/>
                <w:color w:val="000000"/>
                <w:sz w:val="22"/>
              </w:rPr>
              <w:t>(08-289)</w:t>
            </w:r>
          </w:p>
        </w:tc>
        <w:tc>
          <w:tcPr>
            <w:tcW w:w="810" w:type="dxa"/>
            <w:noWrap/>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2008</w:t>
            </w:r>
          </w:p>
        </w:tc>
        <w:tc>
          <w:tcPr>
            <w:tcW w:w="720" w:type="dxa"/>
            <w:noWrap/>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5-4</w:t>
            </w:r>
          </w:p>
        </w:tc>
        <w:tc>
          <w:tcPr>
            <w:tcW w:w="1440" w:type="dxa"/>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Conservative</w:t>
            </w:r>
          </w:p>
        </w:tc>
        <w:tc>
          <w:tcPr>
            <w:tcW w:w="1165" w:type="dxa"/>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129</w:t>
            </w:r>
          </w:p>
        </w:tc>
        <w:tc>
          <w:tcPr>
            <w:tcW w:w="1535" w:type="dxa"/>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41</w:t>
            </w:r>
          </w:p>
        </w:tc>
        <w:tc>
          <w:tcPr>
            <w:tcW w:w="1728" w:type="dxa"/>
          </w:tcPr>
          <w:p w:rsidR="006641D3" w:rsidRDefault="006641D3" w:rsidP="00660FC6">
            <w:pPr>
              <w:ind w:left="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State can determine its own requirements with regard to English Language Learner instruction</w:t>
            </w:r>
          </w:p>
        </w:tc>
      </w:tr>
      <w:tr w:rsidR="006641D3" w:rsidRPr="003258EF" w:rsidTr="00660FC6">
        <w:trPr>
          <w:trHeight w:val="600"/>
        </w:trPr>
        <w:tc>
          <w:tcPr>
            <w:cnfStyle w:val="001000000000" w:firstRow="0" w:lastRow="0" w:firstColumn="1" w:lastColumn="0" w:oddVBand="0" w:evenVBand="0" w:oddHBand="0" w:evenHBand="0" w:firstRowFirstColumn="0" w:firstRowLastColumn="0" w:lastRowFirstColumn="0" w:lastRowLastColumn="0"/>
            <w:tcW w:w="738" w:type="dxa"/>
            <w:tcBorders>
              <w:bottom w:val="single" w:sz="18" w:space="0" w:color="auto"/>
            </w:tcBorders>
            <w:noWrap/>
          </w:tcPr>
          <w:p w:rsidR="006641D3" w:rsidRDefault="006641D3" w:rsidP="00660FC6">
            <w:pPr>
              <w:ind w:left="0" w:firstLine="0"/>
              <w:jc w:val="center"/>
              <w:rPr>
                <w:rFonts w:eastAsia="Times New Roman" w:cs="Times New Roman"/>
                <w:color w:val="000000"/>
                <w:sz w:val="22"/>
              </w:rPr>
            </w:pPr>
            <w:r>
              <w:rPr>
                <w:rFonts w:eastAsia="Times New Roman" w:cs="Times New Roman"/>
                <w:color w:val="000000"/>
                <w:sz w:val="22"/>
              </w:rPr>
              <w:t>36</w:t>
            </w:r>
          </w:p>
          <w:p w:rsidR="006641D3" w:rsidRDefault="006641D3" w:rsidP="00660FC6">
            <w:pPr>
              <w:ind w:left="0" w:firstLine="0"/>
              <w:jc w:val="center"/>
              <w:rPr>
                <w:rFonts w:eastAsia="Times New Roman" w:cs="Times New Roman"/>
                <w:color w:val="000000"/>
                <w:sz w:val="22"/>
              </w:rPr>
            </w:pPr>
          </w:p>
        </w:tc>
        <w:tc>
          <w:tcPr>
            <w:tcW w:w="1440" w:type="dxa"/>
            <w:tcBorders>
              <w:bottom w:val="single" w:sz="18" w:space="0" w:color="auto"/>
            </w:tcBorders>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2"/>
              </w:rPr>
            </w:pPr>
            <w:r>
              <w:rPr>
                <w:rFonts w:eastAsia="Times New Roman" w:cs="Times New Roman"/>
                <w:i/>
                <w:iCs/>
                <w:color w:val="000000"/>
                <w:sz w:val="22"/>
              </w:rPr>
              <w:t>Maples v. Thomas</w:t>
            </w:r>
          </w:p>
          <w:p w:rsidR="006641D3" w:rsidRPr="00977240"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Cs/>
                <w:color w:val="000000"/>
                <w:sz w:val="22"/>
              </w:rPr>
            </w:pPr>
            <w:r>
              <w:rPr>
                <w:rFonts w:eastAsia="Times New Roman" w:cs="Times New Roman"/>
                <w:iCs/>
                <w:color w:val="000000"/>
                <w:sz w:val="22"/>
              </w:rPr>
              <w:t>(10-63)</w:t>
            </w:r>
          </w:p>
        </w:tc>
        <w:tc>
          <w:tcPr>
            <w:tcW w:w="810" w:type="dxa"/>
            <w:tcBorders>
              <w:bottom w:val="single" w:sz="18" w:space="0" w:color="auto"/>
            </w:tcBorders>
            <w:noWrap/>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2011</w:t>
            </w:r>
          </w:p>
        </w:tc>
        <w:tc>
          <w:tcPr>
            <w:tcW w:w="720" w:type="dxa"/>
            <w:tcBorders>
              <w:bottom w:val="single" w:sz="18" w:space="0" w:color="auto"/>
            </w:tcBorders>
            <w:noWrap/>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7-2</w:t>
            </w:r>
          </w:p>
        </w:tc>
        <w:tc>
          <w:tcPr>
            <w:tcW w:w="1440" w:type="dxa"/>
            <w:tcBorders>
              <w:bottom w:val="single" w:sz="18" w:space="0" w:color="auto"/>
            </w:tcBorders>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Liberal</w:t>
            </w:r>
          </w:p>
        </w:tc>
        <w:tc>
          <w:tcPr>
            <w:tcW w:w="1165" w:type="dxa"/>
            <w:tcBorders>
              <w:bottom w:val="single" w:sz="18" w:space="0" w:color="auto"/>
            </w:tcBorders>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126</w:t>
            </w:r>
          </w:p>
        </w:tc>
        <w:tc>
          <w:tcPr>
            <w:tcW w:w="1535" w:type="dxa"/>
            <w:tcBorders>
              <w:bottom w:val="single" w:sz="18" w:space="0" w:color="auto"/>
            </w:tcBorders>
          </w:tcPr>
          <w:p w:rsidR="006641D3"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84</w:t>
            </w:r>
          </w:p>
        </w:tc>
        <w:tc>
          <w:tcPr>
            <w:tcW w:w="1728" w:type="dxa"/>
            <w:tcBorders>
              <w:bottom w:val="single" w:sz="18" w:space="0" w:color="auto"/>
            </w:tcBorders>
          </w:tcPr>
          <w:p w:rsidR="006641D3" w:rsidRPr="00E0108D" w:rsidRDefault="006641D3" w:rsidP="00660FC6">
            <w:pPr>
              <w:ind w:left="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rPr>
            </w:pPr>
            <w:r w:rsidRPr="00E0108D">
              <w:rPr>
                <w:color w:val="auto"/>
              </w:rPr>
              <w:t>Death row inmate showed the requisite “cause” to excuse his procedur</w:t>
            </w:r>
            <w:r w:rsidRPr="00E0108D">
              <w:rPr>
                <w:color w:val="auto"/>
              </w:rPr>
              <w:softHyphen/>
              <w:t>al default, which occurred when his law</w:t>
            </w:r>
            <w:r>
              <w:rPr>
                <w:color w:val="auto"/>
              </w:rPr>
              <w:t>yer missed a filing deadline</w:t>
            </w:r>
          </w:p>
        </w:tc>
      </w:tr>
    </w:tbl>
    <w:p w:rsidR="006641D3" w:rsidRDefault="006641D3" w:rsidP="006641D3">
      <w:pPr>
        <w:ind w:left="0" w:firstLine="0"/>
        <w:rPr>
          <w:rFonts w:cs="Times New Roman"/>
          <w:szCs w:val="24"/>
        </w:rPr>
      </w:pPr>
      <w:r>
        <w:rPr>
          <w:rFonts w:cs="Times New Roman"/>
          <w:b/>
          <w:szCs w:val="24"/>
        </w:rPr>
        <w:t>*</w:t>
      </w:r>
      <w:r>
        <w:rPr>
          <w:rFonts w:cs="Times New Roman"/>
          <w:szCs w:val="24"/>
        </w:rPr>
        <w:t xml:space="preserve">Description of holding is borrowed from primarily from </w:t>
      </w:r>
      <w:proofErr w:type="spellStart"/>
      <w:r>
        <w:rPr>
          <w:rFonts w:cs="Times New Roman"/>
          <w:szCs w:val="24"/>
        </w:rPr>
        <w:t>Jost’s</w:t>
      </w:r>
      <w:proofErr w:type="spellEnd"/>
      <w:r>
        <w:rPr>
          <w:rFonts w:cs="Times New Roman"/>
          <w:szCs w:val="24"/>
        </w:rPr>
        <w:t xml:space="preserve"> (2012, 2011, 2010, 2009, 2008) list of major cases published annually in CQ Press’ </w:t>
      </w:r>
      <w:r>
        <w:rPr>
          <w:rFonts w:cs="Times New Roman"/>
          <w:i/>
          <w:szCs w:val="24"/>
        </w:rPr>
        <w:t xml:space="preserve">Supreme Court Yearbook. </w:t>
      </w:r>
      <w:r>
        <w:rPr>
          <w:rFonts w:cs="Times New Roman"/>
          <w:szCs w:val="24"/>
        </w:rPr>
        <w:t xml:space="preserve"> Some holding descriptions also provided by </w:t>
      </w:r>
      <w:hyperlink r:id="rId53" w:history="1">
        <w:r w:rsidRPr="00144471">
          <w:rPr>
            <w:rStyle w:val="Hyperlink"/>
            <w:rFonts w:cs="Times New Roman"/>
            <w:szCs w:val="24"/>
          </w:rPr>
          <w:t>http://www.scotusblog.com/</w:t>
        </w:r>
      </w:hyperlink>
      <w:r>
        <w:rPr>
          <w:rFonts w:cs="Times New Roman"/>
          <w:szCs w:val="24"/>
        </w:rPr>
        <w:t xml:space="preserve">. </w:t>
      </w:r>
    </w:p>
    <w:p w:rsidR="006641D3" w:rsidRDefault="006641D3" w:rsidP="006641D3">
      <w:pPr>
        <w:ind w:left="0" w:firstLine="0"/>
        <w:rPr>
          <w:rFonts w:cs="Times New Roman"/>
          <w:szCs w:val="24"/>
        </w:rPr>
      </w:pPr>
    </w:p>
    <w:p w:rsidR="00D50941" w:rsidRDefault="00D50941" w:rsidP="006641D3">
      <w:pPr>
        <w:spacing w:line="480" w:lineRule="auto"/>
      </w:pPr>
    </w:p>
    <w:p w:rsidR="00D50941" w:rsidRDefault="00D50941" w:rsidP="00D50941">
      <w:pPr>
        <w:spacing w:line="480" w:lineRule="auto"/>
        <w:jc w:val="center"/>
      </w:pPr>
    </w:p>
    <w:p w:rsidR="00D50941" w:rsidRDefault="00D50941" w:rsidP="00D50941">
      <w:pPr>
        <w:spacing w:line="480" w:lineRule="auto"/>
        <w:jc w:val="center"/>
      </w:pPr>
    </w:p>
    <w:p w:rsidR="00D50941" w:rsidRDefault="00D50941" w:rsidP="006E6C9A">
      <w:pPr>
        <w:spacing w:line="480" w:lineRule="auto"/>
        <w:ind w:left="0" w:firstLine="0"/>
        <w:rPr>
          <w:b/>
        </w:rPr>
      </w:pPr>
    </w:p>
    <w:p w:rsidR="00D50941" w:rsidRDefault="00D50941" w:rsidP="00D50941">
      <w:pPr>
        <w:spacing w:line="480" w:lineRule="auto"/>
        <w:jc w:val="center"/>
      </w:pPr>
    </w:p>
    <w:p w:rsidR="00D50941" w:rsidRDefault="00D50941" w:rsidP="00D50941">
      <w:pPr>
        <w:spacing w:line="480" w:lineRule="auto"/>
        <w:jc w:val="center"/>
      </w:pPr>
    </w:p>
    <w:p w:rsidR="006D44B4" w:rsidRDefault="006D44B4" w:rsidP="004773FB">
      <w:pPr>
        <w:ind w:left="0" w:firstLine="0"/>
      </w:pPr>
    </w:p>
    <w:p w:rsidR="006D44B4" w:rsidRDefault="006D44B4" w:rsidP="004773FB">
      <w:pPr>
        <w:ind w:left="0" w:firstLine="0"/>
      </w:pPr>
    </w:p>
    <w:p w:rsidR="006E5EBF" w:rsidRDefault="006E5EBF" w:rsidP="006E5EBF">
      <w:pPr>
        <w:autoSpaceDE w:val="0"/>
        <w:autoSpaceDN w:val="0"/>
        <w:adjustRightInd w:val="0"/>
        <w:spacing w:line="480" w:lineRule="auto"/>
        <w:ind w:left="0" w:firstLine="0"/>
        <w:rPr>
          <w:rFonts w:cs="Times New Roman"/>
          <w:szCs w:val="24"/>
        </w:rPr>
      </w:pPr>
      <w:r>
        <w:rPr>
          <w:rFonts w:cs="Times New Roman"/>
          <w:b/>
          <w:szCs w:val="24"/>
        </w:rPr>
        <w:lastRenderedPageBreak/>
        <w:t>Table A</w:t>
      </w:r>
      <w:r w:rsidRPr="00E8454D">
        <w:rPr>
          <w:rFonts w:cs="Times New Roman"/>
          <w:b/>
          <w:szCs w:val="24"/>
        </w:rPr>
        <w:t>.</w:t>
      </w:r>
      <w:r>
        <w:rPr>
          <w:rFonts w:cs="Times New Roman"/>
          <w:b/>
          <w:szCs w:val="24"/>
        </w:rPr>
        <w:t>3. Base</w:t>
      </w:r>
      <w:r>
        <w:rPr>
          <w:rFonts w:cs="Times New Roman"/>
          <w:szCs w:val="24"/>
        </w:rPr>
        <w:t xml:space="preserve"> </w:t>
      </w:r>
      <w:proofErr w:type="spellStart"/>
      <w:r>
        <w:rPr>
          <w:rFonts w:cs="Times New Roman"/>
          <w:b/>
          <w:szCs w:val="24"/>
        </w:rPr>
        <w:t>Logit</w:t>
      </w:r>
      <w:proofErr w:type="spellEnd"/>
      <w:r>
        <w:rPr>
          <w:rFonts w:cs="Times New Roman"/>
          <w:b/>
          <w:szCs w:val="24"/>
        </w:rPr>
        <w:t xml:space="preserve"> Model</w:t>
      </w:r>
      <w:r w:rsidRPr="00A02BA1">
        <w:rPr>
          <w:b/>
        </w:rPr>
        <w:t xml:space="preserve"> of</w:t>
      </w:r>
      <w:r>
        <w:rPr>
          <w:b/>
        </w:rPr>
        <w:t xml:space="preserve"> the Impact of Amici on Ideological Direction of Justice Votes at the Roberts Court, 2007 – 201</w:t>
      </w:r>
      <w:r w:rsidRPr="00A02BA1">
        <w:rPr>
          <w:b/>
        </w:rPr>
        <w:t>1 Terms</w:t>
      </w:r>
    </w:p>
    <w:tbl>
      <w:tblPr>
        <w:tblW w:w="0" w:type="auto"/>
        <w:tblInd w:w="93" w:type="dxa"/>
        <w:tblBorders>
          <w:top w:val="single" w:sz="18" w:space="0" w:color="auto"/>
          <w:bottom w:val="single" w:sz="18" w:space="0" w:color="auto"/>
        </w:tblBorders>
        <w:tblLook w:val="04A0" w:firstRow="1" w:lastRow="0" w:firstColumn="1" w:lastColumn="0" w:noHBand="0" w:noVBand="1"/>
      </w:tblPr>
      <w:tblGrid>
        <w:gridCol w:w="3051"/>
        <w:gridCol w:w="1726"/>
        <w:gridCol w:w="536"/>
        <w:gridCol w:w="536"/>
        <w:gridCol w:w="497"/>
        <w:gridCol w:w="2219"/>
        <w:gridCol w:w="918"/>
      </w:tblGrid>
      <w:tr w:rsidR="006E5EBF" w:rsidRPr="00C9047D" w:rsidTr="00396BE6">
        <w:trPr>
          <w:gridAfter w:val="1"/>
          <w:wAfter w:w="918" w:type="dxa"/>
          <w:trHeight w:val="576"/>
        </w:trPr>
        <w:tc>
          <w:tcPr>
            <w:tcW w:w="3051" w:type="dxa"/>
            <w:tcBorders>
              <w:top w:val="single" w:sz="18" w:space="0" w:color="auto"/>
              <w:bottom w:val="single" w:sz="18" w:space="0" w:color="auto"/>
            </w:tcBorders>
            <w:shd w:val="clear" w:color="auto" w:fill="auto"/>
            <w:noWrap/>
            <w:vAlign w:val="center"/>
            <w:hideMark/>
          </w:tcPr>
          <w:p w:rsidR="006E5EBF" w:rsidRPr="00944261" w:rsidRDefault="006E5EBF" w:rsidP="00396BE6">
            <w:pPr>
              <w:ind w:left="0" w:firstLine="0"/>
              <w:rPr>
                <w:rFonts w:eastAsia="Times New Roman" w:cs="Times New Roman"/>
                <w:color w:val="000000"/>
                <w:sz w:val="22"/>
              </w:rPr>
            </w:pPr>
            <w:r w:rsidRPr="00944261">
              <w:rPr>
                <w:rFonts w:eastAsia="Times New Roman" w:cs="Times New Roman"/>
                <w:color w:val="000000"/>
                <w:sz w:val="22"/>
              </w:rPr>
              <w:t>Variable</w:t>
            </w:r>
          </w:p>
        </w:tc>
        <w:tc>
          <w:tcPr>
            <w:tcW w:w="1726" w:type="dxa"/>
            <w:tcBorders>
              <w:top w:val="single" w:sz="18" w:space="0" w:color="auto"/>
              <w:bottom w:val="single" w:sz="18" w:space="0" w:color="auto"/>
            </w:tcBorders>
            <w:shd w:val="clear" w:color="auto" w:fill="auto"/>
            <w:noWrap/>
            <w:vAlign w:val="center"/>
            <w:hideMark/>
          </w:tcPr>
          <w:p w:rsidR="006E5EBF" w:rsidRPr="00944261" w:rsidRDefault="006E5EBF" w:rsidP="00396BE6">
            <w:pPr>
              <w:ind w:left="0" w:firstLine="0"/>
              <w:jc w:val="center"/>
              <w:rPr>
                <w:rFonts w:eastAsia="Times New Roman" w:cs="Times New Roman"/>
                <w:color w:val="000000"/>
                <w:sz w:val="22"/>
              </w:rPr>
            </w:pPr>
            <w:r w:rsidRPr="00944261">
              <w:rPr>
                <w:rFonts w:eastAsia="Times New Roman" w:cs="Times New Roman"/>
                <w:color w:val="000000"/>
                <w:sz w:val="22"/>
              </w:rPr>
              <w:t>MLE Coefficient</w:t>
            </w:r>
          </w:p>
        </w:tc>
        <w:tc>
          <w:tcPr>
            <w:tcW w:w="1569" w:type="dxa"/>
            <w:gridSpan w:val="3"/>
            <w:tcBorders>
              <w:top w:val="single" w:sz="18" w:space="0" w:color="auto"/>
              <w:bottom w:val="single" w:sz="18" w:space="0" w:color="auto"/>
            </w:tcBorders>
            <w:shd w:val="clear" w:color="auto" w:fill="auto"/>
            <w:noWrap/>
            <w:vAlign w:val="center"/>
            <w:hideMark/>
          </w:tcPr>
          <w:p w:rsidR="006E5EBF" w:rsidRPr="00944261" w:rsidRDefault="006E5EBF" w:rsidP="00396BE6">
            <w:pPr>
              <w:ind w:left="0" w:firstLine="0"/>
              <w:jc w:val="center"/>
              <w:rPr>
                <w:rFonts w:eastAsia="Times New Roman" w:cs="Times New Roman"/>
                <w:color w:val="000000"/>
                <w:sz w:val="22"/>
              </w:rPr>
            </w:pPr>
            <w:r>
              <w:rPr>
                <w:rFonts w:eastAsia="Times New Roman" w:cs="Times New Roman"/>
                <w:color w:val="000000"/>
                <w:sz w:val="22"/>
              </w:rPr>
              <w:t>Odds Ratio</w:t>
            </w:r>
          </w:p>
        </w:tc>
        <w:tc>
          <w:tcPr>
            <w:tcW w:w="2219" w:type="dxa"/>
            <w:tcBorders>
              <w:top w:val="single" w:sz="18" w:space="0" w:color="auto"/>
              <w:bottom w:val="single" w:sz="18" w:space="0" w:color="auto"/>
            </w:tcBorders>
            <w:vAlign w:val="center"/>
          </w:tcPr>
          <w:p w:rsidR="006E5EBF" w:rsidRDefault="006E5EBF" w:rsidP="00396BE6">
            <w:pPr>
              <w:ind w:left="0" w:firstLine="0"/>
              <w:jc w:val="center"/>
              <w:rPr>
                <w:rFonts w:eastAsia="Times New Roman" w:cs="Times New Roman"/>
                <w:color w:val="000000"/>
                <w:sz w:val="22"/>
              </w:rPr>
            </w:pPr>
            <w:r>
              <w:rPr>
                <w:rFonts w:eastAsia="Times New Roman" w:cs="Times New Roman"/>
                <w:color w:val="000000"/>
                <w:sz w:val="22"/>
              </w:rPr>
              <w:t>Marginal Effects</w:t>
            </w:r>
          </w:p>
        </w:tc>
      </w:tr>
      <w:tr w:rsidR="006E5EBF" w:rsidRPr="00C9047D" w:rsidTr="00396BE6">
        <w:trPr>
          <w:gridAfter w:val="1"/>
          <w:wAfter w:w="918" w:type="dxa"/>
          <w:trHeight w:val="576"/>
        </w:trPr>
        <w:tc>
          <w:tcPr>
            <w:tcW w:w="3051" w:type="dxa"/>
            <w:shd w:val="clear" w:color="auto" w:fill="auto"/>
            <w:noWrap/>
            <w:vAlign w:val="center"/>
            <w:hideMark/>
          </w:tcPr>
          <w:p w:rsidR="006E5EBF" w:rsidRPr="00F2307B" w:rsidRDefault="006E5EBF" w:rsidP="00396BE6">
            <w:pPr>
              <w:ind w:left="0" w:firstLine="0"/>
              <w:rPr>
                <w:rFonts w:eastAsia="Times New Roman" w:cs="Times New Roman"/>
                <w:b/>
                <w:color w:val="000000"/>
                <w:sz w:val="22"/>
              </w:rPr>
            </w:pPr>
            <w:r w:rsidRPr="00F2307B">
              <w:rPr>
                <w:rFonts w:eastAsia="Times New Roman" w:cs="Times New Roman"/>
                <w:b/>
                <w:color w:val="000000"/>
                <w:sz w:val="22"/>
              </w:rPr>
              <w:t>Amicus Brief Difference</w:t>
            </w:r>
          </w:p>
        </w:tc>
        <w:tc>
          <w:tcPr>
            <w:tcW w:w="1726" w:type="dxa"/>
            <w:shd w:val="clear" w:color="auto" w:fill="auto"/>
            <w:noWrap/>
            <w:vAlign w:val="center"/>
            <w:hideMark/>
          </w:tcPr>
          <w:p w:rsidR="006E5EBF" w:rsidRPr="00C9047D" w:rsidRDefault="006E5EBF" w:rsidP="00396BE6">
            <w:pPr>
              <w:ind w:left="0" w:firstLine="0"/>
              <w:jc w:val="center"/>
              <w:rPr>
                <w:rFonts w:eastAsia="Times New Roman" w:cs="Times New Roman"/>
                <w:color w:val="000000"/>
                <w:sz w:val="22"/>
              </w:rPr>
            </w:pPr>
            <w:r>
              <w:rPr>
                <w:rFonts w:eastAsia="Times New Roman" w:cs="Times New Roman"/>
                <w:color w:val="000000"/>
                <w:sz w:val="22"/>
              </w:rPr>
              <w:t>0.051 (.011)***</w:t>
            </w:r>
          </w:p>
        </w:tc>
        <w:tc>
          <w:tcPr>
            <w:tcW w:w="1072" w:type="dxa"/>
            <w:gridSpan w:val="2"/>
            <w:vAlign w:val="center"/>
          </w:tcPr>
          <w:p w:rsidR="006E5EBF" w:rsidRDefault="006E5EBF" w:rsidP="00396BE6">
            <w:pPr>
              <w:jc w:val="center"/>
              <w:rPr>
                <w:color w:val="000000"/>
                <w:sz w:val="22"/>
              </w:rPr>
            </w:pPr>
            <w:r>
              <w:rPr>
                <w:color w:val="000000"/>
                <w:sz w:val="22"/>
              </w:rPr>
              <w:t>1.052</w:t>
            </w:r>
          </w:p>
        </w:tc>
        <w:tc>
          <w:tcPr>
            <w:tcW w:w="2716" w:type="dxa"/>
            <w:gridSpan w:val="2"/>
            <w:vAlign w:val="center"/>
          </w:tcPr>
          <w:p w:rsidR="006E5EBF" w:rsidRDefault="006E5EBF" w:rsidP="00396BE6">
            <w:pPr>
              <w:jc w:val="center"/>
              <w:rPr>
                <w:color w:val="000000"/>
                <w:sz w:val="22"/>
              </w:rPr>
            </w:pPr>
            <w:r>
              <w:rPr>
                <w:color w:val="000000"/>
                <w:sz w:val="22"/>
              </w:rPr>
              <w:t>5.8%</w:t>
            </w:r>
          </w:p>
        </w:tc>
      </w:tr>
      <w:tr w:rsidR="006E5EBF" w:rsidRPr="00C9047D" w:rsidTr="00396BE6">
        <w:trPr>
          <w:gridAfter w:val="1"/>
          <w:wAfter w:w="918" w:type="dxa"/>
          <w:trHeight w:val="576"/>
        </w:trPr>
        <w:tc>
          <w:tcPr>
            <w:tcW w:w="3051" w:type="dxa"/>
            <w:shd w:val="clear" w:color="auto" w:fill="auto"/>
            <w:noWrap/>
            <w:vAlign w:val="center"/>
            <w:hideMark/>
          </w:tcPr>
          <w:p w:rsidR="006E5EBF" w:rsidRPr="00F2307B" w:rsidRDefault="006E5EBF" w:rsidP="00396BE6">
            <w:pPr>
              <w:ind w:left="0" w:firstLine="0"/>
              <w:rPr>
                <w:rFonts w:eastAsia="Times New Roman" w:cs="Times New Roman"/>
                <w:b/>
                <w:color w:val="000000"/>
                <w:sz w:val="22"/>
              </w:rPr>
            </w:pPr>
            <w:r w:rsidRPr="00F2307B">
              <w:rPr>
                <w:rFonts w:eastAsia="Times New Roman" w:cs="Times New Roman"/>
                <w:b/>
                <w:color w:val="000000"/>
                <w:sz w:val="22"/>
              </w:rPr>
              <w:t>Amicus Cosigner Difference</w:t>
            </w:r>
          </w:p>
        </w:tc>
        <w:tc>
          <w:tcPr>
            <w:tcW w:w="1726" w:type="dxa"/>
            <w:shd w:val="clear" w:color="auto" w:fill="auto"/>
            <w:noWrap/>
            <w:vAlign w:val="center"/>
            <w:hideMark/>
          </w:tcPr>
          <w:p w:rsidR="006E5EBF" w:rsidRPr="00C9047D" w:rsidRDefault="006E5EBF" w:rsidP="00396BE6">
            <w:pPr>
              <w:ind w:left="0" w:firstLine="0"/>
              <w:jc w:val="center"/>
              <w:rPr>
                <w:rFonts w:eastAsia="Times New Roman" w:cs="Times New Roman"/>
                <w:color w:val="000000"/>
                <w:sz w:val="22"/>
              </w:rPr>
            </w:pPr>
            <w:r>
              <w:rPr>
                <w:rFonts w:eastAsia="Times New Roman" w:cs="Times New Roman"/>
                <w:color w:val="000000"/>
                <w:sz w:val="22"/>
              </w:rPr>
              <w:t>-0.001 (.000)</w:t>
            </w:r>
          </w:p>
        </w:tc>
        <w:tc>
          <w:tcPr>
            <w:tcW w:w="1072" w:type="dxa"/>
            <w:gridSpan w:val="2"/>
            <w:vAlign w:val="center"/>
          </w:tcPr>
          <w:p w:rsidR="006E5EBF" w:rsidRDefault="006E5EBF" w:rsidP="00396BE6">
            <w:pPr>
              <w:jc w:val="center"/>
              <w:rPr>
                <w:color w:val="000000"/>
                <w:sz w:val="22"/>
              </w:rPr>
            </w:pPr>
            <w:r>
              <w:rPr>
                <w:color w:val="000000"/>
                <w:sz w:val="22"/>
              </w:rPr>
              <w:t>0.999</w:t>
            </w:r>
          </w:p>
        </w:tc>
        <w:tc>
          <w:tcPr>
            <w:tcW w:w="2716" w:type="dxa"/>
            <w:gridSpan w:val="2"/>
            <w:vAlign w:val="center"/>
          </w:tcPr>
          <w:p w:rsidR="006E5EBF" w:rsidRDefault="006E5EBF" w:rsidP="00396BE6">
            <w:pPr>
              <w:jc w:val="center"/>
              <w:rPr>
                <w:color w:val="000000"/>
                <w:sz w:val="22"/>
              </w:rPr>
            </w:pPr>
            <w:r>
              <w:rPr>
                <w:color w:val="000000"/>
                <w:sz w:val="22"/>
              </w:rPr>
              <w:t>-1.3%</w:t>
            </w:r>
          </w:p>
        </w:tc>
      </w:tr>
      <w:tr w:rsidR="006E5EBF" w:rsidRPr="00C9047D" w:rsidTr="00396BE6">
        <w:trPr>
          <w:gridAfter w:val="1"/>
          <w:wAfter w:w="918" w:type="dxa"/>
          <w:trHeight w:val="576"/>
        </w:trPr>
        <w:tc>
          <w:tcPr>
            <w:tcW w:w="3051" w:type="dxa"/>
            <w:shd w:val="clear" w:color="auto" w:fill="auto"/>
            <w:noWrap/>
            <w:vAlign w:val="center"/>
            <w:hideMark/>
          </w:tcPr>
          <w:p w:rsidR="006E5EBF" w:rsidRPr="00F2307B" w:rsidRDefault="006E5EBF" w:rsidP="00396BE6">
            <w:pPr>
              <w:ind w:left="0" w:firstLine="0"/>
              <w:rPr>
                <w:rFonts w:eastAsia="Times New Roman" w:cs="Times New Roman"/>
                <w:b/>
                <w:bCs/>
                <w:color w:val="000000"/>
                <w:sz w:val="22"/>
              </w:rPr>
            </w:pPr>
            <w:r w:rsidRPr="00F2307B">
              <w:rPr>
                <w:rFonts w:eastAsia="Times New Roman" w:cs="Times New Roman"/>
                <w:b/>
                <w:bCs/>
                <w:color w:val="000000"/>
                <w:sz w:val="22"/>
              </w:rPr>
              <w:t>SG Lib Amicus Brief</w:t>
            </w:r>
          </w:p>
        </w:tc>
        <w:tc>
          <w:tcPr>
            <w:tcW w:w="1726" w:type="dxa"/>
            <w:shd w:val="clear" w:color="auto" w:fill="auto"/>
            <w:noWrap/>
            <w:vAlign w:val="center"/>
            <w:hideMark/>
          </w:tcPr>
          <w:p w:rsidR="006E5EBF" w:rsidRPr="00C9047D" w:rsidRDefault="006E5EBF" w:rsidP="00396BE6">
            <w:pPr>
              <w:ind w:left="0" w:firstLine="0"/>
              <w:jc w:val="center"/>
              <w:rPr>
                <w:rFonts w:eastAsia="Times New Roman" w:cs="Times New Roman"/>
                <w:color w:val="000000"/>
                <w:sz w:val="22"/>
              </w:rPr>
            </w:pPr>
            <w:r>
              <w:rPr>
                <w:rFonts w:eastAsia="Times New Roman" w:cs="Times New Roman"/>
                <w:color w:val="000000"/>
                <w:sz w:val="22"/>
              </w:rPr>
              <w:t>0.623 (.107)***</w:t>
            </w:r>
          </w:p>
        </w:tc>
        <w:tc>
          <w:tcPr>
            <w:tcW w:w="1072" w:type="dxa"/>
            <w:gridSpan w:val="2"/>
            <w:vAlign w:val="center"/>
          </w:tcPr>
          <w:p w:rsidR="006E5EBF" w:rsidRDefault="006E5EBF" w:rsidP="00396BE6">
            <w:pPr>
              <w:jc w:val="center"/>
              <w:rPr>
                <w:color w:val="000000"/>
                <w:sz w:val="22"/>
              </w:rPr>
            </w:pPr>
            <w:r>
              <w:rPr>
                <w:color w:val="000000"/>
                <w:sz w:val="22"/>
              </w:rPr>
              <w:t>1.865</w:t>
            </w:r>
          </w:p>
        </w:tc>
        <w:tc>
          <w:tcPr>
            <w:tcW w:w="2716" w:type="dxa"/>
            <w:gridSpan w:val="2"/>
            <w:vAlign w:val="center"/>
          </w:tcPr>
          <w:p w:rsidR="006E5EBF" w:rsidRDefault="006E5EBF" w:rsidP="00396BE6">
            <w:pPr>
              <w:jc w:val="center"/>
              <w:rPr>
                <w:color w:val="000000"/>
                <w:sz w:val="22"/>
              </w:rPr>
            </w:pPr>
            <w:r>
              <w:rPr>
                <w:color w:val="000000"/>
                <w:sz w:val="22"/>
              </w:rPr>
              <w:t>5.7%</w:t>
            </w:r>
          </w:p>
        </w:tc>
      </w:tr>
      <w:tr w:rsidR="006E5EBF" w:rsidRPr="00C9047D" w:rsidTr="00396BE6">
        <w:trPr>
          <w:gridAfter w:val="1"/>
          <w:wAfter w:w="918" w:type="dxa"/>
          <w:trHeight w:val="576"/>
        </w:trPr>
        <w:tc>
          <w:tcPr>
            <w:tcW w:w="3051" w:type="dxa"/>
            <w:shd w:val="clear" w:color="auto" w:fill="auto"/>
            <w:noWrap/>
            <w:vAlign w:val="center"/>
            <w:hideMark/>
          </w:tcPr>
          <w:p w:rsidR="006E5EBF" w:rsidRPr="00F2307B" w:rsidRDefault="006E5EBF" w:rsidP="00396BE6">
            <w:pPr>
              <w:ind w:left="0" w:firstLine="0"/>
              <w:rPr>
                <w:rFonts w:eastAsia="Times New Roman" w:cs="Times New Roman"/>
                <w:b/>
                <w:bCs/>
                <w:color w:val="000000"/>
                <w:sz w:val="22"/>
              </w:rPr>
            </w:pPr>
            <w:r w:rsidRPr="00F2307B">
              <w:rPr>
                <w:rFonts w:eastAsia="Times New Roman" w:cs="Times New Roman"/>
                <w:b/>
                <w:bCs/>
                <w:color w:val="000000"/>
                <w:sz w:val="22"/>
              </w:rPr>
              <w:t>SG Con Amicus Brief</w:t>
            </w:r>
          </w:p>
        </w:tc>
        <w:tc>
          <w:tcPr>
            <w:tcW w:w="1726" w:type="dxa"/>
            <w:shd w:val="clear" w:color="auto" w:fill="auto"/>
            <w:noWrap/>
            <w:vAlign w:val="center"/>
            <w:hideMark/>
          </w:tcPr>
          <w:p w:rsidR="006E5EBF" w:rsidRPr="00C9047D" w:rsidRDefault="006E5EBF" w:rsidP="00396BE6">
            <w:pPr>
              <w:ind w:left="0" w:firstLine="0"/>
              <w:jc w:val="center"/>
              <w:rPr>
                <w:rFonts w:eastAsia="Times New Roman" w:cs="Times New Roman"/>
                <w:color w:val="000000"/>
                <w:sz w:val="22"/>
              </w:rPr>
            </w:pPr>
            <w:r>
              <w:rPr>
                <w:rFonts w:eastAsia="Times New Roman" w:cs="Times New Roman"/>
                <w:color w:val="000000"/>
                <w:sz w:val="22"/>
              </w:rPr>
              <w:t>-0.761 (.105)***</w:t>
            </w:r>
          </w:p>
        </w:tc>
        <w:tc>
          <w:tcPr>
            <w:tcW w:w="1072" w:type="dxa"/>
            <w:gridSpan w:val="2"/>
            <w:vAlign w:val="center"/>
          </w:tcPr>
          <w:p w:rsidR="006E5EBF" w:rsidRDefault="006E5EBF" w:rsidP="00396BE6">
            <w:pPr>
              <w:jc w:val="center"/>
              <w:rPr>
                <w:color w:val="000000"/>
                <w:sz w:val="22"/>
              </w:rPr>
            </w:pPr>
            <w:r>
              <w:rPr>
                <w:color w:val="000000"/>
                <w:sz w:val="22"/>
              </w:rPr>
              <w:t>0.467</w:t>
            </w:r>
          </w:p>
        </w:tc>
        <w:tc>
          <w:tcPr>
            <w:tcW w:w="2716" w:type="dxa"/>
            <w:gridSpan w:val="2"/>
            <w:vAlign w:val="center"/>
          </w:tcPr>
          <w:p w:rsidR="006E5EBF" w:rsidRDefault="006E5EBF" w:rsidP="00396BE6">
            <w:pPr>
              <w:jc w:val="center"/>
              <w:rPr>
                <w:color w:val="000000"/>
                <w:sz w:val="22"/>
              </w:rPr>
            </w:pPr>
            <w:r>
              <w:rPr>
                <w:color w:val="000000"/>
                <w:sz w:val="22"/>
              </w:rPr>
              <w:t>-7.3%</w:t>
            </w:r>
          </w:p>
        </w:tc>
      </w:tr>
      <w:tr w:rsidR="006E5EBF" w:rsidRPr="00C9047D" w:rsidTr="00396BE6">
        <w:trPr>
          <w:gridAfter w:val="1"/>
          <w:wAfter w:w="918" w:type="dxa"/>
          <w:trHeight w:val="576"/>
        </w:trPr>
        <w:tc>
          <w:tcPr>
            <w:tcW w:w="3051" w:type="dxa"/>
            <w:shd w:val="clear" w:color="auto" w:fill="auto"/>
            <w:noWrap/>
            <w:vAlign w:val="center"/>
            <w:hideMark/>
          </w:tcPr>
          <w:p w:rsidR="006E5EBF" w:rsidRPr="00F2307B" w:rsidRDefault="006E5EBF" w:rsidP="00396BE6">
            <w:pPr>
              <w:ind w:left="0" w:firstLine="0"/>
              <w:rPr>
                <w:rFonts w:eastAsia="Times New Roman" w:cs="Times New Roman"/>
                <w:b/>
                <w:color w:val="000000"/>
                <w:sz w:val="22"/>
              </w:rPr>
            </w:pPr>
            <w:r w:rsidRPr="00F2307B">
              <w:rPr>
                <w:rFonts w:eastAsia="Times New Roman" w:cs="Times New Roman"/>
                <w:b/>
                <w:bCs/>
                <w:color w:val="000000"/>
                <w:sz w:val="22"/>
              </w:rPr>
              <w:t>Prestigious Amicus Difference</w:t>
            </w:r>
          </w:p>
        </w:tc>
        <w:tc>
          <w:tcPr>
            <w:tcW w:w="1726" w:type="dxa"/>
            <w:shd w:val="clear" w:color="auto" w:fill="auto"/>
            <w:noWrap/>
            <w:vAlign w:val="center"/>
            <w:hideMark/>
          </w:tcPr>
          <w:p w:rsidR="006E5EBF" w:rsidRPr="00C9047D" w:rsidRDefault="006E5EBF" w:rsidP="00396BE6">
            <w:pPr>
              <w:ind w:left="0" w:firstLine="0"/>
              <w:jc w:val="center"/>
              <w:rPr>
                <w:rFonts w:eastAsia="Times New Roman" w:cs="Times New Roman"/>
                <w:color w:val="000000"/>
                <w:sz w:val="22"/>
              </w:rPr>
            </w:pPr>
            <w:r>
              <w:rPr>
                <w:rFonts w:eastAsia="Times New Roman" w:cs="Times New Roman"/>
                <w:color w:val="000000"/>
                <w:sz w:val="22"/>
              </w:rPr>
              <w:t>0.066 (.034)*</w:t>
            </w:r>
          </w:p>
        </w:tc>
        <w:tc>
          <w:tcPr>
            <w:tcW w:w="1072" w:type="dxa"/>
            <w:gridSpan w:val="2"/>
            <w:vAlign w:val="center"/>
          </w:tcPr>
          <w:p w:rsidR="006E5EBF" w:rsidRDefault="006E5EBF" w:rsidP="00396BE6">
            <w:pPr>
              <w:jc w:val="center"/>
              <w:rPr>
                <w:color w:val="000000"/>
                <w:sz w:val="22"/>
              </w:rPr>
            </w:pPr>
            <w:r>
              <w:rPr>
                <w:color w:val="000000"/>
                <w:sz w:val="22"/>
              </w:rPr>
              <w:t>1.068</w:t>
            </w:r>
          </w:p>
        </w:tc>
        <w:tc>
          <w:tcPr>
            <w:tcW w:w="2716" w:type="dxa"/>
            <w:gridSpan w:val="2"/>
            <w:vAlign w:val="center"/>
          </w:tcPr>
          <w:p w:rsidR="006E5EBF" w:rsidRDefault="006E5EBF" w:rsidP="00396BE6">
            <w:pPr>
              <w:jc w:val="center"/>
              <w:rPr>
                <w:color w:val="000000"/>
                <w:sz w:val="22"/>
              </w:rPr>
            </w:pPr>
            <w:r>
              <w:rPr>
                <w:color w:val="000000"/>
                <w:sz w:val="22"/>
              </w:rPr>
              <w:t>2.0%</w:t>
            </w:r>
          </w:p>
        </w:tc>
      </w:tr>
      <w:tr w:rsidR="006E5EBF" w:rsidRPr="00C9047D" w:rsidTr="00396BE6">
        <w:trPr>
          <w:gridAfter w:val="1"/>
          <w:wAfter w:w="918" w:type="dxa"/>
          <w:trHeight w:val="576"/>
        </w:trPr>
        <w:tc>
          <w:tcPr>
            <w:tcW w:w="3051" w:type="dxa"/>
            <w:shd w:val="clear" w:color="auto" w:fill="auto"/>
            <w:noWrap/>
            <w:vAlign w:val="center"/>
            <w:hideMark/>
          </w:tcPr>
          <w:p w:rsidR="006E5EBF" w:rsidRPr="00F2307B" w:rsidRDefault="006E5EBF" w:rsidP="00396BE6">
            <w:pPr>
              <w:ind w:left="0" w:firstLine="0"/>
              <w:rPr>
                <w:rFonts w:eastAsia="Times New Roman" w:cs="Times New Roman"/>
                <w:b/>
                <w:color w:val="000000"/>
                <w:sz w:val="22"/>
              </w:rPr>
            </w:pPr>
            <w:r w:rsidRPr="00F2307B">
              <w:rPr>
                <w:rFonts w:eastAsia="Times New Roman" w:cs="Times New Roman"/>
                <w:b/>
                <w:color w:val="000000"/>
                <w:sz w:val="22"/>
              </w:rPr>
              <w:t>Ideology</w:t>
            </w:r>
          </w:p>
        </w:tc>
        <w:tc>
          <w:tcPr>
            <w:tcW w:w="1726" w:type="dxa"/>
            <w:shd w:val="clear" w:color="auto" w:fill="auto"/>
            <w:noWrap/>
            <w:vAlign w:val="center"/>
            <w:hideMark/>
          </w:tcPr>
          <w:p w:rsidR="006E5EBF" w:rsidRPr="00C9047D" w:rsidRDefault="006E5EBF" w:rsidP="00396BE6">
            <w:pPr>
              <w:ind w:left="0" w:firstLine="0"/>
              <w:jc w:val="center"/>
              <w:rPr>
                <w:rFonts w:eastAsia="Times New Roman" w:cs="Times New Roman"/>
                <w:color w:val="000000"/>
                <w:sz w:val="22"/>
              </w:rPr>
            </w:pPr>
            <w:r>
              <w:rPr>
                <w:rFonts w:eastAsia="Times New Roman" w:cs="Times New Roman"/>
                <w:color w:val="000000"/>
                <w:sz w:val="22"/>
              </w:rPr>
              <w:t>1.935 (.155)***</w:t>
            </w:r>
          </w:p>
        </w:tc>
        <w:tc>
          <w:tcPr>
            <w:tcW w:w="1072" w:type="dxa"/>
            <w:gridSpan w:val="2"/>
            <w:vAlign w:val="center"/>
          </w:tcPr>
          <w:p w:rsidR="006E5EBF" w:rsidRDefault="006E5EBF" w:rsidP="00396BE6">
            <w:pPr>
              <w:jc w:val="center"/>
              <w:rPr>
                <w:color w:val="000000"/>
                <w:sz w:val="22"/>
              </w:rPr>
            </w:pPr>
            <w:r>
              <w:rPr>
                <w:color w:val="000000"/>
                <w:sz w:val="22"/>
              </w:rPr>
              <w:t>6.927</w:t>
            </w:r>
          </w:p>
        </w:tc>
        <w:tc>
          <w:tcPr>
            <w:tcW w:w="2716" w:type="dxa"/>
            <w:gridSpan w:val="2"/>
            <w:vAlign w:val="center"/>
          </w:tcPr>
          <w:p w:rsidR="006E5EBF" w:rsidRDefault="006E5EBF" w:rsidP="00396BE6">
            <w:pPr>
              <w:jc w:val="center"/>
              <w:rPr>
                <w:color w:val="000000"/>
                <w:sz w:val="22"/>
              </w:rPr>
            </w:pPr>
            <w:r>
              <w:rPr>
                <w:color w:val="000000"/>
                <w:sz w:val="22"/>
              </w:rPr>
              <w:t>11.53%</w:t>
            </w:r>
          </w:p>
        </w:tc>
      </w:tr>
      <w:tr w:rsidR="006E5EBF" w:rsidRPr="00C9047D" w:rsidTr="00396BE6">
        <w:trPr>
          <w:gridAfter w:val="1"/>
          <w:wAfter w:w="918" w:type="dxa"/>
          <w:trHeight w:val="576"/>
        </w:trPr>
        <w:tc>
          <w:tcPr>
            <w:tcW w:w="3051" w:type="dxa"/>
            <w:shd w:val="clear" w:color="auto" w:fill="auto"/>
            <w:noWrap/>
            <w:vAlign w:val="center"/>
            <w:hideMark/>
          </w:tcPr>
          <w:p w:rsidR="006E5EBF" w:rsidRPr="00F2307B" w:rsidRDefault="006E5EBF" w:rsidP="00396BE6">
            <w:pPr>
              <w:ind w:left="0" w:firstLine="0"/>
              <w:rPr>
                <w:rFonts w:eastAsia="Times New Roman" w:cs="Times New Roman"/>
                <w:b/>
                <w:color w:val="000000"/>
                <w:sz w:val="22"/>
              </w:rPr>
            </w:pPr>
            <w:r w:rsidRPr="00F2307B">
              <w:rPr>
                <w:rFonts w:eastAsia="Times New Roman" w:cs="Times New Roman"/>
                <w:b/>
                <w:color w:val="000000"/>
                <w:sz w:val="22"/>
              </w:rPr>
              <w:t>Resource Difference</w:t>
            </w:r>
          </w:p>
        </w:tc>
        <w:tc>
          <w:tcPr>
            <w:tcW w:w="1726" w:type="dxa"/>
            <w:shd w:val="clear" w:color="auto" w:fill="auto"/>
            <w:noWrap/>
            <w:vAlign w:val="center"/>
            <w:hideMark/>
          </w:tcPr>
          <w:p w:rsidR="006E5EBF" w:rsidRPr="00C9047D" w:rsidRDefault="006E5EBF" w:rsidP="00396BE6">
            <w:pPr>
              <w:ind w:left="0" w:firstLine="0"/>
              <w:jc w:val="center"/>
              <w:rPr>
                <w:rFonts w:eastAsia="Times New Roman" w:cs="Times New Roman"/>
                <w:color w:val="000000"/>
                <w:sz w:val="22"/>
              </w:rPr>
            </w:pPr>
            <w:r>
              <w:rPr>
                <w:rFonts w:eastAsia="Times New Roman" w:cs="Times New Roman"/>
                <w:color w:val="000000"/>
                <w:sz w:val="22"/>
              </w:rPr>
              <w:t>0.057 (.009)***</w:t>
            </w:r>
          </w:p>
        </w:tc>
        <w:tc>
          <w:tcPr>
            <w:tcW w:w="1072" w:type="dxa"/>
            <w:gridSpan w:val="2"/>
            <w:vAlign w:val="center"/>
          </w:tcPr>
          <w:p w:rsidR="006E5EBF" w:rsidRDefault="006E5EBF" w:rsidP="00396BE6">
            <w:pPr>
              <w:jc w:val="center"/>
              <w:rPr>
                <w:color w:val="000000"/>
                <w:sz w:val="22"/>
              </w:rPr>
            </w:pPr>
            <w:r>
              <w:rPr>
                <w:color w:val="000000"/>
                <w:sz w:val="22"/>
              </w:rPr>
              <w:t>1.059</w:t>
            </w:r>
          </w:p>
        </w:tc>
        <w:tc>
          <w:tcPr>
            <w:tcW w:w="2716" w:type="dxa"/>
            <w:gridSpan w:val="2"/>
            <w:vAlign w:val="center"/>
          </w:tcPr>
          <w:p w:rsidR="006E5EBF" w:rsidRDefault="006E5EBF" w:rsidP="00396BE6">
            <w:pPr>
              <w:jc w:val="center"/>
              <w:rPr>
                <w:color w:val="000000"/>
                <w:sz w:val="22"/>
              </w:rPr>
            </w:pPr>
            <w:r>
              <w:rPr>
                <w:color w:val="000000"/>
                <w:sz w:val="22"/>
              </w:rPr>
              <w:t>6.5%</w:t>
            </w:r>
          </w:p>
        </w:tc>
      </w:tr>
      <w:tr w:rsidR="006E5EBF" w:rsidRPr="00C9047D" w:rsidTr="00396BE6">
        <w:trPr>
          <w:gridAfter w:val="1"/>
          <w:wAfter w:w="918" w:type="dxa"/>
          <w:trHeight w:val="576"/>
        </w:trPr>
        <w:tc>
          <w:tcPr>
            <w:tcW w:w="3051" w:type="dxa"/>
            <w:shd w:val="clear" w:color="auto" w:fill="auto"/>
            <w:noWrap/>
            <w:vAlign w:val="center"/>
            <w:hideMark/>
          </w:tcPr>
          <w:p w:rsidR="006E5EBF" w:rsidRPr="00F2307B" w:rsidRDefault="006E5EBF" w:rsidP="00396BE6">
            <w:pPr>
              <w:ind w:left="0" w:firstLine="0"/>
              <w:rPr>
                <w:rFonts w:eastAsia="Times New Roman" w:cs="Times New Roman"/>
                <w:b/>
                <w:color w:val="000000"/>
                <w:sz w:val="22"/>
              </w:rPr>
            </w:pPr>
            <w:r w:rsidRPr="00F2307B">
              <w:rPr>
                <w:rFonts w:eastAsia="Times New Roman" w:cs="Times New Roman"/>
                <w:b/>
                <w:color w:val="000000"/>
                <w:sz w:val="22"/>
              </w:rPr>
              <w:t>Lower Court Direction</w:t>
            </w:r>
          </w:p>
        </w:tc>
        <w:tc>
          <w:tcPr>
            <w:tcW w:w="1726" w:type="dxa"/>
            <w:shd w:val="clear" w:color="auto" w:fill="auto"/>
            <w:noWrap/>
            <w:vAlign w:val="center"/>
            <w:hideMark/>
          </w:tcPr>
          <w:p w:rsidR="006E5EBF" w:rsidRPr="00C9047D" w:rsidRDefault="006E5EBF" w:rsidP="00396BE6">
            <w:pPr>
              <w:ind w:left="0" w:firstLine="0"/>
              <w:jc w:val="center"/>
              <w:rPr>
                <w:rFonts w:eastAsia="Times New Roman" w:cs="Times New Roman"/>
                <w:color w:val="000000"/>
                <w:sz w:val="22"/>
              </w:rPr>
            </w:pPr>
            <w:r>
              <w:rPr>
                <w:rFonts w:eastAsia="Times New Roman" w:cs="Times New Roman"/>
                <w:color w:val="000000"/>
                <w:sz w:val="22"/>
              </w:rPr>
              <w:t>-0.747 (.076)***</w:t>
            </w:r>
          </w:p>
        </w:tc>
        <w:tc>
          <w:tcPr>
            <w:tcW w:w="1072" w:type="dxa"/>
            <w:gridSpan w:val="2"/>
            <w:vAlign w:val="center"/>
          </w:tcPr>
          <w:p w:rsidR="006E5EBF" w:rsidRDefault="006E5EBF" w:rsidP="00396BE6">
            <w:pPr>
              <w:jc w:val="center"/>
              <w:rPr>
                <w:color w:val="000000"/>
                <w:sz w:val="22"/>
              </w:rPr>
            </w:pPr>
            <w:r>
              <w:rPr>
                <w:color w:val="000000"/>
                <w:sz w:val="22"/>
              </w:rPr>
              <w:t>0.474</w:t>
            </w:r>
          </w:p>
        </w:tc>
        <w:tc>
          <w:tcPr>
            <w:tcW w:w="2716" w:type="dxa"/>
            <w:gridSpan w:val="2"/>
            <w:vAlign w:val="center"/>
          </w:tcPr>
          <w:p w:rsidR="006E5EBF" w:rsidRDefault="006E5EBF" w:rsidP="00396BE6">
            <w:pPr>
              <w:jc w:val="center"/>
              <w:rPr>
                <w:color w:val="000000"/>
                <w:sz w:val="22"/>
              </w:rPr>
            </w:pPr>
            <w:r>
              <w:rPr>
                <w:color w:val="000000"/>
                <w:sz w:val="22"/>
              </w:rPr>
              <w:t>-9.5%</w:t>
            </w:r>
          </w:p>
        </w:tc>
      </w:tr>
      <w:tr w:rsidR="006E5EBF" w:rsidRPr="00C9047D" w:rsidTr="00396BE6">
        <w:trPr>
          <w:gridAfter w:val="1"/>
          <w:wAfter w:w="918" w:type="dxa"/>
          <w:trHeight w:val="576"/>
        </w:trPr>
        <w:tc>
          <w:tcPr>
            <w:tcW w:w="3051" w:type="dxa"/>
            <w:shd w:val="clear" w:color="auto" w:fill="auto"/>
            <w:noWrap/>
            <w:vAlign w:val="center"/>
            <w:hideMark/>
          </w:tcPr>
          <w:p w:rsidR="006E5EBF" w:rsidRPr="00F2307B" w:rsidRDefault="006E5EBF" w:rsidP="00396BE6">
            <w:pPr>
              <w:ind w:left="0" w:firstLine="0"/>
              <w:rPr>
                <w:rFonts w:eastAsia="Times New Roman" w:cs="Times New Roman"/>
                <w:b/>
                <w:color w:val="000000"/>
                <w:sz w:val="22"/>
              </w:rPr>
            </w:pPr>
            <w:r w:rsidRPr="00F2307B">
              <w:rPr>
                <w:rFonts w:eastAsia="Times New Roman" w:cs="Times New Roman"/>
                <w:b/>
                <w:color w:val="000000"/>
                <w:sz w:val="22"/>
              </w:rPr>
              <w:t>Constant</w:t>
            </w:r>
          </w:p>
        </w:tc>
        <w:tc>
          <w:tcPr>
            <w:tcW w:w="1726" w:type="dxa"/>
            <w:shd w:val="clear" w:color="auto" w:fill="auto"/>
            <w:noWrap/>
            <w:vAlign w:val="center"/>
            <w:hideMark/>
          </w:tcPr>
          <w:p w:rsidR="006E5EBF" w:rsidRPr="00C9047D" w:rsidRDefault="006E5EBF" w:rsidP="00396BE6">
            <w:pPr>
              <w:ind w:left="0" w:firstLine="0"/>
              <w:jc w:val="center"/>
              <w:rPr>
                <w:rFonts w:eastAsia="Times New Roman" w:cs="Times New Roman"/>
                <w:color w:val="000000"/>
                <w:sz w:val="22"/>
              </w:rPr>
            </w:pPr>
            <w:r>
              <w:rPr>
                <w:rFonts w:eastAsia="Times New Roman" w:cs="Times New Roman"/>
                <w:color w:val="000000"/>
                <w:sz w:val="22"/>
              </w:rPr>
              <w:t>-0.144 (.088)</w:t>
            </w:r>
          </w:p>
        </w:tc>
        <w:tc>
          <w:tcPr>
            <w:tcW w:w="1072" w:type="dxa"/>
            <w:gridSpan w:val="2"/>
            <w:vAlign w:val="center"/>
          </w:tcPr>
          <w:p w:rsidR="006E5EBF" w:rsidRPr="00C9047D" w:rsidRDefault="006E5EBF" w:rsidP="00396BE6">
            <w:pPr>
              <w:ind w:left="0" w:firstLine="0"/>
              <w:jc w:val="center"/>
              <w:rPr>
                <w:rFonts w:eastAsia="Times New Roman" w:cs="Times New Roman"/>
                <w:color w:val="000000"/>
                <w:sz w:val="22"/>
              </w:rPr>
            </w:pPr>
          </w:p>
        </w:tc>
        <w:tc>
          <w:tcPr>
            <w:tcW w:w="2716" w:type="dxa"/>
            <w:gridSpan w:val="2"/>
            <w:vAlign w:val="center"/>
          </w:tcPr>
          <w:p w:rsidR="006E5EBF" w:rsidRPr="00C9047D" w:rsidRDefault="006E5EBF" w:rsidP="00396BE6">
            <w:pPr>
              <w:ind w:left="0" w:firstLine="0"/>
              <w:jc w:val="center"/>
              <w:rPr>
                <w:rFonts w:eastAsia="Times New Roman" w:cs="Times New Roman"/>
                <w:color w:val="000000"/>
                <w:sz w:val="22"/>
              </w:rPr>
            </w:pPr>
          </w:p>
        </w:tc>
      </w:tr>
      <w:tr w:rsidR="006E5EBF" w:rsidRPr="00944261" w:rsidTr="00396BE6">
        <w:trPr>
          <w:trHeight w:val="576"/>
        </w:trPr>
        <w:tc>
          <w:tcPr>
            <w:tcW w:w="3051" w:type="dxa"/>
            <w:tcBorders>
              <w:top w:val="single" w:sz="18" w:space="0" w:color="auto"/>
              <w:bottom w:val="nil"/>
            </w:tcBorders>
            <w:shd w:val="clear" w:color="auto" w:fill="auto"/>
            <w:noWrap/>
            <w:vAlign w:val="center"/>
            <w:hideMark/>
          </w:tcPr>
          <w:p w:rsidR="006E5EBF" w:rsidRPr="00944261" w:rsidRDefault="006E5EBF" w:rsidP="00396BE6">
            <w:pPr>
              <w:ind w:left="0" w:firstLine="0"/>
              <w:rPr>
                <w:rFonts w:eastAsia="Times New Roman" w:cs="Times New Roman"/>
                <w:b/>
                <w:bCs/>
                <w:color w:val="000000"/>
                <w:sz w:val="22"/>
              </w:rPr>
            </w:pPr>
            <w:r w:rsidRPr="00944261">
              <w:rPr>
                <w:rFonts w:eastAsia="Times New Roman" w:cs="Times New Roman"/>
                <w:b/>
                <w:bCs/>
                <w:color w:val="000000"/>
                <w:sz w:val="22"/>
              </w:rPr>
              <w:t>N</w:t>
            </w:r>
          </w:p>
        </w:tc>
        <w:tc>
          <w:tcPr>
            <w:tcW w:w="2262" w:type="dxa"/>
            <w:gridSpan w:val="2"/>
            <w:tcBorders>
              <w:top w:val="single" w:sz="18" w:space="0" w:color="auto"/>
              <w:bottom w:val="nil"/>
            </w:tcBorders>
            <w:shd w:val="clear" w:color="auto" w:fill="auto"/>
            <w:noWrap/>
            <w:vAlign w:val="center"/>
            <w:hideMark/>
          </w:tcPr>
          <w:p w:rsidR="006E5EBF" w:rsidRPr="00944261" w:rsidRDefault="006E5EBF" w:rsidP="00396BE6">
            <w:pPr>
              <w:ind w:left="0" w:firstLine="0"/>
              <w:jc w:val="center"/>
              <w:rPr>
                <w:rFonts w:eastAsia="Times New Roman" w:cs="Times New Roman"/>
                <w:color w:val="000000"/>
                <w:sz w:val="22"/>
              </w:rPr>
            </w:pPr>
            <w:r>
              <w:rPr>
                <w:rFonts w:eastAsia="Times New Roman" w:cs="Times New Roman"/>
                <w:color w:val="000000"/>
                <w:sz w:val="22"/>
              </w:rPr>
              <w:t>3,264</w:t>
            </w:r>
          </w:p>
        </w:tc>
        <w:tc>
          <w:tcPr>
            <w:tcW w:w="1033" w:type="dxa"/>
            <w:gridSpan w:val="2"/>
            <w:tcBorders>
              <w:top w:val="single" w:sz="18" w:space="0" w:color="auto"/>
              <w:bottom w:val="nil"/>
            </w:tcBorders>
            <w:shd w:val="clear" w:color="auto" w:fill="auto"/>
            <w:noWrap/>
            <w:vAlign w:val="center"/>
            <w:hideMark/>
          </w:tcPr>
          <w:p w:rsidR="006E5EBF" w:rsidRPr="00944261" w:rsidRDefault="006E5EBF" w:rsidP="00396BE6">
            <w:pPr>
              <w:ind w:left="0" w:firstLine="0"/>
              <w:jc w:val="center"/>
              <w:rPr>
                <w:rFonts w:eastAsia="Times New Roman" w:cs="Times New Roman"/>
                <w:color w:val="000000"/>
                <w:sz w:val="22"/>
              </w:rPr>
            </w:pPr>
          </w:p>
        </w:tc>
        <w:tc>
          <w:tcPr>
            <w:tcW w:w="2219" w:type="dxa"/>
            <w:tcBorders>
              <w:top w:val="single" w:sz="18" w:space="0" w:color="auto"/>
              <w:bottom w:val="nil"/>
            </w:tcBorders>
            <w:vAlign w:val="center"/>
          </w:tcPr>
          <w:p w:rsidR="006E5EBF" w:rsidRPr="00944261" w:rsidRDefault="006E5EBF" w:rsidP="00396BE6">
            <w:pPr>
              <w:ind w:left="0" w:firstLine="0"/>
              <w:jc w:val="center"/>
              <w:rPr>
                <w:rFonts w:eastAsia="Times New Roman" w:cs="Times New Roman"/>
                <w:color w:val="000000"/>
                <w:sz w:val="22"/>
              </w:rPr>
            </w:pPr>
          </w:p>
        </w:tc>
        <w:tc>
          <w:tcPr>
            <w:tcW w:w="918" w:type="dxa"/>
            <w:tcBorders>
              <w:top w:val="single" w:sz="18" w:space="0" w:color="auto"/>
              <w:bottom w:val="nil"/>
            </w:tcBorders>
            <w:shd w:val="clear" w:color="auto" w:fill="auto"/>
            <w:noWrap/>
            <w:vAlign w:val="center"/>
            <w:hideMark/>
          </w:tcPr>
          <w:p w:rsidR="006E5EBF" w:rsidRPr="00944261" w:rsidRDefault="006E5EBF" w:rsidP="00396BE6">
            <w:pPr>
              <w:ind w:left="0" w:firstLine="0"/>
              <w:jc w:val="center"/>
              <w:rPr>
                <w:rFonts w:eastAsia="Times New Roman" w:cs="Times New Roman"/>
                <w:color w:val="000000"/>
                <w:sz w:val="22"/>
              </w:rPr>
            </w:pPr>
          </w:p>
        </w:tc>
      </w:tr>
      <w:tr w:rsidR="006E5EBF" w:rsidRPr="00944261" w:rsidTr="00396BE6">
        <w:trPr>
          <w:trHeight w:val="576"/>
        </w:trPr>
        <w:tc>
          <w:tcPr>
            <w:tcW w:w="3051" w:type="dxa"/>
            <w:tcBorders>
              <w:top w:val="nil"/>
              <w:bottom w:val="nil"/>
            </w:tcBorders>
            <w:shd w:val="clear" w:color="auto" w:fill="auto"/>
            <w:noWrap/>
            <w:vAlign w:val="center"/>
            <w:hideMark/>
          </w:tcPr>
          <w:p w:rsidR="006E5EBF" w:rsidRPr="00944261" w:rsidRDefault="006E5EBF" w:rsidP="00396BE6">
            <w:pPr>
              <w:ind w:left="0" w:firstLine="0"/>
              <w:rPr>
                <w:rFonts w:eastAsia="Times New Roman" w:cs="Times New Roman"/>
                <w:b/>
                <w:bCs/>
                <w:color w:val="000000"/>
                <w:sz w:val="22"/>
              </w:rPr>
            </w:pPr>
            <w:proofErr w:type="spellStart"/>
            <w:r w:rsidRPr="00944261">
              <w:rPr>
                <w:rFonts w:eastAsia="Times New Roman" w:cs="Times New Roman"/>
                <w:b/>
                <w:bCs/>
                <w:color w:val="000000"/>
                <w:sz w:val="22"/>
              </w:rPr>
              <w:t>Prob</w:t>
            </w:r>
            <w:proofErr w:type="spellEnd"/>
            <w:r w:rsidRPr="00944261">
              <w:rPr>
                <w:rFonts w:eastAsia="Times New Roman" w:cs="Times New Roman"/>
                <w:b/>
                <w:bCs/>
                <w:color w:val="000000"/>
                <w:sz w:val="22"/>
              </w:rPr>
              <w:t xml:space="preserve"> &gt; chi2</w:t>
            </w:r>
          </w:p>
        </w:tc>
        <w:tc>
          <w:tcPr>
            <w:tcW w:w="2262" w:type="dxa"/>
            <w:gridSpan w:val="2"/>
            <w:tcBorders>
              <w:top w:val="nil"/>
              <w:bottom w:val="nil"/>
            </w:tcBorders>
            <w:shd w:val="clear" w:color="auto" w:fill="auto"/>
            <w:noWrap/>
            <w:vAlign w:val="center"/>
            <w:hideMark/>
          </w:tcPr>
          <w:p w:rsidR="006E5EBF" w:rsidRPr="00944261" w:rsidRDefault="006E5EBF" w:rsidP="00396BE6">
            <w:pPr>
              <w:ind w:left="0" w:firstLine="0"/>
              <w:jc w:val="center"/>
              <w:rPr>
                <w:rFonts w:eastAsia="Times New Roman" w:cs="Times New Roman"/>
                <w:color w:val="000000"/>
                <w:sz w:val="22"/>
              </w:rPr>
            </w:pPr>
            <w:r w:rsidRPr="00944261">
              <w:rPr>
                <w:rFonts w:eastAsia="Times New Roman" w:cs="Times New Roman"/>
                <w:color w:val="000000"/>
                <w:sz w:val="22"/>
              </w:rPr>
              <w:t>0</w:t>
            </w:r>
          </w:p>
        </w:tc>
        <w:tc>
          <w:tcPr>
            <w:tcW w:w="1033" w:type="dxa"/>
            <w:gridSpan w:val="2"/>
            <w:tcBorders>
              <w:top w:val="nil"/>
              <w:bottom w:val="nil"/>
            </w:tcBorders>
            <w:shd w:val="clear" w:color="auto" w:fill="auto"/>
            <w:noWrap/>
            <w:vAlign w:val="center"/>
            <w:hideMark/>
          </w:tcPr>
          <w:p w:rsidR="006E5EBF" w:rsidRPr="00944261" w:rsidRDefault="006E5EBF" w:rsidP="00396BE6">
            <w:pPr>
              <w:ind w:left="0" w:firstLine="0"/>
              <w:jc w:val="center"/>
              <w:rPr>
                <w:rFonts w:eastAsia="Times New Roman" w:cs="Times New Roman"/>
                <w:color w:val="000000"/>
                <w:sz w:val="22"/>
              </w:rPr>
            </w:pPr>
          </w:p>
        </w:tc>
        <w:tc>
          <w:tcPr>
            <w:tcW w:w="2219" w:type="dxa"/>
            <w:tcBorders>
              <w:top w:val="nil"/>
              <w:bottom w:val="nil"/>
            </w:tcBorders>
            <w:vAlign w:val="center"/>
          </w:tcPr>
          <w:p w:rsidR="006E5EBF" w:rsidRPr="00944261" w:rsidRDefault="006E5EBF" w:rsidP="00396BE6">
            <w:pPr>
              <w:ind w:left="0" w:firstLine="0"/>
              <w:jc w:val="center"/>
              <w:rPr>
                <w:rFonts w:eastAsia="Times New Roman" w:cs="Times New Roman"/>
                <w:color w:val="000000"/>
                <w:sz w:val="22"/>
              </w:rPr>
            </w:pPr>
          </w:p>
        </w:tc>
        <w:tc>
          <w:tcPr>
            <w:tcW w:w="918" w:type="dxa"/>
            <w:tcBorders>
              <w:top w:val="nil"/>
              <w:bottom w:val="nil"/>
            </w:tcBorders>
            <w:shd w:val="clear" w:color="auto" w:fill="auto"/>
            <w:noWrap/>
            <w:vAlign w:val="center"/>
            <w:hideMark/>
          </w:tcPr>
          <w:p w:rsidR="006E5EBF" w:rsidRPr="00944261" w:rsidRDefault="006E5EBF" w:rsidP="00396BE6">
            <w:pPr>
              <w:ind w:left="0" w:firstLine="0"/>
              <w:jc w:val="center"/>
              <w:rPr>
                <w:rFonts w:eastAsia="Times New Roman" w:cs="Times New Roman"/>
                <w:color w:val="000000"/>
                <w:sz w:val="22"/>
              </w:rPr>
            </w:pPr>
          </w:p>
        </w:tc>
      </w:tr>
      <w:tr w:rsidR="006E5EBF" w:rsidRPr="00944261" w:rsidTr="00396BE6">
        <w:trPr>
          <w:trHeight w:val="576"/>
        </w:trPr>
        <w:tc>
          <w:tcPr>
            <w:tcW w:w="3051" w:type="dxa"/>
            <w:tcBorders>
              <w:top w:val="nil"/>
              <w:bottom w:val="nil"/>
            </w:tcBorders>
            <w:shd w:val="clear" w:color="auto" w:fill="auto"/>
            <w:noWrap/>
            <w:vAlign w:val="center"/>
            <w:hideMark/>
          </w:tcPr>
          <w:p w:rsidR="006E5EBF" w:rsidRPr="00944261" w:rsidRDefault="006E5EBF" w:rsidP="00396BE6">
            <w:pPr>
              <w:ind w:left="0" w:firstLine="0"/>
              <w:rPr>
                <w:rFonts w:eastAsia="Times New Roman" w:cs="Times New Roman"/>
                <w:b/>
                <w:bCs/>
                <w:color w:val="000000"/>
                <w:sz w:val="22"/>
              </w:rPr>
            </w:pPr>
            <w:r w:rsidRPr="00944261">
              <w:rPr>
                <w:rFonts w:eastAsia="Times New Roman" w:cs="Times New Roman"/>
                <w:b/>
                <w:bCs/>
                <w:color w:val="000000"/>
                <w:sz w:val="22"/>
              </w:rPr>
              <w:t>Percent Correctly Predicted</w:t>
            </w:r>
          </w:p>
        </w:tc>
        <w:tc>
          <w:tcPr>
            <w:tcW w:w="2262" w:type="dxa"/>
            <w:gridSpan w:val="2"/>
            <w:tcBorders>
              <w:top w:val="nil"/>
              <w:bottom w:val="nil"/>
            </w:tcBorders>
            <w:shd w:val="clear" w:color="auto" w:fill="auto"/>
            <w:noWrap/>
            <w:vAlign w:val="center"/>
            <w:hideMark/>
          </w:tcPr>
          <w:p w:rsidR="006E5EBF" w:rsidRPr="00944261" w:rsidRDefault="006E5EBF" w:rsidP="00396BE6">
            <w:pPr>
              <w:ind w:left="0" w:firstLine="0"/>
              <w:jc w:val="center"/>
              <w:rPr>
                <w:rFonts w:eastAsia="Times New Roman" w:cs="Times New Roman"/>
                <w:color w:val="000000"/>
                <w:sz w:val="22"/>
              </w:rPr>
            </w:pPr>
            <w:r>
              <w:rPr>
                <w:rFonts w:eastAsia="Times New Roman" w:cs="Times New Roman"/>
                <w:color w:val="000000"/>
                <w:sz w:val="22"/>
              </w:rPr>
              <w:t>65.66</w:t>
            </w:r>
          </w:p>
        </w:tc>
        <w:tc>
          <w:tcPr>
            <w:tcW w:w="1033" w:type="dxa"/>
            <w:gridSpan w:val="2"/>
            <w:tcBorders>
              <w:top w:val="nil"/>
              <w:bottom w:val="nil"/>
            </w:tcBorders>
            <w:shd w:val="clear" w:color="auto" w:fill="auto"/>
            <w:noWrap/>
            <w:vAlign w:val="center"/>
            <w:hideMark/>
          </w:tcPr>
          <w:p w:rsidR="006E5EBF" w:rsidRPr="00944261" w:rsidRDefault="006E5EBF" w:rsidP="00396BE6">
            <w:pPr>
              <w:ind w:left="0" w:firstLine="0"/>
              <w:jc w:val="center"/>
              <w:rPr>
                <w:rFonts w:eastAsia="Times New Roman" w:cs="Times New Roman"/>
                <w:color w:val="000000"/>
                <w:sz w:val="22"/>
              </w:rPr>
            </w:pPr>
          </w:p>
        </w:tc>
        <w:tc>
          <w:tcPr>
            <w:tcW w:w="2219" w:type="dxa"/>
            <w:tcBorders>
              <w:top w:val="nil"/>
              <w:bottom w:val="nil"/>
            </w:tcBorders>
            <w:vAlign w:val="center"/>
          </w:tcPr>
          <w:p w:rsidR="006E5EBF" w:rsidRPr="00944261" w:rsidRDefault="006E5EBF" w:rsidP="00396BE6">
            <w:pPr>
              <w:ind w:left="0" w:firstLine="0"/>
              <w:jc w:val="center"/>
              <w:rPr>
                <w:rFonts w:eastAsia="Times New Roman" w:cs="Times New Roman"/>
                <w:color w:val="000000"/>
                <w:sz w:val="22"/>
              </w:rPr>
            </w:pPr>
          </w:p>
        </w:tc>
        <w:tc>
          <w:tcPr>
            <w:tcW w:w="918" w:type="dxa"/>
            <w:tcBorders>
              <w:top w:val="nil"/>
              <w:bottom w:val="nil"/>
            </w:tcBorders>
            <w:shd w:val="clear" w:color="auto" w:fill="auto"/>
            <w:noWrap/>
            <w:vAlign w:val="center"/>
            <w:hideMark/>
          </w:tcPr>
          <w:p w:rsidR="006E5EBF" w:rsidRPr="00944261" w:rsidRDefault="006E5EBF" w:rsidP="00396BE6">
            <w:pPr>
              <w:ind w:left="0" w:firstLine="0"/>
              <w:jc w:val="center"/>
              <w:rPr>
                <w:rFonts w:eastAsia="Times New Roman" w:cs="Times New Roman"/>
                <w:color w:val="000000"/>
                <w:sz w:val="22"/>
              </w:rPr>
            </w:pPr>
          </w:p>
        </w:tc>
      </w:tr>
      <w:tr w:rsidR="006E5EBF" w:rsidRPr="00944261" w:rsidTr="00396BE6">
        <w:trPr>
          <w:trHeight w:val="576"/>
        </w:trPr>
        <w:tc>
          <w:tcPr>
            <w:tcW w:w="3051" w:type="dxa"/>
            <w:tcBorders>
              <w:top w:val="nil"/>
              <w:bottom w:val="single" w:sz="18" w:space="0" w:color="auto"/>
            </w:tcBorders>
            <w:shd w:val="clear" w:color="auto" w:fill="auto"/>
            <w:noWrap/>
            <w:vAlign w:val="center"/>
            <w:hideMark/>
          </w:tcPr>
          <w:p w:rsidR="006E5EBF" w:rsidRPr="00944261" w:rsidRDefault="006E5EBF" w:rsidP="00396BE6">
            <w:pPr>
              <w:ind w:left="0" w:firstLine="0"/>
              <w:rPr>
                <w:rFonts w:eastAsia="Times New Roman" w:cs="Times New Roman"/>
                <w:b/>
                <w:bCs/>
                <w:color w:val="000000"/>
                <w:sz w:val="22"/>
              </w:rPr>
            </w:pPr>
            <w:r w:rsidRPr="00944261">
              <w:rPr>
                <w:rFonts w:eastAsia="Times New Roman" w:cs="Times New Roman"/>
                <w:b/>
                <w:bCs/>
                <w:color w:val="000000"/>
                <w:sz w:val="22"/>
              </w:rPr>
              <w:t>Percent Reduction in Error</w:t>
            </w:r>
          </w:p>
        </w:tc>
        <w:tc>
          <w:tcPr>
            <w:tcW w:w="2262" w:type="dxa"/>
            <w:gridSpan w:val="2"/>
            <w:tcBorders>
              <w:top w:val="nil"/>
              <w:bottom w:val="single" w:sz="18" w:space="0" w:color="auto"/>
            </w:tcBorders>
            <w:shd w:val="clear" w:color="auto" w:fill="auto"/>
            <w:noWrap/>
            <w:vAlign w:val="center"/>
            <w:hideMark/>
          </w:tcPr>
          <w:p w:rsidR="006E5EBF" w:rsidRPr="00944261" w:rsidRDefault="006E5EBF" w:rsidP="00396BE6">
            <w:pPr>
              <w:ind w:left="0" w:firstLine="0"/>
              <w:jc w:val="center"/>
              <w:rPr>
                <w:rFonts w:eastAsia="Times New Roman" w:cs="Times New Roman"/>
                <w:color w:val="000000"/>
                <w:sz w:val="22"/>
              </w:rPr>
            </w:pPr>
            <w:r>
              <w:rPr>
                <w:rFonts w:eastAsia="Times New Roman" w:cs="Times New Roman"/>
                <w:color w:val="000000"/>
                <w:sz w:val="22"/>
              </w:rPr>
              <w:t>28.55</w:t>
            </w:r>
          </w:p>
        </w:tc>
        <w:tc>
          <w:tcPr>
            <w:tcW w:w="1033" w:type="dxa"/>
            <w:gridSpan w:val="2"/>
            <w:tcBorders>
              <w:top w:val="nil"/>
              <w:bottom w:val="single" w:sz="18" w:space="0" w:color="auto"/>
            </w:tcBorders>
            <w:shd w:val="clear" w:color="auto" w:fill="auto"/>
            <w:noWrap/>
            <w:vAlign w:val="center"/>
            <w:hideMark/>
          </w:tcPr>
          <w:p w:rsidR="006E5EBF" w:rsidRPr="00944261" w:rsidRDefault="006E5EBF" w:rsidP="00396BE6">
            <w:pPr>
              <w:ind w:left="0" w:firstLine="0"/>
              <w:jc w:val="center"/>
              <w:rPr>
                <w:rFonts w:eastAsia="Times New Roman" w:cs="Times New Roman"/>
                <w:color w:val="000000"/>
                <w:sz w:val="22"/>
              </w:rPr>
            </w:pPr>
          </w:p>
        </w:tc>
        <w:tc>
          <w:tcPr>
            <w:tcW w:w="2219" w:type="dxa"/>
            <w:tcBorders>
              <w:top w:val="nil"/>
              <w:bottom w:val="single" w:sz="18" w:space="0" w:color="auto"/>
            </w:tcBorders>
            <w:vAlign w:val="center"/>
          </w:tcPr>
          <w:p w:rsidR="006E5EBF" w:rsidRPr="00944261" w:rsidRDefault="006E5EBF" w:rsidP="00396BE6">
            <w:pPr>
              <w:ind w:left="0" w:firstLine="0"/>
              <w:jc w:val="center"/>
              <w:rPr>
                <w:rFonts w:eastAsia="Times New Roman" w:cs="Times New Roman"/>
                <w:color w:val="000000"/>
                <w:sz w:val="22"/>
              </w:rPr>
            </w:pPr>
          </w:p>
        </w:tc>
        <w:tc>
          <w:tcPr>
            <w:tcW w:w="918" w:type="dxa"/>
            <w:tcBorders>
              <w:top w:val="nil"/>
              <w:bottom w:val="single" w:sz="18" w:space="0" w:color="auto"/>
            </w:tcBorders>
            <w:shd w:val="clear" w:color="auto" w:fill="auto"/>
            <w:noWrap/>
            <w:vAlign w:val="center"/>
            <w:hideMark/>
          </w:tcPr>
          <w:p w:rsidR="006E5EBF" w:rsidRPr="00944261" w:rsidRDefault="006E5EBF" w:rsidP="00396BE6">
            <w:pPr>
              <w:ind w:left="0" w:firstLine="0"/>
              <w:jc w:val="center"/>
              <w:rPr>
                <w:rFonts w:eastAsia="Times New Roman" w:cs="Times New Roman"/>
                <w:color w:val="000000"/>
                <w:sz w:val="22"/>
              </w:rPr>
            </w:pPr>
          </w:p>
        </w:tc>
      </w:tr>
    </w:tbl>
    <w:p w:rsidR="0008667A" w:rsidRPr="007F4985" w:rsidRDefault="006E5EBF" w:rsidP="007F4985">
      <w:pPr>
        <w:autoSpaceDE w:val="0"/>
        <w:autoSpaceDN w:val="0"/>
        <w:adjustRightInd w:val="0"/>
        <w:ind w:left="90" w:firstLine="0"/>
        <w:rPr>
          <w:sz w:val="22"/>
        </w:rPr>
      </w:pPr>
      <w:r w:rsidRPr="009E62D9">
        <w:rPr>
          <w:sz w:val="22"/>
        </w:rPr>
        <w:t xml:space="preserve">Dependent variable indicates the ideological direction of the individual justices’ vote (1 = liberal, 0 = conservative). </w:t>
      </w:r>
      <w:r>
        <w:rPr>
          <w:sz w:val="22"/>
        </w:rPr>
        <w:t xml:space="preserve">Numbers in parentheses indicated standard errors. </w:t>
      </w:r>
      <w:r w:rsidRPr="009E62D9">
        <w:rPr>
          <w:sz w:val="22"/>
        </w:rPr>
        <w:t xml:space="preserve"> </w:t>
      </w:r>
      <w:proofErr w:type="gramStart"/>
      <w:r>
        <w:rPr>
          <w:sz w:val="22"/>
        </w:rPr>
        <w:t>*p&lt;.05, **p&lt;.01, ***p&lt;.001</w:t>
      </w:r>
      <w:r w:rsidRPr="009E62D9">
        <w:rPr>
          <w:sz w:val="22"/>
        </w:rPr>
        <w:t xml:space="preserve"> (one-tailed).</w:t>
      </w:r>
      <w:proofErr w:type="gramEnd"/>
    </w:p>
    <w:p w:rsidR="008A5C0E" w:rsidRDefault="008A5C0E" w:rsidP="0008667A">
      <w:pPr>
        <w:autoSpaceDE w:val="0"/>
        <w:autoSpaceDN w:val="0"/>
        <w:adjustRightInd w:val="0"/>
        <w:spacing w:line="480" w:lineRule="auto"/>
        <w:ind w:left="0" w:firstLine="0"/>
        <w:rPr>
          <w:b/>
        </w:rPr>
      </w:pPr>
    </w:p>
    <w:p w:rsidR="008A5C0E" w:rsidRDefault="008A5C0E" w:rsidP="0008667A">
      <w:pPr>
        <w:autoSpaceDE w:val="0"/>
        <w:autoSpaceDN w:val="0"/>
        <w:adjustRightInd w:val="0"/>
        <w:spacing w:line="480" w:lineRule="auto"/>
        <w:ind w:left="0" w:firstLine="0"/>
        <w:rPr>
          <w:b/>
        </w:rPr>
      </w:pPr>
    </w:p>
    <w:p w:rsidR="008A5C0E" w:rsidRDefault="008A5C0E" w:rsidP="0008667A">
      <w:pPr>
        <w:autoSpaceDE w:val="0"/>
        <w:autoSpaceDN w:val="0"/>
        <w:adjustRightInd w:val="0"/>
        <w:spacing w:line="480" w:lineRule="auto"/>
        <w:ind w:left="0" w:firstLine="0"/>
        <w:rPr>
          <w:b/>
        </w:rPr>
      </w:pPr>
    </w:p>
    <w:p w:rsidR="008A5C0E" w:rsidRDefault="008A5C0E" w:rsidP="0008667A">
      <w:pPr>
        <w:autoSpaceDE w:val="0"/>
        <w:autoSpaceDN w:val="0"/>
        <w:adjustRightInd w:val="0"/>
        <w:spacing w:line="480" w:lineRule="auto"/>
        <w:ind w:left="0" w:firstLine="0"/>
        <w:rPr>
          <w:b/>
        </w:rPr>
      </w:pPr>
    </w:p>
    <w:p w:rsidR="0008667A" w:rsidRPr="005B5068" w:rsidRDefault="0008667A" w:rsidP="0008667A">
      <w:pPr>
        <w:autoSpaceDE w:val="0"/>
        <w:autoSpaceDN w:val="0"/>
        <w:adjustRightInd w:val="0"/>
        <w:spacing w:line="480" w:lineRule="auto"/>
        <w:ind w:left="0" w:firstLine="0"/>
        <w:rPr>
          <w:b/>
        </w:rPr>
      </w:pPr>
      <w:r>
        <w:rPr>
          <w:b/>
        </w:rPr>
        <w:lastRenderedPageBreak/>
        <w:t>Table A.4.</w:t>
      </w:r>
      <w:r w:rsidRPr="005B5068">
        <w:rPr>
          <w:b/>
        </w:rPr>
        <w:t xml:space="preserve">  Predicted Probabilities of </w:t>
      </w:r>
      <w:r>
        <w:rPr>
          <w:b/>
        </w:rPr>
        <w:t xml:space="preserve">Observing a Liberal Justice Vote </w:t>
      </w:r>
      <w:proofErr w:type="gramStart"/>
      <w:r w:rsidRPr="005B5068">
        <w:rPr>
          <w:b/>
        </w:rPr>
        <w:t>Across</w:t>
      </w:r>
      <w:proofErr w:type="gramEnd"/>
      <w:r w:rsidRPr="005B5068">
        <w:rPr>
          <w:b/>
        </w:rPr>
        <w:t xml:space="preserve"> Range of Judicial Moderation</w:t>
      </w:r>
      <w:r>
        <w:rPr>
          <w:b/>
        </w:rPr>
        <w:t xml:space="preserve"> and Amicus Brief Advantage</w:t>
      </w:r>
      <w:r w:rsidRPr="005B5068">
        <w:rPr>
          <w:b/>
        </w:rPr>
        <w:t xml:space="preserve"> Values</w:t>
      </w:r>
      <w:r>
        <w:rPr>
          <w:b/>
        </w:rPr>
        <w:t xml:space="preserve"> for</w:t>
      </w:r>
      <w:r w:rsidRPr="005B5068">
        <w:rPr>
          <w:b/>
        </w:rPr>
        <w:t xml:space="preserve"> Prima</w:t>
      </w:r>
      <w:r>
        <w:rPr>
          <w:b/>
        </w:rPr>
        <w:t>ry All-Inclusive Model</w:t>
      </w:r>
    </w:p>
    <w:tbl>
      <w:tblPr>
        <w:tblW w:w="0" w:type="auto"/>
        <w:tblInd w:w="93" w:type="dxa"/>
        <w:tblLook w:val="04A0" w:firstRow="1" w:lastRow="0" w:firstColumn="1" w:lastColumn="0" w:noHBand="0" w:noVBand="1"/>
      </w:tblPr>
      <w:tblGrid>
        <w:gridCol w:w="1065"/>
        <w:gridCol w:w="1506"/>
        <w:gridCol w:w="1735"/>
        <w:gridCol w:w="1721"/>
        <w:gridCol w:w="1735"/>
        <w:gridCol w:w="1721"/>
      </w:tblGrid>
      <w:tr w:rsidR="0008667A" w:rsidRPr="00785DEE" w:rsidTr="005737DF">
        <w:trPr>
          <w:cantSplit/>
          <w:trHeight w:val="576"/>
        </w:trPr>
        <w:tc>
          <w:tcPr>
            <w:tcW w:w="0" w:type="auto"/>
            <w:tcBorders>
              <w:top w:val="single" w:sz="18" w:space="0" w:color="auto"/>
              <w:left w:val="nil"/>
              <w:bottom w:val="single" w:sz="18" w:space="0" w:color="auto"/>
              <w:right w:val="single" w:sz="4" w:space="0" w:color="auto"/>
            </w:tcBorders>
            <w:shd w:val="clear" w:color="auto" w:fill="auto"/>
            <w:vAlign w:val="center"/>
            <w:hideMark/>
          </w:tcPr>
          <w:p w:rsidR="0008667A" w:rsidRPr="00785DEE" w:rsidRDefault="0008667A" w:rsidP="005737DF">
            <w:pPr>
              <w:ind w:left="0" w:firstLine="0"/>
              <w:jc w:val="center"/>
              <w:rPr>
                <w:rFonts w:eastAsia="Times New Roman" w:cs="Times New Roman"/>
                <w:b/>
                <w:bCs/>
                <w:color w:val="000000"/>
                <w:sz w:val="22"/>
              </w:rPr>
            </w:pPr>
            <w:r>
              <w:rPr>
                <w:rFonts w:eastAsia="Times New Roman" w:cs="Times New Roman"/>
                <w:b/>
                <w:bCs/>
                <w:color w:val="000000"/>
                <w:sz w:val="22"/>
              </w:rPr>
              <w:t>Lib-Con Amicus Brief Diff</w:t>
            </w:r>
          </w:p>
        </w:tc>
        <w:tc>
          <w:tcPr>
            <w:tcW w:w="0" w:type="auto"/>
            <w:gridSpan w:val="5"/>
            <w:tcBorders>
              <w:top w:val="single" w:sz="18" w:space="0" w:color="auto"/>
              <w:left w:val="single" w:sz="4" w:space="0" w:color="auto"/>
              <w:bottom w:val="single" w:sz="18" w:space="0" w:color="auto"/>
              <w:right w:val="nil"/>
            </w:tcBorders>
            <w:shd w:val="clear" w:color="auto" w:fill="auto"/>
            <w:noWrap/>
            <w:vAlign w:val="center"/>
            <w:hideMark/>
          </w:tcPr>
          <w:p w:rsidR="0008667A" w:rsidRPr="00785DEE" w:rsidRDefault="0008667A" w:rsidP="005737DF">
            <w:pPr>
              <w:ind w:left="0" w:firstLine="0"/>
              <w:jc w:val="center"/>
              <w:rPr>
                <w:rFonts w:eastAsia="Times New Roman" w:cs="Times New Roman"/>
                <w:b/>
                <w:bCs/>
                <w:color w:val="000000"/>
                <w:sz w:val="22"/>
              </w:rPr>
            </w:pPr>
            <w:r w:rsidRPr="00785DEE">
              <w:rPr>
                <w:rFonts w:eastAsia="Times New Roman" w:cs="Times New Roman"/>
                <w:b/>
                <w:bCs/>
                <w:color w:val="000000"/>
                <w:sz w:val="22"/>
              </w:rPr>
              <w:t>Percent Probability of L</w:t>
            </w:r>
            <w:r>
              <w:rPr>
                <w:rFonts w:eastAsia="Times New Roman" w:cs="Times New Roman"/>
                <w:b/>
                <w:bCs/>
                <w:color w:val="000000"/>
                <w:sz w:val="22"/>
              </w:rPr>
              <w:t>iberal Vote:  Primary All-Inclusive Model (Model 1)</w:t>
            </w:r>
          </w:p>
        </w:tc>
      </w:tr>
      <w:tr w:rsidR="0008667A" w:rsidRPr="00785DEE" w:rsidTr="005737DF">
        <w:trPr>
          <w:cantSplit/>
          <w:trHeight w:val="576"/>
        </w:trPr>
        <w:tc>
          <w:tcPr>
            <w:tcW w:w="0" w:type="auto"/>
            <w:tcBorders>
              <w:top w:val="single" w:sz="18" w:space="0" w:color="auto"/>
              <w:left w:val="nil"/>
              <w:bottom w:val="single" w:sz="18" w:space="0" w:color="auto"/>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p>
        </w:tc>
        <w:tc>
          <w:tcPr>
            <w:tcW w:w="0" w:type="auto"/>
            <w:tcBorders>
              <w:top w:val="single" w:sz="18" w:space="0" w:color="auto"/>
              <w:left w:val="single" w:sz="4" w:space="0" w:color="auto"/>
              <w:bottom w:val="single" w:sz="18" w:space="0" w:color="auto"/>
              <w:right w:val="single" w:sz="4" w:space="0" w:color="auto"/>
            </w:tcBorders>
            <w:shd w:val="clear" w:color="auto" w:fill="auto"/>
            <w:vAlign w:val="center"/>
            <w:hideMark/>
          </w:tcPr>
          <w:p w:rsidR="0008667A" w:rsidRPr="00785DEE" w:rsidRDefault="0008667A" w:rsidP="005737DF">
            <w:pPr>
              <w:ind w:left="0" w:firstLine="0"/>
              <w:jc w:val="center"/>
              <w:rPr>
                <w:rFonts w:eastAsia="Times New Roman" w:cs="Times New Roman"/>
                <w:color w:val="000000"/>
                <w:sz w:val="22"/>
              </w:rPr>
            </w:pPr>
            <w:r>
              <w:rPr>
                <w:rFonts w:eastAsia="Times New Roman" w:cs="Times New Roman"/>
                <w:b/>
                <w:bCs/>
                <w:color w:val="000000"/>
                <w:sz w:val="22"/>
              </w:rPr>
              <w:t xml:space="preserve">Least Moderate Justice </w:t>
            </w:r>
            <w:proofErr w:type="spellStart"/>
            <w:r>
              <w:rPr>
                <w:rFonts w:eastAsia="Times New Roman" w:cs="Times New Roman"/>
                <w:b/>
                <w:bCs/>
                <w:i/>
                <w:color w:val="000000"/>
                <w:sz w:val="22"/>
              </w:rPr>
              <w:t>MQModeration</w:t>
            </w:r>
            <w:proofErr w:type="spellEnd"/>
            <w:r w:rsidRPr="00AE543F">
              <w:rPr>
                <w:rFonts w:eastAsia="Times New Roman" w:cs="Times New Roman"/>
                <w:b/>
                <w:bCs/>
                <w:i/>
                <w:color w:val="000000"/>
                <w:sz w:val="22"/>
              </w:rPr>
              <w:t>=0</w:t>
            </w:r>
            <w:r>
              <w:rPr>
                <w:rFonts w:eastAsia="Times New Roman" w:cs="Times New Roman"/>
                <w:color w:val="000000"/>
                <w:sz w:val="22"/>
              </w:rPr>
              <w:t xml:space="preserve">         Thomas</w:t>
            </w:r>
            <w:r w:rsidRPr="00785DEE">
              <w:rPr>
                <w:rFonts w:eastAsia="Times New Roman" w:cs="Times New Roman"/>
                <w:color w:val="000000"/>
                <w:sz w:val="22"/>
              </w:rPr>
              <w:t>(.65)</w:t>
            </w:r>
          </w:p>
        </w:tc>
        <w:tc>
          <w:tcPr>
            <w:tcW w:w="0" w:type="auto"/>
            <w:tcBorders>
              <w:top w:val="single" w:sz="18" w:space="0" w:color="auto"/>
              <w:left w:val="single" w:sz="4" w:space="0" w:color="auto"/>
              <w:bottom w:val="single" w:sz="18" w:space="0" w:color="auto"/>
              <w:right w:val="single" w:sz="4" w:space="0" w:color="auto"/>
            </w:tcBorders>
            <w:shd w:val="clear" w:color="auto" w:fill="auto"/>
            <w:vAlign w:val="center"/>
            <w:hideMark/>
          </w:tcPr>
          <w:p w:rsidR="0008667A" w:rsidRPr="00785DEE" w:rsidRDefault="0008667A" w:rsidP="005737DF">
            <w:pPr>
              <w:ind w:left="0" w:firstLine="0"/>
              <w:jc w:val="center"/>
              <w:rPr>
                <w:rFonts w:eastAsia="Times New Roman" w:cs="Times New Roman"/>
                <w:color w:val="000000"/>
                <w:sz w:val="22"/>
              </w:rPr>
            </w:pPr>
            <w:r>
              <w:rPr>
                <w:rFonts w:eastAsia="Times New Roman" w:cs="Times New Roman"/>
                <w:b/>
                <w:bCs/>
                <w:color w:val="000000"/>
                <w:sz w:val="22"/>
              </w:rPr>
              <w:t xml:space="preserve">Less Moderate Justice </w:t>
            </w:r>
            <w:proofErr w:type="spellStart"/>
            <w:r w:rsidRPr="00AE543F">
              <w:rPr>
                <w:rFonts w:eastAsia="Times New Roman" w:cs="Times New Roman"/>
                <w:b/>
                <w:bCs/>
                <w:i/>
                <w:color w:val="000000"/>
                <w:sz w:val="22"/>
              </w:rPr>
              <w:t>MQModeration</w:t>
            </w:r>
            <w:proofErr w:type="spellEnd"/>
            <w:r w:rsidRPr="00AE543F">
              <w:rPr>
                <w:rFonts w:eastAsia="Times New Roman" w:cs="Times New Roman"/>
                <w:b/>
                <w:bCs/>
                <w:i/>
                <w:color w:val="000000"/>
                <w:sz w:val="22"/>
              </w:rPr>
              <w:t>=25th Percentile=2.0</w:t>
            </w:r>
            <w:r>
              <w:rPr>
                <w:rFonts w:eastAsia="Times New Roman" w:cs="Times New Roman"/>
                <w:color w:val="000000"/>
                <w:sz w:val="22"/>
              </w:rPr>
              <w:t xml:space="preserve">  Stevens</w:t>
            </w:r>
            <w:r w:rsidRPr="00785DEE">
              <w:rPr>
                <w:rFonts w:eastAsia="Times New Roman" w:cs="Times New Roman"/>
                <w:color w:val="000000"/>
                <w:sz w:val="22"/>
              </w:rPr>
              <w:t>(1.99)   Souter(2.15)    Scalia(1.69)</w:t>
            </w:r>
          </w:p>
        </w:tc>
        <w:tc>
          <w:tcPr>
            <w:tcW w:w="0" w:type="auto"/>
            <w:tcBorders>
              <w:top w:val="single" w:sz="18" w:space="0" w:color="auto"/>
              <w:left w:val="single" w:sz="4" w:space="0" w:color="auto"/>
              <w:bottom w:val="single" w:sz="18" w:space="0" w:color="auto"/>
              <w:right w:val="single" w:sz="4" w:space="0" w:color="auto"/>
            </w:tcBorders>
            <w:shd w:val="clear" w:color="auto" w:fill="auto"/>
            <w:vAlign w:val="center"/>
            <w:hideMark/>
          </w:tcPr>
          <w:p w:rsidR="0008667A" w:rsidRPr="00785DEE" w:rsidRDefault="0008667A" w:rsidP="005737DF">
            <w:pPr>
              <w:ind w:left="0" w:firstLine="0"/>
              <w:jc w:val="center"/>
              <w:rPr>
                <w:rFonts w:eastAsia="Times New Roman" w:cs="Times New Roman"/>
                <w:color w:val="000000"/>
                <w:sz w:val="22"/>
              </w:rPr>
            </w:pPr>
            <w:r>
              <w:rPr>
                <w:rFonts w:eastAsia="Times New Roman" w:cs="Times New Roman"/>
                <w:b/>
                <w:bCs/>
                <w:color w:val="000000"/>
                <w:sz w:val="22"/>
              </w:rPr>
              <w:t xml:space="preserve">Mean Moderate Justice </w:t>
            </w:r>
            <w:proofErr w:type="spellStart"/>
            <w:r w:rsidRPr="00AE543F">
              <w:rPr>
                <w:rFonts w:eastAsia="Times New Roman" w:cs="Times New Roman"/>
                <w:b/>
                <w:bCs/>
                <w:i/>
                <w:color w:val="000000"/>
                <w:sz w:val="22"/>
              </w:rPr>
              <w:t>MQModeration</w:t>
            </w:r>
            <w:proofErr w:type="spellEnd"/>
            <w:r w:rsidRPr="00AE543F">
              <w:rPr>
                <w:rFonts w:eastAsia="Times New Roman" w:cs="Times New Roman"/>
                <w:b/>
                <w:bCs/>
                <w:i/>
                <w:color w:val="000000"/>
                <w:sz w:val="22"/>
              </w:rPr>
              <w:t>=2.43</w:t>
            </w:r>
            <w:r>
              <w:rPr>
                <w:rFonts w:eastAsia="Times New Roman" w:cs="Times New Roman"/>
                <w:color w:val="000000"/>
                <w:sz w:val="22"/>
              </w:rPr>
              <w:t xml:space="preserve">              Ginsburg(2.51)            Alito</w:t>
            </w:r>
            <w:r w:rsidRPr="00785DEE">
              <w:rPr>
                <w:rFonts w:eastAsia="Times New Roman" w:cs="Times New Roman"/>
                <w:color w:val="000000"/>
                <w:sz w:val="22"/>
              </w:rPr>
              <w:t>(2.61)</w:t>
            </w:r>
          </w:p>
        </w:tc>
        <w:tc>
          <w:tcPr>
            <w:tcW w:w="0" w:type="auto"/>
            <w:tcBorders>
              <w:top w:val="single" w:sz="18" w:space="0" w:color="auto"/>
              <w:left w:val="single" w:sz="4" w:space="0" w:color="auto"/>
              <w:bottom w:val="single" w:sz="18" w:space="0" w:color="auto"/>
              <w:right w:val="single" w:sz="4" w:space="0" w:color="auto"/>
            </w:tcBorders>
            <w:shd w:val="clear" w:color="auto" w:fill="auto"/>
            <w:vAlign w:val="center"/>
            <w:hideMark/>
          </w:tcPr>
          <w:p w:rsidR="0008667A" w:rsidRDefault="0008667A" w:rsidP="005737DF">
            <w:pPr>
              <w:ind w:left="0" w:firstLine="0"/>
              <w:jc w:val="center"/>
              <w:rPr>
                <w:rFonts w:eastAsia="Times New Roman" w:cs="Times New Roman"/>
                <w:color w:val="000000"/>
                <w:sz w:val="22"/>
              </w:rPr>
            </w:pPr>
            <w:r>
              <w:rPr>
                <w:rFonts w:eastAsia="Times New Roman" w:cs="Times New Roman"/>
                <w:b/>
                <w:bCs/>
                <w:color w:val="000000"/>
                <w:sz w:val="22"/>
              </w:rPr>
              <w:t xml:space="preserve">More Moderate Justice </w:t>
            </w:r>
            <w:proofErr w:type="spellStart"/>
            <w:r w:rsidRPr="00AE543F">
              <w:rPr>
                <w:rFonts w:eastAsia="Times New Roman" w:cs="Times New Roman"/>
                <w:b/>
                <w:bCs/>
                <w:i/>
                <w:color w:val="000000"/>
                <w:sz w:val="22"/>
              </w:rPr>
              <w:t>MQModeration</w:t>
            </w:r>
            <w:proofErr w:type="spellEnd"/>
            <w:r w:rsidRPr="00AE543F">
              <w:rPr>
                <w:rFonts w:eastAsia="Times New Roman" w:cs="Times New Roman"/>
                <w:b/>
                <w:bCs/>
                <w:i/>
                <w:color w:val="000000"/>
                <w:sz w:val="22"/>
              </w:rPr>
              <w:t>=75th Percentile=2.84</w:t>
            </w:r>
            <w:r>
              <w:rPr>
                <w:rFonts w:eastAsia="Times New Roman" w:cs="Times New Roman"/>
                <w:color w:val="000000"/>
                <w:sz w:val="22"/>
              </w:rPr>
              <w:t xml:space="preserve">       Kagan(2.86)  Sotomayor</w:t>
            </w:r>
            <w:r w:rsidRPr="00785DEE">
              <w:rPr>
                <w:rFonts w:eastAsia="Times New Roman" w:cs="Times New Roman"/>
                <w:color w:val="000000"/>
                <w:sz w:val="22"/>
              </w:rPr>
              <w:t xml:space="preserve">(2.80)   </w:t>
            </w:r>
          </w:p>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Roberts (2.89)          Breyer (2.66)</w:t>
            </w:r>
          </w:p>
        </w:tc>
        <w:tc>
          <w:tcPr>
            <w:tcW w:w="0" w:type="auto"/>
            <w:tcBorders>
              <w:top w:val="single" w:sz="18" w:space="0" w:color="auto"/>
              <w:left w:val="single" w:sz="4" w:space="0" w:color="auto"/>
              <w:bottom w:val="single" w:sz="18" w:space="0" w:color="auto"/>
              <w:right w:val="nil"/>
            </w:tcBorders>
            <w:shd w:val="clear" w:color="auto" w:fill="auto"/>
            <w:vAlign w:val="center"/>
            <w:hideMark/>
          </w:tcPr>
          <w:p w:rsidR="0008667A" w:rsidRDefault="0008667A" w:rsidP="005737DF">
            <w:pPr>
              <w:ind w:left="0" w:firstLine="0"/>
              <w:jc w:val="center"/>
              <w:rPr>
                <w:rFonts w:eastAsia="Times New Roman" w:cs="Times New Roman"/>
                <w:color w:val="000000"/>
                <w:sz w:val="22"/>
              </w:rPr>
            </w:pPr>
            <w:r w:rsidRPr="00785DEE">
              <w:rPr>
                <w:rFonts w:eastAsia="Times New Roman" w:cs="Times New Roman"/>
                <w:b/>
                <w:bCs/>
                <w:color w:val="000000"/>
                <w:sz w:val="22"/>
              </w:rPr>
              <w:t>Most Mode</w:t>
            </w:r>
            <w:r>
              <w:rPr>
                <w:rFonts w:eastAsia="Times New Roman" w:cs="Times New Roman"/>
                <w:b/>
                <w:bCs/>
                <w:color w:val="000000"/>
                <w:sz w:val="22"/>
              </w:rPr>
              <w:t xml:space="preserve">rate Justice </w:t>
            </w:r>
            <w:proofErr w:type="spellStart"/>
            <w:r w:rsidRPr="00AE543F">
              <w:rPr>
                <w:rFonts w:eastAsia="Times New Roman" w:cs="Times New Roman"/>
                <w:b/>
                <w:bCs/>
                <w:i/>
                <w:color w:val="000000"/>
                <w:sz w:val="22"/>
              </w:rPr>
              <w:t>MQModeration</w:t>
            </w:r>
            <w:proofErr w:type="spellEnd"/>
            <w:r w:rsidRPr="00AE543F">
              <w:rPr>
                <w:rFonts w:eastAsia="Times New Roman" w:cs="Times New Roman"/>
                <w:b/>
                <w:bCs/>
                <w:i/>
                <w:color w:val="000000"/>
                <w:sz w:val="22"/>
              </w:rPr>
              <w:t>=4.02</w:t>
            </w:r>
            <w:r w:rsidRPr="00785DEE">
              <w:rPr>
                <w:rFonts w:eastAsia="Times New Roman" w:cs="Times New Roman"/>
                <w:color w:val="000000"/>
                <w:sz w:val="22"/>
              </w:rPr>
              <w:t xml:space="preserve"> </w:t>
            </w:r>
          </w:p>
          <w:p w:rsidR="0008667A" w:rsidRPr="00785DEE" w:rsidRDefault="0008667A" w:rsidP="005737DF">
            <w:pPr>
              <w:ind w:left="0" w:firstLine="0"/>
              <w:jc w:val="center"/>
              <w:rPr>
                <w:rFonts w:eastAsia="Times New Roman" w:cs="Times New Roman"/>
                <w:color w:val="000000"/>
                <w:sz w:val="22"/>
              </w:rPr>
            </w:pPr>
            <w:r>
              <w:rPr>
                <w:rFonts w:eastAsia="Times New Roman" w:cs="Times New Roman"/>
                <w:color w:val="000000"/>
                <w:sz w:val="22"/>
              </w:rPr>
              <w:t xml:space="preserve"> Kennedy</w:t>
            </w:r>
            <w:r w:rsidRPr="00785DEE">
              <w:rPr>
                <w:rFonts w:eastAsia="Times New Roman" w:cs="Times New Roman"/>
                <w:color w:val="000000"/>
                <w:sz w:val="22"/>
              </w:rPr>
              <w:t>(4.02)</w:t>
            </w:r>
          </w:p>
        </w:tc>
      </w:tr>
      <w:tr w:rsidR="0008667A" w:rsidRPr="00785DEE" w:rsidTr="005737DF">
        <w:trPr>
          <w:cantSplit/>
          <w:trHeight w:val="576"/>
        </w:trPr>
        <w:tc>
          <w:tcPr>
            <w:tcW w:w="0" w:type="auto"/>
            <w:tcBorders>
              <w:top w:val="single" w:sz="18" w:space="0" w:color="auto"/>
              <w:left w:val="nil"/>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-15</w:t>
            </w:r>
          </w:p>
        </w:tc>
        <w:tc>
          <w:tcPr>
            <w:tcW w:w="0" w:type="auto"/>
            <w:tcBorders>
              <w:top w:val="single" w:sz="18" w:space="0" w:color="auto"/>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36.49</w:t>
            </w:r>
          </w:p>
        </w:tc>
        <w:tc>
          <w:tcPr>
            <w:tcW w:w="0" w:type="auto"/>
            <w:tcBorders>
              <w:top w:val="single" w:sz="18" w:space="0" w:color="auto"/>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25.02 *</w:t>
            </w:r>
          </w:p>
        </w:tc>
        <w:tc>
          <w:tcPr>
            <w:tcW w:w="0" w:type="auto"/>
            <w:tcBorders>
              <w:top w:val="single" w:sz="18" w:space="0" w:color="auto"/>
              <w:left w:val="single" w:sz="4" w:space="0" w:color="auto"/>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sz w:val="22"/>
              </w:rPr>
            </w:pPr>
            <w:r w:rsidRPr="00785DEE">
              <w:rPr>
                <w:rFonts w:eastAsia="Times New Roman" w:cs="Times New Roman"/>
                <w:sz w:val="22"/>
              </w:rPr>
              <w:t>22.87 *</w:t>
            </w:r>
          </w:p>
        </w:tc>
        <w:tc>
          <w:tcPr>
            <w:tcW w:w="0" w:type="auto"/>
            <w:tcBorders>
              <w:top w:val="single" w:sz="18" w:space="0" w:color="auto"/>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20.98 *</w:t>
            </w:r>
          </w:p>
        </w:tc>
        <w:tc>
          <w:tcPr>
            <w:tcW w:w="0" w:type="auto"/>
            <w:tcBorders>
              <w:top w:val="single" w:sz="18" w:space="0" w:color="auto"/>
              <w:left w:val="single" w:sz="4" w:space="0" w:color="auto"/>
              <w:bottom w:val="nil"/>
              <w:right w:val="nil"/>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16.15 *</w:t>
            </w:r>
          </w:p>
        </w:tc>
      </w:tr>
      <w:tr w:rsidR="0008667A" w:rsidRPr="00785DEE" w:rsidTr="005737DF">
        <w:trPr>
          <w:cantSplit/>
          <w:trHeight w:val="576"/>
        </w:trPr>
        <w:tc>
          <w:tcPr>
            <w:tcW w:w="0" w:type="auto"/>
            <w:tcBorders>
              <w:top w:val="nil"/>
              <w:left w:val="nil"/>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-10</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38.22</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29.39 *</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27.64 *</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26.06 *</w:t>
            </w:r>
          </w:p>
        </w:tc>
        <w:tc>
          <w:tcPr>
            <w:tcW w:w="0" w:type="auto"/>
            <w:tcBorders>
              <w:top w:val="nil"/>
              <w:left w:val="single" w:sz="4" w:space="0" w:color="auto"/>
              <w:bottom w:val="nil"/>
              <w:right w:val="nil"/>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21.82 *</w:t>
            </w:r>
          </w:p>
        </w:tc>
      </w:tr>
      <w:tr w:rsidR="0008667A" w:rsidRPr="00785DEE" w:rsidTr="005737DF">
        <w:trPr>
          <w:cantSplit/>
          <w:trHeight w:val="576"/>
        </w:trPr>
        <w:tc>
          <w:tcPr>
            <w:tcW w:w="0" w:type="auto"/>
            <w:tcBorders>
              <w:top w:val="nil"/>
              <w:left w:val="nil"/>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-5</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39.98</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34.19 *</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32.99 *</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31.88 *</w:t>
            </w:r>
          </w:p>
        </w:tc>
        <w:tc>
          <w:tcPr>
            <w:tcW w:w="0" w:type="auto"/>
            <w:tcBorders>
              <w:top w:val="nil"/>
              <w:left w:val="single" w:sz="4" w:space="0" w:color="auto"/>
              <w:bottom w:val="nil"/>
              <w:right w:val="nil"/>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28.78 *</w:t>
            </w:r>
          </w:p>
        </w:tc>
      </w:tr>
      <w:tr w:rsidR="0008667A" w:rsidRPr="00785DEE" w:rsidTr="005737DF">
        <w:trPr>
          <w:cantSplit/>
          <w:trHeight w:val="576"/>
        </w:trPr>
        <w:tc>
          <w:tcPr>
            <w:tcW w:w="0" w:type="auto"/>
            <w:tcBorders>
              <w:top w:val="nil"/>
              <w:left w:val="nil"/>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40.69</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36.21 *</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35.27 *</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34.39 *</w:t>
            </w:r>
          </w:p>
        </w:tc>
        <w:tc>
          <w:tcPr>
            <w:tcW w:w="0" w:type="auto"/>
            <w:tcBorders>
              <w:top w:val="nil"/>
              <w:left w:val="single" w:sz="4" w:space="0" w:color="auto"/>
              <w:bottom w:val="nil"/>
              <w:right w:val="nil"/>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31.92 *</w:t>
            </w:r>
          </w:p>
        </w:tc>
      </w:tr>
      <w:tr w:rsidR="0008667A" w:rsidRPr="00785DEE" w:rsidTr="005737DF">
        <w:trPr>
          <w:cantSplit/>
          <w:trHeight w:val="576"/>
        </w:trPr>
        <w:tc>
          <w:tcPr>
            <w:tcW w:w="0" w:type="auto"/>
            <w:tcBorders>
              <w:top w:val="nil"/>
              <w:left w:val="nil"/>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-1</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41.11</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38.28</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37.61 *</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36.99 *</w:t>
            </w:r>
          </w:p>
        </w:tc>
        <w:tc>
          <w:tcPr>
            <w:tcW w:w="0" w:type="auto"/>
            <w:tcBorders>
              <w:top w:val="nil"/>
              <w:left w:val="single" w:sz="4" w:space="0" w:color="auto"/>
              <w:bottom w:val="nil"/>
              <w:right w:val="nil"/>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35.22 *</w:t>
            </w:r>
          </w:p>
        </w:tc>
      </w:tr>
      <w:tr w:rsidR="0008667A" w:rsidRPr="00785DEE" w:rsidTr="005737DF">
        <w:trPr>
          <w:cantSplit/>
          <w:trHeight w:val="576"/>
        </w:trPr>
        <w:tc>
          <w:tcPr>
            <w:tcW w:w="0" w:type="auto"/>
            <w:tcBorders>
              <w:top w:val="nil"/>
              <w:left w:val="nil"/>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0</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41.77</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39.33</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38.81 *</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38.32 *</w:t>
            </w:r>
          </w:p>
        </w:tc>
        <w:tc>
          <w:tcPr>
            <w:tcW w:w="0" w:type="auto"/>
            <w:tcBorders>
              <w:top w:val="nil"/>
              <w:left w:val="single" w:sz="4" w:space="0" w:color="auto"/>
              <w:bottom w:val="nil"/>
              <w:right w:val="nil"/>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36.93</w:t>
            </w:r>
          </w:p>
        </w:tc>
      </w:tr>
      <w:tr w:rsidR="0008667A" w:rsidRPr="00785DEE" w:rsidTr="005737DF">
        <w:trPr>
          <w:cantSplit/>
          <w:trHeight w:val="576"/>
        </w:trPr>
        <w:tc>
          <w:tcPr>
            <w:tcW w:w="0" w:type="auto"/>
            <w:tcBorders>
              <w:top w:val="nil"/>
              <w:left w:val="nil"/>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0.57 (Mean)</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41.97</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39.94</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39.50 *</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39.09</w:t>
            </w:r>
          </w:p>
        </w:tc>
        <w:tc>
          <w:tcPr>
            <w:tcW w:w="0" w:type="auto"/>
            <w:tcBorders>
              <w:top w:val="nil"/>
              <w:left w:val="single" w:sz="4" w:space="0" w:color="auto"/>
              <w:bottom w:val="nil"/>
              <w:right w:val="nil"/>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37.92</w:t>
            </w:r>
          </w:p>
        </w:tc>
      </w:tr>
      <w:tr w:rsidR="0008667A" w:rsidRPr="00785DEE" w:rsidTr="005737DF">
        <w:trPr>
          <w:cantSplit/>
          <w:trHeight w:val="576"/>
        </w:trPr>
        <w:tc>
          <w:tcPr>
            <w:tcW w:w="0" w:type="auto"/>
            <w:tcBorders>
              <w:top w:val="nil"/>
              <w:left w:val="nil"/>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1</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42.13</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40.39</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40.02 *</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39.67</w:t>
            </w:r>
          </w:p>
        </w:tc>
        <w:tc>
          <w:tcPr>
            <w:tcW w:w="0" w:type="auto"/>
            <w:tcBorders>
              <w:top w:val="nil"/>
              <w:left w:val="single" w:sz="4" w:space="0" w:color="auto"/>
              <w:bottom w:val="nil"/>
              <w:right w:val="nil"/>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38.67</w:t>
            </w:r>
          </w:p>
        </w:tc>
      </w:tr>
      <w:tr w:rsidR="0008667A" w:rsidRPr="00785DEE" w:rsidTr="005737DF">
        <w:trPr>
          <w:cantSplit/>
          <w:trHeight w:val="576"/>
        </w:trPr>
        <w:tc>
          <w:tcPr>
            <w:tcW w:w="0" w:type="auto"/>
            <w:tcBorders>
              <w:top w:val="nil"/>
              <w:left w:val="nil"/>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3</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42.85</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42.54 *</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42.48 *</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42.42 *</w:t>
            </w:r>
          </w:p>
        </w:tc>
        <w:tc>
          <w:tcPr>
            <w:tcW w:w="0" w:type="auto"/>
            <w:tcBorders>
              <w:top w:val="nil"/>
              <w:left w:val="single" w:sz="4" w:space="0" w:color="auto"/>
              <w:bottom w:val="nil"/>
              <w:right w:val="nil"/>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42.24</w:t>
            </w:r>
          </w:p>
        </w:tc>
      </w:tr>
      <w:tr w:rsidR="0008667A" w:rsidRPr="00785DEE" w:rsidTr="005737DF">
        <w:trPr>
          <w:cantSplit/>
          <w:trHeight w:val="576"/>
        </w:trPr>
        <w:tc>
          <w:tcPr>
            <w:tcW w:w="0" w:type="auto"/>
            <w:tcBorders>
              <w:top w:val="nil"/>
              <w:left w:val="nil"/>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5</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43.57</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44.72 *</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44.97 *</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45.21 *</w:t>
            </w:r>
          </w:p>
        </w:tc>
        <w:tc>
          <w:tcPr>
            <w:tcW w:w="0" w:type="auto"/>
            <w:tcBorders>
              <w:top w:val="nil"/>
              <w:left w:val="single" w:sz="4" w:space="0" w:color="auto"/>
              <w:bottom w:val="nil"/>
              <w:right w:val="nil"/>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45.89 *</w:t>
            </w:r>
          </w:p>
        </w:tc>
      </w:tr>
      <w:tr w:rsidR="0008667A" w:rsidRPr="00785DEE" w:rsidTr="005737DF">
        <w:trPr>
          <w:cantSplit/>
          <w:trHeight w:val="576"/>
        </w:trPr>
        <w:tc>
          <w:tcPr>
            <w:tcW w:w="0" w:type="auto"/>
            <w:tcBorders>
              <w:top w:val="nil"/>
              <w:left w:val="nil"/>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10</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45.40</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50.24 *</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51.29 *</w:t>
            </w:r>
          </w:p>
        </w:tc>
        <w:tc>
          <w:tcPr>
            <w:tcW w:w="0" w:type="auto"/>
            <w:tcBorders>
              <w:top w:val="nil"/>
              <w:left w:val="single" w:sz="4" w:space="0" w:color="auto"/>
              <w:bottom w:val="nil"/>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52.27 *</w:t>
            </w:r>
          </w:p>
        </w:tc>
        <w:tc>
          <w:tcPr>
            <w:tcW w:w="0" w:type="auto"/>
            <w:tcBorders>
              <w:top w:val="nil"/>
              <w:left w:val="single" w:sz="4" w:space="0" w:color="auto"/>
              <w:bottom w:val="nil"/>
              <w:right w:val="nil"/>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55.12 *</w:t>
            </w:r>
          </w:p>
        </w:tc>
      </w:tr>
      <w:tr w:rsidR="0008667A" w:rsidRPr="00785DEE" w:rsidTr="005737DF">
        <w:trPr>
          <w:cantSplit/>
          <w:trHeight w:val="576"/>
        </w:trPr>
        <w:tc>
          <w:tcPr>
            <w:tcW w:w="0" w:type="auto"/>
            <w:tcBorders>
              <w:top w:val="nil"/>
              <w:left w:val="nil"/>
              <w:bottom w:val="single" w:sz="18" w:space="0" w:color="auto"/>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15</w:t>
            </w:r>
          </w:p>
        </w:tc>
        <w:tc>
          <w:tcPr>
            <w:tcW w:w="0" w:type="auto"/>
            <w:tcBorders>
              <w:top w:val="nil"/>
              <w:left w:val="single" w:sz="4" w:space="0" w:color="auto"/>
              <w:bottom w:val="single" w:sz="18" w:space="0" w:color="auto"/>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47.24</w:t>
            </w:r>
          </w:p>
        </w:tc>
        <w:tc>
          <w:tcPr>
            <w:tcW w:w="0" w:type="auto"/>
            <w:tcBorders>
              <w:top w:val="nil"/>
              <w:left w:val="single" w:sz="4" w:space="0" w:color="auto"/>
              <w:bottom w:val="single" w:sz="18" w:space="0" w:color="auto"/>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55.75 *</w:t>
            </w:r>
          </w:p>
        </w:tc>
        <w:tc>
          <w:tcPr>
            <w:tcW w:w="0" w:type="auto"/>
            <w:tcBorders>
              <w:top w:val="nil"/>
              <w:left w:val="single" w:sz="4" w:space="0" w:color="auto"/>
              <w:bottom w:val="single" w:sz="18" w:space="0" w:color="auto"/>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57.57 *</w:t>
            </w:r>
          </w:p>
        </w:tc>
        <w:tc>
          <w:tcPr>
            <w:tcW w:w="0" w:type="auto"/>
            <w:tcBorders>
              <w:top w:val="nil"/>
              <w:left w:val="single" w:sz="4" w:space="0" w:color="auto"/>
              <w:bottom w:val="single" w:sz="18" w:space="0" w:color="auto"/>
              <w:right w:val="single" w:sz="4" w:space="0" w:color="auto"/>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59.25*</w:t>
            </w:r>
          </w:p>
        </w:tc>
        <w:tc>
          <w:tcPr>
            <w:tcW w:w="0" w:type="auto"/>
            <w:tcBorders>
              <w:top w:val="nil"/>
              <w:left w:val="single" w:sz="4" w:space="0" w:color="auto"/>
              <w:bottom w:val="single" w:sz="18" w:space="0" w:color="auto"/>
              <w:right w:val="nil"/>
            </w:tcBorders>
            <w:shd w:val="clear" w:color="auto" w:fill="auto"/>
            <w:noWrap/>
            <w:vAlign w:val="center"/>
            <w:hideMark/>
          </w:tcPr>
          <w:p w:rsidR="0008667A" w:rsidRPr="00785DEE" w:rsidRDefault="0008667A" w:rsidP="005737DF">
            <w:pPr>
              <w:ind w:left="0" w:firstLine="0"/>
              <w:jc w:val="center"/>
              <w:rPr>
                <w:rFonts w:eastAsia="Times New Roman" w:cs="Times New Roman"/>
                <w:color w:val="000000"/>
                <w:sz w:val="22"/>
              </w:rPr>
            </w:pPr>
            <w:r w:rsidRPr="00785DEE">
              <w:rPr>
                <w:rFonts w:eastAsia="Times New Roman" w:cs="Times New Roman"/>
                <w:color w:val="000000"/>
                <w:sz w:val="22"/>
              </w:rPr>
              <w:t>64.01 *</w:t>
            </w:r>
          </w:p>
        </w:tc>
      </w:tr>
    </w:tbl>
    <w:p w:rsidR="0008667A" w:rsidRDefault="0070635D" w:rsidP="0008667A">
      <w:pPr>
        <w:autoSpaceDE w:val="0"/>
        <w:autoSpaceDN w:val="0"/>
        <w:adjustRightInd w:val="0"/>
        <w:spacing w:line="480" w:lineRule="auto"/>
        <w:ind w:left="0" w:firstLine="720"/>
        <w:rPr>
          <w:rFonts w:cs="Times New Roman"/>
          <w:szCs w:val="24"/>
        </w:rPr>
      </w:pPr>
      <w:r>
        <w:rPr>
          <w:rFonts w:cs="Times New Roman"/>
          <w:szCs w:val="24"/>
        </w:rPr>
        <w:t>*Prediction is significant at p &lt; .05.</w:t>
      </w:r>
    </w:p>
    <w:p w:rsidR="006E5EBF" w:rsidRDefault="006E5EBF" w:rsidP="006E5EBF">
      <w:pPr>
        <w:ind w:left="0" w:firstLine="0"/>
        <w:rPr>
          <w:b/>
        </w:rPr>
      </w:pPr>
    </w:p>
    <w:p w:rsidR="0070635D" w:rsidRDefault="0070635D" w:rsidP="006E5EBF">
      <w:pPr>
        <w:ind w:left="0" w:firstLine="0"/>
        <w:rPr>
          <w:b/>
        </w:rPr>
      </w:pPr>
    </w:p>
    <w:p w:rsidR="006E5EBF" w:rsidRDefault="006E5EBF" w:rsidP="006E5EBF">
      <w:pPr>
        <w:ind w:left="0" w:firstLine="0"/>
        <w:rPr>
          <w:b/>
        </w:rPr>
      </w:pPr>
    </w:p>
    <w:p w:rsidR="00361C22" w:rsidRDefault="00361C22" w:rsidP="00361C22">
      <w:pPr>
        <w:autoSpaceDE w:val="0"/>
        <w:autoSpaceDN w:val="0"/>
        <w:adjustRightInd w:val="0"/>
        <w:spacing w:line="480" w:lineRule="auto"/>
        <w:ind w:left="0" w:firstLine="0"/>
        <w:rPr>
          <w:b/>
        </w:rPr>
      </w:pPr>
      <w:r>
        <w:rPr>
          <w:b/>
        </w:rPr>
        <w:lastRenderedPageBreak/>
        <w:t>Table A.5.</w:t>
      </w:r>
      <w:r w:rsidRPr="005B5068">
        <w:rPr>
          <w:b/>
        </w:rPr>
        <w:t xml:space="preserve">  Predicted Probabilities of </w:t>
      </w:r>
      <w:r>
        <w:rPr>
          <w:b/>
        </w:rPr>
        <w:t xml:space="preserve">Observing a Liberal Justice Vote </w:t>
      </w:r>
      <w:proofErr w:type="gramStart"/>
      <w:r w:rsidRPr="005B5068">
        <w:rPr>
          <w:b/>
        </w:rPr>
        <w:t>Across</w:t>
      </w:r>
      <w:proofErr w:type="gramEnd"/>
      <w:r w:rsidRPr="005B5068">
        <w:rPr>
          <w:b/>
        </w:rPr>
        <w:t xml:space="preserve"> Range of Judicial Moderation</w:t>
      </w:r>
      <w:r>
        <w:rPr>
          <w:b/>
        </w:rPr>
        <w:t xml:space="preserve"> and Amicus Brief Advantage</w:t>
      </w:r>
      <w:r w:rsidRPr="005B5068">
        <w:rPr>
          <w:b/>
        </w:rPr>
        <w:t xml:space="preserve"> Values</w:t>
      </w:r>
      <w:r>
        <w:rPr>
          <w:b/>
        </w:rPr>
        <w:t xml:space="preserve"> for Salient Cases Model</w:t>
      </w:r>
    </w:p>
    <w:tbl>
      <w:tblPr>
        <w:tblW w:w="0" w:type="auto"/>
        <w:tblInd w:w="93" w:type="dxa"/>
        <w:tblLook w:val="04A0" w:firstRow="1" w:lastRow="0" w:firstColumn="1" w:lastColumn="0" w:noHBand="0" w:noVBand="1"/>
      </w:tblPr>
      <w:tblGrid>
        <w:gridCol w:w="1065"/>
        <w:gridCol w:w="1506"/>
        <w:gridCol w:w="1735"/>
        <w:gridCol w:w="1721"/>
        <w:gridCol w:w="1735"/>
        <w:gridCol w:w="1721"/>
      </w:tblGrid>
      <w:tr w:rsidR="007F4985" w:rsidRPr="00D646CC" w:rsidTr="00361C22">
        <w:trPr>
          <w:trHeight w:val="570"/>
        </w:trPr>
        <w:tc>
          <w:tcPr>
            <w:tcW w:w="0" w:type="auto"/>
            <w:tcBorders>
              <w:top w:val="single" w:sz="18" w:space="0" w:color="auto"/>
              <w:left w:val="nil"/>
              <w:bottom w:val="single" w:sz="18" w:space="0" w:color="auto"/>
              <w:right w:val="single" w:sz="4" w:space="0" w:color="auto"/>
            </w:tcBorders>
            <w:shd w:val="clear" w:color="auto" w:fill="auto"/>
            <w:vAlign w:val="center"/>
            <w:hideMark/>
          </w:tcPr>
          <w:p w:rsidR="007F4985" w:rsidRPr="00D646CC" w:rsidRDefault="00361C22" w:rsidP="00287F5E">
            <w:pPr>
              <w:ind w:left="0" w:firstLine="0"/>
              <w:jc w:val="center"/>
              <w:rPr>
                <w:rFonts w:eastAsia="Times New Roman" w:cs="Times New Roman"/>
                <w:b/>
                <w:bCs/>
                <w:color w:val="000000"/>
                <w:sz w:val="22"/>
              </w:rPr>
            </w:pPr>
            <w:r>
              <w:rPr>
                <w:rFonts w:eastAsia="Times New Roman" w:cs="Times New Roman"/>
                <w:b/>
                <w:bCs/>
                <w:color w:val="000000"/>
                <w:sz w:val="22"/>
              </w:rPr>
              <w:t>Lib-Con Amicus Brief Diff</w:t>
            </w:r>
          </w:p>
        </w:tc>
        <w:tc>
          <w:tcPr>
            <w:tcW w:w="0" w:type="auto"/>
            <w:gridSpan w:val="5"/>
            <w:tcBorders>
              <w:top w:val="single" w:sz="18" w:space="0" w:color="auto"/>
              <w:left w:val="single" w:sz="4" w:space="0" w:color="auto"/>
              <w:bottom w:val="single" w:sz="18" w:space="0" w:color="auto"/>
              <w:right w:val="nil"/>
            </w:tcBorders>
            <w:shd w:val="clear" w:color="auto" w:fill="auto"/>
            <w:noWrap/>
            <w:vAlign w:val="center"/>
            <w:hideMark/>
          </w:tcPr>
          <w:p w:rsidR="007F4985" w:rsidRPr="00D646CC" w:rsidRDefault="007F4985" w:rsidP="00287F5E">
            <w:pPr>
              <w:ind w:left="0" w:firstLine="0"/>
              <w:jc w:val="center"/>
              <w:rPr>
                <w:rFonts w:eastAsia="Times New Roman" w:cs="Times New Roman"/>
                <w:b/>
                <w:bCs/>
                <w:color w:val="000000"/>
                <w:sz w:val="22"/>
              </w:rPr>
            </w:pPr>
            <w:r w:rsidRPr="00D646CC">
              <w:rPr>
                <w:rFonts w:eastAsia="Times New Roman" w:cs="Times New Roman"/>
                <w:b/>
                <w:bCs/>
                <w:color w:val="000000"/>
                <w:sz w:val="22"/>
              </w:rPr>
              <w:t>Percent Probability of Liberal Vote:  Salient Cases (Model 6)</w:t>
            </w:r>
          </w:p>
        </w:tc>
      </w:tr>
      <w:tr w:rsidR="00361C22" w:rsidRPr="00D646CC" w:rsidTr="00361C22">
        <w:trPr>
          <w:trHeight w:val="2355"/>
        </w:trPr>
        <w:tc>
          <w:tcPr>
            <w:tcW w:w="0" w:type="auto"/>
            <w:tcBorders>
              <w:top w:val="single" w:sz="18" w:space="0" w:color="auto"/>
              <w:left w:val="nil"/>
              <w:bottom w:val="single" w:sz="18" w:space="0" w:color="auto"/>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p>
        </w:tc>
        <w:tc>
          <w:tcPr>
            <w:tcW w:w="0" w:type="auto"/>
            <w:tcBorders>
              <w:top w:val="single" w:sz="18" w:space="0" w:color="auto"/>
              <w:left w:val="single" w:sz="4" w:space="0" w:color="auto"/>
              <w:bottom w:val="single" w:sz="18" w:space="0" w:color="auto"/>
              <w:right w:val="single" w:sz="4" w:space="0" w:color="auto"/>
            </w:tcBorders>
            <w:shd w:val="clear" w:color="auto" w:fill="auto"/>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b/>
                <w:bCs/>
                <w:color w:val="000000"/>
                <w:sz w:val="22"/>
              </w:rPr>
              <w:t>Least M</w:t>
            </w:r>
            <w:r w:rsidR="00361C22">
              <w:rPr>
                <w:rFonts w:eastAsia="Times New Roman" w:cs="Times New Roman"/>
                <w:b/>
                <w:bCs/>
                <w:color w:val="000000"/>
                <w:sz w:val="22"/>
              </w:rPr>
              <w:t xml:space="preserve">oderate Justice </w:t>
            </w:r>
            <w:proofErr w:type="spellStart"/>
            <w:r w:rsidR="00361C22" w:rsidRPr="00361C22">
              <w:rPr>
                <w:rFonts w:eastAsia="Times New Roman" w:cs="Times New Roman"/>
                <w:b/>
                <w:bCs/>
                <w:i/>
                <w:color w:val="000000"/>
                <w:sz w:val="22"/>
              </w:rPr>
              <w:t>MQModeration</w:t>
            </w:r>
            <w:proofErr w:type="spellEnd"/>
            <w:r w:rsidR="00361C22" w:rsidRPr="00361C22">
              <w:rPr>
                <w:rFonts w:eastAsia="Times New Roman" w:cs="Times New Roman"/>
                <w:b/>
                <w:bCs/>
                <w:i/>
                <w:color w:val="000000"/>
                <w:sz w:val="22"/>
              </w:rPr>
              <w:t>=0</w:t>
            </w:r>
            <w:r w:rsidRPr="00D646CC">
              <w:rPr>
                <w:rFonts w:eastAsia="Times New Roman" w:cs="Times New Roman"/>
                <w:color w:val="000000"/>
                <w:sz w:val="22"/>
              </w:rPr>
              <w:t xml:space="preserve">    </w:t>
            </w:r>
            <w:r w:rsidR="00361C22">
              <w:rPr>
                <w:rFonts w:eastAsia="Times New Roman" w:cs="Times New Roman"/>
                <w:color w:val="000000"/>
                <w:sz w:val="22"/>
              </w:rPr>
              <w:t xml:space="preserve">     Thomas</w:t>
            </w:r>
            <w:r w:rsidRPr="00D646CC">
              <w:rPr>
                <w:rFonts w:eastAsia="Times New Roman" w:cs="Times New Roman"/>
                <w:color w:val="000000"/>
                <w:sz w:val="22"/>
              </w:rPr>
              <w:t>(.65)</w:t>
            </w:r>
          </w:p>
        </w:tc>
        <w:tc>
          <w:tcPr>
            <w:tcW w:w="0" w:type="auto"/>
            <w:tcBorders>
              <w:top w:val="single" w:sz="18" w:space="0" w:color="auto"/>
              <w:left w:val="single" w:sz="4" w:space="0" w:color="auto"/>
              <w:bottom w:val="single" w:sz="18" w:space="0" w:color="auto"/>
              <w:right w:val="single" w:sz="4" w:space="0" w:color="auto"/>
            </w:tcBorders>
            <w:shd w:val="clear" w:color="auto" w:fill="auto"/>
            <w:vAlign w:val="center"/>
            <w:hideMark/>
          </w:tcPr>
          <w:p w:rsidR="007F4985" w:rsidRPr="00D646CC" w:rsidRDefault="00361C22" w:rsidP="00287F5E">
            <w:pPr>
              <w:ind w:left="0" w:firstLine="0"/>
              <w:jc w:val="center"/>
              <w:rPr>
                <w:rFonts w:eastAsia="Times New Roman" w:cs="Times New Roman"/>
                <w:color w:val="000000"/>
                <w:sz w:val="22"/>
              </w:rPr>
            </w:pPr>
            <w:r>
              <w:rPr>
                <w:rFonts w:eastAsia="Times New Roman" w:cs="Times New Roman"/>
                <w:b/>
                <w:bCs/>
                <w:color w:val="000000"/>
                <w:sz w:val="22"/>
              </w:rPr>
              <w:t xml:space="preserve">Less Moderate Justice </w:t>
            </w:r>
            <w:proofErr w:type="spellStart"/>
            <w:r w:rsidR="007F4985" w:rsidRPr="00361C22">
              <w:rPr>
                <w:rFonts w:eastAsia="Times New Roman" w:cs="Times New Roman"/>
                <w:b/>
                <w:bCs/>
                <w:i/>
                <w:color w:val="000000"/>
                <w:sz w:val="22"/>
              </w:rPr>
              <w:t>M</w:t>
            </w:r>
            <w:r w:rsidRPr="00361C22">
              <w:rPr>
                <w:rFonts w:eastAsia="Times New Roman" w:cs="Times New Roman"/>
                <w:b/>
                <w:bCs/>
                <w:i/>
                <w:color w:val="000000"/>
                <w:sz w:val="22"/>
              </w:rPr>
              <w:t>QModeration</w:t>
            </w:r>
            <w:proofErr w:type="spellEnd"/>
            <w:r w:rsidRPr="00361C22">
              <w:rPr>
                <w:rFonts w:eastAsia="Times New Roman" w:cs="Times New Roman"/>
                <w:b/>
                <w:bCs/>
                <w:i/>
                <w:color w:val="000000"/>
                <w:sz w:val="22"/>
              </w:rPr>
              <w:t>=25th Percentile=2.0</w:t>
            </w:r>
            <w:r>
              <w:rPr>
                <w:rFonts w:eastAsia="Times New Roman" w:cs="Times New Roman"/>
                <w:color w:val="000000"/>
                <w:sz w:val="22"/>
              </w:rPr>
              <w:t xml:space="preserve">  Stevens</w:t>
            </w:r>
            <w:r w:rsidR="007F4985" w:rsidRPr="00D646CC">
              <w:rPr>
                <w:rFonts w:eastAsia="Times New Roman" w:cs="Times New Roman"/>
                <w:color w:val="000000"/>
                <w:sz w:val="22"/>
              </w:rPr>
              <w:t>(1.99)   Souter(2.15)    Scalia(1.69)</w:t>
            </w:r>
          </w:p>
        </w:tc>
        <w:tc>
          <w:tcPr>
            <w:tcW w:w="0" w:type="auto"/>
            <w:tcBorders>
              <w:top w:val="single" w:sz="18" w:space="0" w:color="auto"/>
              <w:left w:val="single" w:sz="4" w:space="0" w:color="auto"/>
              <w:bottom w:val="single" w:sz="18" w:space="0" w:color="auto"/>
              <w:right w:val="single" w:sz="4" w:space="0" w:color="auto"/>
            </w:tcBorders>
            <w:shd w:val="clear" w:color="auto" w:fill="auto"/>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b/>
                <w:bCs/>
                <w:color w:val="000000"/>
                <w:sz w:val="22"/>
              </w:rPr>
              <w:t>Mean Mode</w:t>
            </w:r>
            <w:r w:rsidR="00361C22">
              <w:rPr>
                <w:rFonts w:eastAsia="Times New Roman" w:cs="Times New Roman"/>
                <w:b/>
                <w:bCs/>
                <w:color w:val="000000"/>
                <w:sz w:val="22"/>
              </w:rPr>
              <w:t xml:space="preserve">rate Justice </w:t>
            </w:r>
            <w:proofErr w:type="spellStart"/>
            <w:r w:rsidR="00361C22" w:rsidRPr="00361C22">
              <w:rPr>
                <w:rFonts w:eastAsia="Times New Roman" w:cs="Times New Roman"/>
                <w:b/>
                <w:bCs/>
                <w:i/>
                <w:color w:val="000000"/>
                <w:sz w:val="22"/>
              </w:rPr>
              <w:t>MQModeration</w:t>
            </w:r>
            <w:proofErr w:type="spellEnd"/>
            <w:r w:rsidR="00361C22" w:rsidRPr="00361C22">
              <w:rPr>
                <w:rFonts w:eastAsia="Times New Roman" w:cs="Times New Roman"/>
                <w:b/>
                <w:bCs/>
                <w:i/>
                <w:color w:val="000000"/>
                <w:sz w:val="22"/>
              </w:rPr>
              <w:t>=2.43</w:t>
            </w:r>
            <w:r w:rsidR="00361C22">
              <w:rPr>
                <w:rFonts w:eastAsia="Times New Roman" w:cs="Times New Roman"/>
                <w:color w:val="000000"/>
                <w:sz w:val="22"/>
              </w:rPr>
              <w:t xml:space="preserve">               Ginsburg(2.51)            Alito</w:t>
            </w:r>
            <w:r w:rsidRPr="00D646CC">
              <w:rPr>
                <w:rFonts w:eastAsia="Times New Roman" w:cs="Times New Roman"/>
                <w:color w:val="000000"/>
                <w:sz w:val="22"/>
              </w:rPr>
              <w:t>(2.61)</w:t>
            </w:r>
          </w:p>
        </w:tc>
        <w:tc>
          <w:tcPr>
            <w:tcW w:w="0" w:type="auto"/>
            <w:tcBorders>
              <w:top w:val="single" w:sz="18" w:space="0" w:color="auto"/>
              <w:left w:val="single" w:sz="4" w:space="0" w:color="auto"/>
              <w:bottom w:val="single" w:sz="18" w:space="0" w:color="auto"/>
              <w:right w:val="single" w:sz="4" w:space="0" w:color="auto"/>
            </w:tcBorders>
            <w:shd w:val="clear" w:color="auto" w:fill="auto"/>
            <w:vAlign w:val="center"/>
            <w:hideMark/>
          </w:tcPr>
          <w:p w:rsidR="007F4985" w:rsidRPr="00D646CC" w:rsidRDefault="00361C22" w:rsidP="00287F5E">
            <w:pPr>
              <w:ind w:left="0" w:firstLine="0"/>
              <w:jc w:val="center"/>
              <w:rPr>
                <w:rFonts w:eastAsia="Times New Roman" w:cs="Times New Roman"/>
                <w:color w:val="000000"/>
                <w:sz w:val="22"/>
              </w:rPr>
            </w:pPr>
            <w:r>
              <w:rPr>
                <w:rFonts w:eastAsia="Times New Roman" w:cs="Times New Roman"/>
                <w:b/>
                <w:bCs/>
                <w:color w:val="000000"/>
                <w:sz w:val="22"/>
              </w:rPr>
              <w:t xml:space="preserve">More Moderate Justice </w:t>
            </w:r>
            <w:proofErr w:type="spellStart"/>
            <w:r w:rsidR="007F4985" w:rsidRPr="00361C22">
              <w:rPr>
                <w:rFonts w:eastAsia="Times New Roman" w:cs="Times New Roman"/>
                <w:b/>
                <w:bCs/>
                <w:i/>
                <w:color w:val="000000"/>
                <w:sz w:val="22"/>
              </w:rPr>
              <w:t>MQModeration</w:t>
            </w:r>
            <w:proofErr w:type="spellEnd"/>
            <w:r w:rsidR="007F4985" w:rsidRPr="00361C22">
              <w:rPr>
                <w:rFonts w:eastAsia="Times New Roman" w:cs="Times New Roman"/>
                <w:b/>
                <w:bCs/>
                <w:i/>
                <w:color w:val="000000"/>
                <w:sz w:val="22"/>
              </w:rPr>
              <w:t>=75</w:t>
            </w:r>
            <w:r w:rsidRPr="00361C22">
              <w:rPr>
                <w:rFonts w:eastAsia="Times New Roman" w:cs="Times New Roman"/>
                <w:b/>
                <w:bCs/>
                <w:i/>
                <w:color w:val="000000"/>
                <w:sz w:val="22"/>
              </w:rPr>
              <w:t>th Percentile=2.84</w:t>
            </w:r>
            <w:r>
              <w:rPr>
                <w:rFonts w:eastAsia="Times New Roman" w:cs="Times New Roman"/>
                <w:color w:val="000000"/>
                <w:sz w:val="22"/>
              </w:rPr>
              <w:t xml:space="preserve">      Kagan(2.86)     Sotomayor(2.80)   Roberts(2.89)          Breyer</w:t>
            </w:r>
            <w:r w:rsidR="007F4985" w:rsidRPr="00D646CC">
              <w:rPr>
                <w:rFonts w:eastAsia="Times New Roman" w:cs="Times New Roman"/>
                <w:color w:val="000000"/>
                <w:sz w:val="22"/>
              </w:rPr>
              <w:t>(2.66)</w:t>
            </w:r>
          </w:p>
        </w:tc>
        <w:tc>
          <w:tcPr>
            <w:tcW w:w="0" w:type="auto"/>
            <w:tcBorders>
              <w:top w:val="single" w:sz="18" w:space="0" w:color="auto"/>
              <w:left w:val="single" w:sz="4" w:space="0" w:color="auto"/>
              <w:bottom w:val="single" w:sz="18" w:space="0" w:color="auto"/>
              <w:right w:val="nil"/>
            </w:tcBorders>
            <w:shd w:val="clear" w:color="auto" w:fill="auto"/>
            <w:vAlign w:val="center"/>
            <w:hideMark/>
          </w:tcPr>
          <w:p w:rsidR="00361C22" w:rsidRDefault="00361C22" w:rsidP="00287F5E">
            <w:pPr>
              <w:ind w:left="0" w:firstLine="0"/>
              <w:jc w:val="center"/>
              <w:rPr>
                <w:rFonts w:eastAsia="Times New Roman" w:cs="Times New Roman"/>
                <w:color w:val="000000"/>
                <w:sz w:val="22"/>
              </w:rPr>
            </w:pPr>
            <w:r>
              <w:rPr>
                <w:rFonts w:eastAsia="Times New Roman" w:cs="Times New Roman"/>
                <w:b/>
                <w:bCs/>
                <w:color w:val="000000"/>
                <w:sz w:val="22"/>
              </w:rPr>
              <w:t xml:space="preserve">Most Moderate Justice </w:t>
            </w:r>
            <w:proofErr w:type="spellStart"/>
            <w:r w:rsidRPr="00361C22">
              <w:rPr>
                <w:rFonts w:eastAsia="Times New Roman" w:cs="Times New Roman"/>
                <w:b/>
                <w:bCs/>
                <w:i/>
                <w:color w:val="000000"/>
                <w:sz w:val="22"/>
              </w:rPr>
              <w:t>MQModeration</w:t>
            </w:r>
            <w:proofErr w:type="spellEnd"/>
            <w:r w:rsidRPr="00361C22">
              <w:rPr>
                <w:rFonts w:eastAsia="Times New Roman" w:cs="Times New Roman"/>
                <w:b/>
                <w:bCs/>
                <w:i/>
                <w:color w:val="000000"/>
                <w:sz w:val="22"/>
              </w:rPr>
              <w:t>=4.02</w:t>
            </w:r>
            <w:r w:rsidR="007F4985" w:rsidRPr="00D646CC">
              <w:rPr>
                <w:rFonts w:eastAsia="Times New Roman" w:cs="Times New Roman"/>
                <w:color w:val="000000"/>
                <w:sz w:val="22"/>
              </w:rPr>
              <w:t xml:space="preserve">   </w:t>
            </w:r>
          </w:p>
          <w:p w:rsidR="007F4985" w:rsidRPr="00D646CC" w:rsidRDefault="00361C22" w:rsidP="00287F5E">
            <w:pPr>
              <w:ind w:left="0" w:firstLine="0"/>
              <w:jc w:val="center"/>
              <w:rPr>
                <w:rFonts w:eastAsia="Times New Roman" w:cs="Times New Roman"/>
                <w:color w:val="000000"/>
                <w:sz w:val="22"/>
              </w:rPr>
            </w:pPr>
            <w:r>
              <w:rPr>
                <w:rFonts w:eastAsia="Times New Roman" w:cs="Times New Roman"/>
                <w:color w:val="000000"/>
                <w:sz w:val="22"/>
              </w:rPr>
              <w:t>Kennedy</w:t>
            </w:r>
            <w:r w:rsidR="007F4985" w:rsidRPr="00D646CC">
              <w:rPr>
                <w:rFonts w:eastAsia="Times New Roman" w:cs="Times New Roman"/>
                <w:color w:val="000000"/>
                <w:sz w:val="22"/>
              </w:rPr>
              <w:t>(4.02)</w:t>
            </w:r>
          </w:p>
        </w:tc>
      </w:tr>
      <w:tr w:rsidR="00361C22" w:rsidRPr="00D646CC" w:rsidTr="00361C22">
        <w:trPr>
          <w:trHeight w:val="576"/>
        </w:trPr>
        <w:tc>
          <w:tcPr>
            <w:tcW w:w="0" w:type="auto"/>
            <w:tcBorders>
              <w:top w:val="single" w:sz="18" w:space="0" w:color="auto"/>
              <w:left w:val="nil"/>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-15</w:t>
            </w:r>
          </w:p>
        </w:tc>
        <w:tc>
          <w:tcPr>
            <w:tcW w:w="0" w:type="auto"/>
            <w:tcBorders>
              <w:top w:val="single" w:sz="18" w:space="0" w:color="auto"/>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64.04</w:t>
            </w:r>
          </w:p>
        </w:tc>
        <w:tc>
          <w:tcPr>
            <w:tcW w:w="0" w:type="auto"/>
            <w:tcBorders>
              <w:top w:val="single" w:sz="18" w:space="0" w:color="auto"/>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47.21</w:t>
            </w:r>
          </w:p>
        </w:tc>
        <w:tc>
          <w:tcPr>
            <w:tcW w:w="0" w:type="auto"/>
            <w:tcBorders>
              <w:top w:val="single" w:sz="18" w:space="0" w:color="auto"/>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43.41*</w:t>
            </w:r>
          </w:p>
        </w:tc>
        <w:tc>
          <w:tcPr>
            <w:tcW w:w="0" w:type="auto"/>
            <w:tcBorders>
              <w:top w:val="single" w:sz="18" w:space="0" w:color="auto"/>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40.11*</w:t>
            </w:r>
          </w:p>
        </w:tc>
        <w:tc>
          <w:tcPr>
            <w:tcW w:w="0" w:type="auto"/>
            <w:tcBorders>
              <w:top w:val="single" w:sz="18" w:space="0" w:color="auto"/>
              <w:left w:val="single" w:sz="4" w:space="0" w:color="auto"/>
              <w:bottom w:val="nil"/>
              <w:right w:val="nil"/>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30.85*</w:t>
            </w:r>
          </w:p>
        </w:tc>
      </w:tr>
      <w:tr w:rsidR="00361C22" w:rsidRPr="00D646CC" w:rsidTr="00361C22">
        <w:trPr>
          <w:trHeight w:val="576"/>
        </w:trPr>
        <w:tc>
          <w:tcPr>
            <w:tcW w:w="0" w:type="auto"/>
            <w:tcBorders>
              <w:top w:val="nil"/>
              <w:left w:val="nil"/>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-10</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63.01</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51.08</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48.36*</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45.95*</w:t>
            </w:r>
          </w:p>
        </w:tc>
        <w:tc>
          <w:tcPr>
            <w:tcW w:w="0" w:type="auto"/>
            <w:tcBorders>
              <w:top w:val="nil"/>
              <w:left w:val="single" w:sz="4" w:space="0" w:color="auto"/>
              <w:bottom w:val="nil"/>
              <w:right w:val="nil"/>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38.91*</w:t>
            </w:r>
          </w:p>
        </w:tc>
      </w:tr>
      <w:tr w:rsidR="00361C22" w:rsidRPr="00D646CC" w:rsidTr="00361C22">
        <w:trPr>
          <w:trHeight w:val="576"/>
        </w:trPr>
        <w:tc>
          <w:tcPr>
            <w:tcW w:w="0" w:type="auto"/>
            <w:tcBorders>
              <w:top w:val="nil"/>
              <w:left w:val="nil"/>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-5</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61.98</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54.94</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53.34*</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51.91*</w:t>
            </w:r>
          </w:p>
        </w:tc>
        <w:tc>
          <w:tcPr>
            <w:tcW w:w="0" w:type="auto"/>
            <w:tcBorders>
              <w:top w:val="nil"/>
              <w:left w:val="single" w:sz="4" w:space="0" w:color="auto"/>
              <w:bottom w:val="nil"/>
              <w:right w:val="nil"/>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47.63</w:t>
            </w:r>
          </w:p>
        </w:tc>
      </w:tr>
      <w:tr w:rsidR="00361C22" w:rsidRPr="00D646CC" w:rsidTr="00361C22">
        <w:trPr>
          <w:trHeight w:val="576"/>
        </w:trPr>
        <w:tc>
          <w:tcPr>
            <w:tcW w:w="0" w:type="auto"/>
            <w:tcBorders>
              <w:top w:val="nil"/>
              <w:left w:val="nil"/>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-3</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61.56</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56.47</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55.31*</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54.29*</w:t>
            </w:r>
          </w:p>
        </w:tc>
        <w:tc>
          <w:tcPr>
            <w:tcW w:w="0" w:type="auto"/>
            <w:tcBorders>
              <w:top w:val="nil"/>
              <w:left w:val="single" w:sz="4" w:space="0" w:color="auto"/>
              <w:bottom w:val="nil"/>
              <w:right w:val="nil"/>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51.19</w:t>
            </w:r>
          </w:p>
        </w:tc>
      </w:tr>
      <w:tr w:rsidR="00361C22" w:rsidRPr="00D646CC" w:rsidTr="00361C22">
        <w:trPr>
          <w:trHeight w:val="576"/>
        </w:trPr>
        <w:tc>
          <w:tcPr>
            <w:tcW w:w="0" w:type="auto"/>
            <w:tcBorders>
              <w:top w:val="nil"/>
              <w:left w:val="nil"/>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-1</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61.15</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57.99</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57.28*</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56.64</w:t>
            </w:r>
          </w:p>
        </w:tc>
        <w:tc>
          <w:tcPr>
            <w:tcW w:w="0" w:type="auto"/>
            <w:tcBorders>
              <w:top w:val="nil"/>
              <w:left w:val="single" w:sz="4" w:space="0" w:color="auto"/>
              <w:bottom w:val="nil"/>
              <w:right w:val="nil"/>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54.73</w:t>
            </w:r>
          </w:p>
        </w:tc>
      </w:tr>
      <w:tr w:rsidR="00361C22" w:rsidRPr="00D646CC" w:rsidTr="00361C22">
        <w:trPr>
          <w:trHeight w:val="576"/>
        </w:trPr>
        <w:tc>
          <w:tcPr>
            <w:tcW w:w="0" w:type="auto"/>
            <w:tcBorders>
              <w:top w:val="nil"/>
              <w:left w:val="nil"/>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0</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60.94</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58.74</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58.25*</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57.81</w:t>
            </w:r>
          </w:p>
        </w:tc>
        <w:tc>
          <w:tcPr>
            <w:tcW w:w="0" w:type="auto"/>
            <w:tcBorders>
              <w:top w:val="nil"/>
              <w:left w:val="single" w:sz="4" w:space="0" w:color="auto"/>
              <w:bottom w:val="nil"/>
              <w:right w:val="nil"/>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56.49</w:t>
            </w:r>
          </w:p>
        </w:tc>
      </w:tr>
      <w:tr w:rsidR="00361C22" w:rsidRPr="00D646CC" w:rsidTr="00361C22">
        <w:trPr>
          <w:trHeight w:val="576"/>
        </w:trPr>
        <w:tc>
          <w:tcPr>
            <w:tcW w:w="0" w:type="auto"/>
            <w:tcBorders>
              <w:top w:val="nil"/>
              <w:left w:val="nil"/>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0.53 (Mean)</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60.82</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59.14</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58.76*</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58.43</w:t>
            </w:r>
          </w:p>
        </w:tc>
        <w:tc>
          <w:tcPr>
            <w:tcW w:w="0" w:type="auto"/>
            <w:tcBorders>
              <w:top w:val="nil"/>
              <w:left w:val="single" w:sz="4" w:space="0" w:color="auto"/>
              <w:bottom w:val="nil"/>
              <w:right w:val="nil"/>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57.42</w:t>
            </w:r>
          </w:p>
        </w:tc>
      </w:tr>
      <w:tr w:rsidR="00361C22" w:rsidRPr="00D646CC" w:rsidTr="00361C22">
        <w:trPr>
          <w:trHeight w:val="576"/>
        </w:trPr>
        <w:tc>
          <w:tcPr>
            <w:tcW w:w="0" w:type="auto"/>
            <w:tcBorders>
              <w:top w:val="nil"/>
              <w:left w:val="nil"/>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1</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60.73</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59.49</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59.22*</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58.97</w:t>
            </w:r>
          </w:p>
        </w:tc>
        <w:tc>
          <w:tcPr>
            <w:tcW w:w="0" w:type="auto"/>
            <w:tcBorders>
              <w:top w:val="nil"/>
              <w:left w:val="single" w:sz="4" w:space="0" w:color="auto"/>
              <w:bottom w:val="nil"/>
              <w:right w:val="nil"/>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58.23</w:t>
            </w:r>
          </w:p>
        </w:tc>
      </w:tr>
      <w:tr w:rsidR="00361C22" w:rsidRPr="00D646CC" w:rsidTr="00361C22">
        <w:trPr>
          <w:trHeight w:val="576"/>
        </w:trPr>
        <w:tc>
          <w:tcPr>
            <w:tcW w:w="0" w:type="auto"/>
            <w:tcBorders>
              <w:top w:val="nil"/>
              <w:left w:val="nil"/>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3</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60.30</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60.98</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61.13*</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61.26</w:t>
            </w:r>
          </w:p>
        </w:tc>
        <w:tc>
          <w:tcPr>
            <w:tcW w:w="0" w:type="auto"/>
            <w:tcBorders>
              <w:top w:val="nil"/>
              <w:left w:val="single" w:sz="4" w:space="0" w:color="auto"/>
              <w:bottom w:val="nil"/>
              <w:right w:val="nil"/>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61.65</w:t>
            </w:r>
          </w:p>
        </w:tc>
      </w:tr>
      <w:tr w:rsidR="00361C22" w:rsidRPr="00D646CC" w:rsidTr="00361C22">
        <w:trPr>
          <w:trHeight w:val="576"/>
        </w:trPr>
        <w:tc>
          <w:tcPr>
            <w:tcW w:w="0" w:type="auto"/>
            <w:tcBorders>
              <w:top w:val="nil"/>
              <w:left w:val="nil"/>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5</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59.88</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62.44</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63.00*</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63.5*</w:t>
            </w:r>
          </w:p>
        </w:tc>
        <w:tc>
          <w:tcPr>
            <w:tcW w:w="0" w:type="auto"/>
            <w:tcBorders>
              <w:top w:val="nil"/>
              <w:left w:val="single" w:sz="4" w:space="0" w:color="auto"/>
              <w:bottom w:val="nil"/>
              <w:right w:val="nil"/>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64.96</w:t>
            </w:r>
          </w:p>
        </w:tc>
      </w:tr>
      <w:tr w:rsidR="00361C22" w:rsidRPr="00D646CC" w:rsidTr="00361C22">
        <w:trPr>
          <w:trHeight w:val="576"/>
        </w:trPr>
        <w:tc>
          <w:tcPr>
            <w:tcW w:w="0" w:type="auto"/>
            <w:tcBorders>
              <w:top w:val="nil"/>
              <w:left w:val="nil"/>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10</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58.88</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66.00</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67.52*</w:t>
            </w:r>
          </w:p>
        </w:tc>
        <w:tc>
          <w:tcPr>
            <w:tcW w:w="0" w:type="auto"/>
            <w:tcBorders>
              <w:top w:val="nil"/>
              <w:left w:val="single" w:sz="4" w:space="0" w:color="auto"/>
              <w:bottom w:val="nil"/>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68.83*</w:t>
            </w:r>
          </w:p>
        </w:tc>
        <w:tc>
          <w:tcPr>
            <w:tcW w:w="0" w:type="auto"/>
            <w:tcBorders>
              <w:top w:val="nil"/>
              <w:left w:val="single" w:sz="4" w:space="0" w:color="auto"/>
              <w:bottom w:val="nil"/>
              <w:right w:val="nil"/>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72.58*</w:t>
            </w:r>
          </w:p>
        </w:tc>
      </w:tr>
      <w:tr w:rsidR="00361C22" w:rsidRPr="00D646CC" w:rsidTr="00361C22">
        <w:trPr>
          <w:trHeight w:val="576"/>
        </w:trPr>
        <w:tc>
          <w:tcPr>
            <w:tcW w:w="0" w:type="auto"/>
            <w:tcBorders>
              <w:top w:val="nil"/>
              <w:left w:val="nil"/>
              <w:bottom w:val="single" w:sz="18" w:space="0" w:color="auto"/>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15</w:t>
            </w:r>
          </w:p>
        </w:tc>
        <w:tc>
          <w:tcPr>
            <w:tcW w:w="0" w:type="auto"/>
            <w:tcBorders>
              <w:top w:val="nil"/>
              <w:left w:val="single" w:sz="4" w:space="0" w:color="auto"/>
              <w:bottom w:val="single" w:sz="18" w:space="0" w:color="auto"/>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57.74</w:t>
            </w:r>
          </w:p>
        </w:tc>
        <w:tc>
          <w:tcPr>
            <w:tcW w:w="0" w:type="auto"/>
            <w:tcBorders>
              <w:top w:val="nil"/>
              <w:left w:val="single" w:sz="4" w:space="0" w:color="auto"/>
              <w:bottom w:val="single" w:sz="18" w:space="0" w:color="auto"/>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69.39</w:t>
            </w:r>
          </w:p>
        </w:tc>
        <w:tc>
          <w:tcPr>
            <w:tcW w:w="0" w:type="auto"/>
            <w:tcBorders>
              <w:top w:val="nil"/>
              <w:left w:val="single" w:sz="4" w:space="0" w:color="auto"/>
              <w:bottom w:val="single" w:sz="18" w:space="0" w:color="auto"/>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71.73*</w:t>
            </w:r>
          </w:p>
        </w:tc>
        <w:tc>
          <w:tcPr>
            <w:tcW w:w="0" w:type="auto"/>
            <w:tcBorders>
              <w:top w:val="nil"/>
              <w:left w:val="single" w:sz="4" w:space="0" w:color="auto"/>
              <w:bottom w:val="single" w:sz="18" w:space="0" w:color="auto"/>
              <w:right w:val="single" w:sz="4" w:space="0" w:color="auto"/>
            </w:tcBorders>
            <w:shd w:val="clear" w:color="auto" w:fill="auto"/>
            <w:noWrap/>
            <w:vAlign w:val="center"/>
            <w:hideMark/>
          </w:tcPr>
          <w:p w:rsidR="007F4985" w:rsidRPr="00D646CC" w:rsidRDefault="007F4985" w:rsidP="00287F5E">
            <w:pPr>
              <w:ind w:left="0" w:firstLine="0"/>
              <w:jc w:val="center"/>
              <w:rPr>
                <w:rFonts w:eastAsia="Times New Roman" w:cs="Times New Roman"/>
                <w:color w:val="000000"/>
                <w:sz w:val="22"/>
              </w:rPr>
            </w:pPr>
            <w:r w:rsidRPr="00D646CC">
              <w:rPr>
                <w:rFonts w:eastAsia="Times New Roman" w:cs="Times New Roman"/>
                <w:color w:val="000000"/>
                <w:sz w:val="22"/>
              </w:rPr>
              <w:t>73.71*</w:t>
            </w:r>
          </w:p>
        </w:tc>
        <w:tc>
          <w:tcPr>
            <w:tcW w:w="0" w:type="auto"/>
            <w:tcBorders>
              <w:top w:val="nil"/>
              <w:left w:val="single" w:sz="4" w:space="0" w:color="auto"/>
              <w:bottom w:val="single" w:sz="18" w:space="0" w:color="auto"/>
              <w:right w:val="nil"/>
            </w:tcBorders>
            <w:shd w:val="clear" w:color="auto" w:fill="auto"/>
            <w:noWrap/>
            <w:vAlign w:val="center"/>
            <w:hideMark/>
          </w:tcPr>
          <w:p w:rsidR="007F4985" w:rsidRPr="00D646CC" w:rsidRDefault="007F4985" w:rsidP="00287F5E">
            <w:pPr>
              <w:ind w:left="0" w:firstLine="0"/>
              <w:jc w:val="center"/>
              <w:rPr>
                <w:rFonts w:eastAsia="Times New Roman" w:cs="Times New Roman"/>
                <w:sz w:val="22"/>
              </w:rPr>
            </w:pPr>
            <w:r w:rsidRPr="00D646CC">
              <w:rPr>
                <w:rFonts w:eastAsia="Times New Roman" w:cs="Times New Roman"/>
                <w:sz w:val="22"/>
              </w:rPr>
              <w:t>79.08*</w:t>
            </w:r>
          </w:p>
        </w:tc>
      </w:tr>
    </w:tbl>
    <w:p w:rsidR="007F4985" w:rsidRDefault="007F4985" w:rsidP="007F4985">
      <w:pPr>
        <w:autoSpaceDE w:val="0"/>
        <w:autoSpaceDN w:val="0"/>
        <w:adjustRightInd w:val="0"/>
        <w:spacing w:line="480" w:lineRule="auto"/>
        <w:ind w:left="0" w:firstLine="720"/>
        <w:rPr>
          <w:rFonts w:cs="Times New Roman"/>
          <w:szCs w:val="24"/>
        </w:rPr>
      </w:pPr>
      <w:r>
        <w:rPr>
          <w:rFonts w:cs="Times New Roman"/>
          <w:szCs w:val="24"/>
        </w:rPr>
        <w:t>*Prediction is significant at p &lt; .05.</w:t>
      </w:r>
    </w:p>
    <w:p w:rsidR="007F4985" w:rsidRDefault="007F4985" w:rsidP="007F4985">
      <w:pPr>
        <w:ind w:left="0" w:firstLine="0"/>
        <w:rPr>
          <w:b/>
        </w:rPr>
      </w:pPr>
    </w:p>
    <w:p w:rsidR="007F4985" w:rsidRDefault="007F4985" w:rsidP="00361C22">
      <w:pPr>
        <w:ind w:left="0" w:firstLine="0"/>
        <w:rPr>
          <w:b/>
        </w:rPr>
      </w:pPr>
    </w:p>
    <w:p w:rsidR="007F4985" w:rsidRDefault="007F4985" w:rsidP="006D44B4">
      <w:pPr>
        <w:ind w:left="0" w:firstLine="0"/>
        <w:jc w:val="center"/>
        <w:rPr>
          <w:b/>
        </w:rPr>
      </w:pPr>
    </w:p>
    <w:p w:rsidR="006D44B4" w:rsidRDefault="006D44B4" w:rsidP="006D44B4">
      <w:pPr>
        <w:ind w:left="0" w:firstLine="0"/>
        <w:jc w:val="center"/>
        <w:rPr>
          <w:b/>
        </w:rPr>
      </w:pPr>
      <w:r>
        <w:rPr>
          <w:b/>
        </w:rPr>
        <w:lastRenderedPageBreak/>
        <w:t>VITA</w:t>
      </w:r>
    </w:p>
    <w:p w:rsidR="00502835" w:rsidRDefault="00502835" w:rsidP="006D44B4">
      <w:pPr>
        <w:ind w:left="0" w:firstLine="0"/>
        <w:jc w:val="center"/>
        <w:rPr>
          <w:b/>
        </w:rPr>
      </w:pPr>
    </w:p>
    <w:p w:rsidR="00502835" w:rsidRPr="00502835" w:rsidRDefault="00502835" w:rsidP="00502835">
      <w:pPr>
        <w:ind w:left="0" w:firstLine="0"/>
      </w:pPr>
      <w:r>
        <w:tab/>
      </w:r>
    </w:p>
    <w:p w:rsidR="002010CB" w:rsidRDefault="006A285B" w:rsidP="00AD2EDC">
      <w:pPr>
        <w:spacing w:line="480" w:lineRule="auto"/>
        <w:ind w:left="0" w:firstLine="0"/>
      </w:pPr>
      <w:r>
        <w:tab/>
        <w:t>David Hooper</w:t>
      </w:r>
      <w:r w:rsidR="00AD2EDC">
        <w:t xml:space="preserve"> Scott was born in Oklahoma City, Oklahoma, raised as a child in Dallas, Texas, and spent his teenage and collegiate years in Nashville, Tennessee.  David went to Lipscomb Univ</w:t>
      </w:r>
      <w:r w:rsidR="003C536D">
        <w:t>ersity, where he received his Bachelor of Arts</w:t>
      </w:r>
      <w:r w:rsidR="00AD2EDC">
        <w:t xml:space="preserve"> in Philosophy in 2002, graduating in the Honors Program and as Co-Valedict</w:t>
      </w:r>
      <w:r w:rsidR="003C536D">
        <w:t xml:space="preserve">orian.  David was a four year member of Lipscomb’s Intercollegiate Cross Country team, being named the Lipscomb Men’s “Most Valuable Runner” his junior and senior seasons, as well as NCAA </w:t>
      </w:r>
      <w:r w:rsidR="00746042">
        <w:t>Verizon First Team Academic All-</w:t>
      </w:r>
      <w:r w:rsidR="003C536D">
        <w:t xml:space="preserve">American his senior year.  </w:t>
      </w:r>
    </w:p>
    <w:p w:rsidR="002010CB" w:rsidRDefault="003C536D" w:rsidP="002010CB">
      <w:pPr>
        <w:spacing w:line="480" w:lineRule="auto"/>
        <w:ind w:left="0" w:firstLine="720"/>
      </w:pPr>
      <w:r>
        <w:t>David received his Juris Doctorate</w:t>
      </w:r>
      <w:r w:rsidR="00AD2EDC">
        <w:t xml:space="preserve"> from Pepperdine University School of Law in Malibu, California in 2006, along with a Master’s Degree in Dispute Resolution from Pepperdine University in 2007.  </w:t>
      </w:r>
      <w:r w:rsidR="00746042">
        <w:t xml:space="preserve">While </w:t>
      </w:r>
      <w:r w:rsidR="00396BE6">
        <w:t xml:space="preserve">at </w:t>
      </w:r>
      <w:r w:rsidR="002010CB">
        <w:t>Pepperdine, David competed on the Interschool Appellate Advocacy Team, and won second place at Pepperdine’s 2004 Armand Arabian O</w:t>
      </w:r>
      <w:r w:rsidR="00396BE6">
        <w:t>ral Advocacy competition.  He</w:t>
      </w:r>
      <w:r w:rsidR="002010CB">
        <w:t xml:space="preserve"> also served as the Law Student Ministries coordinator </w:t>
      </w:r>
      <w:r w:rsidR="00396BE6">
        <w:t xml:space="preserve">for two years </w:t>
      </w:r>
      <w:r w:rsidR="002010CB">
        <w:t>at Pepperdine School of Law.</w:t>
      </w:r>
    </w:p>
    <w:p w:rsidR="002C08CE" w:rsidRDefault="00CB53DA" w:rsidP="00F42123">
      <w:pPr>
        <w:spacing w:line="480" w:lineRule="auto"/>
        <w:ind w:left="0" w:firstLine="720"/>
      </w:pPr>
      <w:r>
        <w:t>David worked</w:t>
      </w:r>
      <w:r w:rsidR="00AD2EDC">
        <w:t xml:space="preserve"> as Assistant Director of Lipscomb University’s Institute for Conflict Management</w:t>
      </w:r>
      <w:r w:rsidR="00396BE6">
        <w:t xml:space="preserve"> in 2007-2008</w:t>
      </w:r>
      <w:r w:rsidR="00AD2EDC">
        <w:t>.  In July 2008, David married his wife, Natalie, and moved to Greeneville, Tennessee</w:t>
      </w:r>
      <w:r w:rsidR="00746042">
        <w:t xml:space="preserve">, where he </w:t>
      </w:r>
      <w:r w:rsidR="00C828E9">
        <w:t xml:space="preserve">joined </w:t>
      </w:r>
      <w:r w:rsidR="00746042">
        <w:t xml:space="preserve">the Milligan &amp; Coleman law firm, </w:t>
      </w:r>
      <w:r w:rsidR="00C828E9">
        <w:t>practicing civil law in the areas of ins</w:t>
      </w:r>
      <w:r w:rsidR="00F42123">
        <w:t xml:space="preserve">urance and municipal defense.  </w:t>
      </w:r>
      <w:r w:rsidR="00C828E9">
        <w:t>In August 2009, David enrolled as a full-time graduate student at the University of Tennessee</w:t>
      </w:r>
      <w:r w:rsidR="002E4123">
        <w:t xml:space="preserve"> – Knoxville</w:t>
      </w:r>
      <w:r w:rsidR="00C828E9">
        <w:t xml:space="preserve"> to pursue a Ph</w:t>
      </w:r>
      <w:r w:rsidR="00396BE6">
        <w:t>.D. in Political Science.  He</w:t>
      </w:r>
      <w:r w:rsidR="00C828E9">
        <w:t xml:space="preserve"> was named a Graduate </w:t>
      </w:r>
      <w:r>
        <w:t xml:space="preserve">Teaching Associate.  </w:t>
      </w:r>
      <w:r w:rsidR="00C828E9">
        <w:t>During his four years as a GTA at UT, David taught</w:t>
      </w:r>
      <w:r w:rsidR="00396BE6">
        <w:t xml:space="preserve"> </w:t>
      </w:r>
      <w:r w:rsidR="00C828E9" w:rsidRPr="002C08CE">
        <w:rPr>
          <w:i/>
        </w:rPr>
        <w:t>U.S. Government and Politics</w:t>
      </w:r>
      <w:r w:rsidR="00C828E9">
        <w:t xml:space="preserve">, </w:t>
      </w:r>
      <w:r w:rsidR="00C828E9" w:rsidRPr="002C08CE">
        <w:rPr>
          <w:i/>
        </w:rPr>
        <w:t>Intro</w:t>
      </w:r>
      <w:r w:rsidR="00396BE6">
        <w:rPr>
          <w:i/>
        </w:rPr>
        <w:t>duction</w:t>
      </w:r>
      <w:r w:rsidR="00C828E9" w:rsidRPr="002C08CE">
        <w:rPr>
          <w:i/>
        </w:rPr>
        <w:t xml:space="preserve"> to Political Science</w:t>
      </w:r>
      <w:r w:rsidR="00C828E9">
        <w:t xml:space="preserve">, </w:t>
      </w:r>
      <w:r w:rsidR="00C828E9" w:rsidRPr="002C08CE">
        <w:rPr>
          <w:i/>
        </w:rPr>
        <w:t>Law in American Society</w:t>
      </w:r>
      <w:r w:rsidR="00C828E9">
        <w:t xml:space="preserve">, and </w:t>
      </w:r>
      <w:r w:rsidR="00C828E9" w:rsidRPr="002C08CE">
        <w:rPr>
          <w:i/>
        </w:rPr>
        <w:t>Judicial Process and Policymaking</w:t>
      </w:r>
      <w:r w:rsidR="00C828E9">
        <w:t xml:space="preserve">.   </w:t>
      </w:r>
      <w:r w:rsidR="002C08CE">
        <w:t>While</w:t>
      </w:r>
      <w:r w:rsidR="00F42123">
        <w:t xml:space="preserve"> a graduate student at UT, he</w:t>
      </w:r>
      <w:r w:rsidR="002C08CE">
        <w:t xml:space="preserve"> also taught courses an adjunct instructor at Carson Newman University (</w:t>
      </w:r>
      <w:r w:rsidR="002C08CE" w:rsidRPr="001F23A7">
        <w:rPr>
          <w:i/>
        </w:rPr>
        <w:t>American Government</w:t>
      </w:r>
      <w:r w:rsidR="002C08CE">
        <w:t xml:space="preserve">), at </w:t>
      </w:r>
      <w:r w:rsidR="002C08CE">
        <w:lastRenderedPageBreak/>
        <w:t>Tusculum College (</w:t>
      </w:r>
      <w:r w:rsidR="002C08CE" w:rsidRPr="001F23A7">
        <w:rPr>
          <w:i/>
        </w:rPr>
        <w:t>Civil Rights &amp; Liberties</w:t>
      </w:r>
      <w:r w:rsidR="002C08CE">
        <w:t>), and at Walters State Community College (</w:t>
      </w:r>
      <w:r w:rsidR="00396BE6">
        <w:rPr>
          <w:i/>
        </w:rPr>
        <w:t>Introduction</w:t>
      </w:r>
      <w:r w:rsidR="002C08CE" w:rsidRPr="001F23A7">
        <w:rPr>
          <w:i/>
        </w:rPr>
        <w:t xml:space="preserve"> to A</w:t>
      </w:r>
      <w:r w:rsidR="002C08CE" w:rsidRPr="00396BE6">
        <w:rPr>
          <w:i/>
        </w:rPr>
        <w:t>m</w:t>
      </w:r>
      <w:r w:rsidR="002C08CE" w:rsidRPr="001F23A7">
        <w:rPr>
          <w:i/>
        </w:rPr>
        <w:t>erican Government</w:t>
      </w:r>
      <w:r w:rsidR="002C08CE">
        <w:t>).</w:t>
      </w:r>
    </w:p>
    <w:p w:rsidR="003C536D" w:rsidRPr="00AD2EDC" w:rsidRDefault="00C828E9" w:rsidP="00C828E9">
      <w:pPr>
        <w:spacing w:line="480" w:lineRule="auto"/>
        <w:ind w:left="0" w:firstLine="720"/>
      </w:pPr>
      <w:r>
        <w:t xml:space="preserve">David will graduate from UT with his Ph.D. in Political Science in December 2013.   </w:t>
      </w:r>
      <w:r w:rsidR="001F1986">
        <w:t xml:space="preserve">His </w:t>
      </w:r>
      <w:r>
        <w:t xml:space="preserve">major field of </w:t>
      </w:r>
      <w:r w:rsidR="001F23A7">
        <w:t xml:space="preserve">doctoral </w:t>
      </w:r>
      <w:r>
        <w:t xml:space="preserve">study is American Politics with a focus in </w:t>
      </w:r>
      <w:r w:rsidR="002E4123">
        <w:t>Public L</w:t>
      </w:r>
      <w:r>
        <w:t>aw</w:t>
      </w:r>
      <w:r w:rsidR="00396BE6">
        <w:t>, and his cross field concentration is Public Policy</w:t>
      </w:r>
      <w:r>
        <w:t xml:space="preserve">. </w:t>
      </w:r>
      <w:r w:rsidR="002E4123">
        <w:t xml:space="preserve"> </w:t>
      </w:r>
      <w:r w:rsidR="001F1986">
        <w:t xml:space="preserve">During his third year in the program, David </w:t>
      </w:r>
      <w:r w:rsidR="00CB53DA">
        <w:t xml:space="preserve">was awarded the </w:t>
      </w:r>
      <w:r w:rsidR="002E4123">
        <w:t>Otis Stephens Fellowship in Public Law.</w:t>
      </w:r>
      <w:r>
        <w:t xml:space="preserve"> </w:t>
      </w:r>
      <w:r w:rsidR="00396BE6">
        <w:t xml:space="preserve"> His</w:t>
      </w:r>
      <w:r w:rsidR="001F23A7">
        <w:t xml:space="preserve"> primary research interest pertains to interest group influence on the judicial process.  Other research interests include </w:t>
      </w:r>
      <w:r w:rsidR="00CB53DA">
        <w:t>American constitutional law, and the</w:t>
      </w:r>
      <w:r w:rsidR="001F23A7">
        <w:t xml:space="preserve"> </w:t>
      </w:r>
      <w:r w:rsidR="002E4123">
        <w:t>influence of religion on</w:t>
      </w:r>
      <w:r w:rsidR="002C08CE">
        <w:t xml:space="preserve"> the American political and legal</w:t>
      </w:r>
      <w:r w:rsidR="002E4123">
        <w:t xml:space="preserve"> landscapes</w:t>
      </w:r>
      <w:r w:rsidR="00CB53DA">
        <w:t>.</w:t>
      </w:r>
    </w:p>
    <w:p w:rsidR="006D44B4" w:rsidRDefault="006D44B4" w:rsidP="00AD2EDC">
      <w:pPr>
        <w:spacing w:line="480" w:lineRule="auto"/>
        <w:ind w:left="0" w:firstLine="0"/>
        <w:jc w:val="center"/>
        <w:rPr>
          <w:b/>
        </w:rPr>
      </w:pPr>
    </w:p>
    <w:p w:rsidR="006D44B4" w:rsidRPr="006D44B4" w:rsidRDefault="006D44B4" w:rsidP="006D44B4">
      <w:pPr>
        <w:ind w:left="0" w:firstLine="0"/>
        <w:jc w:val="center"/>
      </w:pPr>
    </w:p>
    <w:sectPr w:rsidR="006D44B4" w:rsidRPr="006D44B4" w:rsidSect="009C514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239" w:rsidRDefault="00D11239" w:rsidP="00D50941">
      <w:r>
        <w:separator/>
      </w:r>
    </w:p>
  </w:endnote>
  <w:endnote w:type="continuationSeparator" w:id="0">
    <w:p w:rsidR="00D11239" w:rsidRDefault="00D11239" w:rsidP="00D50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sig w:usb0="00000003" w:usb1="00000000" w:usb2="00000000" w:usb3="00000000" w:csb0="00000001" w:csb1="00000000"/>
  </w:font>
  <w:font w:name="TimesTen-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862095"/>
      <w:docPartObj>
        <w:docPartGallery w:val="Page Numbers (Bottom of Page)"/>
        <w:docPartUnique/>
      </w:docPartObj>
    </w:sdtPr>
    <w:sdtEndPr>
      <w:rPr>
        <w:noProof/>
      </w:rPr>
    </w:sdtEndPr>
    <w:sdtContent>
      <w:p w:rsidR="00B730DB" w:rsidRDefault="00B730DB">
        <w:pPr>
          <w:pStyle w:val="Footer"/>
          <w:jc w:val="right"/>
        </w:pPr>
        <w:r>
          <w:fldChar w:fldCharType="begin"/>
        </w:r>
        <w:r>
          <w:instrText xml:space="preserve"> PAGE   \* MERGEFORMAT </w:instrText>
        </w:r>
        <w:r>
          <w:fldChar w:fldCharType="separate"/>
        </w:r>
        <w:r w:rsidR="00BA5E26">
          <w:rPr>
            <w:noProof/>
          </w:rPr>
          <w:t>1</w:t>
        </w:r>
        <w:r>
          <w:rPr>
            <w:noProof/>
          </w:rPr>
          <w:fldChar w:fldCharType="end"/>
        </w:r>
      </w:p>
    </w:sdtContent>
  </w:sdt>
  <w:p w:rsidR="00B730DB" w:rsidRDefault="00B730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239" w:rsidRDefault="00D11239" w:rsidP="00D50941">
      <w:r>
        <w:separator/>
      </w:r>
    </w:p>
  </w:footnote>
  <w:footnote w:type="continuationSeparator" w:id="0">
    <w:p w:rsidR="00D11239" w:rsidRDefault="00D11239" w:rsidP="00D50941">
      <w:r>
        <w:continuationSeparator/>
      </w:r>
    </w:p>
  </w:footnote>
  <w:footnote w:id="1">
    <w:p w:rsidR="00B730DB" w:rsidRDefault="00B730DB">
      <w:pPr>
        <w:pStyle w:val="FootnoteText"/>
        <w:rPr>
          <w:szCs w:val="24"/>
        </w:rPr>
      </w:pPr>
      <w:r>
        <w:rPr>
          <w:rStyle w:val="FootnoteReference"/>
        </w:rPr>
        <w:footnoteRef/>
      </w:r>
      <w:r>
        <w:t xml:space="preserve">  </w:t>
      </w:r>
      <w:r w:rsidRPr="00A66909">
        <w:rPr>
          <w:rFonts w:cs="Times New Roman"/>
          <w:i/>
          <w:szCs w:val="24"/>
        </w:rPr>
        <w:t xml:space="preserve">National Federation of Independent Business v. </w:t>
      </w:r>
      <w:proofErr w:type="spellStart"/>
      <w:proofErr w:type="gramStart"/>
      <w:r w:rsidRPr="00A66909">
        <w:rPr>
          <w:rFonts w:cs="Times New Roman"/>
          <w:i/>
          <w:szCs w:val="24"/>
        </w:rPr>
        <w:t>Sebelius</w:t>
      </w:r>
      <w:proofErr w:type="spellEnd"/>
      <w:r>
        <w:rPr>
          <w:rFonts w:cs="Times New Roman"/>
          <w:i/>
          <w:szCs w:val="24"/>
        </w:rPr>
        <w:t xml:space="preserve">  </w:t>
      </w:r>
      <w:r>
        <w:rPr>
          <w:rFonts w:cs="Times New Roman"/>
          <w:szCs w:val="24"/>
        </w:rPr>
        <w:t>(</w:t>
      </w:r>
      <w:proofErr w:type="gramEnd"/>
      <w:r>
        <w:rPr>
          <w:rFonts w:cs="Times New Roman"/>
          <w:szCs w:val="24"/>
        </w:rPr>
        <w:t xml:space="preserve">2012) </w:t>
      </w:r>
      <w:r>
        <w:t xml:space="preserve">was the lead docket (11-393) of the broader consolidated PPACA case, including </w:t>
      </w:r>
      <w:r>
        <w:rPr>
          <w:i/>
          <w:szCs w:val="24"/>
        </w:rPr>
        <w:t xml:space="preserve">Department of Health and Human Services v. Florida </w:t>
      </w:r>
      <w:r>
        <w:rPr>
          <w:szCs w:val="24"/>
        </w:rPr>
        <w:t xml:space="preserve">(11-398) (2012), and </w:t>
      </w:r>
      <w:r>
        <w:rPr>
          <w:i/>
          <w:szCs w:val="24"/>
        </w:rPr>
        <w:t xml:space="preserve">Florida vs. Department of Health and Human Services </w:t>
      </w:r>
      <w:r>
        <w:rPr>
          <w:szCs w:val="24"/>
        </w:rPr>
        <w:t xml:space="preserve">(11-400) (2012). </w:t>
      </w:r>
    </w:p>
    <w:p w:rsidR="00B730DB" w:rsidRDefault="00B730DB">
      <w:pPr>
        <w:pStyle w:val="FootnoteText"/>
      </w:pPr>
    </w:p>
  </w:footnote>
  <w:footnote w:id="2">
    <w:p w:rsidR="00B730DB" w:rsidRPr="00EF3F12" w:rsidRDefault="00B730DB" w:rsidP="002D4A21">
      <w:pPr>
        <w:rPr>
          <w:rFonts w:cs="Times New Roman"/>
          <w:sz w:val="20"/>
          <w:szCs w:val="20"/>
        </w:rPr>
      </w:pPr>
      <w:r w:rsidRPr="00EF3F12">
        <w:rPr>
          <w:rStyle w:val="FootnoteReference"/>
          <w:sz w:val="20"/>
          <w:szCs w:val="20"/>
        </w:rPr>
        <w:footnoteRef/>
      </w:r>
      <w:r w:rsidRPr="00EF3F12">
        <w:rPr>
          <w:sz w:val="20"/>
          <w:szCs w:val="20"/>
        </w:rPr>
        <w:t xml:space="preserve"> </w:t>
      </w:r>
      <w:r>
        <w:rPr>
          <w:sz w:val="20"/>
          <w:szCs w:val="20"/>
        </w:rPr>
        <w:t xml:space="preserve">A flavor of the variety of amici curiae participating in the </w:t>
      </w:r>
      <w:r w:rsidRPr="00EF3F12">
        <w:rPr>
          <w:rFonts w:cs="Times New Roman"/>
          <w:sz w:val="20"/>
          <w:szCs w:val="20"/>
        </w:rPr>
        <w:t>in the PPACA consolidated case</w:t>
      </w:r>
      <w:r>
        <w:rPr>
          <w:rFonts w:cs="Times New Roman"/>
          <w:sz w:val="20"/>
          <w:szCs w:val="20"/>
        </w:rPr>
        <w:t xml:space="preserve">: </w:t>
      </w:r>
      <w:r w:rsidRPr="00EF3F12">
        <w:rPr>
          <w:rFonts w:cs="Times New Roman"/>
          <w:sz w:val="20"/>
          <w:szCs w:val="20"/>
        </w:rPr>
        <w:t xml:space="preserve">the American Association of Retired Persons (AARP), </w:t>
      </w:r>
      <w:r>
        <w:rPr>
          <w:rFonts w:cs="Times New Roman"/>
          <w:sz w:val="20"/>
          <w:szCs w:val="20"/>
        </w:rPr>
        <w:t xml:space="preserve">American Academy of Actuaries, </w:t>
      </w:r>
      <w:r w:rsidRPr="00EF3F12">
        <w:rPr>
          <w:rFonts w:cs="Times New Roman"/>
          <w:sz w:val="20"/>
          <w:szCs w:val="20"/>
        </w:rPr>
        <w:t xml:space="preserve">Blue Cross and Blue Shield of Massachusetts, Cato Institute, Montana Shooting Sports Association, U.S. Senator Rand Paul (R-KY), U.S. Speaker of the House John Boehner (R-OH), U.S. Senate Majority Leader Harry Reid (D-NV) NAACP Legal Defense and Educational Fund, Inc., Lambda Legal Defense Fund, Inc., Governor of Washington Christine </w:t>
      </w:r>
      <w:proofErr w:type="spellStart"/>
      <w:r w:rsidRPr="00EF3F12">
        <w:rPr>
          <w:rFonts w:cs="Times New Roman"/>
          <w:sz w:val="20"/>
          <w:szCs w:val="20"/>
        </w:rPr>
        <w:t>Gregoire</w:t>
      </w:r>
      <w:proofErr w:type="spellEnd"/>
      <w:r w:rsidRPr="00EF3F12">
        <w:rPr>
          <w:rFonts w:cs="Times New Roman"/>
          <w:sz w:val="20"/>
          <w:szCs w:val="20"/>
        </w:rPr>
        <w:t xml:space="preserve">, AFL-CIO, </w:t>
      </w:r>
      <w:r>
        <w:rPr>
          <w:rFonts w:cs="Times New Roman"/>
          <w:sz w:val="20"/>
          <w:szCs w:val="20"/>
        </w:rPr>
        <w:t xml:space="preserve">Benjamin Rush Society, Alliance Defense Fund,  </w:t>
      </w:r>
      <w:r w:rsidRPr="00EF3F12">
        <w:rPr>
          <w:rFonts w:cs="Times New Roman"/>
          <w:sz w:val="20"/>
          <w:szCs w:val="20"/>
        </w:rPr>
        <w:t xml:space="preserve">American Nurses Association, American Center for Law and Justice, Foundation for Moral Law, Liberty Legal Foundation, </w:t>
      </w:r>
      <w:r>
        <w:rPr>
          <w:rFonts w:cs="Times New Roman"/>
          <w:sz w:val="20"/>
          <w:szCs w:val="20"/>
        </w:rPr>
        <w:t xml:space="preserve">Rutherford Institute, </w:t>
      </w:r>
      <w:r w:rsidRPr="00EF3F12">
        <w:rPr>
          <w:rFonts w:cs="Times New Roman"/>
          <w:sz w:val="20"/>
          <w:szCs w:val="20"/>
        </w:rPr>
        <w:t xml:space="preserve">state of Oklahoma, </w:t>
      </w:r>
      <w:r>
        <w:rPr>
          <w:rFonts w:cs="Times New Roman"/>
          <w:sz w:val="20"/>
          <w:szCs w:val="20"/>
        </w:rPr>
        <w:t xml:space="preserve">state of Maryland, </w:t>
      </w:r>
      <w:r w:rsidRPr="00EF3F12">
        <w:rPr>
          <w:rFonts w:cs="Times New Roman"/>
          <w:sz w:val="20"/>
          <w:szCs w:val="20"/>
        </w:rPr>
        <w:t>Independent Women’s Forum, National Restaurant Association,</w:t>
      </w:r>
      <w:r>
        <w:rPr>
          <w:rFonts w:cs="Times New Roman"/>
          <w:sz w:val="20"/>
          <w:szCs w:val="20"/>
        </w:rPr>
        <w:t xml:space="preserve"> </w:t>
      </w:r>
      <w:r w:rsidRPr="00EF3F12">
        <w:rPr>
          <w:rFonts w:cs="Times New Roman"/>
          <w:sz w:val="20"/>
          <w:szCs w:val="20"/>
        </w:rPr>
        <w:t xml:space="preserve"> American Medical Student Association, </w:t>
      </w:r>
      <w:r>
        <w:rPr>
          <w:rFonts w:cs="Times New Roman"/>
          <w:sz w:val="20"/>
          <w:szCs w:val="20"/>
        </w:rPr>
        <w:t xml:space="preserve">American Cancer Society, Christian Medical and Dental Association, </w:t>
      </w:r>
      <w:r w:rsidRPr="00EF3F12">
        <w:rPr>
          <w:rFonts w:cs="Times New Roman"/>
          <w:sz w:val="20"/>
          <w:szCs w:val="20"/>
        </w:rPr>
        <w:t>Washington and Lee University School of Law Black Lung Clinic,</w:t>
      </w:r>
      <w:r>
        <w:rPr>
          <w:rFonts w:cs="Times New Roman"/>
          <w:sz w:val="20"/>
          <w:szCs w:val="20"/>
        </w:rPr>
        <w:t xml:space="preserve"> </w:t>
      </w:r>
      <w:r w:rsidRPr="00EF3F12">
        <w:rPr>
          <w:rFonts w:cs="Times New Roman"/>
          <w:sz w:val="20"/>
          <w:szCs w:val="20"/>
        </w:rPr>
        <w:t xml:space="preserve">Tax Foundation, along with many individual economists, constitutional law scholars and law professors, physicians, </w:t>
      </w:r>
      <w:r>
        <w:rPr>
          <w:rFonts w:cs="Times New Roman"/>
          <w:sz w:val="20"/>
          <w:szCs w:val="20"/>
        </w:rPr>
        <w:t xml:space="preserve"> and </w:t>
      </w:r>
      <w:r w:rsidRPr="00EF3F12">
        <w:rPr>
          <w:rFonts w:cs="Times New Roman"/>
          <w:sz w:val="20"/>
          <w:szCs w:val="20"/>
        </w:rPr>
        <w:t>state legislators, among numerous others.</w:t>
      </w:r>
    </w:p>
    <w:p w:rsidR="00B730DB" w:rsidRDefault="00B730DB">
      <w:pPr>
        <w:pStyle w:val="FootnoteText"/>
      </w:pPr>
    </w:p>
  </w:footnote>
  <w:footnote w:id="3">
    <w:p w:rsidR="00B730DB" w:rsidRPr="00C2464A" w:rsidRDefault="00B730DB" w:rsidP="00F324AC">
      <w:pPr>
        <w:rPr>
          <w:rFonts w:cs="Times New Roman"/>
          <w:sz w:val="20"/>
          <w:szCs w:val="20"/>
        </w:rPr>
      </w:pPr>
      <w:r w:rsidRPr="00C2464A">
        <w:rPr>
          <w:rStyle w:val="FootnoteReference"/>
          <w:sz w:val="20"/>
          <w:szCs w:val="20"/>
        </w:rPr>
        <w:footnoteRef/>
      </w:r>
      <w:r w:rsidRPr="00C2464A">
        <w:rPr>
          <w:sz w:val="20"/>
          <w:szCs w:val="20"/>
        </w:rPr>
        <w:t xml:space="preserve"> </w:t>
      </w:r>
      <w:r w:rsidRPr="00C2464A">
        <w:rPr>
          <w:rFonts w:cs="Times New Roman"/>
          <w:sz w:val="20"/>
          <w:szCs w:val="20"/>
        </w:rPr>
        <w:t>This phenomenon only occurred one time in the Roberts Court era prior to the 2011 term (Howard 2012, 87) (</w:t>
      </w:r>
      <w:r w:rsidRPr="00C2464A">
        <w:rPr>
          <w:sz w:val="20"/>
          <w:szCs w:val="20"/>
        </w:rPr>
        <w:t xml:space="preserve">See </w:t>
      </w:r>
      <w:r w:rsidRPr="00C2464A">
        <w:rPr>
          <w:i/>
          <w:sz w:val="20"/>
          <w:szCs w:val="20"/>
        </w:rPr>
        <w:t>Jones v. Flowers</w:t>
      </w:r>
      <w:r w:rsidRPr="00C2464A">
        <w:rPr>
          <w:sz w:val="20"/>
          <w:szCs w:val="20"/>
        </w:rPr>
        <w:t xml:space="preserve">, 547 U.S. 220, 239 (2006)). </w:t>
      </w:r>
      <w:r w:rsidRPr="00C2464A">
        <w:rPr>
          <w:rFonts w:cs="Times New Roman"/>
          <w:sz w:val="20"/>
          <w:szCs w:val="20"/>
        </w:rPr>
        <w:t xml:space="preserve">Interestingly, this same voting alignment appeared once more in the 2011 term, in the much anticipated case of </w:t>
      </w:r>
      <w:r w:rsidRPr="00C2464A">
        <w:rPr>
          <w:rFonts w:cs="Times New Roman"/>
          <w:i/>
          <w:sz w:val="20"/>
          <w:szCs w:val="20"/>
        </w:rPr>
        <w:t xml:space="preserve">Arizona v. United States </w:t>
      </w:r>
      <w:r w:rsidRPr="00C2464A">
        <w:rPr>
          <w:rFonts w:cs="Times New Roman"/>
          <w:sz w:val="20"/>
          <w:szCs w:val="20"/>
        </w:rPr>
        <w:t xml:space="preserve">(2012), in which Chief Justice Roberts joined with the four liberal justices in striking most sections of Arizona’s immigration laws based upon the doctrine of federal preemption. </w:t>
      </w:r>
    </w:p>
    <w:p w:rsidR="00B730DB" w:rsidRDefault="00B730DB">
      <w:pPr>
        <w:pStyle w:val="FootnoteText"/>
      </w:pPr>
    </w:p>
  </w:footnote>
  <w:footnote w:id="4">
    <w:p w:rsidR="00B730DB" w:rsidRDefault="00B730DB">
      <w:pPr>
        <w:pStyle w:val="FootnoteText"/>
      </w:pPr>
      <w:r>
        <w:rPr>
          <w:rStyle w:val="FootnoteReference"/>
        </w:rPr>
        <w:footnoteRef/>
      </w:r>
      <w:r>
        <w:t xml:space="preserve"> “Amicus curiae” is the singular form of the term.  “Amici curiae” is the plural form (“friends of the court”).  Throughout this work, I will use “amicus curiae” or “amicus” to refer to a single third party friend of the court; likewise, I will use “amici curiae” or “amici” to refer to two or more third party friends of the court.   While these terms are often used interchangeably in the literature, I strive to be accurate in my usage of the terms in this study. </w:t>
      </w:r>
    </w:p>
  </w:footnote>
  <w:footnote w:id="5">
    <w:p w:rsidR="00B730DB" w:rsidRPr="0017693D" w:rsidRDefault="00B730DB" w:rsidP="0017693D">
      <w:pPr>
        <w:rPr>
          <w:szCs w:val="24"/>
        </w:rPr>
      </w:pPr>
      <w:r>
        <w:rPr>
          <w:rStyle w:val="FootnoteReference"/>
        </w:rPr>
        <w:footnoteRef/>
      </w:r>
      <w:r>
        <w:t xml:space="preserve"> </w:t>
      </w:r>
      <w:r>
        <w:rPr>
          <w:sz w:val="20"/>
          <w:szCs w:val="20"/>
        </w:rPr>
        <w:t>See however,</w:t>
      </w:r>
      <w:r w:rsidRPr="0017693D">
        <w:rPr>
          <w:sz w:val="20"/>
          <w:szCs w:val="20"/>
        </w:rPr>
        <w:t xml:space="preserve"> Banner (2003, 113), </w:t>
      </w:r>
      <w:r>
        <w:rPr>
          <w:sz w:val="20"/>
          <w:szCs w:val="20"/>
        </w:rPr>
        <w:t>who examines</w:t>
      </w:r>
      <w:r w:rsidRPr="0017693D">
        <w:rPr>
          <w:sz w:val="20"/>
          <w:szCs w:val="20"/>
        </w:rPr>
        <w:t xml:space="preserve"> amicus act</w:t>
      </w:r>
      <w:r>
        <w:rPr>
          <w:sz w:val="20"/>
          <w:szCs w:val="20"/>
        </w:rPr>
        <w:t>ivity in the nineteenth century in the United States and</w:t>
      </w:r>
      <w:r w:rsidRPr="0017693D">
        <w:rPr>
          <w:sz w:val="20"/>
          <w:szCs w:val="20"/>
        </w:rPr>
        <w:t xml:space="preserve"> concludes that there never was a time in American jurisprudence that amici acted in a solely neutral and advisory capacity; instead the partisan role of the amicus has always been the norm (Collins 2008, 40).</w:t>
      </w:r>
    </w:p>
    <w:p w:rsidR="00B730DB" w:rsidRDefault="00B730DB">
      <w:pPr>
        <w:pStyle w:val="FootnoteText"/>
      </w:pPr>
    </w:p>
  </w:footnote>
  <w:footnote w:id="6">
    <w:p w:rsidR="00B730DB" w:rsidRDefault="00B730DB">
      <w:pPr>
        <w:pStyle w:val="FootnoteText"/>
      </w:pPr>
      <w:r>
        <w:rPr>
          <w:rStyle w:val="FootnoteReference"/>
        </w:rPr>
        <w:footnoteRef/>
      </w:r>
      <w:r>
        <w:t xml:space="preserve"> 518 U.S. 1</w:t>
      </w:r>
    </w:p>
    <w:p w:rsidR="00B730DB" w:rsidRDefault="00B730DB">
      <w:pPr>
        <w:pStyle w:val="FootnoteText"/>
      </w:pPr>
    </w:p>
  </w:footnote>
  <w:footnote w:id="7">
    <w:p w:rsidR="00B730DB" w:rsidRDefault="00B730DB">
      <w:pPr>
        <w:pStyle w:val="FootnoteText"/>
      </w:pPr>
      <w:r>
        <w:rPr>
          <w:rStyle w:val="FootnoteReference"/>
        </w:rPr>
        <w:footnoteRef/>
      </w:r>
      <w:r>
        <w:t xml:space="preserve"> Legal formalists argue that the USSC is not inherently political or subject to interest group pressures that plague the other branches of government; rather judges can be constrained by legal doctrine and objective in their application of it.  In contrast, legal realists assert that ideology and contextual factors are the driving force behind judicial decision-making, not simply doctrine (Simmons 2009, </w:t>
      </w:r>
      <w:proofErr w:type="gramStart"/>
      <w:r>
        <w:t>188 fn.6</w:t>
      </w:r>
      <w:proofErr w:type="gramEnd"/>
      <w:r>
        <w:t>).</w:t>
      </w:r>
    </w:p>
  </w:footnote>
  <w:footnote w:id="8">
    <w:p w:rsidR="00B730DB" w:rsidRPr="00997076" w:rsidRDefault="00B730DB" w:rsidP="00997076">
      <w:pPr>
        <w:pStyle w:val="FootnoteText"/>
      </w:pPr>
      <w:r>
        <w:rPr>
          <w:rStyle w:val="FootnoteReference"/>
        </w:rPr>
        <w:footnoteRef/>
      </w:r>
      <w:r>
        <w:t xml:space="preserve"> For example, Kurland and Hutchinson (1983, 647) assert that amicus briefs are a “waste of time, effort, and money in a useless function.”   See also, Richard Posner, Chief Judge of the Seventh Circuit Court of Appeals, who writes that amicus briefs filed in his court provide little or no assistance to judges because they largely duplicate the positions and arguments advanced by the parties (</w:t>
      </w:r>
      <w:r w:rsidRPr="00997076">
        <w:rPr>
          <w:bCs/>
          <w:i/>
        </w:rPr>
        <w:t xml:space="preserve">Ryan v. Commodity Futures Trading </w:t>
      </w:r>
      <w:proofErr w:type="spellStart"/>
      <w:r w:rsidRPr="00997076">
        <w:rPr>
          <w:bCs/>
          <w:i/>
        </w:rPr>
        <w:t>Comm'n</w:t>
      </w:r>
      <w:proofErr w:type="spellEnd"/>
      <w:r w:rsidRPr="00997076">
        <w:rPr>
          <w:bCs/>
        </w:rPr>
        <w:t>, 125 F.3d 1062, 1063 (7th Cir. 1997) (</w:t>
      </w:r>
      <w:proofErr w:type="spellStart"/>
      <w:r w:rsidRPr="00997076">
        <w:rPr>
          <w:bCs/>
        </w:rPr>
        <w:t>Posner,J</w:t>
      </w:r>
      <w:proofErr w:type="spellEnd"/>
      <w:r w:rsidRPr="00997076">
        <w:rPr>
          <w:bCs/>
        </w:rPr>
        <w:t>., in chambers)</w:t>
      </w:r>
      <w:r>
        <w:rPr>
          <w:bCs/>
        </w:rPr>
        <w:t>.</w:t>
      </w:r>
    </w:p>
  </w:footnote>
  <w:footnote w:id="9">
    <w:p w:rsidR="00B730DB" w:rsidRDefault="00B730DB">
      <w:pPr>
        <w:pStyle w:val="FootnoteText"/>
      </w:pPr>
      <w:r>
        <w:rPr>
          <w:rStyle w:val="FootnoteReference"/>
        </w:rPr>
        <w:footnoteRef/>
      </w:r>
      <w:r>
        <w:t xml:space="preserve"> See also </w:t>
      </w:r>
      <w:proofErr w:type="spellStart"/>
      <w:r>
        <w:t>Puro</w:t>
      </w:r>
      <w:proofErr w:type="spellEnd"/>
      <w:r>
        <w:t xml:space="preserve"> (1971, 21), who describes three basic functions of amicus briefs: (1) to strengthen, through repetition and endorsement, the arguments of one of the litigants; (2) to supplement the arguments by using materials or slants that are not purely legal and might not be suitable for the principal’s use; and (3) to frame arguments that raise legal issues of broader implication than those raised by the counsel for the principal. </w:t>
      </w:r>
    </w:p>
    <w:p w:rsidR="00B730DB" w:rsidRDefault="00B730DB">
      <w:pPr>
        <w:pStyle w:val="FootnoteText"/>
      </w:pPr>
      <w:r>
        <w:t xml:space="preserve"> </w:t>
      </w:r>
    </w:p>
  </w:footnote>
  <w:footnote w:id="10">
    <w:p w:rsidR="00B730DB" w:rsidRPr="00997076" w:rsidRDefault="00B730DB">
      <w:pPr>
        <w:pStyle w:val="FootnoteText"/>
      </w:pPr>
      <w:r w:rsidRPr="00997076">
        <w:rPr>
          <w:rStyle w:val="FootnoteReference"/>
        </w:rPr>
        <w:footnoteRef/>
      </w:r>
      <w:r w:rsidRPr="00997076">
        <w:t xml:space="preserve"> However, see Barker (1967), who details the dramatic participation of interest groups in the areas of racial segregation and legislative redistricting. In particular, Barker highlights the success of the NAACP in its litigation sponsorship strategy in a series of segregation cases to achieve its policy goals, culminating in </w:t>
      </w:r>
      <w:r w:rsidRPr="00997076">
        <w:rPr>
          <w:i/>
        </w:rPr>
        <w:t>Brown v. Board of Education of Topeka</w:t>
      </w:r>
      <w:r w:rsidRPr="00997076">
        <w:t xml:space="preserve"> (1954).</w:t>
      </w:r>
    </w:p>
    <w:p w:rsidR="00B730DB" w:rsidRPr="00997076" w:rsidRDefault="00B730DB">
      <w:pPr>
        <w:pStyle w:val="FootnoteText"/>
      </w:pPr>
    </w:p>
  </w:footnote>
  <w:footnote w:id="11">
    <w:p w:rsidR="00B730DB" w:rsidRPr="00997076" w:rsidRDefault="00B730DB">
      <w:pPr>
        <w:pStyle w:val="FootnoteText"/>
      </w:pPr>
      <w:r w:rsidRPr="00997076">
        <w:rPr>
          <w:rStyle w:val="FootnoteReference"/>
        </w:rPr>
        <w:footnoteRef/>
      </w:r>
      <w:r w:rsidRPr="00997076">
        <w:t xml:space="preserve"> </w:t>
      </w:r>
      <w:proofErr w:type="spellStart"/>
      <w:r w:rsidRPr="00997076">
        <w:t>Calderia</w:t>
      </w:r>
      <w:proofErr w:type="spellEnd"/>
      <w:r w:rsidRPr="00997076">
        <w:t xml:space="preserve"> </w:t>
      </w:r>
      <w:r>
        <w:t>and</w:t>
      </w:r>
      <w:r w:rsidRPr="00997076">
        <w:t xml:space="preserve"> Wright (1990) show that all types of amici (except the United States and counties) participated more often at the merits stage than at the certiorari stage</w:t>
      </w:r>
    </w:p>
    <w:p w:rsidR="00B730DB" w:rsidRPr="00997076" w:rsidRDefault="00B730DB">
      <w:pPr>
        <w:pStyle w:val="FootnoteText"/>
      </w:pPr>
    </w:p>
  </w:footnote>
  <w:footnote w:id="12">
    <w:p w:rsidR="00B730DB" w:rsidRPr="00997076" w:rsidRDefault="00B730DB">
      <w:pPr>
        <w:pStyle w:val="FootnoteText"/>
      </w:pPr>
      <w:r w:rsidRPr="00997076">
        <w:rPr>
          <w:rStyle w:val="FootnoteReference"/>
        </w:rPr>
        <w:footnoteRef/>
      </w:r>
      <w:r w:rsidRPr="00997076">
        <w:t xml:space="preserve"> Gibson (1997) shows that from 1953 to 1997, amici presented oral argumentation in less than six percent of orally argued cases before the USSC.</w:t>
      </w:r>
    </w:p>
    <w:p w:rsidR="00B730DB" w:rsidRDefault="00B730DB">
      <w:pPr>
        <w:pStyle w:val="FootnoteText"/>
      </w:pPr>
    </w:p>
  </w:footnote>
  <w:footnote w:id="13">
    <w:p w:rsidR="00B730DB" w:rsidRPr="00095B01" w:rsidRDefault="00B730DB">
      <w:pPr>
        <w:pStyle w:val="FootnoteText"/>
        <w:rPr>
          <w:rFonts w:cs="Times New Roman"/>
        </w:rPr>
      </w:pPr>
      <w:r>
        <w:rPr>
          <w:rStyle w:val="FootnoteReference"/>
        </w:rPr>
        <w:footnoteRef/>
      </w:r>
      <w:r>
        <w:t xml:space="preserve"> </w:t>
      </w:r>
      <w:r w:rsidRPr="00095B01">
        <w:t xml:space="preserve">For example, </w:t>
      </w:r>
      <w:r w:rsidRPr="00095B01">
        <w:rPr>
          <w:rFonts w:cs="Times New Roman"/>
        </w:rPr>
        <w:t>O’Connor and Epstein (1983) report that, from 1969 to 1981, the USSC denied permission to file in only eleven percent of motions for leave.</w:t>
      </w:r>
    </w:p>
    <w:p w:rsidR="00B730DB" w:rsidRPr="00095B01" w:rsidRDefault="00B730DB">
      <w:pPr>
        <w:pStyle w:val="FootnoteText"/>
      </w:pPr>
    </w:p>
  </w:footnote>
  <w:footnote w:id="14">
    <w:p w:rsidR="00B730DB" w:rsidRDefault="00B730DB">
      <w:pPr>
        <w:pStyle w:val="FootnoteText"/>
      </w:pPr>
      <w:r>
        <w:rPr>
          <w:rStyle w:val="FootnoteReference"/>
        </w:rPr>
        <w:footnoteRef/>
      </w:r>
      <w:r>
        <w:t xml:space="preserve"> Justice Black stated, “</w:t>
      </w:r>
      <w:proofErr w:type="gramStart"/>
      <w:r>
        <w:t>the</w:t>
      </w:r>
      <w:proofErr w:type="gramEnd"/>
      <w:r>
        <w:t xml:space="preserve"> Court’s rule regarding the filing of briefs amici curiae should be liberalized” (343 U.S. 924, at 925). Justice Frankfurter’s opinion suggested the same and implied that amicus briefs improve the justices’ decision-making.</w:t>
      </w:r>
    </w:p>
    <w:p w:rsidR="00B730DB" w:rsidRDefault="00B730DB">
      <w:pPr>
        <w:pStyle w:val="FootnoteText"/>
      </w:pPr>
    </w:p>
  </w:footnote>
  <w:footnote w:id="15">
    <w:p w:rsidR="00B730DB" w:rsidRPr="00C54E69" w:rsidRDefault="00B730DB" w:rsidP="00095B01">
      <w:pPr>
        <w:pStyle w:val="FootnoteText"/>
      </w:pPr>
      <w:r w:rsidRPr="00C54E69">
        <w:rPr>
          <w:rStyle w:val="FootnoteReference"/>
        </w:rPr>
        <w:footnoteRef/>
      </w:r>
      <w:r w:rsidRPr="00C54E69">
        <w:t xml:space="preserve"> According to Roberts (2009, 51-52), </w:t>
      </w:r>
      <w:proofErr w:type="gramStart"/>
      <w:r w:rsidRPr="00C54E69">
        <w:t>between 1953 – 1985,</w:t>
      </w:r>
      <w:proofErr w:type="gramEnd"/>
      <w:r w:rsidRPr="00C54E69">
        <w:t xml:space="preserve"> 433 amici presented</w:t>
      </w:r>
      <w:r>
        <w:t xml:space="preserve"> oral arguments before the USSC</w:t>
      </w:r>
      <w:r w:rsidRPr="00C54E69">
        <w:t xml:space="preserve"> in 347 different cases.  The United States accounted for 276 of these appearances.</w:t>
      </w:r>
    </w:p>
    <w:p w:rsidR="00B730DB" w:rsidRPr="00C54E69" w:rsidRDefault="00B730DB" w:rsidP="00095B01">
      <w:pPr>
        <w:pStyle w:val="FootnoteText"/>
      </w:pPr>
    </w:p>
  </w:footnote>
  <w:footnote w:id="16">
    <w:p w:rsidR="00B730DB" w:rsidRDefault="00B730DB">
      <w:pPr>
        <w:pStyle w:val="FootnoteText"/>
      </w:pPr>
      <w:r w:rsidRPr="00C54E69">
        <w:rPr>
          <w:rStyle w:val="FootnoteReference"/>
        </w:rPr>
        <w:footnoteRef/>
      </w:r>
      <w:r w:rsidRPr="00C54E69">
        <w:t xml:space="preserve"> The term “cosigners” is sometimes used to distinguish the individual or group that initiated the brief from others that signed onto it.  Following Box-</w:t>
      </w:r>
      <w:proofErr w:type="spellStart"/>
      <w:r w:rsidRPr="00C54E69">
        <w:t>Steffesnmeier</w:t>
      </w:r>
      <w:proofErr w:type="spellEnd"/>
      <w:r w:rsidRPr="00C54E69">
        <w:t xml:space="preserve"> </w:t>
      </w:r>
      <w:r>
        <w:t>and</w:t>
      </w:r>
      <w:r w:rsidRPr="00C54E69">
        <w:t xml:space="preserve"> Christenson (2012) and Gibson (1997), I use the term to refer to every amicus participant listed on the brief.</w:t>
      </w:r>
    </w:p>
  </w:footnote>
  <w:footnote w:id="17">
    <w:p w:rsidR="00B730DB" w:rsidRPr="00C54E69" w:rsidRDefault="00B730DB">
      <w:pPr>
        <w:pStyle w:val="FootnoteText"/>
      </w:pPr>
      <w:r w:rsidRPr="00C54E69">
        <w:rPr>
          <w:rStyle w:val="FootnoteReference"/>
        </w:rPr>
        <w:footnoteRef/>
      </w:r>
      <w:r w:rsidRPr="00C54E69">
        <w:t xml:space="preserve"> Despite a </w:t>
      </w:r>
      <w:proofErr w:type="spellStart"/>
      <w:r w:rsidRPr="00C54E69">
        <w:t>countermajoritarian</w:t>
      </w:r>
      <w:proofErr w:type="spellEnd"/>
      <w:r w:rsidRPr="00C54E69">
        <w:t xml:space="preserve"> reputation, the literature shows that the USSC is often a part of the dominant national political coalition (Dahl 1957; Funston 1975) and its decisions are most often consistent with public preferences, even when they protect minority interests (Barnum 1985).  Accordingly, despite the Judiciary’s status as an independent institution, it is evident that justices adjust their decisions at the margins “toward a compromise that avoids active political opposition and pays some attention to what the public wants” (</w:t>
      </w:r>
      <w:proofErr w:type="spellStart"/>
      <w:r w:rsidRPr="00C54E69">
        <w:t>Flemming</w:t>
      </w:r>
      <w:proofErr w:type="spellEnd"/>
      <w:r w:rsidRPr="00C54E69">
        <w:t xml:space="preserve"> and Wood 1997, 494).  </w:t>
      </w:r>
    </w:p>
  </w:footnote>
  <w:footnote w:id="18">
    <w:p w:rsidR="00B730DB" w:rsidRDefault="00B730DB">
      <w:pPr>
        <w:pStyle w:val="FootnoteText"/>
      </w:pPr>
      <w:r>
        <w:rPr>
          <w:rStyle w:val="FootnoteReference"/>
        </w:rPr>
        <w:footnoteRef/>
      </w:r>
      <w:r>
        <w:t xml:space="preserve"> Chandler excludes governmental entities and individuals from his analysis.</w:t>
      </w:r>
    </w:p>
  </w:footnote>
  <w:footnote w:id="19">
    <w:p w:rsidR="00B730DB" w:rsidRDefault="00B730DB">
      <w:pPr>
        <w:pStyle w:val="FootnoteText"/>
      </w:pPr>
      <w:r>
        <w:rPr>
          <w:rStyle w:val="FootnoteReference"/>
        </w:rPr>
        <w:footnoteRef/>
      </w:r>
      <w:r>
        <w:t xml:space="preserve"> </w:t>
      </w:r>
      <w:proofErr w:type="spellStart"/>
      <w:r>
        <w:t>Puro</w:t>
      </w:r>
      <w:proofErr w:type="spellEnd"/>
      <w:r>
        <w:t xml:space="preserve"> (1972, 101,103-04) found that the Solicitor General had a success rate of 77 percent, the ACLU 65 percent, and the AFL-CIO 66 percent.</w:t>
      </w:r>
    </w:p>
  </w:footnote>
  <w:footnote w:id="20">
    <w:p w:rsidR="00B730DB" w:rsidRDefault="00B730DB">
      <w:pPr>
        <w:pStyle w:val="FootnoteText"/>
      </w:pPr>
      <w:r>
        <w:rPr>
          <w:rStyle w:val="FootnoteReference"/>
        </w:rPr>
        <w:footnoteRef/>
      </w:r>
      <w:r>
        <w:t xml:space="preserve"> Kearney and Merrill’s (2000) study is based upon counts of the total number of amicus briefs filed on behalf of the petitioner and the respondent from 1946-1995.  The study also tracks the success rates of four institutional litigants – Solicitor General, ACLU, AFL-CIO, and the States – and compares them to the benchmark rate of success.</w:t>
      </w:r>
    </w:p>
  </w:footnote>
  <w:footnote w:id="21">
    <w:p w:rsidR="00B730DB" w:rsidRDefault="00B730DB" w:rsidP="002B2216">
      <w:pPr>
        <w:pStyle w:val="FootnoteText"/>
        <w:ind w:left="0" w:firstLine="0"/>
      </w:pPr>
      <w:r>
        <w:rPr>
          <w:rStyle w:val="FootnoteReference"/>
        </w:rPr>
        <w:footnoteRef/>
      </w:r>
      <w:r>
        <w:t xml:space="preserve"> See e.g., </w:t>
      </w:r>
      <w:proofErr w:type="spellStart"/>
      <w:r>
        <w:t>Ivers</w:t>
      </w:r>
      <w:proofErr w:type="spellEnd"/>
      <w:r>
        <w:t xml:space="preserve"> and O’Conner (1987), studying the success rate of the ACLU; also </w:t>
      </w:r>
      <w:proofErr w:type="spellStart"/>
      <w:r>
        <w:t>Puro</w:t>
      </w:r>
      <w:proofErr w:type="spellEnd"/>
      <w:r>
        <w:t xml:space="preserve"> (1971), discussing the success rates of each of these four amici.</w:t>
      </w:r>
    </w:p>
  </w:footnote>
  <w:footnote w:id="22">
    <w:p w:rsidR="00B730DB" w:rsidRPr="00C700EB" w:rsidRDefault="00B730DB" w:rsidP="0036430C">
      <w:pPr>
        <w:autoSpaceDE w:val="0"/>
        <w:autoSpaceDN w:val="0"/>
        <w:adjustRightInd w:val="0"/>
        <w:rPr>
          <w:rFonts w:ascii="TimesTen-Roman" w:hAnsi="TimesTen-Roman" w:cs="TimesTen-Roman"/>
          <w:sz w:val="20"/>
          <w:szCs w:val="20"/>
        </w:rPr>
      </w:pPr>
      <w:r w:rsidRPr="00C700EB">
        <w:rPr>
          <w:rStyle w:val="FootnoteReference"/>
          <w:sz w:val="20"/>
          <w:szCs w:val="20"/>
        </w:rPr>
        <w:footnoteRef/>
      </w:r>
      <w:r w:rsidRPr="00C700EB">
        <w:rPr>
          <w:sz w:val="20"/>
          <w:szCs w:val="20"/>
        </w:rPr>
        <w:t xml:space="preserve"> </w:t>
      </w:r>
      <w:r w:rsidRPr="00C700EB">
        <w:rPr>
          <w:rFonts w:cs="Times New Roman"/>
          <w:sz w:val="20"/>
          <w:szCs w:val="20"/>
        </w:rPr>
        <w:t>The authors use eigenvector centrality to capture the notion that the groups best positioned in the network are pivotal actors before the USSC. As explained by Box-</w:t>
      </w:r>
      <w:proofErr w:type="spellStart"/>
      <w:r w:rsidRPr="00C700EB">
        <w:rPr>
          <w:rFonts w:cs="Times New Roman"/>
          <w:sz w:val="20"/>
          <w:szCs w:val="20"/>
        </w:rPr>
        <w:t>Steffensmeier</w:t>
      </w:r>
      <w:proofErr w:type="spellEnd"/>
      <w:r w:rsidRPr="00C700EB">
        <w:rPr>
          <w:rFonts w:cs="Times New Roman"/>
          <w:sz w:val="20"/>
          <w:szCs w:val="20"/>
        </w:rPr>
        <w:t xml:space="preserve"> et al</w:t>
      </w:r>
      <w:r>
        <w:rPr>
          <w:rFonts w:cs="Times New Roman"/>
          <w:sz w:val="20"/>
          <w:szCs w:val="20"/>
        </w:rPr>
        <w:t xml:space="preserve">. (2013, 6-7),  </w:t>
      </w:r>
      <w:r w:rsidRPr="00C700EB">
        <w:rPr>
          <w:rFonts w:cs="Times New Roman"/>
          <w:sz w:val="20"/>
          <w:szCs w:val="20"/>
        </w:rPr>
        <w:t>“[e]</w:t>
      </w:r>
      <w:proofErr w:type="spellStart"/>
      <w:r w:rsidRPr="00C700EB">
        <w:rPr>
          <w:rFonts w:cs="Times New Roman"/>
          <w:sz w:val="20"/>
          <w:szCs w:val="20"/>
        </w:rPr>
        <w:t>igenvector</w:t>
      </w:r>
      <w:proofErr w:type="spellEnd"/>
      <w:r w:rsidRPr="00C700EB">
        <w:rPr>
          <w:rFonts w:cs="Times New Roman"/>
          <w:sz w:val="20"/>
          <w:szCs w:val="20"/>
        </w:rPr>
        <w:t xml:space="preserve"> centrality refers to the value of the first eigenvector of the network with respect to the sum of the interest groups to which it is connected in every decade …. </w:t>
      </w:r>
      <w:proofErr w:type="gramStart"/>
      <w:r w:rsidRPr="00C700EB">
        <w:rPr>
          <w:rFonts w:cs="Times New Roman"/>
          <w:sz w:val="20"/>
          <w:szCs w:val="20"/>
        </w:rPr>
        <w:t>it</w:t>
      </w:r>
      <w:proofErr w:type="gramEnd"/>
      <w:r w:rsidRPr="00C700EB">
        <w:rPr>
          <w:rFonts w:cs="Times New Roman"/>
          <w:sz w:val="20"/>
          <w:szCs w:val="20"/>
        </w:rPr>
        <w:t xml:space="preserve"> weights relationships between nodes according to their centralities, not just the number of connections, which means that both direct and indirect relationships are ac</w:t>
      </w:r>
      <w:r>
        <w:rPr>
          <w:rFonts w:cs="Times New Roman"/>
          <w:sz w:val="20"/>
          <w:szCs w:val="20"/>
        </w:rPr>
        <w:t xml:space="preserve">counted for with this measure. </w:t>
      </w:r>
      <w:r w:rsidRPr="00C700EB">
        <w:rPr>
          <w:rFonts w:cs="Times New Roman"/>
          <w:sz w:val="20"/>
          <w:szCs w:val="20"/>
        </w:rPr>
        <w:t xml:space="preserve"> In the context of our interest group network, measuring power with eigenvector centrality suggests that the </w:t>
      </w:r>
      <w:proofErr w:type="gramStart"/>
      <w:r w:rsidRPr="00C700EB">
        <w:rPr>
          <w:rFonts w:cs="Times New Roman"/>
          <w:sz w:val="20"/>
          <w:szCs w:val="20"/>
        </w:rPr>
        <w:t>quality of ties are</w:t>
      </w:r>
      <w:proofErr w:type="gramEnd"/>
      <w:r w:rsidRPr="00C700EB">
        <w:rPr>
          <w:rFonts w:cs="Times New Roman"/>
          <w:sz w:val="20"/>
          <w:szCs w:val="20"/>
        </w:rPr>
        <w:t xml:space="preserve"> an important consideration, not just the number of them. Interest groups that are tied to </w:t>
      </w:r>
      <w:proofErr w:type="spellStart"/>
      <w:r>
        <w:rPr>
          <w:rFonts w:cs="Times New Roman"/>
          <w:sz w:val="20"/>
          <w:szCs w:val="20"/>
        </w:rPr>
        <w:t xml:space="preserve">well </w:t>
      </w:r>
      <w:proofErr w:type="gramStart"/>
      <w:r w:rsidRPr="00C700EB">
        <w:rPr>
          <w:rFonts w:cs="Times New Roman"/>
          <w:sz w:val="20"/>
          <w:szCs w:val="20"/>
        </w:rPr>
        <w:t>connected</w:t>
      </w:r>
      <w:proofErr w:type="spellEnd"/>
      <w:proofErr w:type="gramEnd"/>
      <w:r w:rsidRPr="00C700EB">
        <w:rPr>
          <w:rFonts w:cs="Times New Roman"/>
          <w:sz w:val="20"/>
          <w:szCs w:val="20"/>
        </w:rPr>
        <w:t xml:space="preserve"> groups are taken to be more powerful than groups who have a similar number of connections to less connected groups.”</w:t>
      </w:r>
    </w:p>
    <w:p w:rsidR="00B730DB" w:rsidRPr="00702E42" w:rsidRDefault="00B730DB" w:rsidP="00702E42">
      <w:pPr>
        <w:autoSpaceDE w:val="0"/>
        <w:autoSpaceDN w:val="0"/>
        <w:adjustRightInd w:val="0"/>
        <w:ind w:left="0" w:firstLine="0"/>
        <w:rPr>
          <w:rFonts w:ascii="TimesTen-Roman" w:hAnsi="TimesTen-Roman" w:cs="TimesTen-Roman"/>
          <w:sz w:val="20"/>
          <w:szCs w:val="20"/>
        </w:rPr>
      </w:pPr>
    </w:p>
  </w:footnote>
  <w:footnote w:id="23">
    <w:p w:rsidR="00B730DB" w:rsidRPr="00C54E69" w:rsidRDefault="00B730DB">
      <w:pPr>
        <w:pStyle w:val="FootnoteText"/>
      </w:pPr>
      <w:r w:rsidRPr="00C54E69">
        <w:rPr>
          <w:rStyle w:val="FootnoteReference"/>
        </w:rPr>
        <w:footnoteRef/>
      </w:r>
      <w:r w:rsidRPr="00C54E69">
        <w:t xml:space="preserve"> Interestingly, the authors find tha</w:t>
      </w:r>
      <w:r>
        <w:t xml:space="preserve">t the five most powerful (i.e., </w:t>
      </w:r>
      <w:r w:rsidRPr="00C54E69">
        <w:t xml:space="preserve">highest eigenvector centrality scores) groups in the 2000’s are as follows: (1) American Farm Bureau; (2) American Soybean Association; (3) Oregon Cattlemen’s Association; (4) New Mexico Cattle Grower’s Association; and (5) Wyoming Stock Growers.  Each of these five groups are agricultural, and none would likely be identified either in legal circles or in the common public discourse as among the most powerful and influential amici.   Likewise, the five most powerful amicus groups in the 1990’s are as follows: (1) American Association of University Women; (2) Northwest Women’s Law Center; (3) California Women’s Law Center; (4) National Council of Jewish Women; and (5) Connecticut Women’s Educational and Legal Fund.  Notably, each of these </w:t>
      </w:r>
      <w:proofErr w:type="gramStart"/>
      <w:r w:rsidRPr="00C54E69">
        <w:t>are</w:t>
      </w:r>
      <w:proofErr w:type="gramEnd"/>
      <w:r w:rsidRPr="00C54E69">
        <w:t xml:space="preserve"> women’s groups.  Given that none of these ten groups would likely be recognized by legal practitioners, scholars, or common folk as among the most powerful and influential interest groups, I interpret </w:t>
      </w:r>
      <w:r>
        <w:t>the findings of Box-</w:t>
      </w:r>
      <w:proofErr w:type="spellStart"/>
      <w:r>
        <w:t>Steffensmeier</w:t>
      </w:r>
      <w:proofErr w:type="spellEnd"/>
      <w:r>
        <w:t xml:space="preserve"> et al. (2013) </w:t>
      </w:r>
      <w:r w:rsidRPr="00C54E69">
        <w:t>with caution.</w:t>
      </w:r>
    </w:p>
  </w:footnote>
  <w:footnote w:id="24">
    <w:p w:rsidR="00B730DB" w:rsidRDefault="00B730DB">
      <w:pPr>
        <w:pStyle w:val="FootnoteText"/>
      </w:pPr>
      <w:r>
        <w:rPr>
          <w:rStyle w:val="FootnoteReference"/>
        </w:rPr>
        <w:footnoteRef/>
      </w:r>
      <w:r>
        <w:t xml:space="preserve"> The legal (and legal persuasion), attitudinal, and interest group models of judicial decision-making are discussed in greater detail later in this chapter.</w:t>
      </w:r>
    </w:p>
  </w:footnote>
  <w:footnote w:id="25">
    <w:p w:rsidR="00B730DB" w:rsidRPr="00D3571D" w:rsidRDefault="00B730DB">
      <w:pPr>
        <w:pStyle w:val="FootnoteText"/>
      </w:pPr>
      <w:r>
        <w:rPr>
          <w:rStyle w:val="FootnoteReference"/>
        </w:rPr>
        <w:footnoteRef/>
      </w:r>
      <w:r>
        <w:t xml:space="preserve"> Another example:  in </w:t>
      </w:r>
      <w:proofErr w:type="spellStart"/>
      <w:r>
        <w:rPr>
          <w:i/>
        </w:rPr>
        <w:t>Romer</w:t>
      </w:r>
      <w:proofErr w:type="spellEnd"/>
      <w:r>
        <w:rPr>
          <w:i/>
        </w:rPr>
        <w:t xml:space="preserve"> v. Evans </w:t>
      </w:r>
      <w:r>
        <w:t xml:space="preserve">(1996, 517 U.S. 620), a case involving a Colorado voters’ initiative barring the enactment of laws protecting homosexuals from discrimination, majority opinion author Justice Kennedy adopted arguments put forward by amici Laurence H. Tribe, along with several other constitutional scholars.  However, Justice Kennedy never cited Tribe’s amicus brief in his opinion (Simpson and </w:t>
      </w:r>
      <w:proofErr w:type="spellStart"/>
      <w:r>
        <w:t>Vasaly</w:t>
      </w:r>
      <w:proofErr w:type="spellEnd"/>
      <w:r>
        <w:t xml:space="preserve"> 2004, 14).</w:t>
      </w:r>
    </w:p>
  </w:footnote>
  <w:footnote w:id="26">
    <w:p w:rsidR="00B730DB" w:rsidRPr="00C54E69" w:rsidRDefault="00B730DB">
      <w:pPr>
        <w:pStyle w:val="FootnoteText"/>
      </w:pPr>
      <w:r w:rsidRPr="00C54E69">
        <w:rPr>
          <w:rStyle w:val="FootnoteReference"/>
        </w:rPr>
        <w:footnoteRef/>
      </w:r>
      <w:r w:rsidRPr="00C54E69">
        <w:t xml:space="preserve"> This finding also</w:t>
      </w:r>
      <w:r>
        <w:t xml:space="preserve"> is consistent with the those</w:t>
      </w:r>
      <w:r w:rsidRPr="00C54E69">
        <w:t xml:space="preserve"> of </w:t>
      </w:r>
      <w:proofErr w:type="spellStart"/>
      <w:r w:rsidRPr="00C54E69">
        <w:t>Franze</w:t>
      </w:r>
      <w:proofErr w:type="spellEnd"/>
      <w:r w:rsidRPr="00C54E69">
        <w:t xml:space="preserve"> </w:t>
      </w:r>
      <w:r>
        <w:t>and</w:t>
      </w:r>
      <w:r w:rsidRPr="00C54E69">
        <w:t xml:space="preserve"> Anderson (2012, 2) who find that</w:t>
      </w:r>
      <w:r>
        <w:t xml:space="preserve"> the justices cited the SG’s amicus briefs in 79 percent of cases in which the SG</w:t>
      </w:r>
      <w:r w:rsidRPr="00C54E69">
        <w:t xml:space="preserve"> filed a bri</w:t>
      </w:r>
      <w:r>
        <w:t>ef during the 2010 term, and 44 percent</w:t>
      </w:r>
      <w:r w:rsidRPr="00C54E69">
        <w:t xml:space="preserve"> of such cases in the 2011 term.  This compares</w:t>
      </w:r>
      <w:r>
        <w:t xml:space="preserve"> to the justices citing only 13 percent</w:t>
      </w:r>
      <w:r w:rsidRPr="00C54E69">
        <w:t xml:space="preserve"> of amicus briefs filed by sta</w:t>
      </w:r>
      <w:r>
        <w:t>te and local governments and 11 percent</w:t>
      </w:r>
      <w:r w:rsidRPr="00C54E69">
        <w:t xml:space="preserve"> of amicus briefs filed by nongovernment groups during the 2011 term.</w:t>
      </w:r>
    </w:p>
  </w:footnote>
  <w:footnote w:id="27">
    <w:p w:rsidR="00B730DB" w:rsidRDefault="00B730DB">
      <w:pPr>
        <w:pStyle w:val="FootnoteText"/>
      </w:pPr>
      <w:r>
        <w:rPr>
          <w:rStyle w:val="FootnoteReference"/>
        </w:rPr>
        <w:footnoteRef/>
      </w:r>
      <w:r>
        <w:t xml:space="preserve"> The Martin-Quinn scores are discussed in much greater detail in Chapter 3, but suffice it here to say that these scores are based upon statistical Bayesian techniques that score justices on a conservative-liberal continuum.</w:t>
      </w:r>
    </w:p>
  </w:footnote>
  <w:footnote w:id="28">
    <w:p w:rsidR="00B730DB" w:rsidRPr="00712EAF" w:rsidRDefault="00B730DB" w:rsidP="00E615FB">
      <w:pPr>
        <w:pStyle w:val="FootnoteText"/>
        <w:rPr>
          <w:i/>
        </w:rPr>
      </w:pPr>
      <w:r>
        <w:rPr>
          <w:rStyle w:val="FootnoteReference"/>
        </w:rPr>
        <w:footnoteRef/>
      </w:r>
      <w:r>
        <w:t xml:space="preserve"> Also </w:t>
      </w:r>
      <w:r>
        <w:rPr>
          <w:i/>
        </w:rPr>
        <w:t>D</w:t>
      </w:r>
      <w:r w:rsidRPr="00712EAF">
        <w:rPr>
          <w:i/>
        </w:rPr>
        <w:t>avis v. FEC</w:t>
      </w:r>
      <w:r>
        <w:t xml:space="preserve">, 128 S. Ct. 2759 (2008), and </w:t>
      </w:r>
      <w:r>
        <w:rPr>
          <w:i/>
        </w:rPr>
        <w:t>Arizona Free Enterprise</w:t>
      </w:r>
      <w:r w:rsidRPr="00712EAF">
        <w:rPr>
          <w:i/>
        </w:rPr>
        <w:t xml:space="preserve"> Club’s Freedom Club PAC</w:t>
      </w:r>
      <w:r>
        <w:t xml:space="preserve"> v. </w:t>
      </w:r>
      <w:r w:rsidRPr="00712EAF">
        <w:rPr>
          <w:i/>
        </w:rPr>
        <w:t>Bennett</w:t>
      </w:r>
      <w:r>
        <w:t xml:space="preserve">, 131 S. Ct. 2806, 2813 (2011)  </w:t>
      </w:r>
    </w:p>
  </w:footnote>
  <w:footnote w:id="29">
    <w:p w:rsidR="00B730DB" w:rsidRDefault="00B730DB">
      <w:pPr>
        <w:pStyle w:val="FootnoteText"/>
      </w:pPr>
      <w:r>
        <w:rPr>
          <w:rStyle w:val="FootnoteReference"/>
        </w:rPr>
        <w:footnoteRef/>
      </w:r>
      <w:r>
        <w:t xml:space="preserve"> </w:t>
      </w:r>
      <w:r>
        <w:rPr>
          <w:i/>
        </w:rPr>
        <w:t xml:space="preserve">Wal-Mart Stores, Inc. v. Dukes </w:t>
      </w:r>
      <w:r>
        <w:t>(2011)</w:t>
      </w:r>
    </w:p>
    <w:p w:rsidR="00B730DB" w:rsidRPr="00D06240" w:rsidRDefault="00B730DB">
      <w:pPr>
        <w:pStyle w:val="FootnoteText"/>
      </w:pPr>
    </w:p>
  </w:footnote>
  <w:footnote w:id="30">
    <w:p w:rsidR="00B730DB" w:rsidRDefault="00B730DB">
      <w:pPr>
        <w:pStyle w:val="FootnoteText"/>
      </w:pPr>
      <w:r>
        <w:rPr>
          <w:rStyle w:val="FootnoteReference"/>
        </w:rPr>
        <w:footnoteRef/>
      </w:r>
      <w:r>
        <w:t xml:space="preserve"> </w:t>
      </w:r>
      <w:proofErr w:type="spellStart"/>
      <w:r>
        <w:rPr>
          <w:i/>
        </w:rPr>
        <w:t>Kiobel</w:t>
      </w:r>
      <w:proofErr w:type="spellEnd"/>
      <w:r>
        <w:rPr>
          <w:i/>
        </w:rPr>
        <w:t xml:space="preserve"> v. Royal Dutch Petroleum, Co. </w:t>
      </w:r>
      <w:r>
        <w:t>(2012)</w:t>
      </w:r>
    </w:p>
    <w:p w:rsidR="00B730DB" w:rsidRPr="00D06240" w:rsidRDefault="00B730DB" w:rsidP="00066734">
      <w:pPr>
        <w:pStyle w:val="FootnoteText"/>
        <w:tabs>
          <w:tab w:val="left" w:pos="3225"/>
        </w:tabs>
      </w:pPr>
      <w:r>
        <w:tab/>
      </w:r>
      <w:r>
        <w:tab/>
      </w:r>
    </w:p>
  </w:footnote>
  <w:footnote w:id="31">
    <w:p w:rsidR="00B730DB" w:rsidRPr="00754DD4" w:rsidRDefault="00B730DB">
      <w:pPr>
        <w:pStyle w:val="FootnoteText"/>
      </w:pPr>
      <w:r>
        <w:rPr>
          <w:rStyle w:val="FootnoteReference"/>
        </w:rPr>
        <w:footnoteRef/>
      </w:r>
      <w:r>
        <w:t xml:space="preserve"> </w:t>
      </w:r>
      <w:r>
        <w:rPr>
          <w:i/>
        </w:rPr>
        <w:t xml:space="preserve">AT&amp;T v. Concepcion </w:t>
      </w:r>
      <w:r>
        <w:t>(2011)</w:t>
      </w:r>
    </w:p>
  </w:footnote>
  <w:footnote w:id="32">
    <w:p w:rsidR="00B730DB" w:rsidRDefault="00B730DB">
      <w:pPr>
        <w:pStyle w:val="FootnoteText"/>
      </w:pPr>
      <w:r>
        <w:rPr>
          <w:rStyle w:val="FootnoteReference"/>
        </w:rPr>
        <w:footnoteRef/>
      </w:r>
      <w:r>
        <w:t xml:space="preserve"> These include opinions of the Court, judgments of the Court, per </w:t>
      </w:r>
      <w:proofErr w:type="spellStart"/>
      <w:r>
        <w:t>curiam</w:t>
      </w:r>
      <w:proofErr w:type="spellEnd"/>
      <w:r>
        <w:t xml:space="preserve"> decisions, and equally divided vote decisions.</w:t>
      </w:r>
    </w:p>
  </w:footnote>
  <w:footnote w:id="33">
    <w:p w:rsidR="00B730DB" w:rsidRDefault="00B730DB">
      <w:pPr>
        <w:pStyle w:val="FootnoteText"/>
      </w:pPr>
      <w:r>
        <w:rPr>
          <w:rStyle w:val="FootnoteReference"/>
        </w:rPr>
        <w:footnoteRef/>
      </w:r>
      <w:r>
        <w:t xml:space="preserve"> Chapter 3 will discuss in greater detail how the SCDB codes decisions as liberal or conservative in various issue areas.</w:t>
      </w:r>
    </w:p>
  </w:footnote>
  <w:footnote w:id="34">
    <w:p w:rsidR="00B730DB" w:rsidRDefault="00B730DB">
      <w:pPr>
        <w:pStyle w:val="FootnoteText"/>
      </w:pPr>
      <w:r>
        <w:rPr>
          <w:rStyle w:val="FootnoteReference"/>
        </w:rPr>
        <w:footnoteRef/>
      </w:r>
      <w:r>
        <w:t xml:space="preserve"> These two websites, </w:t>
      </w:r>
      <w:proofErr w:type="spellStart"/>
      <w:r>
        <w:t>SCOTUSblog</w:t>
      </w:r>
      <w:proofErr w:type="spellEnd"/>
      <w:r>
        <w:t xml:space="preserve"> and American Bar Preview, are</w:t>
      </w:r>
      <w:r w:rsidRPr="00B667B8">
        <w:t xml:space="preserve"> </w:t>
      </w:r>
      <w:r>
        <w:t xml:space="preserve">user-friendly.   While neither is entirely exhaustive in their listing of amicus briefs in every case, the vast majority of briefs are listed on both of these sites.  Occasionally, one or both sites will overlook a brief that is listed on either the Supreme Court’s website or in the Lexis </w:t>
      </w:r>
      <w:proofErr w:type="spellStart"/>
      <w:r>
        <w:t>Nexis</w:t>
      </w:r>
      <w:proofErr w:type="spellEnd"/>
      <w:r>
        <w:t xml:space="preserve"> Supreme Court Briefs database.  Thus I cross-reference all four sources mentioned above for each case to ensure that I am including a comprehensive account of amicus participation.</w:t>
      </w:r>
    </w:p>
    <w:p w:rsidR="00B730DB" w:rsidRDefault="00B730DB">
      <w:pPr>
        <w:pStyle w:val="FootnoteText"/>
      </w:pPr>
    </w:p>
  </w:footnote>
  <w:footnote w:id="35">
    <w:p w:rsidR="00B730DB" w:rsidRDefault="00B730DB">
      <w:pPr>
        <w:pStyle w:val="FootnoteText"/>
      </w:pPr>
      <w:r>
        <w:rPr>
          <w:rStyle w:val="FootnoteReference"/>
        </w:rPr>
        <w:footnoteRef/>
      </w:r>
      <w:r>
        <w:t xml:space="preserve"> The Lexis </w:t>
      </w:r>
      <w:proofErr w:type="spellStart"/>
      <w:r>
        <w:t>Nexis</w:t>
      </w:r>
      <w:proofErr w:type="spellEnd"/>
      <w:r>
        <w:t xml:space="preserve"> database gathers its amicus information from the </w:t>
      </w:r>
      <w:r w:rsidRPr="000A3B6F">
        <w:rPr>
          <w:i/>
        </w:rPr>
        <w:t>U.S. Reporter</w:t>
      </w:r>
      <w:r>
        <w:t>. It allows you to search each case by docket number, providing a listing of all the briefs filed (with links to the actual brief itself) for the chosen docket number.</w:t>
      </w:r>
    </w:p>
  </w:footnote>
  <w:footnote w:id="36">
    <w:p w:rsidR="00B730DB" w:rsidRPr="00874AEB" w:rsidRDefault="00B730DB">
      <w:pPr>
        <w:pStyle w:val="FootnoteText"/>
        <w:rPr>
          <w:rFonts w:cs="Times New Roman"/>
          <w:szCs w:val="24"/>
        </w:rPr>
      </w:pPr>
      <w:r w:rsidRPr="00874AEB">
        <w:rPr>
          <w:rStyle w:val="FootnoteReference"/>
        </w:rPr>
        <w:footnoteRef/>
      </w:r>
      <w:r w:rsidRPr="00874AEB">
        <w:t xml:space="preserve"> </w:t>
      </w:r>
      <w:r w:rsidRPr="00874AEB">
        <w:rPr>
          <w:rFonts w:cs="Times New Roman"/>
          <w:szCs w:val="24"/>
        </w:rPr>
        <w:t xml:space="preserve">Non-orally argued (per </w:t>
      </w:r>
      <w:proofErr w:type="spellStart"/>
      <w:r w:rsidRPr="00874AEB">
        <w:rPr>
          <w:rFonts w:cs="Times New Roman"/>
          <w:szCs w:val="24"/>
        </w:rPr>
        <w:t>curiam</w:t>
      </w:r>
      <w:proofErr w:type="spellEnd"/>
      <w:r w:rsidRPr="00874AEB">
        <w:rPr>
          <w:rFonts w:cs="Times New Roman"/>
          <w:szCs w:val="24"/>
        </w:rPr>
        <w:t>) decisions (DEC_TYPE=2) are excluded in this analysis because they are infrequent, of lesser importance, are typically disposed of by the justices based solely on the lower court record, and because the amicus curiae data for these cases is more difficult to access. Only 50 such cases occurred during this five year period.  Further, non-orally ar</w:t>
      </w:r>
      <w:r>
        <w:rPr>
          <w:rFonts w:cs="Times New Roman"/>
          <w:szCs w:val="24"/>
        </w:rPr>
        <w:t xml:space="preserve">gued cases tend to attract </w:t>
      </w:r>
      <w:r w:rsidRPr="00874AEB">
        <w:rPr>
          <w:rFonts w:cs="Times New Roman"/>
          <w:szCs w:val="24"/>
        </w:rPr>
        <w:t xml:space="preserve">significantly less amicus participation and tend to be clearly settled by existing precedent (Kearney </w:t>
      </w:r>
      <w:r>
        <w:rPr>
          <w:rFonts w:cs="Times New Roman"/>
          <w:szCs w:val="24"/>
        </w:rPr>
        <w:t>and</w:t>
      </w:r>
      <w:r w:rsidRPr="00874AEB">
        <w:rPr>
          <w:rFonts w:cs="Times New Roman"/>
          <w:szCs w:val="24"/>
        </w:rPr>
        <w:t xml:space="preserve"> Merrill 2000, 835; Collins </w:t>
      </w:r>
      <w:r>
        <w:rPr>
          <w:rFonts w:cs="Times New Roman"/>
          <w:szCs w:val="24"/>
        </w:rPr>
        <w:t>and</w:t>
      </w:r>
      <w:r w:rsidRPr="00874AEB">
        <w:rPr>
          <w:rFonts w:cs="Times New Roman"/>
          <w:szCs w:val="24"/>
        </w:rPr>
        <w:t xml:space="preserve"> </w:t>
      </w:r>
      <w:proofErr w:type="spellStart"/>
      <w:r w:rsidRPr="00874AEB">
        <w:rPr>
          <w:rFonts w:cs="Times New Roman"/>
          <w:szCs w:val="24"/>
        </w:rPr>
        <w:t>Solowiej</w:t>
      </w:r>
      <w:proofErr w:type="spellEnd"/>
      <w:r w:rsidRPr="00874AEB">
        <w:rPr>
          <w:rFonts w:cs="Times New Roman"/>
          <w:szCs w:val="24"/>
        </w:rPr>
        <w:t xml:space="preserve"> 2007).</w:t>
      </w:r>
    </w:p>
    <w:p w:rsidR="00B730DB" w:rsidRPr="00874AEB" w:rsidRDefault="00B730DB">
      <w:pPr>
        <w:pStyle w:val="FootnoteText"/>
      </w:pPr>
    </w:p>
  </w:footnote>
  <w:footnote w:id="37">
    <w:p w:rsidR="00B730DB" w:rsidRPr="00874AEB" w:rsidRDefault="00B730DB">
      <w:pPr>
        <w:pStyle w:val="FootnoteText"/>
        <w:rPr>
          <w:rFonts w:cs="Times New Roman"/>
          <w:szCs w:val="24"/>
        </w:rPr>
      </w:pPr>
      <w:r w:rsidRPr="00874AEB">
        <w:rPr>
          <w:rStyle w:val="FootnoteReference"/>
        </w:rPr>
        <w:footnoteRef/>
      </w:r>
      <w:r w:rsidRPr="00874AEB">
        <w:t xml:space="preserve"> </w:t>
      </w:r>
      <w:r w:rsidRPr="00874AEB">
        <w:rPr>
          <w:rFonts w:cs="Times New Roman"/>
          <w:szCs w:val="24"/>
        </w:rPr>
        <w:t>Memorandum cases (DEC_TYPE=3) have been removed from the SCDB for both substantive and technical reasons, and thus are not included in this analysis.</w:t>
      </w:r>
    </w:p>
    <w:p w:rsidR="00B730DB" w:rsidRPr="00874AEB" w:rsidRDefault="00B730DB">
      <w:pPr>
        <w:pStyle w:val="FootnoteText"/>
      </w:pPr>
    </w:p>
  </w:footnote>
  <w:footnote w:id="38">
    <w:p w:rsidR="00B730DB" w:rsidRPr="00874AEB" w:rsidRDefault="00B730DB">
      <w:pPr>
        <w:pStyle w:val="FootnoteText"/>
        <w:rPr>
          <w:rFonts w:cs="Times New Roman"/>
          <w:szCs w:val="24"/>
        </w:rPr>
      </w:pPr>
      <w:r w:rsidRPr="00874AEB">
        <w:rPr>
          <w:rStyle w:val="FootnoteReference"/>
        </w:rPr>
        <w:footnoteRef/>
      </w:r>
      <w:r w:rsidRPr="00874AEB">
        <w:t xml:space="preserve"> </w:t>
      </w:r>
      <w:r w:rsidRPr="00874AEB">
        <w:rPr>
          <w:rFonts w:cs="Times New Roman"/>
          <w:szCs w:val="24"/>
        </w:rPr>
        <w:t>Decrees (coded DEC_TYPE=4) are not included because they are very infrequent, arrive under the USSC’s original jurisdiction, usually involve state boundary disputes, and typically are handled by a special master’s report, which becomes the basis of the Court’s decision.  In fact, no decrees were issued by the USSC in the five year period of my analysis.  Thus, I do not include decrees because there are none to include.</w:t>
      </w:r>
    </w:p>
    <w:p w:rsidR="00B730DB" w:rsidRPr="00874AEB" w:rsidRDefault="00B730DB">
      <w:pPr>
        <w:pStyle w:val="FootnoteText"/>
      </w:pPr>
    </w:p>
  </w:footnote>
  <w:footnote w:id="39">
    <w:p w:rsidR="00B730DB" w:rsidRDefault="00B730DB">
      <w:pPr>
        <w:pStyle w:val="FootnoteText"/>
      </w:pPr>
      <w:r w:rsidRPr="00874AEB">
        <w:rPr>
          <w:rStyle w:val="FootnoteReference"/>
        </w:rPr>
        <w:footnoteRef/>
      </w:r>
      <w:r w:rsidRPr="00874AEB">
        <w:t xml:space="preserve"> Only five such orally argued original jurisdiction cases were found during this five year period of analysis. They each involved disputes between states, and were each coded as decided in an Unspecifiable direction in the SCDB.  Thus, these five cases are excluded from analysis.</w:t>
      </w:r>
    </w:p>
    <w:p w:rsidR="00B730DB" w:rsidRDefault="00B730DB">
      <w:pPr>
        <w:pStyle w:val="FootnoteText"/>
      </w:pPr>
    </w:p>
  </w:footnote>
  <w:footnote w:id="40">
    <w:p w:rsidR="00B730DB" w:rsidRDefault="00B730DB">
      <w:pPr>
        <w:pStyle w:val="FootnoteText"/>
        <w:rPr>
          <w:rFonts w:cs="Times New Roman"/>
        </w:rPr>
      </w:pPr>
      <w:r>
        <w:rPr>
          <w:rStyle w:val="FootnoteReference"/>
        </w:rPr>
        <w:footnoteRef/>
      </w:r>
      <w:r>
        <w:t xml:space="preserve"> </w:t>
      </w:r>
      <w:r w:rsidRPr="001568BA">
        <w:rPr>
          <w:rFonts w:cs="Times New Roman"/>
        </w:rPr>
        <w:t xml:space="preserve">During the five terms of my data collection, the USSC decided 29 consolidated cases. </w:t>
      </w:r>
      <w:r>
        <w:rPr>
          <w:rFonts w:cs="Times New Roman"/>
        </w:rPr>
        <w:t xml:space="preserve">These 29 consolidated </w:t>
      </w:r>
      <w:r w:rsidRPr="001568BA">
        <w:rPr>
          <w:rFonts w:cs="Times New Roman"/>
        </w:rPr>
        <w:t>cases</w:t>
      </w:r>
      <w:r>
        <w:rPr>
          <w:rFonts w:cs="Times New Roman"/>
        </w:rPr>
        <w:t xml:space="preserve"> included 61 separate docket numbers.   Thus, i</w:t>
      </w:r>
      <w:r w:rsidRPr="001568BA">
        <w:rPr>
          <w:rFonts w:cs="Times New Roman"/>
        </w:rPr>
        <w:t>f using the case citation instead of the docket number as the unit of analysis, my dataset would only include</w:t>
      </w:r>
      <w:r>
        <w:rPr>
          <w:rFonts w:cs="Times New Roman"/>
        </w:rPr>
        <w:t xml:space="preserve"> 365 cases, instead of 397, corresponding to 288 less observations.</w:t>
      </w:r>
    </w:p>
    <w:p w:rsidR="00B730DB" w:rsidRDefault="00B730DB">
      <w:pPr>
        <w:pStyle w:val="FootnoteText"/>
      </w:pPr>
    </w:p>
  </w:footnote>
  <w:footnote w:id="41">
    <w:p w:rsidR="00B730DB" w:rsidRDefault="00B730DB" w:rsidP="00C80908">
      <w:pPr>
        <w:pStyle w:val="FootnoteText"/>
      </w:pPr>
      <w:r>
        <w:rPr>
          <w:rStyle w:val="FootnoteReference"/>
        </w:rPr>
        <w:footnoteRef/>
      </w:r>
      <w:r>
        <w:t xml:space="preserve"> For example, the consolidated cases of </w:t>
      </w:r>
      <w:r w:rsidRPr="00646002">
        <w:rPr>
          <w:i/>
        </w:rPr>
        <w:t>Dorsey v. United States</w:t>
      </w:r>
      <w:r>
        <w:t xml:space="preserve"> (2011) and </w:t>
      </w:r>
      <w:r w:rsidRPr="00646002">
        <w:rPr>
          <w:i/>
        </w:rPr>
        <w:t>Hill v. United States</w:t>
      </w:r>
      <w:r>
        <w:t xml:space="preserve"> (2011) have the same case citation,  raise the same basic issue – i.e., whether the Fair Sentencing Act applies to all </w:t>
      </w:r>
      <w:proofErr w:type="spellStart"/>
      <w:r>
        <w:t>sentencings</w:t>
      </w:r>
      <w:proofErr w:type="spellEnd"/>
      <w:r>
        <w:t xml:space="preserve"> occurring after its effective date or only to crimes committed after the statute became effective – and were decided by the same opinion.   The same six amicus briefs were filed for each docket number.   I recorded the filing of six briefs for each docket number.   Because I used the docket number as the unit of analysis, instead of the case citation, the total amicus count for the consolidated case is recorded as 12 instead of 6, even though only six unique briefs were filed.</w:t>
      </w:r>
    </w:p>
    <w:p w:rsidR="00B730DB" w:rsidRDefault="00B730DB" w:rsidP="00C80908">
      <w:pPr>
        <w:pStyle w:val="FootnoteText"/>
      </w:pPr>
    </w:p>
  </w:footnote>
  <w:footnote w:id="42">
    <w:p w:rsidR="00B730DB" w:rsidRDefault="00B730DB">
      <w:pPr>
        <w:pStyle w:val="FootnoteText"/>
      </w:pPr>
      <w:r>
        <w:rPr>
          <w:rStyle w:val="FootnoteReference"/>
        </w:rPr>
        <w:footnoteRef/>
      </w:r>
      <w:r>
        <w:t xml:space="preserve"> In such situations, it could be argued that amicus participation is being double-counted, thus inflating amici participation levels and potentially overstating their influence on the justices’ voting. However, I think this method of counting is more appropriate than the alternative for two primary reasons. First, it more closely captures the amicus curiae’s interest in the case because the amicus intends the brief to apply to each instance of litigation instead of just to one docket number.  Second, because such a counting better approximates the legal salience of the case in the sense that the justices are taking the consolidated case to resolve two or more cases raising the same basic issue that have worked their way through the justice system, indicating the broader impact of such a ruling.</w:t>
      </w:r>
    </w:p>
    <w:p w:rsidR="00B730DB" w:rsidRDefault="00B730DB">
      <w:pPr>
        <w:pStyle w:val="FootnoteText"/>
      </w:pPr>
    </w:p>
  </w:footnote>
  <w:footnote w:id="43">
    <w:p w:rsidR="00B730DB" w:rsidRDefault="00B730DB">
      <w:pPr>
        <w:pStyle w:val="FootnoteText"/>
      </w:pPr>
      <w:r>
        <w:rPr>
          <w:rStyle w:val="FootnoteReference"/>
        </w:rPr>
        <w:footnoteRef/>
      </w:r>
      <w:r>
        <w:t xml:space="preserve"> For example, the consolidated cases of </w:t>
      </w:r>
      <w:r w:rsidRPr="00F8132E">
        <w:rPr>
          <w:i/>
        </w:rPr>
        <w:t xml:space="preserve">Republic of Iraq v. </w:t>
      </w:r>
      <w:proofErr w:type="spellStart"/>
      <w:r w:rsidRPr="00F8132E">
        <w:rPr>
          <w:i/>
        </w:rPr>
        <w:t>Beaty</w:t>
      </w:r>
      <w:proofErr w:type="spellEnd"/>
      <w:r>
        <w:t xml:space="preserve"> (2009) and </w:t>
      </w:r>
      <w:r w:rsidRPr="00F8132E">
        <w:rPr>
          <w:i/>
        </w:rPr>
        <w:t>Republic of Iraq v. Simon</w:t>
      </w:r>
      <w:r>
        <w:t xml:space="preserve"> (2009) have the same case citation – 556 U.S. 848.  However, each of these cases has its own docket number, 07-1090 and 08-539, respectively.  The basic issue in these two cases was the same – whether U.S. courts have jurisdiction over Iraq in claims involving alleged misdeeds that occurred during Saddam Hussein’s regime – so the USSC consolidated the cases and decided them together with a single opinion.  However, in the lead case, docket number 07-1090, only three amicus briefs were filed; whereas in docket number 08-539, 10 briefs were filed.  So, 13 total briefs were filed in the consolidated case, but the amicus participation was different in each of the docket numbers.  </w:t>
      </w:r>
    </w:p>
    <w:p w:rsidR="00B730DB" w:rsidRDefault="00B730DB">
      <w:pPr>
        <w:pStyle w:val="FootnoteText"/>
      </w:pPr>
      <w:r>
        <w:t xml:space="preserve">  </w:t>
      </w:r>
    </w:p>
  </w:footnote>
  <w:footnote w:id="44">
    <w:p w:rsidR="00B730DB" w:rsidRDefault="00B730DB">
      <w:pPr>
        <w:pStyle w:val="FootnoteText"/>
        <w:rPr>
          <w:color w:val="0070C0"/>
          <w:szCs w:val="24"/>
        </w:rPr>
      </w:pPr>
      <w:r>
        <w:rPr>
          <w:rStyle w:val="FootnoteReference"/>
        </w:rPr>
        <w:footnoteRef/>
      </w:r>
      <w:r>
        <w:t xml:space="preserve"> </w:t>
      </w:r>
      <w:r w:rsidRPr="00874AEB">
        <w:rPr>
          <w:szCs w:val="24"/>
        </w:rPr>
        <w:t xml:space="preserve">These four separate categories are derived from the </w:t>
      </w:r>
      <w:proofErr w:type="spellStart"/>
      <w:r w:rsidRPr="00874AEB">
        <w:rPr>
          <w:szCs w:val="24"/>
        </w:rPr>
        <w:t>Spaeth</w:t>
      </w:r>
      <w:proofErr w:type="spellEnd"/>
      <w:r w:rsidRPr="00874AEB">
        <w:rPr>
          <w:szCs w:val="24"/>
        </w:rPr>
        <w:t xml:space="preserve"> SCDB (2012) Release 01 issue areas variable. Civil Rights and Liberties category includes cases involving civil rights, the First Amendment, due process, privacy, and attorneys.  Economics category includes cases involving economic activity, unions, and federal taxation.  The Criminal Procedure and Judicial Power </w:t>
      </w:r>
      <w:r>
        <w:rPr>
          <w:szCs w:val="24"/>
        </w:rPr>
        <w:t>and</w:t>
      </w:r>
      <w:r w:rsidRPr="00874AEB">
        <w:rPr>
          <w:szCs w:val="24"/>
        </w:rPr>
        <w:t xml:space="preserve"> Federalism categories include cases involving what their category name implies.</w:t>
      </w:r>
      <w:r>
        <w:rPr>
          <w:color w:val="0070C0"/>
          <w:szCs w:val="24"/>
        </w:rPr>
        <w:t xml:space="preserve"> </w:t>
      </w:r>
    </w:p>
    <w:p w:rsidR="00B730DB" w:rsidRDefault="00B730DB">
      <w:pPr>
        <w:pStyle w:val="FootnoteText"/>
      </w:pPr>
    </w:p>
  </w:footnote>
  <w:footnote w:id="45">
    <w:p w:rsidR="00B730DB" w:rsidRDefault="00B730DB">
      <w:pPr>
        <w:pStyle w:val="FootnoteText"/>
      </w:pPr>
      <w:r>
        <w:rPr>
          <w:rStyle w:val="FootnoteReference"/>
        </w:rPr>
        <w:footnoteRef/>
      </w:r>
      <w:r>
        <w:t xml:space="preserve"> A discussion of how cases are categorized as politically salient is included later in this chapter.</w:t>
      </w:r>
    </w:p>
    <w:p w:rsidR="00B730DB" w:rsidRDefault="00B730DB">
      <w:pPr>
        <w:pStyle w:val="FootnoteText"/>
      </w:pPr>
    </w:p>
  </w:footnote>
  <w:footnote w:id="46">
    <w:p w:rsidR="00B730DB" w:rsidRDefault="00B730DB">
      <w:pPr>
        <w:pStyle w:val="FootnoteText"/>
      </w:pPr>
      <w:r>
        <w:rPr>
          <w:rStyle w:val="FootnoteReference"/>
        </w:rPr>
        <w:footnoteRef/>
      </w:r>
      <w:r>
        <w:t xml:space="preserve"> I was unable to code the decision direction of the justices as liberal or conservative in 18 cases.   In such instances, I simply code the decision direction as unspecifiable.  These 18 cases were classified as unspecifiable for one of three reasons: (1) no specifiable decision direction was included by the SCDB for the justice vote; or (2) the lower court decision was in the same ideological direction as the USSC’ decision, but the Petitioner was listing as the winning party; or (3) the lower court decision direction was in a different ideological direction from the USSC’s decision, but the Petitioner was classified as the losing party.   For example, in the second instance, the lower court direction is listed as conservative, along with the USSC decision, but the SCDB classifies the Petitioner as winning the case.  Or, an example in third instance would be when the lower court direction is listed as conservative, while the USSC decision is listed as liberal, but the SCDB classifies the Petitioner as losing the case. In these three situations, it is not possible to make a principled determination as to whether the justice actually voted in a conservative or liberal direction because the party outcomes do not align with ideological coding of lower court and USSC decision directions.  </w:t>
      </w:r>
    </w:p>
  </w:footnote>
  <w:footnote w:id="47">
    <w:p w:rsidR="00B730DB" w:rsidRPr="00874AEB" w:rsidRDefault="00B730DB">
      <w:pPr>
        <w:pStyle w:val="FootnoteText"/>
      </w:pPr>
      <w:r w:rsidRPr="00874AEB">
        <w:rPr>
          <w:rStyle w:val="FootnoteReference"/>
        </w:rPr>
        <w:footnoteRef/>
      </w:r>
      <w:r w:rsidRPr="00874AEB">
        <w:t xml:space="preserve"> </w:t>
      </w:r>
      <w:r w:rsidRPr="005F0537">
        <w:t xml:space="preserve">Like Collins (2008, 100), I will calculate the marginal effects of the </w:t>
      </w:r>
      <w:proofErr w:type="spellStart"/>
      <w:r w:rsidRPr="005F0537">
        <w:t>noninteractive</w:t>
      </w:r>
      <w:proofErr w:type="spellEnd"/>
      <w:r w:rsidRPr="005F0537">
        <w:t xml:space="preserve"> variables by altering the variables of interest from 0 to 1 (or modal to non-modal category) for dichotomous variables and from the mean to one standard deviation above the mean for continuous variables, holding all other variables at their mean or </w:t>
      </w:r>
      <w:proofErr w:type="spellStart"/>
      <w:r w:rsidRPr="005F0537">
        <w:t>modal</w:t>
      </w:r>
      <w:proofErr w:type="spellEnd"/>
      <w:r w:rsidRPr="005F0537">
        <w:t xml:space="preserve"> values. The marginal effects for the interactive variables, and their constituent terms, will be calculated using the method described in </w:t>
      </w:r>
      <w:proofErr w:type="spellStart"/>
      <w:r w:rsidRPr="005F0537">
        <w:t>Brambor</w:t>
      </w:r>
      <w:proofErr w:type="spellEnd"/>
      <w:r w:rsidRPr="005F0537">
        <w:t xml:space="preserve">, Clark, and </w:t>
      </w:r>
      <w:proofErr w:type="spellStart"/>
      <w:r w:rsidRPr="005F0537">
        <w:t>Golder</w:t>
      </w:r>
      <w:proofErr w:type="spellEnd"/>
      <w:r w:rsidRPr="005F0537">
        <w:t xml:space="preserve"> (2006).</w:t>
      </w:r>
    </w:p>
    <w:p w:rsidR="00B730DB" w:rsidRPr="00FF3DF3" w:rsidRDefault="00B730DB">
      <w:pPr>
        <w:pStyle w:val="FootnoteText"/>
        <w:rPr>
          <w:sz w:val="22"/>
          <w:szCs w:val="22"/>
        </w:rPr>
      </w:pPr>
    </w:p>
  </w:footnote>
  <w:footnote w:id="48">
    <w:p w:rsidR="00B730DB" w:rsidRPr="00874AEB" w:rsidRDefault="00B730DB">
      <w:pPr>
        <w:pStyle w:val="FootnoteText"/>
      </w:pPr>
      <w:r w:rsidRPr="00874AEB">
        <w:rPr>
          <w:rStyle w:val="FootnoteReference"/>
        </w:rPr>
        <w:footnoteRef/>
      </w:r>
      <w:r w:rsidRPr="00874AEB">
        <w:t xml:space="preserve"> However, because 18 cases in my dataset had to be classified as unspecifiable for the re</w:t>
      </w:r>
      <w:r>
        <w:t>asons discussed above</w:t>
      </w:r>
      <w:r w:rsidRPr="00874AEB">
        <w:t xml:space="preserve">, each of the amicus briefs in the cases also had to be classified as ideologically unspecifiable.  Basically, since the ideological direction of the justice vote did not align with the winning party and the lower court decision direction according to the SCDB, the amicus briefs were not able to be assigned an ideological direction.  Thus, in these 18 cases, it is not possible to determine whether amici influence exists given my research design. </w:t>
      </w:r>
    </w:p>
  </w:footnote>
  <w:footnote w:id="49">
    <w:p w:rsidR="00B730DB" w:rsidRPr="00A43EC1" w:rsidRDefault="00B730DB" w:rsidP="003E2E7A">
      <w:pPr>
        <w:autoSpaceDE w:val="0"/>
        <w:autoSpaceDN w:val="0"/>
        <w:adjustRightInd w:val="0"/>
        <w:rPr>
          <w:rFonts w:cs="Times New Roman"/>
          <w:sz w:val="22"/>
        </w:rPr>
      </w:pPr>
      <w:r>
        <w:rPr>
          <w:rStyle w:val="FootnoteReference"/>
        </w:rPr>
        <w:footnoteRef/>
      </w:r>
      <w:r>
        <w:t xml:space="preserve"> </w:t>
      </w:r>
      <w:r>
        <w:rPr>
          <w:rFonts w:cs="Times New Roman"/>
          <w:sz w:val="20"/>
          <w:szCs w:val="20"/>
        </w:rPr>
        <w:t xml:space="preserve">As described by </w:t>
      </w:r>
      <w:r w:rsidRPr="00874AEB">
        <w:rPr>
          <w:rFonts w:cs="Times New Roman"/>
          <w:sz w:val="20"/>
          <w:szCs w:val="20"/>
        </w:rPr>
        <w:t xml:space="preserve">Segal </w:t>
      </w:r>
      <w:r>
        <w:rPr>
          <w:rFonts w:cs="Times New Roman"/>
          <w:sz w:val="20"/>
          <w:szCs w:val="20"/>
        </w:rPr>
        <w:t>and</w:t>
      </w:r>
      <w:r w:rsidRPr="00874AEB">
        <w:rPr>
          <w:rFonts w:cs="Times New Roman"/>
          <w:sz w:val="20"/>
          <w:szCs w:val="20"/>
        </w:rPr>
        <w:t xml:space="preserve"> Cover </w:t>
      </w:r>
      <w:r>
        <w:rPr>
          <w:rFonts w:cs="Times New Roman"/>
          <w:sz w:val="20"/>
          <w:szCs w:val="20"/>
        </w:rPr>
        <w:t>(</w:t>
      </w:r>
      <w:r w:rsidRPr="00874AEB">
        <w:rPr>
          <w:rFonts w:cs="Times New Roman"/>
          <w:sz w:val="20"/>
          <w:szCs w:val="20"/>
        </w:rPr>
        <w:t xml:space="preserve">1989, 559), their ideology scores are derived by content analyzing each paragraph in the relevant newspaper editorials for signs of political ideology as follows: “Paragraphs were coded as </w:t>
      </w:r>
      <w:r w:rsidRPr="00874AEB">
        <w:rPr>
          <w:rFonts w:cs="Times New Roman"/>
          <w:i/>
          <w:iCs/>
          <w:sz w:val="20"/>
          <w:szCs w:val="20"/>
        </w:rPr>
        <w:t>liberal</w:t>
      </w:r>
      <w:r w:rsidRPr="00874AEB">
        <w:rPr>
          <w:rFonts w:cs="Times New Roman"/>
          <w:sz w:val="20"/>
          <w:szCs w:val="20"/>
        </w:rPr>
        <w:t xml:space="preserve">, </w:t>
      </w:r>
      <w:r w:rsidRPr="00874AEB">
        <w:rPr>
          <w:rFonts w:cs="Times New Roman"/>
          <w:i/>
          <w:iCs/>
          <w:sz w:val="20"/>
          <w:szCs w:val="20"/>
        </w:rPr>
        <w:t xml:space="preserve">moderate, </w:t>
      </w:r>
      <w:proofErr w:type="gramStart"/>
      <w:r w:rsidRPr="00874AEB">
        <w:rPr>
          <w:rFonts w:cs="Times New Roman"/>
          <w:i/>
          <w:iCs/>
          <w:sz w:val="20"/>
          <w:szCs w:val="20"/>
        </w:rPr>
        <w:t xml:space="preserve">conservative </w:t>
      </w:r>
      <w:r w:rsidRPr="00874AEB">
        <w:rPr>
          <w:rFonts w:cs="Times New Roman"/>
          <w:sz w:val="20"/>
          <w:szCs w:val="20"/>
        </w:rPr>
        <w:t>,</w:t>
      </w:r>
      <w:proofErr w:type="gramEnd"/>
      <w:r w:rsidRPr="00874AEB">
        <w:rPr>
          <w:rFonts w:cs="Times New Roman"/>
          <w:sz w:val="20"/>
          <w:szCs w:val="20"/>
        </w:rPr>
        <w:t xml:space="preserve"> or </w:t>
      </w:r>
      <w:r w:rsidRPr="00874AEB">
        <w:rPr>
          <w:rFonts w:cs="Times New Roman"/>
          <w:i/>
          <w:iCs/>
          <w:sz w:val="20"/>
          <w:szCs w:val="20"/>
        </w:rPr>
        <w:t>not applicable</w:t>
      </w:r>
      <w:r w:rsidRPr="00874AEB">
        <w:rPr>
          <w:rFonts w:cs="Times New Roman"/>
          <w:sz w:val="20"/>
          <w:szCs w:val="20"/>
        </w:rPr>
        <w:t xml:space="preserve">. Liberal statements include (but are not limited to) those ascribing support for the rights of defendants in criminal cases, women and racial minorities in equality cases, and the individual against the government in privacy and First Amendment cases. Conservative statements are those with an opposite direction. </w:t>
      </w:r>
      <w:proofErr w:type="gramStart"/>
      <w:r w:rsidRPr="00874AEB">
        <w:rPr>
          <w:rFonts w:cs="Times New Roman"/>
          <w:sz w:val="20"/>
          <w:szCs w:val="20"/>
        </w:rPr>
        <w:t>Moderate statements include those that explicitly ascribe moderation to the nominees or those that ascribe both liberal and conservative values” (559).</w:t>
      </w:r>
      <w:proofErr w:type="gramEnd"/>
      <w:r w:rsidRPr="00874AEB">
        <w:rPr>
          <w:rFonts w:cs="Times New Roman"/>
          <w:sz w:val="20"/>
          <w:szCs w:val="20"/>
        </w:rPr>
        <w:t xml:space="preserve">  Segal and Cover then measure judicial ideology by subtracting the fraction of paragraphs coded conservative from the fraction of paragraphs coded liberal and dividing by the total number of paragraphs coded liberal, conservative, and moderate. The resulting scale of policy preferences ranges from 0 (unanimously conservative) to .5 (moderate) to 1 (unanimously liberal).</w:t>
      </w:r>
      <w:r w:rsidRPr="00A43EC1">
        <w:rPr>
          <w:rFonts w:cs="Times New Roman"/>
          <w:sz w:val="22"/>
        </w:rPr>
        <w:t xml:space="preserve"> </w:t>
      </w:r>
    </w:p>
    <w:p w:rsidR="00B730DB" w:rsidRPr="00A43EC1" w:rsidRDefault="00B730DB" w:rsidP="00F75262">
      <w:pPr>
        <w:pStyle w:val="FootnoteText"/>
        <w:rPr>
          <w:sz w:val="22"/>
          <w:szCs w:val="22"/>
        </w:rPr>
      </w:pPr>
    </w:p>
  </w:footnote>
  <w:footnote w:id="50">
    <w:p w:rsidR="00B730DB" w:rsidRDefault="00B730DB">
      <w:pPr>
        <w:pStyle w:val="FootnoteText"/>
      </w:pPr>
      <w:r>
        <w:rPr>
          <w:rStyle w:val="FootnoteReference"/>
        </w:rPr>
        <w:footnoteRef/>
      </w:r>
      <w:r>
        <w:t xml:space="preserve"> Although J. Souter and J. Stevens are widely regarded as being much more liberal in their voting record than their Segal-Cover score would indicate.</w:t>
      </w:r>
    </w:p>
    <w:p w:rsidR="00B730DB" w:rsidRDefault="00B730DB">
      <w:pPr>
        <w:pStyle w:val="FootnoteText"/>
      </w:pPr>
    </w:p>
  </w:footnote>
  <w:footnote w:id="51">
    <w:p w:rsidR="00B730DB" w:rsidRPr="00874AEB" w:rsidRDefault="00B730DB" w:rsidP="00C6410D">
      <w:pPr>
        <w:pStyle w:val="FootnoteText"/>
      </w:pPr>
      <w:r w:rsidRPr="00874AEB">
        <w:rPr>
          <w:rStyle w:val="FootnoteReference"/>
        </w:rPr>
        <w:footnoteRef/>
      </w:r>
      <w:r w:rsidRPr="00874AEB">
        <w:t xml:space="preserve"> It bears noting that the Court’s ideologically median justice is not necessarily the same thing as the Court’s most ideologically moderate justice.  According to Epstein and Jacobi (2008, 45), to be the Court’s median justice is to be “the Justice in the middle of a distribution of Justices, such that half of the justices are to the right of (more ‘conservative’ than) the median and half are to the left of (more ‘liberal’ than) the median.”  That is</w:t>
      </w:r>
      <w:r>
        <w:t>,</w:t>
      </w:r>
      <w:r w:rsidRPr="00874AEB">
        <w:t xml:space="preserve"> the median justice is the justice who sits in the exact middle of Court (see also Martin, Quinn, </w:t>
      </w:r>
      <w:r>
        <w:t>and</w:t>
      </w:r>
      <w:r w:rsidRPr="00874AEB">
        <w:t xml:space="preserve"> Epstein 2005). To be a “moderate” is to have a decreased commitment to either the liberal or conservative points of view or to hold ideological views than run in the middle of the two ideological poles.  For example, using Segal-Cover scoring, a score of .5 would be the most ideologically moderate.  When using a score of .5 as the standard for moderation, Justice Stephen Breyer – with a Segal-Cover score of .475 – becomes the closest justice to a moderate ideology in the Roberts Court to date.   Yet, Justices Souter and Kennedy are closest to USSC’s median during the time frame under analysis.   </w:t>
      </w:r>
    </w:p>
    <w:p w:rsidR="00B730DB" w:rsidRPr="00874AEB" w:rsidRDefault="00B730DB" w:rsidP="00C6410D">
      <w:pPr>
        <w:pStyle w:val="FootnoteText"/>
      </w:pPr>
    </w:p>
  </w:footnote>
  <w:footnote w:id="52">
    <w:p w:rsidR="00B730DB" w:rsidRPr="00A43EC1" w:rsidRDefault="00B730DB" w:rsidP="00574EFD">
      <w:pPr>
        <w:pStyle w:val="FootnoteText"/>
        <w:rPr>
          <w:rFonts w:cs="Times New Roman"/>
          <w:sz w:val="22"/>
          <w:szCs w:val="22"/>
        </w:rPr>
      </w:pPr>
      <w:r w:rsidRPr="00874AEB">
        <w:rPr>
          <w:rStyle w:val="FootnoteReference"/>
        </w:rPr>
        <w:footnoteRef/>
      </w:r>
      <w:r w:rsidRPr="00874AEB">
        <w:t xml:space="preserve"> If I were using the Martin-Quinn scores as my measure of judicial ideology, the</w:t>
      </w:r>
      <w:r w:rsidRPr="00874AEB">
        <w:rPr>
          <w:rFonts w:cs="Times New Roman"/>
        </w:rPr>
        <w:t xml:space="preserve"> most liberal justice in the Roberts Court dataset would measure at -1.406 (Justice J.P. Stevens during the 2007 term), while the most conservative would score 4.629 (Justice C. Thomas during the 2007 term). The overall mean ideology would be 1.407 (which is closet to Justice A. Kennedy’s score during the 2011 term, whose score is 1.403, second closest to Justice A. Kennedy’s score of 1.521 during the 2010 term, and third closet to Kennedy’s score of 1.236 during the 2009 term), with a standard deviation of 1.829.  After Justice Kennedy, the closet Justice to the MQ mean ideology score is Chief Justice J. Roberts during the 2007 term with a score of 1.99.   Justice R.B. Ginsburg, with scores of .011 and -.011 in the 2010 and 2011 terms, respectively, is actually the closest justice to the historic mean of the USSC during the time frame under analysis using MQ scoring.  However, unlike the Segal-Cover scores, the MQ scores are not able to capture actual ideological “moderation” as well as they capture the median ju</w:t>
      </w:r>
      <w:r>
        <w:rPr>
          <w:rFonts w:cs="Times New Roman"/>
        </w:rPr>
        <w:t xml:space="preserve">stice, because, as described above, the </w:t>
      </w:r>
      <w:r w:rsidRPr="00874AEB">
        <w:rPr>
          <w:rFonts w:cs="Times New Roman"/>
        </w:rPr>
        <w:t>MQ ideal points are arrived at by analyzing voting coalitions and comparisons to justices one another over time, not by measuring ideology in reference to how any particular case outcome aligns with subjective assessments of where cases should fall on the conservative-liberal ideological spectrum.</w:t>
      </w:r>
      <w:r w:rsidRPr="00A43EC1">
        <w:rPr>
          <w:rFonts w:cs="Times New Roman"/>
          <w:sz w:val="22"/>
          <w:szCs w:val="22"/>
        </w:rPr>
        <w:t xml:space="preserve"> </w:t>
      </w:r>
    </w:p>
  </w:footnote>
  <w:footnote w:id="53">
    <w:p w:rsidR="00B730DB" w:rsidRDefault="00B730DB">
      <w:pPr>
        <w:pStyle w:val="FootnoteText"/>
        <w:rPr>
          <w:sz w:val="22"/>
          <w:szCs w:val="22"/>
        </w:rPr>
      </w:pPr>
      <w:r w:rsidRPr="009C31C3">
        <w:rPr>
          <w:rStyle w:val="FootnoteReference"/>
          <w:sz w:val="22"/>
          <w:szCs w:val="22"/>
        </w:rPr>
        <w:footnoteRef/>
      </w:r>
      <w:r w:rsidRPr="009C31C3">
        <w:rPr>
          <w:sz w:val="22"/>
          <w:szCs w:val="22"/>
        </w:rPr>
        <w:t xml:space="preserve"> </w:t>
      </w:r>
      <w:r w:rsidRPr="00874AEB">
        <w:rPr>
          <w:rFonts w:cs="Times New Roman"/>
        </w:rPr>
        <w:t xml:space="preserve">The Segal-Cover scores are admittedly static – i.e., they do not change over the course of a justice’s career, even though research shows that most justices become more liberal or conservative during their tenure on the USSC (e.g., Epstein et al. 2007). </w:t>
      </w:r>
      <w:r w:rsidRPr="00874AEB">
        <w:t xml:space="preserve">This is one reason that many scholars prefer the MQ ideology measures, as they are dynamic and change over time.  Additionally, while Segal-Cover scores have been shown to have strong explanatory power in civil rights cases, the same is not true for cases involving unions, federalism, or taxation as the primary issue area (e.g., Epstein </w:t>
      </w:r>
      <w:r>
        <w:t>and</w:t>
      </w:r>
      <w:r w:rsidRPr="00874AEB">
        <w:t xml:space="preserve"> </w:t>
      </w:r>
      <w:proofErr w:type="spellStart"/>
      <w:r w:rsidRPr="00874AEB">
        <w:t>Mershon</w:t>
      </w:r>
      <w:proofErr w:type="spellEnd"/>
      <w:r w:rsidRPr="00874AEB">
        <w:t xml:space="preserve"> 1996).  The MQ scores have been shown to have more predictive power in these areas.</w:t>
      </w:r>
    </w:p>
    <w:p w:rsidR="00B730DB" w:rsidRPr="009C31C3" w:rsidRDefault="00B730DB">
      <w:pPr>
        <w:pStyle w:val="FootnoteText"/>
        <w:rPr>
          <w:sz w:val="22"/>
          <w:szCs w:val="22"/>
        </w:rPr>
      </w:pPr>
    </w:p>
  </w:footnote>
  <w:footnote w:id="54">
    <w:p w:rsidR="00B730DB" w:rsidRDefault="00B730DB">
      <w:pPr>
        <w:pStyle w:val="FootnoteText"/>
      </w:pPr>
      <w:r>
        <w:rPr>
          <w:rStyle w:val="FootnoteReference"/>
        </w:rPr>
        <w:footnoteRef/>
      </w:r>
      <w:r>
        <w:t xml:space="preserve"> For purposes of this analysis, although technically separate organizations, I treat the NAACP and NAACP Legal Defense Fund as the same entity.</w:t>
      </w:r>
    </w:p>
    <w:p w:rsidR="00B730DB" w:rsidRDefault="00B730DB">
      <w:pPr>
        <w:pStyle w:val="FootnoteText"/>
      </w:pPr>
    </w:p>
  </w:footnote>
  <w:footnote w:id="55">
    <w:p w:rsidR="00B730DB" w:rsidRDefault="00B730DB">
      <w:pPr>
        <w:pStyle w:val="FootnoteText"/>
      </w:pPr>
      <w:r>
        <w:rPr>
          <w:rStyle w:val="FootnoteReference"/>
        </w:rPr>
        <w:footnoteRef/>
      </w:r>
      <w:r>
        <w:t xml:space="preserve"> This list of ten prestigious groups is not meant to be exhaustive, but it is meant to be accurate and representative of the most prestigious, powerful, institutional amici to appear at the USSC: the quintessential “repeat players.”  There is no one accepted list or ranking of the most prestigious amicus groups.  My list is culled from various sources in the extant literature and is subject to judgment calls.</w:t>
      </w:r>
    </w:p>
  </w:footnote>
  <w:footnote w:id="56">
    <w:p w:rsidR="00B730DB" w:rsidRDefault="00B730DB">
      <w:pPr>
        <w:pStyle w:val="FootnoteText"/>
      </w:pPr>
      <w:r>
        <w:rPr>
          <w:rStyle w:val="FootnoteReference"/>
        </w:rPr>
        <w:footnoteRef/>
      </w:r>
      <w:r>
        <w:t xml:space="preserve"> This interaction term is not included in the base model reported in the Appendix in Table A.3.</w:t>
      </w:r>
    </w:p>
    <w:p w:rsidR="00B730DB" w:rsidRDefault="00B730DB">
      <w:pPr>
        <w:pStyle w:val="FootnoteText"/>
      </w:pPr>
    </w:p>
  </w:footnote>
  <w:footnote w:id="57">
    <w:p w:rsidR="00B730DB" w:rsidRDefault="00B730DB">
      <w:pPr>
        <w:pStyle w:val="FootnoteText"/>
      </w:pPr>
      <w:r>
        <w:rPr>
          <w:rStyle w:val="FootnoteReference"/>
        </w:rPr>
        <w:footnoteRef/>
      </w:r>
      <w:r>
        <w:t xml:space="preserve"> As described by </w:t>
      </w:r>
      <w:proofErr w:type="spellStart"/>
      <w:r>
        <w:t>Brambor</w:t>
      </w:r>
      <w:proofErr w:type="spellEnd"/>
      <w:r>
        <w:t xml:space="preserve">, Clark, and </w:t>
      </w:r>
      <w:proofErr w:type="spellStart"/>
      <w:r>
        <w:t>Golder</w:t>
      </w:r>
      <w:proofErr w:type="spellEnd"/>
      <w:r>
        <w:t xml:space="preserve"> (2006), the purpose of using interaction terms is to capture the conditional relationship between two or more variables.  In this work, the interaction term is included to determine whether or not all justices respond uniformly to amicus briefs or whether a justice’s response is conditioned by his/her judicial ideology. </w:t>
      </w:r>
    </w:p>
    <w:p w:rsidR="00B730DB" w:rsidRDefault="00B730DB">
      <w:pPr>
        <w:pStyle w:val="FootnoteText"/>
      </w:pPr>
    </w:p>
  </w:footnote>
  <w:footnote w:id="58">
    <w:p w:rsidR="00B730DB" w:rsidRDefault="00B730DB" w:rsidP="00090133">
      <w:pPr>
        <w:pStyle w:val="FootnoteText"/>
      </w:pPr>
      <w:r>
        <w:rPr>
          <w:rStyle w:val="FootnoteReference"/>
        </w:rPr>
        <w:footnoteRef/>
      </w:r>
      <w:r>
        <w:t xml:space="preserve"> The MQ scores are able to capture a justice’s ideological drift over time, while Segal-Cover scores are not.  Additionally, MQ scores are more predictive of a justice’s votes across various issue areas than are Segal-Cover scores.</w:t>
      </w:r>
    </w:p>
  </w:footnote>
  <w:footnote w:id="59">
    <w:p w:rsidR="00B730DB" w:rsidRDefault="00B730DB">
      <w:pPr>
        <w:pStyle w:val="FootnoteText"/>
        <w:rPr>
          <w:szCs w:val="24"/>
        </w:rPr>
      </w:pPr>
      <w:r>
        <w:rPr>
          <w:rStyle w:val="FootnoteReference"/>
        </w:rPr>
        <w:footnoteRef/>
      </w:r>
      <w:r>
        <w:t xml:space="preserve"> But compare Sheehan, </w:t>
      </w:r>
      <w:proofErr w:type="spellStart"/>
      <w:r>
        <w:t>Mishler</w:t>
      </w:r>
      <w:proofErr w:type="spellEnd"/>
      <w:r>
        <w:t xml:space="preserve">, and </w:t>
      </w:r>
      <w:proofErr w:type="spellStart"/>
      <w:r>
        <w:t>Songer</w:t>
      </w:r>
      <w:proofErr w:type="spellEnd"/>
      <w:r>
        <w:t xml:space="preserve"> (1992), who fail to find a party status/ resources effect on the chances of judicial success at the USSC.  This finding may be explained, in part, by </w:t>
      </w:r>
      <w:proofErr w:type="spellStart"/>
      <w:r w:rsidRPr="005039B9">
        <w:t>McAtee</w:t>
      </w:r>
      <w:proofErr w:type="spellEnd"/>
      <w:r w:rsidRPr="005039B9">
        <w:t xml:space="preserve"> </w:t>
      </w:r>
      <w:r>
        <w:t>and</w:t>
      </w:r>
      <w:r w:rsidRPr="005039B9">
        <w:t xml:space="preserve"> McGuire</w:t>
      </w:r>
      <w:r>
        <w:t xml:space="preserve">’s research (2007, 271), which </w:t>
      </w:r>
      <w:r w:rsidRPr="005039B9">
        <w:rPr>
          <w:szCs w:val="24"/>
        </w:rPr>
        <w:t>show</w:t>
      </w:r>
      <w:r>
        <w:rPr>
          <w:szCs w:val="24"/>
        </w:rPr>
        <w:t>s</w:t>
      </w:r>
      <w:r w:rsidRPr="005039B9">
        <w:rPr>
          <w:szCs w:val="24"/>
        </w:rPr>
        <w:t xml:space="preserve"> that justice ideology at the USSC mediates the influence of litigant resources: “</w:t>
      </w:r>
      <w:r w:rsidRPr="005039B9">
        <w:rPr>
          <w:rFonts w:cs="Times New Roman"/>
          <w:szCs w:val="24"/>
        </w:rPr>
        <w:t>liberal justices favor the social and economic underdogs, while more conservative justices support the interests of wealthier, institutional litigants.”</w:t>
      </w:r>
      <w:r>
        <w:rPr>
          <w:rFonts w:cs="Times New Roman"/>
          <w:szCs w:val="24"/>
        </w:rPr>
        <w:t xml:space="preserve"> Thus, the liberal and conservative justices may often cancel each ou</w:t>
      </w:r>
      <w:r>
        <w:rPr>
          <w:szCs w:val="24"/>
        </w:rPr>
        <w:t>t, muting the discernible effect of party resources on justice votes.</w:t>
      </w:r>
    </w:p>
    <w:p w:rsidR="00B730DB" w:rsidRPr="005039B9" w:rsidRDefault="00B730DB">
      <w:pPr>
        <w:pStyle w:val="FootnoteText"/>
      </w:pPr>
    </w:p>
  </w:footnote>
  <w:footnote w:id="60">
    <w:p w:rsidR="00B730DB" w:rsidRDefault="00B730DB" w:rsidP="00BA2FD7">
      <w:pPr>
        <w:pStyle w:val="FootnoteText"/>
      </w:pPr>
      <w:r>
        <w:rPr>
          <w:rStyle w:val="FootnoteReference"/>
        </w:rPr>
        <w:footnoteRef/>
      </w:r>
      <w:r>
        <w:t xml:space="preserve"> In 18 of the 397 cases under review, I was not able to classify the resource levels of the parties as either liberal or conservative, as the ideological direction of the USSC’s decision in the case was unspecifiable.   In such instances, I did not fill in values for the Liberal and Conservative Party Resources variable.</w:t>
      </w:r>
    </w:p>
    <w:p w:rsidR="00B730DB" w:rsidRDefault="00B730DB" w:rsidP="00BA2FD7">
      <w:pPr>
        <w:pStyle w:val="FootnoteText"/>
      </w:pPr>
    </w:p>
  </w:footnote>
  <w:footnote w:id="61">
    <w:p w:rsidR="00B730DB" w:rsidRDefault="00B730DB">
      <w:pPr>
        <w:pStyle w:val="FootnoteText"/>
      </w:pPr>
      <w:r>
        <w:rPr>
          <w:rStyle w:val="FootnoteReference"/>
        </w:rPr>
        <w:footnoteRef/>
      </w:r>
      <w:r>
        <w:t xml:space="preserve"> I code Poor Individuals as those who were proceeding via </w:t>
      </w:r>
      <w:r w:rsidRPr="00571369">
        <w:rPr>
          <w:i/>
        </w:rPr>
        <w:t xml:space="preserve">in forma </w:t>
      </w:r>
      <w:proofErr w:type="spellStart"/>
      <w:r w:rsidRPr="00571369">
        <w:rPr>
          <w:i/>
        </w:rPr>
        <w:t>pauperis</w:t>
      </w:r>
      <w:proofErr w:type="spellEnd"/>
      <w:r>
        <w:rPr>
          <w:i/>
        </w:rPr>
        <w:t xml:space="preserve"> </w:t>
      </w:r>
      <w:r>
        <w:t>petitions, as well as those who were coded as indigent defendants, persons convicted of crimes, welfare recipients, and prisoners in the SCDB (2012) Release 01.</w:t>
      </w:r>
    </w:p>
    <w:p w:rsidR="00B730DB" w:rsidRPr="00571369" w:rsidRDefault="00B730DB">
      <w:pPr>
        <w:pStyle w:val="FootnoteText"/>
      </w:pPr>
    </w:p>
  </w:footnote>
  <w:footnote w:id="62">
    <w:p w:rsidR="00B730DB" w:rsidRDefault="00B730DB" w:rsidP="004F7976">
      <w:pPr>
        <w:pStyle w:val="FootnoteText"/>
      </w:pPr>
      <w:r>
        <w:rPr>
          <w:rStyle w:val="FootnoteReference"/>
        </w:rPr>
        <w:footnoteRef/>
      </w:r>
      <w:r>
        <w:t xml:space="preserve"> I code Minorities as including those classified in the SCDB as minority employees or job applicants, other racial or ethnic minorities, lesbian, gay, or bisexual individuals, handicapped individuals, aliens, and Indians or Native American tribes. </w:t>
      </w:r>
    </w:p>
    <w:p w:rsidR="00B730DB" w:rsidRDefault="00B730DB" w:rsidP="004F7976">
      <w:pPr>
        <w:pStyle w:val="FootnoteText"/>
      </w:pPr>
    </w:p>
  </w:footnote>
  <w:footnote w:id="63">
    <w:p w:rsidR="00B730DB" w:rsidRDefault="00B730DB">
      <w:pPr>
        <w:pStyle w:val="FootnoteText"/>
      </w:pPr>
      <w:r>
        <w:rPr>
          <w:rStyle w:val="FootnoteReference"/>
        </w:rPr>
        <w:footnoteRef/>
      </w:r>
      <w:r>
        <w:t xml:space="preserve"> I code Individuals as including those classified in the SCDB as private persons, voters, attorneys, physicians, defendants, children, females, employees, and any other individuals not included categories 1 or 2.</w:t>
      </w:r>
    </w:p>
    <w:p w:rsidR="00B730DB" w:rsidRDefault="00B730DB">
      <w:pPr>
        <w:pStyle w:val="FootnoteText"/>
      </w:pPr>
    </w:p>
  </w:footnote>
  <w:footnote w:id="64">
    <w:p w:rsidR="00B730DB" w:rsidRDefault="00B730DB">
      <w:pPr>
        <w:pStyle w:val="FootnoteText"/>
      </w:pPr>
      <w:r>
        <w:rPr>
          <w:rStyle w:val="FootnoteReference"/>
        </w:rPr>
        <w:footnoteRef/>
      </w:r>
      <w:r>
        <w:t xml:space="preserve"> Unions/Interest Groups include those classified as unions, professional organizations, political action committees, private colleges and universities, religious organizations and institutions, nonprofit groups, environmental organizations, public interest organizations, etc., in the SCDB.</w:t>
      </w:r>
    </w:p>
    <w:p w:rsidR="00B730DB" w:rsidRDefault="00B730DB">
      <w:pPr>
        <w:pStyle w:val="FootnoteText"/>
      </w:pPr>
    </w:p>
  </w:footnote>
  <w:footnote w:id="65">
    <w:p w:rsidR="00B730DB" w:rsidRDefault="00B730DB">
      <w:pPr>
        <w:pStyle w:val="FootnoteText"/>
        <w:rPr>
          <w:rFonts w:cs="Times New Roman"/>
          <w:bCs/>
        </w:rPr>
      </w:pPr>
      <w:r>
        <w:rPr>
          <w:rStyle w:val="FootnoteReference"/>
        </w:rPr>
        <w:footnoteRef/>
      </w:r>
      <w:r>
        <w:t xml:space="preserve"> </w:t>
      </w:r>
      <w:r w:rsidRPr="00073293">
        <w:t>I follow Sheehan et al. (1992</w:t>
      </w:r>
      <w:r>
        <w:t xml:space="preserve">, 470, fn. 1), and code Corporations as including very large business entities (e.g., airlines, railroads, banks, insurance companies, oil companies, telecommunications companies, etc.) and national corporations (e.g. Amazon, Microsoft, General Electric, </w:t>
      </w:r>
      <w:proofErr w:type="spellStart"/>
      <w:r>
        <w:t>etc</w:t>
      </w:r>
      <w:proofErr w:type="spellEnd"/>
      <w:r>
        <w:t>). Small Businesses include</w:t>
      </w:r>
      <w:r w:rsidRPr="00073293">
        <w:rPr>
          <w:rFonts w:cs="Times New Roman"/>
          <w:bCs/>
        </w:rPr>
        <w:t xml:space="preserve"> </w:t>
      </w:r>
      <w:r>
        <w:rPr>
          <w:rFonts w:cs="Times New Roman"/>
          <w:bCs/>
        </w:rPr>
        <w:t xml:space="preserve">those which </w:t>
      </w:r>
      <w:r w:rsidRPr="00073293">
        <w:rPr>
          <w:rFonts w:cs="Times New Roman"/>
          <w:bCs/>
        </w:rPr>
        <w:t xml:space="preserve">are more likely to have </w:t>
      </w:r>
      <w:r>
        <w:rPr>
          <w:rFonts w:cs="Times New Roman"/>
          <w:bCs/>
        </w:rPr>
        <w:t>an individual owner-proprietor, e.g.,</w:t>
      </w:r>
      <w:r w:rsidRPr="00073293">
        <w:rPr>
          <w:rFonts w:cs="Times New Roman"/>
          <w:bCs/>
        </w:rPr>
        <w:t xml:space="preserve"> booksto</w:t>
      </w:r>
      <w:r>
        <w:rPr>
          <w:rFonts w:cs="Times New Roman"/>
          <w:bCs/>
        </w:rPr>
        <w:t xml:space="preserve">res, realtors, restaurants, </w:t>
      </w:r>
      <w:r w:rsidRPr="00073293">
        <w:rPr>
          <w:rFonts w:cs="Times New Roman"/>
          <w:bCs/>
        </w:rPr>
        <w:t>theaters</w:t>
      </w:r>
      <w:r>
        <w:rPr>
          <w:rFonts w:cs="Times New Roman"/>
          <w:bCs/>
        </w:rPr>
        <w:t>, and so-called “mom and pop” establishments.  Lastly the Businesses category includes those businesses in between these other two categories or whose size is ambiguous.</w:t>
      </w:r>
    </w:p>
    <w:p w:rsidR="00B730DB" w:rsidRDefault="00B730DB">
      <w:pPr>
        <w:pStyle w:val="FootnoteText"/>
      </w:pPr>
    </w:p>
  </w:footnote>
  <w:footnote w:id="66">
    <w:p w:rsidR="00B730DB" w:rsidRDefault="00B730DB">
      <w:pPr>
        <w:pStyle w:val="FootnoteText"/>
      </w:pPr>
      <w:r>
        <w:rPr>
          <w:rStyle w:val="FootnoteReference"/>
        </w:rPr>
        <w:footnoteRef/>
      </w:r>
      <w:r>
        <w:t xml:space="preserve"> I code Local Governments as both municipalities, counties, and their respective officials.</w:t>
      </w:r>
    </w:p>
    <w:p w:rsidR="00B730DB" w:rsidRDefault="00B730DB">
      <w:pPr>
        <w:pStyle w:val="FootnoteText"/>
      </w:pPr>
    </w:p>
  </w:footnote>
  <w:footnote w:id="67">
    <w:p w:rsidR="00B730DB" w:rsidRDefault="00B730DB">
      <w:pPr>
        <w:pStyle w:val="FootnoteText"/>
      </w:pPr>
      <w:r>
        <w:rPr>
          <w:rStyle w:val="FootnoteReference"/>
        </w:rPr>
        <w:footnoteRef/>
      </w:r>
      <w:r>
        <w:t xml:space="preserve"> I code State Governments as including the 50 U.S. states, the District of Columbia, and U.S. territories, and their respective officials. I also include Foreign Governments in this category, as I expect their resource levels to be typically higher than local governments but lower than the U.S. federal government.</w:t>
      </w:r>
    </w:p>
    <w:p w:rsidR="00B730DB" w:rsidRDefault="00B730DB">
      <w:pPr>
        <w:pStyle w:val="FootnoteText"/>
      </w:pPr>
    </w:p>
  </w:footnote>
  <w:footnote w:id="68">
    <w:p w:rsidR="00B730DB" w:rsidRDefault="00B730DB">
      <w:pPr>
        <w:pStyle w:val="FootnoteText"/>
      </w:pPr>
      <w:r>
        <w:rPr>
          <w:rStyle w:val="FootnoteReference"/>
        </w:rPr>
        <w:footnoteRef/>
      </w:r>
      <w:r>
        <w:t xml:space="preserve"> I code Federal Government as instances where the United </w:t>
      </w:r>
      <w:proofErr w:type="gramStart"/>
      <w:r>
        <w:t>States,</w:t>
      </w:r>
      <w:proofErr w:type="gramEnd"/>
      <w:r>
        <w:t xml:space="preserve"> or one of its bureaucratic departments or agencies, or top officials is a party.  The Solicitor General is always the legal representative before the USSC in such instances speaking on behalf of the federal government.  </w:t>
      </w:r>
    </w:p>
    <w:p w:rsidR="00B730DB" w:rsidRDefault="00B730DB">
      <w:pPr>
        <w:pStyle w:val="FootnoteText"/>
      </w:pPr>
    </w:p>
  </w:footnote>
  <w:footnote w:id="69">
    <w:p w:rsidR="00B730DB" w:rsidRDefault="00B730DB">
      <w:pPr>
        <w:pStyle w:val="FootnoteText"/>
      </w:pPr>
      <w:r>
        <w:rPr>
          <w:rStyle w:val="FootnoteReference"/>
        </w:rPr>
        <w:footnoteRef/>
      </w:r>
      <w:r>
        <w:t xml:space="preserve"> While the party resource continuum adopted in this study is admittedly subject to arbitrariness and overgeneralization at times, this is true of any parsimonious ranking of litigant resources. Nevertheless, such a continuum remains a “pragmatic solution” (Wheeler et al. 1987, 413).   Similar litigant resource continuums have been widely accepted in the literature (see e.g., Black and Boyd, 2012; Wheeler et al. 1987; Sheehan et al. 1992; Collins 2004, 2007, 2008).  As noted by Black and Boyd (2012, 293), despite minor variations, scholars are in widespread agreement as to the general scaling of parties: individuals are the least powerful and have the lowest resource levels, while businesses have the next level of power because they are better organized and have a larger pool of resources to draw from.  Lastly, governments are placed at the top of the rankings because they are frequently involved in litigation and have a nearly limitless pool of resources.</w:t>
      </w:r>
    </w:p>
  </w:footnote>
  <w:footnote w:id="70">
    <w:p w:rsidR="00B730DB" w:rsidRDefault="00B730DB" w:rsidP="00510205">
      <w:pPr>
        <w:pStyle w:val="FootnoteText"/>
      </w:pPr>
      <w:r>
        <w:rPr>
          <w:rStyle w:val="FootnoteReference"/>
        </w:rPr>
        <w:footnoteRef/>
      </w:r>
      <w:r>
        <w:t xml:space="preserve"> </w:t>
      </w:r>
      <w:r>
        <w:rPr>
          <w:szCs w:val="24"/>
        </w:rPr>
        <w:t xml:space="preserve">I chose .4 as the conservative/liberal break-point for a couple of reasons.  First, it was a natural break-point when looking at the alignment of justices when arrayed from highest MQ scores (most conservative) to lowest MQ scores (most liberal).  Second, it was the dividing line between the highest MQ score of the least liberal of those justices widely considered to be a part of the liberal bloc on the Roberts Court (Elena Kagan in 2011 term: .392 MQ score), and the lowest MQ scores of the least conservative of the justices considered to be part of the conservative bloc of the Roberts Court (Anthony Kennedy in the 2007 term: .609).   </w:t>
      </w:r>
    </w:p>
  </w:footnote>
  <w:footnote w:id="71">
    <w:p w:rsidR="00B730DB" w:rsidRPr="00031178" w:rsidRDefault="00B730DB" w:rsidP="00016CCF">
      <w:pPr>
        <w:pStyle w:val="FootnoteText"/>
      </w:pPr>
      <w:r w:rsidRPr="00840460">
        <w:rPr>
          <w:rStyle w:val="FootnoteReference"/>
        </w:rPr>
        <w:footnoteRef/>
      </w:r>
      <w:r w:rsidRPr="00CF6614">
        <w:rPr>
          <w:sz w:val="22"/>
          <w:szCs w:val="22"/>
        </w:rPr>
        <w:t xml:space="preserve"> </w:t>
      </w:r>
      <w:r>
        <w:rPr>
          <w:sz w:val="22"/>
          <w:szCs w:val="22"/>
        </w:rPr>
        <w:t xml:space="preserve">  </w:t>
      </w:r>
      <w:r w:rsidRPr="00DC3D47">
        <w:t xml:space="preserve">In using this Congressional Quarterly measure, I depart from </w:t>
      </w:r>
      <w:r w:rsidRPr="00DC3D47">
        <w:rPr>
          <w:rFonts w:cs="Times New Roman"/>
        </w:rPr>
        <w:t xml:space="preserve">Collins (2008, 124-125) and Epstein </w:t>
      </w:r>
      <w:r>
        <w:rPr>
          <w:rFonts w:cs="Times New Roman"/>
        </w:rPr>
        <w:t>and</w:t>
      </w:r>
      <w:r w:rsidRPr="00DC3D47">
        <w:rPr>
          <w:rFonts w:cs="Times New Roman"/>
        </w:rPr>
        <w:t xml:space="preserve"> Segal (2000) who determine political salience based upon whether the case appeared on the front page of the </w:t>
      </w:r>
      <w:r w:rsidRPr="00DC3D47">
        <w:rPr>
          <w:rFonts w:cs="Times New Roman"/>
          <w:i/>
        </w:rPr>
        <w:t>New York Times</w:t>
      </w:r>
      <w:r w:rsidRPr="00DC3D47">
        <w:rPr>
          <w:rFonts w:cs="Times New Roman"/>
        </w:rPr>
        <w:t xml:space="preserve"> following the decision.  However, access to such </w:t>
      </w:r>
      <w:r w:rsidRPr="00DC3D47">
        <w:rPr>
          <w:rFonts w:cs="Times New Roman"/>
          <w:i/>
        </w:rPr>
        <w:t xml:space="preserve">New York Times </w:t>
      </w:r>
      <w:r w:rsidRPr="00DC3D47">
        <w:rPr>
          <w:rFonts w:cs="Times New Roman"/>
        </w:rPr>
        <w:t xml:space="preserve">data is only available through the 2009 term of the USSC, thus it is not appropriate for this study. The Congressional Quarterly salience measure has been used in prior literature and is one of the two measures (along with the </w:t>
      </w:r>
      <w:r w:rsidRPr="00DC3D47">
        <w:rPr>
          <w:rFonts w:cs="Times New Roman"/>
          <w:i/>
        </w:rPr>
        <w:t>New York Times</w:t>
      </w:r>
      <w:r w:rsidRPr="00DC3D47">
        <w:rPr>
          <w:rFonts w:cs="Times New Roman"/>
        </w:rPr>
        <w:t xml:space="preserve">), that is used in the </w:t>
      </w:r>
      <w:proofErr w:type="spellStart"/>
      <w:r w:rsidRPr="00DC3D47">
        <w:rPr>
          <w:rFonts w:cs="Times New Roman"/>
        </w:rPr>
        <w:t>Spaeth</w:t>
      </w:r>
      <w:proofErr w:type="spellEnd"/>
      <w:r w:rsidRPr="00DC3D47">
        <w:rPr>
          <w:rFonts w:cs="Times New Roman"/>
        </w:rPr>
        <w:t xml:space="preserve"> SCDB Salience Measures, located at </w:t>
      </w:r>
      <w:hyperlink r:id="rId1" w:history="1">
        <w:r w:rsidRPr="00DC3D47">
          <w:rPr>
            <w:rStyle w:val="Hyperlink"/>
            <w:rFonts w:cs="Times New Roman"/>
          </w:rPr>
          <w:t>http://scdb.wustl.edu/data.php?s=5</w:t>
        </w:r>
      </w:hyperlink>
      <w:r w:rsidRPr="00DC3D47">
        <w:rPr>
          <w:rFonts w:cs="Times New Roman"/>
        </w:rPr>
        <w:t xml:space="preserve">.  The CQ Press measure of issue salience indicates if the case appears on the list of landmark decisions in Congressional Quarterly’s </w:t>
      </w:r>
      <w:r w:rsidRPr="00DC3D47">
        <w:rPr>
          <w:rFonts w:cs="Times New Roman"/>
          <w:i/>
        </w:rPr>
        <w:t xml:space="preserve">Guide to the U.S. Supreme Court </w:t>
      </w:r>
      <w:r w:rsidRPr="00DC3D47">
        <w:rPr>
          <w:rFonts w:cs="Times New Roman"/>
        </w:rPr>
        <w:t xml:space="preserve">(Savage 2010) (located at </w:t>
      </w:r>
      <w:hyperlink r:id="rId2" w:history="1">
        <w:r w:rsidRPr="00DC3D47">
          <w:rPr>
            <w:rStyle w:val="Hyperlink"/>
            <w:rFonts w:cs="Times New Roman"/>
          </w:rPr>
          <w:t>http://library.cqpress.com/supremecourtguide/</w:t>
        </w:r>
      </w:hyperlink>
      <w:r w:rsidRPr="00DC3D47">
        <w:rPr>
          <w:rFonts w:cs="Times New Roman"/>
        </w:rPr>
        <w:t xml:space="preserve">).  A number of leading scholars in the field have used this CQ measure of case salience (e.g., Collins 2008; Brenner </w:t>
      </w:r>
      <w:r>
        <w:rPr>
          <w:rFonts w:cs="Times New Roman"/>
        </w:rPr>
        <w:t>and</w:t>
      </w:r>
      <w:r w:rsidRPr="00DC3D47">
        <w:rPr>
          <w:rFonts w:cs="Times New Roman"/>
        </w:rPr>
        <w:t xml:space="preserve"> Arrington 2002; Epstein </w:t>
      </w:r>
      <w:r>
        <w:rPr>
          <w:rFonts w:cs="Times New Roman"/>
        </w:rPr>
        <w:t>and</w:t>
      </w:r>
      <w:r w:rsidRPr="00DC3D47">
        <w:rPr>
          <w:rFonts w:cs="Times New Roman"/>
        </w:rPr>
        <w:t xml:space="preserve"> Knight 1998; Segal </w:t>
      </w:r>
      <w:r>
        <w:rPr>
          <w:rFonts w:cs="Times New Roman"/>
        </w:rPr>
        <w:t>and</w:t>
      </w:r>
      <w:r w:rsidRPr="00DC3D47">
        <w:rPr>
          <w:rFonts w:cs="Times New Roman"/>
        </w:rPr>
        <w:t xml:space="preserve"> </w:t>
      </w:r>
      <w:proofErr w:type="spellStart"/>
      <w:r w:rsidRPr="00DC3D47">
        <w:rPr>
          <w:rFonts w:cs="Times New Roman"/>
        </w:rPr>
        <w:t>Spaeth</w:t>
      </w:r>
      <w:proofErr w:type="spellEnd"/>
      <w:r w:rsidRPr="00DC3D47">
        <w:rPr>
          <w:rFonts w:cs="Times New Roman"/>
        </w:rPr>
        <w:t xml:space="preserve"> 1996; Brenner </w:t>
      </w:r>
      <w:r>
        <w:rPr>
          <w:rFonts w:cs="Times New Roman"/>
        </w:rPr>
        <w:t>and</w:t>
      </w:r>
      <w:r w:rsidRPr="00DC3D47">
        <w:rPr>
          <w:rFonts w:cs="Times New Roman"/>
        </w:rPr>
        <w:t xml:space="preserve"> </w:t>
      </w:r>
      <w:proofErr w:type="spellStart"/>
      <w:r w:rsidRPr="00DC3D47">
        <w:rPr>
          <w:rFonts w:cs="Times New Roman"/>
        </w:rPr>
        <w:t>Spaeth</w:t>
      </w:r>
      <w:proofErr w:type="spellEnd"/>
      <w:r w:rsidRPr="00DC3D47">
        <w:rPr>
          <w:rFonts w:cs="Times New Roman"/>
        </w:rPr>
        <w:t xml:space="preserve"> 1995). </w:t>
      </w:r>
      <w:r w:rsidRPr="00DC3D47">
        <w:t xml:space="preserve">Epstein </w:t>
      </w:r>
      <w:r>
        <w:t>and</w:t>
      </w:r>
      <w:r w:rsidRPr="00DC3D47">
        <w:t xml:space="preserve"> Segal (2000) acknowledge the validity of the CQ Press salience measure, but level two primary criticisms against it: (1) it is biased towards cases involving civil rights and liberties; and (2) it is primarily a measure of retrospective case salience as determined by scholars, instead of a contemporaneous measure.  However, this second criticism does not apply with much force in this study, as I am only using the CQ press measure for recent terms of the USSC.  Thus, my CQ Press salience measure is quite contemporaneous. </w:t>
      </w:r>
      <w:r w:rsidRPr="00DC3D47">
        <w:rPr>
          <w:rFonts w:cs="Times New Roman"/>
        </w:rPr>
        <w:t xml:space="preserve"> Moreover, as the last date of publication of CQ’s </w:t>
      </w:r>
      <w:r w:rsidRPr="00DC3D47">
        <w:rPr>
          <w:rFonts w:cs="Times New Roman"/>
          <w:i/>
        </w:rPr>
        <w:t xml:space="preserve">Guide to the U.S. Supreme Court </w:t>
      </w:r>
      <w:r w:rsidRPr="00DC3D47">
        <w:rPr>
          <w:rFonts w:cs="Times New Roman"/>
        </w:rPr>
        <w:t xml:space="preserve">was 2010 (which does not contain data on the 2010 and 2011 terms of the USSC), I chose instead to use the list of major cases for the 2007 – 2011 terms of the USSC that is published by CQ Press </w:t>
      </w:r>
      <w:r w:rsidRPr="00DC3D47">
        <w:t xml:space="preserve">in its annual </w:t>
      </w:r>
      <w:r w:rsidRPr="00DC3D47">
        <w:rPr>
          <w:i/>
        </w:rPr>
        <w:t>Supreme Court Yearbook</w:t>
      </w:r>
      <w:r w:rsidRPr="00DC3D47">
        <w:rPr>
          <w:rFonts w:cs="Times New Roman"/>
        </w:rPr>
        <w:t>.</w:t>
      </w:r>
    </w:p>
  </w:footnote>
  <w:footnote w:id="72">
    <w:p w:rsidR="00B730DB" w:rsidRDefault="00B730DB">
      <w:pPr>
        <w:pStyle w:val="FootnoteText"/>
      </w:pPr>
      <w:r>
        <w:rPr>
          <w:rStyle w:val="FootnoteReference"/>
        </w:rPr>
        <w:footnoteRef/>
      </w:r>
      <w:r>
        <w:t xml:space="preserve"> Judicial power and federalism is the only issue area that is not characterized by a liberal amicus brief advantage.</w:t>
      </w:r>
    </w:p>
    <w:p w:rsidR="00B730DB" w:rsidRDefault="00B730DB">
      <w:pPr>
        <w:pStyle w:val="FootnoteText"/>
      </w:pPr>
    </w:p>
  </w:footnote>
  <w:footnote w:id="73">
    <w:p w:rsidR="00B730DB" w:rsidRDefault="00B730DB">
      <w:pPr>
        <w:pStyle w:val="FootnoteText"/>
      </w:pPr>
      <w:r>
        <w:rPr>
          <w:rStyle w:val="FootnoteReference"/>
        </w:rPr>
        <w:footnoteRef/>
      </w:r>
      <w:r>
        <w:t xml:space="preserve"> These maximum brief numbers are based on specific docket numbers.  For consolidated cases (those with multiple docket numbers), the actual number of briefs filed will often be higher.</w:t>
      </w:r>
    </w:p>
  </w:footnote>
  <w:footnote w:id="74">
    <w:p w:rsidR="00B730DB" w:rsidRDefault="00B730DB" w:rsidP="00DB02B8">
      <w:pPr>
        <w:pStyle w:val="FootnoteText"/>
      </w:pPr>
      <w:r>
        <w:rPr>
          <w:rStyle w:val="FootnoteReference"/>
        </w:rPr>
        <w:footnoteRef/>
      </w:r>
      <w:r>
        <w:t xml:space="preserve"> These maximum cosigner numbers are based on specific docket numbers.  For consolidated cases (those with multiple docket numbers), the actual number of cosigners will often be higher.</w:t>
      </w:r>
    </w:p>
  </w:footnote>
  <w:footnote w:id="75">
    <w:p w:rsidR="00B730DB" w:rsidRDefault="00B730DB">
      <w:pPr>
        <w:pStyle w:val="FootnoteText"/>
      </w:pPr>
      <w:r>
        <w:rPr>
          <w:rStyle w:val="FootnoteReference"/>
        </w:rPr>
        <w:footnoteRef/>
      </w:r>
      <w:r>
        <w:t xml:space="preserve"> I code state governments as including the 50 U.S. states, the District of Columbia, and U.S. territories.</w:t>
      </w:r>
    </w:p>
    <w:p w:rsidR="00B730DB" w:rsidRDefault="00B730DB">
      <w:pPr>
        <w:pStyle w:val="FootnoteText"/>
      </w:pPr>
    </w:p>
  </w:footnote>
  <w:footnote w:id="76">
    <w:p w:rsidR="00B730DB" w:rsidRDefault="00B730DB">
      <w:pPr>
        <w:pStyle w:val="FootnoteText"/>
      </w:pPr>
      <w:r>
        <w:rPr>
          <w:rStyle w:val="FootnoteReference"/>
        </w:rPr>
        <w:footnoteRef/>
      </w:r>
      <w:r>
        <w:t xml:space="preserve"> Local governments include municipalities, counties, and any subdivisions thereof.</w:t>
      </w:r>
    </w:p>
  </w:footnote>
  <w:footnote w:id="77">
    <w:p w:rsidR="00B730DB" w:rsidRDefault="00B730DB" w:rsidP="006C5DC1">
      <w:pPr>
        <w:ind w:left="0" w:firstLine="360"/>
        <w:rPr>
          <w:szCs w:val="24"/>
        </w:rPr>
      </w:pPr>
      <w:r w:rsidRPr="006C5DC1">
        <w:rPr>
          <w:rStyle w:val="FootnoteReference"/>
          <w:sz w:val="20"/>
          <w:szCs w:val="20"/>
        </w:rPr>
        <w:footnoteRef/>
      </w:r>
      <w:r w:rsidRPr="006C5DC1">
        <w:rPr>
          <w:sz w:val="20"/>
          <w:szCs w:val="20"/>
        </w:rPr>
        <w:t xml:space="preserve"> Of course, this phenomenon would hold true for interest groups and governments as well, but perhaps the barriers to amicus collaboration previously faced by individuals have been reduced to a greater extent by this phenomenon than for governments and interest groups, who have long had networks and resources that aid collaborative efforts</w:t>
      </w:r>
      <w:r>
        <w:rPr>
          <w:szCs w:val="24"/>
        </w:rPr>
        <w:t>.</w:t>
      </w:r>
    </w:p>
    <w:p w:rsidR="00B730DB" w:rsidRDefault="00B730DB">
      <w:pPr>
        <w:pStyle w:val="FootnoteText"/>
      </w:pPr>
    </w:p>
  </w:footnote>
  <w:footnote w:id="78">
    <w:p w:rsidR="00B730DB" w:rsidRPr="00774291" w:rsidRDefault="00B730DB" w:rsidP="00774291">
      <w:pPr>
        <w:ind w:left="0" w:firstLine="360"/>
        <w:rPr>
          <w:rFonts w:cs="Times New Roman"/>
          <w:sz w:val="20"/>
          <w:szCs w:val="20"/>
        </w:rPr>
      </w:pPr>
      <w:r w:rsidRPr="00774291">
        <w:rPr>
          <w:rStyle w:val="FootnoteReference"/>
          <w:sz w:val="20"/>
          <w:szCs w:val="20"/>
        </w:rPr>
        <w:footnoteRef/>
      </w:r>
      <w:r w:rsidRPr="00774291">
        <w:rPr>
          <w:sz w:val="20"/>
          <w:szCs w:val="20"/>
        </w:rPr>
        <w:t xml:space="preserve"> </w:t>
      </w:r>
      <w:r w:rsidRPr="00774291">
        <w:rPr>
          <w:rFonts w:cs="Times New Roman"/>
          <w:sz w:val="20"/>
          <w:szCs w:val="20"/>
        </w:rPr>
        <w:t>However, this is not true in all areas.  For example, in federal taxation cases, the pro-United States position is liberal; and in federalism cases, the pro-federal power position is liberal, as is the pro-executive power position.</w:t>
      </w:r>
    </w:p>
    <w:p w:rsidR="00B730DB" w:rsidRDefault="00B730DB">
      <w:pPr>
        <w:pStyle w:val="FootnoteText"/>
      </w:pPr>
    </w:p>
  </w:footnote>
  <w:footnote w:id="79">
    <w:p w:rsidR="00B730DB" w:rsidRPr="0027101F" w:rsidRDefault="00B730DB">
      <w:pPr>
        <w:pStyle w:val="FootnoteText"/>
      </w:pPr>
      <w:r>
        <w:rPr>
          <w:rStyle w:val="FootnoteReference"/>
        </w:rPr>
        <w:footnoteRef/>
      </w:r>
      <w:r>
        <w:t xml:space="preserve"> The five cases in which foreign government amici appeared are as follows:  (1) </w:t>
      </w:r>
      <w:r>
        <w:rPr>
          <w:i/>
        </w:rPr>
        <w:t xml:space="preserve">Medellin v. Texas </w:t>
      </w:r>
      <w:r>
        <w:t>(06-984)</w:t>
      </w:r>
      <w:r>
        <w:rPr>
          <w:i/>
        </w:rPr>
        <w:t xml:space="preserve"> </w:t>
      </w:r>
      <w:r>
        <w:t xml:space="preserve">(2007 term – 15 liberal amici); (2) </w:t>
      </w:r>
      <w:r>
        <w:rPr>
          <w:i/>
        </w:rPr>
        <w:t xml:space="preserve">Ali </w:t>
      </w:r>
      <w:proofErr w:type="spellStart"/>
      <w:r>
        <w:rPr>
          <w:i/>
        </w:rPr>
        <w:t>Samantar</w:t>
      </w:r>
      <w:proofErr w:type="spellEnd"/>
      <w:r>
        <w:rPr>
          <w:i/>
        </w:rPr>
        <w:t xml:space="preserve"> v. Yousef </w:t>
      </w:r>
      <w:r>
        <w:t xml:space="preserve">(08-1555) (2009 term – 1 conservative amicus); (3) </w:t>
      </w:r>
      <w:r>
        <w:rPr>
          <w:i/>
        </w:rPr>
        <w:t>Morrison v. National Australia Bank Ltd.</w:t>
      </w:r>
      <w:r w:rsidRPr="00402F73">
        <w:t xml:space="preserve"> </w:t>
      </w:r>
      <w:r>
        <w:t xml:space="preserve">(08-1191) (2009 term – 3 conservative amici); (4) </w:t>
      </w:r>
      <w:proofErr w:type="spellStart"/>
      <w:r>
        <w:rPr>
          <w:i/>
        </w:rPr>
        <w:t>Minneci</w:t>
      </w:r>
      <w:proofErr w:type="spellEnd"/>
      <w:r>
        <w:rPr>
          <w:i/>
        </w:rPr>
        <w:t xml:space="preserve"> v. Pollard </w:t>
      </w:r>
      <w:r>
        <w:t xml:space="preserve">(10-1104) (2011 term – 1 liberal amicus); (5) </w:t>
      </w:r>
      <w:r>
        <w:rPr>
          <w:i/>
        </w:rPr>
        <w:t xml:space="preserve">Arizona v. United States </w:t>
      </w:r>
      <w:r>
        <w:t>(11-182) (2011 term – 18 liberal amici; 1 unspecifiable amicus).</w:t>
      </w:r>
    </w:p>
  </w:footnote>
  <w:footnote w:id="80">
    <w:p w:rsidR="00B730DB" w:rsidRDefault="00B730DB">
      <w:pPr>
        <w:pStyle w:val="FootnoteText"/>
      </w:pPr>
      <w:r>
        <w:rPr>
          <w:rStyle w:val="FootnoteReference"/>
        </w:rPr>
        <w:footnoteRef/>
      </w:r>
      <w:r>
        <w:t xml:space="preserve"> I did not purposely choose for my ten groups to have a liberal slant.  But I also did not want to select my ten prestigious groups by cherry-picking the five conservative and five liberal groups that I thought to be most prestigious, as I was concerned this method might skew the data, as it might not be emblematic of the most prestigious groups.  Put differently, my purpose was not to evenly weight conservative and liberal prestigious interest groups, but to select, based upon the literature, ten groups that I decided were representative of the most prestigious interest groups. </w:t>
      </w:r>
    </w:p>
  </w:footnote>
  <w:footnote w:id="81">
    <w:p w:rsidR="00B730DB" w:rsidRDefault="00B730DB">
      <w:pPr>
        <w:pStyle w:val="FootnoteText"/>
      </w:pPr>
      <w:r>
        <w:rPr>
          <w:rStyle w:val="FootnoteReference"/>
        </w:rPr>
        <w:footnoteRef/>
      </w:r>
      <w:r>
        <w:t xml:space="preserve"> Segal (1988) shows that the SG had a winning percentage of 75 percent during the 1952-1982 terms of the USSC.  </w:t>
      </w:r>
      <w:proofErr w:type="spellStart"/>
      <w:r>
        <w:t>Sakolar</w:t>
      </w:r>
      <w:proofErr w:type="spellEnd"/>
      <w:r>
        <w:t xml:space="preserve"> (1992) reaches a similar conclusion based upon an analysis of the 1959-1986 terms: 72 percent winning percentage for the SG.</w:t>
      </w:r>
    </w:p>
  </w:footnote>
  <w:footnote w:id="82">
    <w:p w:rsidR="00B730DB" w:rsidRDefault="00B730DB" w:rsidP="007A3C23">
      <w:pPr>
        <w:pStyle w:val="FootnoteText"/>
      </w:pPr>
      <w:r>
        <w:rPr>
          <w:rStyle w:val="FootnoteReference"/>
        </w:rPr>
        <w:footnoteRef/>
      </w:r>
      <w:r>
        <w:t xml:space="preserve"> Accessed at </w:t>
      </w:r>
      <w:hyperlink r:id="rId3" w:history="1">
        <w:r w:rsidRPr="00507F1B">
          <w:rPr>
            <w:rStyle w:val="Hyperlink"/>
          </w:rPr>
          <w:t>http://www.pacificlegal.org/about</w:t>
        </w:r>
      </w:hyperlink>
    </w:p>
    <w:p w:rsidR="00B730DB" w:rsidRDefault="00B730DB" w:rsidP="007A3C23">
      <w:pPr>
        <w:pStyle w:val="FootnoteText"/>
      </w:pPr>
    </w:p>
  </w:footnote>
  <w:footnote w:id="83">
    <w:p w:rsidR="00B730DB" w:rsidRDefault="00B730DB">
      <w:pPr>
        <w:pStyle w:val="FootnoteText"/>
      </w:pPr>
      <w:r>
        <w:rPr>
          <w:rStyle w:val="FootnoteReference"/>
        </w:rPr>
        <w:footnoteRef/>
      </w:r>
      <w:r>
        <w:t xml:space="preserve"> Also, for purposes of interpreting the marginal effect of the non-interactive terms in Model I, I hold the interactive term (</w:t>
      </w:r>
      <w:r>
        <w:rPr>
          <w:i/>
        </w:rPr>
        <w:t>Judicial Moderation x Liberal-Conservative Amicus Brief Difference</w:t>
      </w:r>
      <w:r>
        <w:t>) constant at the product of the mean value of its constituent terms: 1.36.  I follow this same approach for interpreting the marginal effects in the other five interactive models as well.</w:t>
      </w:r>
    </w:p>
  </w:footnote>
  <w:footnote w:id="84">
    <w:p w:rsidR="00B730DB" w:rsidRDefault="00B730DB">
      <w:pPr>
        <w:pStyle w:val="FootnoteText"/>
      </w:pPr>
      <w:r>
        <w:rPr>
          <w:rStyle w:val="FootnoteReference"/>
        </w:rPr>
        <w:footnoteRef/>
      </w:r>
      <w:r>
        <w:t xml:space="preserve"> I even estimated an alternative model that included an additional interaction term (</w:t>
      </w:r>
      <w:r w:rsidRPr="00E13713">
        <w:rPr>
          <w:i/>
        </w:rPr>
        <w:t>Lib-Con Amicus Cosigner Difference x Moderation</w:t>
      </w:r>
      <w:r>
        <w:t xml:space="preserve">) to determine if amicus cosigner influence could be demonstrated at statistically significant levels across a range of judicial moderation.  However, these results and marginal effects graph of the interaction term demonstrated that an amicus cosigner ideological advantage does not impact the justices on the Roberts Court, regardless of their level of moderation.  </w:t>
      </w:r>
    </w:p>
  </w:footnote>
  <w:footnote w:id="85">
    <w:p w:rsidR="00B730DB" w:rsidRDefault="00B730DB">
      <w:pPr>
        <w:pStyle w:val="FootnoteText"/>
      </w:pPr>
      <w:r>
        <w:rPr>
          <w:rStyle w:val="FootnoteReference"/>
        </w:rPr>
        <w:footnoteRef/>
      </w:r>
      <w:r w:rsidRPr="006B5F49">
        <w:t xml:space="preserve"> </w:t>
      </w:r>
      <w:r w:rsidRPr="006B5F49">
        <w:rPr>
          <w:rFonts w:cs="Times New Roman"/>
          <w:szCs w:val="24"/>
        </w:rPr>
        <w:t xml:space="preserve">Unlike the other justices, Justice Thomas actually becomes less likely to vote liberally in salient cases as conservative amicus brief advantage decreases and as liberal amicus brief advantage increases.  This indicates that Justice Thomas either ignores the persuasive attempts of amicus briefs in salient cases or filters them attitudinally, i.e., as a signal to vote against the side they support.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C488E"/>
    <w:multiLevelType w:val="hybridMultilevel"/>
    <w:tmpl w:val="45508F58"/>
    <w:lvl w:ilvl="0" w:tplc="60F63C42">
      <w:start w:val="1"/>
      <w:numFmt w:val="upp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89677B"/>
    <w:multiLevelType w:val="hybridMultilevel"/>
    <w:tmpl w:val="8968F46C"/>
    <w:lvl w:ilvl="0" w:tplc="531E0D1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322DD4"/>
    <w:multiLevelType w:val="hybridMultilevel"/>
    <w:tmpl w:val="CC0A3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281C33"/>
    <w:multiLevelType w:val="hybridMultilevel"/>
    <w:tmpl w:val="FFDE9286"/>
    <w:lvl w:ilvl="0" w:tplc="BB2059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EE785D"/>
    <w:multiLevelType w:val="hybridMultilevel"/>
    <w:tmpl w:val="9DCC1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B82A33"/>
    <w:multiLevelType w:val="hybridMultilevel"/>
    <w:tmpl w:val="0B18E35C"/>
    <w:lvl w:ilvl="0" w:tplc="04090015">
      <w:start w:val="1"/>
      <w:numFmt w:val="upperLetter"/>
      <w:lvlText w:val="%1."/>
      <w:lvlJc w:val="left"/>
      <w:pPr>
        <w:ind w:left="1080" w:hanging="360"/>
      </w:pPr>
      <w:rPr>
        <w:rFonts w:hint="default"/>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74F7134"/>
    <w:multiLevelType w:val="hybridMultilevel"/>
    <w:tmpl w:val="0156C076"/>
    <w:lvl w:ilvl="0" w:tplc="04090001">
      <w:start w:val="1"/>
      <w:numFmt w:val="bullet"/>
      <w:lvlText w:val=""/>
      <w:lvlJc w:val="left"/>
      <w:pPr>
        <w:ind w:left="360" w:hanging="360"/>
      </w:pPr>
      <w:rPr>
        <w:rFonts w:ascii="Symbol" w:hAnsi="Symbol" w:hint="default"/>
      </w:rPr>
    </w:lvl>
    <w:lvl w:ilvl="1" w:tplc="F97EDEDE">
      <w:start w:val="1"/>
      <w:numFmt w:val="bullet"/>
      <w:lvlText w:val="o"/>
      <w:lvlJc w:val="left"/>
      <w:pPr>
        <w:ind w:left="1080" w:hanging="360"/>
      </w:pPr>
      <w:rPr>
        <w:rFonts w:ascii="Courier New" w:hAnsi="Courier New" w:cs="Courier New" w:hint="default"/>
        <w:color w:val="auto"/>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B0A0094"/>
    <w:multiLevelType w:val="hybridMultilevel"/>
    <w:tmpl w:val="9EEC3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A36C49"/>
    <w:multiLevelType w:val="hybridMultilevel"/>
    <w:tmpl w:val="E74C0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AE567F"/>
    <w:multiLevelType w:val="hybridMultilevel"/>
    <w:tmpl w:val="1CD0C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CF5ACF"/>
    <w:multiLevelType w:val="hybridMultilevel"/>
    <w:tmpl w:val="6380B7B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5380DDF"/>
    <w:multiLevelType w:val="hybridMultilevel"/>
    <w:tmpl w:val="BC941114"/>
    <w:lvl w:ilvl="0" w:tplc="E38C018A">
      <w:start w:val="1"/>
      <w:numFmt w:val="upp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AC63DF"/>
    <w:multiLevelType w:val="hybridMultilevel"/>
    <w:tmpl w:val="198EA4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A37989"/>
    <w:multiLevelType w:val="hybridMultilevel"/>
    <w:tmpl w:val="D34E12FE"/>
    <w:lvl w:ilvl="0" w:tplc="FFC837E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73136C9"/>
    <w:multiLevelType w:val="hybridMultilevel"/>
    <w:tmpl w:val="F594ECDA"/>
    <w:lvl w:ilvl="0" w:tplc="CE58BA5E">
      <w:start w:val="1"/>
      <w:numFmt w:val="upp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CC5A90"/>
    <w:multiLevelType w:val="hybridMultilevel"/>
    <w:tmpl w:val="43EAF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D86349"/>
    <w:multiLevelType w:val="hybridMultilevel"/>
    <w:tmpl w:val="6D46AEF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8BD6BD9"/>
    <w:multiLevelType w:val="hybridMultilevel"/>
    <w:tmpl w:val="1546702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97743BB"/>
    <w:multiLevelType w:val="hybridMultilevel"/>
    <w:tmpl w:val="57F60C54"/>
    <w:lvl w:ilvl="0" w:tplc="0BF0499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D312E53"/>
    <w:multiLevelType w:val="hybridMultilevel"/>
    <w:tmpl w:val="B53C2D7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0467008"/>
    <w:multiLevelType w:val="hybridMultilevel"/>
    <w:tmpl w:val="48A66354"/>
    <w:lvl w:ilvl="0" w:tplc="FBEE7E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4357958"/>
    <w:multiLevelType w:val="hybridMultilevel"/>
    <w:tmpl w:val="DEA04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B50D01"/>
    <w:multiLevelType w:val="hybridMultilevel"/>
    <w:tmpl w:val="FB544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4F7E39"/>
    <w:multiLevelType w:val="hybridMultilevel"/>
    <w:tmpl w:val="74BCBD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8CF6DA8"/>
    <w:multiLevelType w:val="hybridMultilevel"/>
    <w:tmpl w:val="FFDE9286"/>
    <w:lvl w:ilvl="0" w:tplc="BB2059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DB55EEF"/>
    <w:multiLevelType w:val="hybridMultilevel"/>
    <w:tmpl w:val="794A6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0B14E6"/>
    <w:multiLevelType w:val="hybridMultilevel"/>
    <w:tmpl w:val="EE2A5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FD909CC"/>
    <w:multiLevelType w:val="hybridMultilevel"/>
    <w:tmpl w:val="B5868E00"/>
    <w:lvl w:ilvl="0" w:tplc="9B98AF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0D83CF0"/>
    <w:multiLevelType w:val="hybridMultilevel"/>
    <w:tmpl w:val="E7CC1BD8"/>
    <w:lvl w:ilvl="0" w:tplc="04090015">
      <w:start w:val="1"/>
      <w:numFmt w:val="upperLetter"/>
      <w:lvlText w:val="%1."/>
      <w:lvlJc w:val="left"/>
      <w:pPr>
        <w:ind w:left="1080" w:hanging="72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D94074"/>
    <w:multiLevelType w:val="hybridMultilevel"/>
    <w:tmpl w:val="FFDE9286"/>
    <w:lvl w:ilvl="0" w:tplc="BB2059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3441EB7"/>
    <w:multiLevelType w:val="hybridMultilevel"/>
    <w:tmpl w:val="131463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DE21AA"/>
    <w:multiLevelType w:val="hybridMultilevel"/>
    <w:tmpl w:val="786A1CB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2">
    <w:nsid w:val="57CD13DF"/>
    <w:multiLevelType w:val="hybridMultilevel"/>
    <w:tmpl w:val="2CBC8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8E4791"/>
    <w:multiLevelType w:val="hybridMultilevel"/>
    <w:tmpl w:val="A5B45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106D3B"/>
    <w:multiLevelType w:val="hybridMultilevel"/>
    <w:tmpl w:val="BFD2742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F6C035C"/>
    <w:multiLevelType w:val="hybridMultilevel"/>
    <w:tmpl w:val="149CF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00C6474"/>
    <w:multiLevelType w:val="hybridMultilevel"/>
    <w:tmpl w:val="1D1051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679746A"/>
    <w:multiLevelType w:val="hybridMultilevel"/>
    <w:tmpl w:val="2A2083E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B097D0A"/>
    <w:multiLevelType w:val="hybridMultilevel"/>
    <w:tmpl w:val="E33066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6B4A462F"/>
    <w:multiLevelType w:val="hybridMultilevel"/>
    <w:tmpl w:val="E180A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C8B5256"/>
    <w:multiLevelType w:val="hybridMultilevel"/>
    <w:tmpl w:val="E9C827FA"/>
    <w:lvl w:ilvl="0" w:tplc="796CA91A">
      <w:start w:val="1"/>
      <w:numFmt w:val="upp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9730D0"/>
    <w:multiLevelType w:val="hybridMultilevel"/>
    <w:tmpl w:val="169EF6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26F4FC1"/>
    <w:multiLevelType w:val="hybridMultilevel"/>
    <w:tmpl w:val="CFC2FF74"/>
    <w:lvl w:ilvl="0" w:tplc="EC980464">
      <w:start w:val="1"/>
      <w:numFmt w:val="upperLetter"/>
      <w:lvlText w:val="%1."/>
      <w:lvlJc w:val="left"/>
      <w:pPr>
        <w:ind w:left="576" w:hanging="360"/>
      </w:pPr>
      <w:rPr>
        <w:rFonts w:asciiTheme="minorHAnsi" w:hAnsiTheme="minorHAnsi" w:cstheme="minorBidi"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43">
    <w:nsid w:val="74DA1279"/>
    <w:multiLevelType w:val="hybridMultilevel"/>
    <w:tmpl w:val="3A589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73E5ED5"/>
    <w:multiLevelType w:val="hybridMultilevel"/>
    <w:tmpl w:val="CFAEC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8A07274"/>
    <w:multiLevelType w:val="hybridMultilevel"/>
    <w:tmpl w:val="436E1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C117E3F"/>
    <w:multiLevelType w:val="hybridMultilevel"/>
    <w:tmpl w:val="FA24F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28"/>
  </w:num>
  <w:num w:numId="4">
    <w:abstractNumId w:val="36"/>
  </w:num>
  <w:num w:numId="5">
    <w:abstractNumId w:val="43"/>
  </w:num>
  <w:num w:numId="6">
    <w:abstractNumId w:val="26"/>
  </w:num>
  <w:num w:numId="7">
    <w:abstractNumId w:val="5"/>
  </w:num>
  <w:num w:numId="8">
    <w:abstractNumId w:val="41"/>
  </w:num>
  <w:num w:numId="9">
    <w:abstractNumId w:val="12"/>
  </w:num>
  <w:num w:numId="10">
    <w:abstractNumId w:val="45"/>
  </w:num>
  <w:num w:numId="11">
    <w:abstractNumId w:val="2"/>
  </w:num>
  <w:num w:numId="12">
    <w:abstractNumId w:val="32"/>
  </w:num>
  <w:num w:numId="13">
    <w:abstractNumId w:val="23"/>
  </w:num>
  <w:num w:numId="14">
    <w:abstractNumId w:val="44"/>
  </w:num>
  <w:num w:numId="15">
    <w:abstractNumId w:val="25"/>
  </w:num>
  <w:num w:numId="16">
    <w:abstractNumId w:val="46"/>
  </w:num>
  <w:num w:numId="17">
    <w:abstractNumId w:val="31"/>
  </w:num>
  <w:num w:numId="18">
    <w:abstractNumId w:val="19"/>
  </w:num>
  <w:num w:numId="19">
    <w:abstractNumId w:val="39"/>
  </w:num>
  <w:num w:numId="20">
    <w:abstractNumId w:val="16"/>
  </w:num>
  <w:num w:numId="21">
    <w:abstractNumId w:val="9"/>
  </w:num>
  <w:num w:numId="22">
    <w:abstractNumId w:val="21"/>
  </w:num>
  <w:num w:numId="23">
    <w:abstractNumId w:val="35"/>
  </w:num>
  <w:num w:numId="24">
    <w:abstractNumId w:val="15"/>
  </w:num>
  <w:num w:numId="25">
    <w:abstractNumId w:val="22"/>
  </w:num>
  <w:num w:numId="26">
    <w:abstractNumId w:val="7"/>
  </w:num>
  <w:num w:numId="27">
    <w:abstractNumId w:val="4"/>
  </w:num>
  <w:num w:numId="28">
    <w:abstractNumId w:val="33"/>
  </w:num>
  <w:num w:numId="29">
    <w:abstractNumId w:val="1"/>
  </w:num>
  <w:num w:numId="30">
    <w:abstractNumId w:val="38"/>
  </w:num>
  <w:num w:numId="31">
    <w:abstractNumId w:val="8"/>
  </w:num>
  <w:num w:numId="32">
    <w:abstractNumId w:val="29"/>
  </w:num>
  <w:num w:numId="33">
    <w:abstractNumId w:val="3"/>
  </w:num>
  <w:num w:numId="34">
    <w:abstractNumId w:val="24"/>
  </w:num>
  <w:num w:numId="35">
    <w:abstractNumId w:val="27"/>
  </w:num>
  <w:num w:numId="36">
    <w:abstractNumId w:val="20"/>
  </w:num>
  <w:num w:numId="37">
    <w:abstractNumId w:val="13"/>
  </w:num>
  <w:num w:numId="38">
    <w:abstractNumId w:val="17"/>
  </w:num>
  <w:num w:numId="39">
    <w:abstractNumId w:val="34"/>
  </w:num>
  <w:num w:numId="40">
    <w:abstractNumId w:val="10"/>
  </w:num>
  <w:num w:numId="41">
    <w:abstractNumId w:val="30"/>
  </w:num>
  <w:num w:numId="42">
    <w:abstractNumId w:val="37"/>
  </w:num>
  <w:num w:numId="43">
    <w:abstractNumId w:val="40"/>
  </w:num>
  <w:num w:numId="44">
    <w:abstractNumId w:val="11"/>
  </w:num>
  <w:num w:numId="45">
    <w:abstractNumId w:val="0"/>
  </w:num>
  <w:num w:numId="46">
    <w:abstractNumId w:val="14"/>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50941"/>
    <w:rsid w:val="00000520"/>
    <w:rsid w:val="00005242"/>
    <w:rsid w:val="00006B2B"/>
    <w:rsid w:val="00012D30"/>
    <w:rsid w:val="00014355"/>
    <w:rsid w:val="000144F2"/>
    <w:rsid w:val="00015755"/>
    <w:rsid w:val="00016491"/>
    <w:rsid w:val="00016582"/>
    <w:rsid w:val="00016921"/>
    <w:rsid w:val="00016A6C"/>
    <w:rsid w:val="00016CCF"/>
    <w:rsid w:val="00017B4D"/>
    <w:rsid w:val="00017C8B"/>
    <w:rsid w:val="000230F0"/>
    <w:rsid w:val="0002352B"/>
    <w:rsid w:val="0002394F"/>
    <w:rsid w:val="000272CF"/>
    <w:rsid w:val="00027304"/>
    <w:rsid w:val="000305D0"/>
    <w:rsid w:val="000305E1"/>
    <w:rsid w:val="00030B97"/>
    <w:rsid w:val="00031178"/>
    <w:rsid w:val="00031B3C"/>
    <w:rsid w:val="00031D25"/>
    <w:rsid w:val="00032339"/>
    <w:rsid w:val="000331A4"/>
    <w:rsid w:val="00034232"/>
    <w:rsid w:val="00034957"/>
    <w:rsid w:val="0003668E"/>
    <w:rsid w:val="00036710"/>
    <w:rsid w:val="00036C1B"/>
    <w:rsid w:val="00037223"/>
    <w:rsid w:val="00042573"/>
    <w:rsid w:val="00043392"/>
    <w:rsid w:val="00046F21"/>
    <w:rsid w:val="00046F45"/>
    <w:rsid w:val="00047491"/>
    <w:rsid w:val="000477F5"/>
    <w:rsid w:val="00051C16"/>
    <w:rsid w:val="00052CD1"/>
    <w:rsid w:val="000539CB"/>
    <w:rsid w:val="00054ACB"/>
    <w:rsid w:val="00054C01"/>
    <w:rsid w:val="000568CD"/>
    <w:rsid w:val="00057781"/>
    <w:rsid w:val="000577BA"/>
    <w:rsid w:val="000612A9"/>
    <w:rsid w:val="00063433"/>
    <w:rsid w:val="000663A2"/>
    <w:rsid w:val="00066734"/>
    <w:rsid w:val="00070D34"/>
    <w:rsid w:val="00073293"/>
    <w:rsid w:val="00074A64"/>
    <w:rsid w:val="000754D6"/>
    <w:rsid w:val="00075902"/>
    <w:rsid w:val="00075E1F"/>
    <w:rsid w:val="000767EB"/>
    <w:rsid w:val="00076C47"/>
    <w:rsid w:val="000772E0"/>
    <w:rsid w:val="000778D1"/>
    <w:rsid w:val="00077BE5"/>
    <w:rsid w:val="00077E4A"/>
    <w:rsid w:val="000809F5"/>
    <w:rsid w:val="00080AB4"/>
    <w:rsid w:val="00080B67"/>
    <w:rsid w:val="00080D3D"/>
    <w:rsid w:val="00081217"/>
    <w:rsid w:val="0008298A"/>
    <w:rsid w:val="00083F07"/>
    <w:rsid w:val="00085EC4"/>
    <w:rsid w:val="0008667A"/>
    <w:rsid w:val="0008708D"/>
    <w:rsid w:val="00090133"/>
    <w:rsid w:val="0009290B"/>
    <w:rsid w:val="00092F88"/>
    <w:rsid w:val="00095B01"/>
    <w:rsid w:val="00095B27"/>
    <w:rsid w:val="000963E8"/>
    <w:rsid w:val="000A0BDD"/>
    <w:rsid w:val="000A14B5"/>
    <w:rsid w:val="000A3B6F"/>
    <w:rsid w:val="000A3E79"/>
    <w:rsid w:val="000A4179"/>
    <w:rsid w:val="000A4321"/>
    <w:rsid w:val="000A4AE1"/>
    <w:rsid w:val="000A5ADC"/>
    <w:rsid w:val="000A670E"/>
    <w:rsid w:val="000A7EFB"/>
    <w:rsid w:val="000B02C5"/>
    <w:rsid w:val="000B0B77"/>
    <w:rsid w:val="000B1C9B"/>
    <w:rsid w:val="000B1CEF"/>
    <w:rsid w:val="000B2400"/>
    <w:rsid w:val="000B33ED"/>
    <w:rsid w:val="000B3A6F"/>
    <w:rsid w:val="000B40E8"/>
    <w:rsid w:val="000B4121"/>
    <w:rsid w:val="000B48A0"/>
    <w:rsid w:val="000B50E6"/>
    <w:rsid w:val="000B6661"/>
    <w:rsid w:val="000B6EA8"/>
    <w:rsid w:val="000B7759"/>
    <w:rsid w:val="000B79ED"/>
    <w:rsid w:val="000C0680"/>
    <w:rsid w:val="000C07E5"/>
    <w:rsid w:val="000C1306"/>
    <w:rsid w:val="000C370D"/>
    <w:rsid w:val="000C41DC"/>
    <w:rsid w:val="000C4E16"/>
    <w:rsid w:val="000C7432"/>
    <w:rsid w:val="000C7A2F"/>
    <w:rsid w:val="000D1E37"/>
    <w:rsid w:val="000D2CBE"/>
    <w:rsid w:val="000D2F36"/>
    <w:rsid w:val="000D6839"/>
    <w:rsid w:val="000D7F18"/>
    <w:rsid w:val="000E0725"/>
    <w:rsid w:val="000E191F"/>
    <w:rsid w:val="000E2B74"/>
    <w:rsid w:val="000E3BEF"/>
    <w:rsid w:val="000E3C4B"/>
    <w:rsid w:val="000E406C"/>
    <w:rsid w:val="000E4CF2"/>
    <w:rsid w:val="000E64AE"/>
    <w:rsid w:val="000E714D"/>
    <w:rsid w:val="000F0807"/>
    <w:rsid w:val="000F0A6D"/>
    <w:rsid w:val="000F14A0"/>
    <w:rsid w:val="000F4741"/>
    <w:rsid w:val="000F559B"/>
    <w:rsid w:val="000F5C60"/>
    <w:rsid w:val="0010035D"/>
    <w:rsid w:val="0010189D"/>
    <w:rsid w:val="001028E6"/>
    <w:rsid w:val="00102F55"/>
    <w:rsid w:val="00103002"/>
    <w:rsid w:val="00103F91"/>
    <w:rsid w:val="00104011"/>
    <w:rsid w:val="001041E6"/>
    <w:rsid w:val="00104430"/>
    <w:rsid w:val="00104546"/>
    <w:rsid w:val="00104C98"/>
    <w:rsid w:val="00104FA6"/>
    <w:rsid w:val="001072F9"/>
    <w:rsid w:val="0010775B"/>
    <w:rsid w:val="00111F16"/>
    <w:rsid w:val="00112889"/>
    <w:rsid w:val="00112B74"/>
    <w:rsid w:val="0012085D"/>
    <w:rsid w:val="00121292"/>
    <w:rsid w:val="00121787"/>
    <w:rsid w:val="00122148"/>
    <w:rsid w:val="00122DAD"/>
    <w:rsid w:val="00124878"/>
    <w:rsid w:val="0012540C"/>
    <w:rsid w:val="001265A1"/>
    <w:rsid w:val="0012765A"/>
    <w:rsid w:val="0013292A"/>
    <w:rsid w:val="0013327C"/>
    <w:rsid w:val="00140559"/>
    <w:rsid w:val="00141CF5"/>
    <w:rsid w:val="0014293C"/>
    <w:rsid w:val="001434B7"/>
    <w:rsid w:val="00143AE3"/>
    <w:rsid w:val="00144B85"/>
    <w:rsid w:val="00144C4A"/>
    <w:rsid w:val="00145FB1"/>
    <w:rsid w:val="00146699"/>
    <w:rsid w:val="00146F19"/>
    <w:rsid w:val="00150373"/>
    <w:rsid w:val="00152C62"/>
    <w:rsid w:val="0015385C"/>
    <w:rsid w:val="00153EB1"/>
    <w:rsid w:val="00154051"/>
    <w:rsid w:val="001541FB"/>
    <w:rsid w:val="00154CA8"/>
    <w:rsid w:val="001553E3"/>
    <w:rsid w:val="001554C7"/>
    <w:rsid w:val="0015647D"/>
    <w:rsid w:val="001568BA"/>
    <w:rsid w:val="0015747C"/>
    <w:rsid w:val="001650A6"/>
    <w:rsid w:val="0016613E"/>
    <w:rsid w:val="0016689F"/>
    <w:rsid w:val="00167A51"/>
    <w:rsid w:val="00172390"/>
    <w:rsid w:val="0017332A"/>
    <w:rsid w:val="00174045"/>
    <w:rsid w:val="00174DCE"/>
    <w:rsid w:val="0017612B"/>
    <w:rsid w:val="0017693D"/>
    <w:rsid w:val="0018031D"/>
    <w:rsid w:val="00180A80"/>
    <w:rsid w:val="00181CCB"/>
    <w:rsid w:val="00181FB5"/>
    <w:rsid w:val="001820EF"/>
    <w:rsid w:val="0018252B"/>
    <w:rsid w:val="00182C4E"/>
    <w:rsid w:val="001837EF"/>
    <w:rsid w:val="00183DAB"/>
    <w:rsid w:val="00186F36"/>
    <w:rsid w:val="00187617"/>
    <w:rsid w:val="00190F20"/>
    <w:rsid w:val="0019156D"/>
    <w:rsid w:val="001921F6"/>
    <w:rsid w:val="001950C3"/>
    <w:rsid w:val="001964D3"/>
    <w:rsid w:val="0019660E"/>
    <w:rsid w:val="001973D3"/>
    <w:rsid w:val="001A032B"/>
    <w:rsid w:val="001A15D3"/>
    <w:rsid w:val="001A168D"/>
    <w:rsid w:val="001A1B52"/>
    <w:rsid w:val="001A2839"/>
    <w:rsid w:val="001A2A9F"/>
    <w:rsid w:val="001A4866"/>
    <w:rsid w:val="001A7753"/>
    <w:rsid w:val="001A784F"/>
    <w:rsid w:val="001B03D0"/>
    <w:rsid w:val="001B11C6"/>
    <w:rsid w:val="001B14CD"/>
    <w:rsid w:val="001B1A62"/>
    <w:rsid w:val="001B2F5E"/>
    <w:rsid w:val="001B40E1"/>
    <w:rsid w:val="001B47DB"/>
    <w:rsid w:val="001B5D20"/>
    <w:rsid w:val="001B61B0"/>
    <w:rsid w:val="001B7393"/>
    <w:rsid w:val="001C1A78"/>
    <w:rsid w:val="001C1FA7"/>
    <w:rsid w:val="001C243D"/>
    <w:rsid w:val="001C4181"/>
    <w:rsid w:val="001C5B98"/>
    <w:rsid w:val="001D0CEC"/>
    <w:rsid w:val="001D1482"/>
    <w:rsid w:val="001D3162"/>
    <w:rsid w:val="001D3869"/>
    <w:rsid w:val="001D6ACC"/>
    <w:rsid w:val="001D79FA"/>
    <w:rsid w:val="001D7B82"/>
    <w:rsid w:val="001E0F90"/>
    <w:rsid w:val="001E21B5"/>
    <w:rsid w:val="001E278E"/>
    <w:rsid w:val="001E2DC9"/>
    <w:rsid w:val="001E39C2"/>
    <w:rsid w:val="001E3A7D"/>
    <w:rsid w:val="001E3D11"/>
    <w:rsid w:val="001E428B"/>
    <w:rsid w:val="001E477A"/>
    <w:rsid w:val="001E7694"/>
    <w:rsid w:val="001F010B"/>
    <w:rsid w:val="001F1860"/>
    <w:rsid w:val="001F18D3"/>
    <w:rsid w:val="001F1986"/>
    <w:rsid w:val="001F1E70"/>
    <w:rsid w:val="001F23A7"/>
    <w:rsid w:val="001F514C"/>
    <w:rsid w:val="001F5CF0"/>
    <w:rsid w:val="001F6F61"/>
    <w:rsid w:val="00200EB1"/>
    <w:rsid w:val="002010CB"/>
    <w:rsid w:val="002013F2"/>
    <w:rsid w:val="002037AB"/>
    <w:rsid w:val="00205AAA"/>
    <w:rsid w:val="00206A47"/>
    <w:rsid w:val="002071C0"/>
    <w:rsid w:val="0021160C"/>
    <w:rsid w:val="00215CD0"/>
    <w:rsid w:val="0021749A"/>
    <w:rsid w:val="00217E66"/>
    <w:rsid w:val="00223A96"/>
    <w:rsid w:val="00223F14"/>
    <w:rsid w:val="0022411C"/>
    <w:rsid w:val="00225F15"/>
    <w:rsid w:val="002304DB"/>
    <w:rsid w:val="0023289A"/>
    <w:rsid w:val="00232D40"/>
    <w:rsid w:val="0023319D"/>
    <w:rsid w:val="002338A1"/>
    <w:rsid w:val="00234BBC"/>
    <w:rsid w:val="0023583C"/>
    <w:rsid w:val="002377A3"/>
    <w:rsid w:val="00241719"/>
    <w:rsid w:val="00241780"/>
    <w:rsid w:val="00242AA3"/>
    <w:rsid w:val="00244C35"/>
    <w:rsid w:val="002459D1"/>
    <w:rsid w:val="00246494"/>
    <w:rsid w:val="00247433"/>
    <w:rsid w:val="00250157"/>
    <w:rsid w:val="00250E93"/>
    <w:rsid w:val="00252370"/>
    <w:rsid w:val="0025408B"/>
    <w:rsid w:val="002544BB"/>
    <w:rsid w:val="0025553C"/>
    <w:rsid w:val="00256CC9"/>
    <w:rsid w:val="0025798B"/>
    <w:rsid w:val="00257BC8"/>
    <w:rsid w:val="002631CC"/>
    <w:rsid w:val="0026330E"/>
    <w:rsid w:val="00263A9E"/>
    <w:rsid w:val="002647D9"/>
    <w:rsid w:val="0027101F"/>
    <w:rsid w:val="00271035"/>
    <w:rsid w:val="00272EAE"/>
    <w:rsid w:val="0027400A"/>
    <w:rsid w:val="002747DB"/>
    <w:rsid w:val="00276D7F"/>
    <w:rsid w:val="00276F71"/>
    <w:rsid w:val="00281A32"/>
    <w:rsid w:val="00283506"/>
    <w:rsid w:val="00283752"/>
    <w:rsid w:val="00284A98"/>
    <w:rsid w:val="0028659C"/>
    <w:rsid w:val="00286DC3"/>
    <w:rsid w:val="00287F5E"/>
    <w:rsid w:val="002918F4"/>
    <w:rsid w:val="00293313"/>
    <w:rsid w:val="00293D8B"/>
    <w:rsid w:val="00294D28"/>
    <w:rsid w:val="00294D3B"/>
    <w:rsid w:val="00295359"/>
    <w:rsid w:val="00296A8E"/>
    <w:rsid w:val="00296D2E"/>
    <w:rsid w:val="002A062F"/>
    <w:rsid w:val="002A18BA"/>
    <w:rsid w:val="002A1AC8"/>
    <w:rsid w:val="002A3546"/>
    <w:rsid w:val="002A4534"/>
    <w:rsid w:val="002A4BFE"/>
    <w:rsid w:val="002A5CD2"/>
    <w:rsid w:val="002A69E6"/>
    <w:rsid w:val="002A6B22"/>
    <w:rsid w:val="002B2216"/>
    <w:rsid w:val="002B3508"/>
    <w:rsid w:val="002B3A4B"/>
    <w:rsid w:val="002B441B"/>
    <w:rsid w:val="002B4550"/>
    <w:rsid w:val="002B6213"/>
    <w:rsid w:val="002B7476"/>
    <w:rsid w:val="002C0713"/>
    <w:rsid w:val="002C08CE"/>
    <w:rsid w:val="002C11DF"/>
    <w:rsid w:val="002C1E2B"/>
    <w:rsid w:val="002C2B8C"/>
    <w:rsid w:val="002C2D01"/>
    <w:rsid w:val="002C44B3"/>
    <w:rsid w:val="002C4E9B"/>
    <w:rsid w:val="002C610F"/>
    <w:rsid w:val="002C6F38"/>
    <w:rsid w:val="002C7791"/>
    <w:rsid w:val="002D43B4"/>
    <w:rsid w:val="002D4A21"/>
    <w:rsid w:val="002D6C12"/>
    <w:rsid w:val="002D72FB"/>
    <w:rsid w:val="002D7DAD"/>
    <w:rsid w:val="002E0062"/>
    <w:rsid w:val="002E060D"/>
    <w:rsid w:val="002E22BA"/>
    <w:rsid w:val="002E2839"/>
    <w:rsid w:val="002E364B"/>
    <w:rsid w:val="002E4123"/>
    <w:rsid w:val="002F4929"/>
    <w:rsid w:val="002F4B0F"/>
    <w:rsid w:val="002F4E89"/>
    <w:rsid w:val="002F5683"/>
    <w:rsid w:val="002F6E6E"/>
    <w:rsid w:val="002F758E"/>
    <w:rsid w:val="00300A73"/>
    <w:rsid w:val="0030128C"/>
    <w:rsid w:val="00301516"/>
    <w:rsid w:val="00301AFD"/>
    <w:rsid w:val="00301CDA"/>
    <w:rsid w:val="00301FAF"/>
    <w:rsid w:val="00302B16"/>
    <w:rsid w:val="00302B55"/>
    <w:rsid w:val="003059F5"/>
    <w:rsid w:val="00306C17"/>
    <w:rsid w:val="003100B0"/>
    <w:rsid w:val="003102E3"/>
    <w:rsid w:val="00313FE4"/>
    <w:rsid w:val="00314F8E"/>
    <w:rsid w:val="00317194"/>
    <w:rsid w:val="00320116"/>
    <w:rsid w:val="0032105D"/>
    <w:rsid w:val="00321B1E"/>
    <w:rsid w:val="00323CF1"/>
    <w:rsid w:val="003258EF"/>
    <w:rsid w:val="00326B07"/>
    <w:rsid w:val="00326EA3"/>
    <w:rsid w:val="00327108"/>
    <w:rsid w:val="00327DFA"/>
    <w:rsid w:val="00331DA0"/>
    <w:rsid w:val="003326D6"/>
    <w:rsid w:val="00333B02"/>
    <w:rsid w:val="0033497F"/>
    <w:rsid w:val="003353B8"/>
    <w:rsid w:val="0033555E"/>
    <w:rsid w:val="003367D3"/>
    <w:rsid w:val="003373BF"/>
    <w:rsid w:val="0034010A"/>
    <w:rsid w:val="00340615"/>
    <w:rsid w:val="003411F8"/>
    <w:rsid w:val="00341289"/>
    <w:rsid w:val="00342BB4"/>
    <w:rsid w:val="003464A8"/>
    <w:rsid w:val="00347AE1"/>
    <w:rsid w:val="003505C0"/>
    <w:rsid w:val="00351114"/>
    <w:rsid w:val="00353D25"/>
    <w:rsid w:val="003542B1"/>
    <w:rsid w:val="00354448"/>
    <w:rsid w:val="0035462D"/>
    <w:rsid w:val="00354AD6"/>
    <w:rsid w:val="0035582B"/>
    <w:rsid w:val="00355850"/>
    <w:rsid w:val="00355B2A"/>
    <w:rsid w:val="00356F03"/>
    <w:rsid w:val="00361C22"/>
    <w:rsid w:val="003629BA"/>
    <w:rsid w:val="003633DD"/>
    <w:rsid w:val="003642B8"/>
    <w:rsid w:val="0036430C"/>
    <w:rsid w:val="00365F77"/>
    <w:rsid w:val="003661A6"/>
    <w:rsid w:val="003707D2"/>
    <w:rsid w:val="00370929"/>
    <w:rsid w:val="003718CE"/>
    <w:rsid w:val="0037255C"/>
    <w:rsid w:val="00372A80"/>
    <w:rsid w:val="00373139"/>
    <w:rsid w:val="00376904"/>
    <w:rsid w:val="00377F58"/>
    <w:rsid w:val="003800F4"/>
    <w:rsid w:val="0038073D"/>
    <w:rsid w:val="00382088"/>
    <w:rsid w:val="00382C4B"/>
    <w:rsid w:val="003837A8"/>
    <w:rsid w:val="003846D0"/>
    <w:rsid w:val="003873BA"/>
    <w:rsid w:val="00391B29"/>
    <w:rsid w:val="0039459D"/>
    <w:rsid w:val="003947CA"/>
    <w:rsid w:val="003966D4"/>
    <w:rsid w:val="00396BE6"/>
    <w:rsid w:val="00397BF4"/>
    <w:rsid w:val="00397C4E"/>
    <w:rsid w:val="003A2889"/>
    <w:rsid w:val="003A2A08"/>
    <w:rsid w:val="003A2B26"/>
    <w:rsid w:val="003A38B3"/>
    <w:rsid w:val="003A56BF"/>
    <w:rsid w:val="003A59B0"/>
    <w:rsid w:val="003A68EA"/>
    <w:rsid w:val="003A6BDB"/>
    <w:rsid w:val="003A76A1"/>
    <w:rsid w:val="003A7A51"/>
    <w:rsid w:val="003B0920"/>
    <w:rsid w:val="003B1849"/>
    <w:rsid w:val="003B2B42"/>
    <w:rsid w:val="003B3DAC"/>
    <w:rsid w:val="003B5D22"/>
    <w:rsid w:val="003B5F56"/>
    <w:rsid w:val="003B72E1"/>
    <w:rsid w:val="003B7383"/>
    <w:rsid w:val="003C1AB9"/>
    <w:rsid w:val="003C536D"/>
    <w:rsid w:val="003C5DDB"/>
    <w:rsid w:val="003C61B8"/>
    <w:rsid w:val="003C7A7F"/>
    <w:rsid w:val="003C7E7E"/>
    <w:rsid w:val="003D00B9"/>
    <w:rsid w:val="003D07F6"/>
    <w:rsid w:val="003D0A3C"/>
    <w:rsid w:val="003D14A5"/>
    <w:rsid w:val="003D4C04"/>
    <w:rsid w:val="003D67A8"/>
    <w:rsid w:val="003D740C"/>
    <w:rsid w:val="003D7560"/>
    <w:rsid w:val="003E22F9"/>
    <w:rsid w:val="003E25CC"/>
    <w:rsid w:val="003E2E7A"/>
    <w:rsid w:val="003E3699"/>
    <w:rsid w:val="003E3A8E"/>
    <w:rsid w:val="003E3E15"/>
    <w:rsid w:val="003E792D"/>
    <w:rsid w:val="003F113D"/>
    <w:rsid w:val="003F2BBC"/>
    <w:rsid w:val="003F3B64"/>
    <w:rsid w:val="003F443F"/>
    <w:rsid w:val="003F458D"/>
    <w:rsid w:val="003F4A45"/>
    <w:rsid w:val="003F4C90"/>
    <w:rsid w:val="003F500D"/>
    <w:rsid w:val="0040008C"/>
    <w:rsid w:val="0040011E"/>
    <w:rsid w:val="004001D1"/>
    <w:rsid w:val="004018E7"/>
    <w:rsid w:val="00402B23"/>
    <w:rsid w:val="00402F73"/>
    <w:rsid w:val="004031A7"/>
    <w:rsid w:val="004055E6"/>
    <w:rsid w:val="00405F06"/>
    <w:rsid w:val="00405FDA"/>
    <w:rsid w:val="004060CD"/>
    <w:rsid w:val="00406DCC"/>
    <w:rsid w:val="00406DD4"/>
    <w:rsid w:val="004132EB"/>
    <w:rsid w:val="00414087"/>
    <w:rsid w:val="00414215"/>
    <w:rsid w:val="00414954"/>
    <w:rsid w:val="00416053"/>
    <w:rsid w:val="00416511"/>
    <w:rsid w:val="00421457"/>
    <w:rsid w:val="00421A09"/>
    <w:rsid w:val="00422BE1"/>
    <w:rsid w:val="0042362C"/>
    <w:rsid w:val="00423FF6"/>
    <w:rsid w:val="00424AD7"/>
    <w:rsid w:val="00425BA8"/>
    <w:rsid w:val="00426385"/>
    <w:rsid w:val="00427D05"/>
    <w:rsid w:val="00430EC4"/>
    <w:rsid w:val="004352DA"/>
    <w:rsid w:val="00440D78"/>
    <w:rsid w:val="00440DCB"/>
    <w:rsid w:val="00441DE8"/>
    <w:rsid w:val="00446723"/>
    <w:rsid w:val="00446AAE"/>
    <w:rsid w:val="00446EC5"/>
    <w:rsid w:val="00447572"/>
    <w:rsid w:val="00450DBB"/>
    <w:rsid w:val="00451408"/>
    <w:rsid w:val="00451B03"/>
    <w:rsid w:val="00451FF6"/>
    <w:rsid w:val="004531C6"/>
    <w:rsid w:val="00456B22"/>
    <w:rsid w:val="004576AA"/>
    <w:rsid w:val="004577C2"/>
    <w:rsid w:val="004602F9"/>
    <w:rsid w:val="00460D4C"/>
    <w:rsid w:val="00460DB2"/>
    <w:rsid w:val="00463D9C"/>
    <w:rsid w:val="0047060D"/>
    <w:rsid w:val="00470875"/>
    <w:rsid w:val="00472968"/>
    <w:rsid w:val="00472AA9"/>
    <w:rsid w:val="00473363"/>
    <w:rsid w:val="004740C0"/>
    <w:rsid w:val="00474146"/>
    <w:rsid w:val="00474452"/>
    <w:rsid w:val="0047571B"/>
    <w:rsid w:val="004773FB"/>
    <w:rsid w:val="00477B45"/>
    <w:rsid w:val="00480D88"/>
    <w:rsid w:val="00483961"/>
    <w:rsid w:val="0048466B"/>
    <w:rsid w:val="0048512A"/>
    <w:rsid w:val="00490DC5"/>
    <w:rsid w:val="00492338"/>
    <w:rsid w:val="00493605"/>
    <w:rsid w:val="0049477B"/>
    <w:rsid w:val="004959B4"/>
    <w:rsid w:val="00496284"/>
    <w:rsid w:val="004A030E"/>
    <w:rsid w:val="004A0D23"/>
    <w:rsid w:val="004A1C00"/>
    <w:rsid w:val="004A22A6"/>
    <w:rsid w:val="004A3042"/>
    <w:rsid w:val="004A4213"/>
    <w:rsid w:val="004B089F"/>
    <w:rsid w:val="004B2AE4"/>
    <w:rsid w:val="004B4017"/>
    <w:rsid w:val="004B5958"/>
    <w:rsid w:val="004B7055"/>
    <w:rsid w:val="004C0D98"/>
    <w:rsid w:val="004C3037"/>
    <w:rsid w:val="004C3934"/>
    <w:rsid w:val="004C5148"/>
    <w:rsid w:val="004C759F"/>
    <w:rsid w:val="004D01FB"/>
    <w:rsid w:val="004D0939"/>
    <w:rsid w:val="004D1174"/>
    <w:rsid w:val="004D32CE"/>
    <w:rsid w:val="004D496C"/>
    <w:rsid w:val="004D650F"/>
    <w:rsid w:val="004D675C"/>
    <w:rsid w:val="004E03F7"/>
    <w:rsid w:val="004E1283"/>
    <w:rsid w:val="004E14F9"/>
    <w:rsid w:val="004F03DA"/>
    <w:rsid w:val="004F349B"/>
    <w:rsid w:val="004F4682"/>
    <w:rsid w:val="004F50FC"/>
    <w:rsid w:val="004F71AC"/>
    <w:rsid w:val="004F76B8"/>
    <w:rsid w:val="004F7976"/>
    <w:rsid w:val="004F7A42"/>
    <w:rsid w:val="00500F29"/>
    <w:rsid w:val="005015E1"/>
    <w:rsid w:val="00501627"/>
    <w:rsid w:val="00501FD0"/>
    <w:rsid w:val="00502835"/>
    <w:rsid w:val="00502A5B"/>
    <w:rsid w:val="005038A5"/>
    <w:rsid w:val="005039B9"/>
    <w:rsid w:val="005056B2"/>
    <w:rsid w:val="00505FF7"/>
    <w:rsid w:val="005074E8"/>
    <w:rsid w:val="00510205"/>
    <w:rsid w:val="0051087B"/>
    <w:rsid w:val="00510C65"/>
    <w:rsid w:val="00512780"/>
    <w:rsid w:val="00513A90"/>
    <w:rsid w:val="00515A09"/>
    <w:rsid w:val="00515E79"/>
    <w:rsid w:val="00520B48"/>
    <w:rsid w:val="0052174F"/>
    <w:rsid w:val="00522748"/>
    <w:rsid w:val="00523BCE"/>
    <w:rsid w:val="00523C9E"/>
    <w:rsid w:val="0052419A"/>
    <w:rsid w:val="0052483C"/>
    <w:rsid w:val="005258D6"/>
    <w:rsid w:val="00527163"/>
    <w:rsid w:val="00527518"/>
    <w:rsid w:val="0052756E"/>
    <w:rsid w:val="005279BB"/>
    <w:rsid w:val="0053097E"/>
    <w:rsid w:val="005329F5"/>
    <w:rsid w:val="00532FB7"/>
    <w:rsid w:val="00532FFE"/>
    <w:rsid w:val="00533202"/>
    <w:rsid w:val="0053373F"/>
    <w:rsid w:val="00534EB6"/>
    <w:rsid w:val="00535B79"/>
    <w:rsid w:val="00535C53"/>
    <w:rsid w:val="00535D34"/>
    <w:rsid w:val="00536309"/>
    <w:rsid w:val="00541B9F"/>
    <w:rsid w:val="00545953"/>
    <w:rsid w:val="005459B9"/>
    <w:rsid w:val="00545C4E"/>
    <w:rsid w:val="0054631C"/>
    <w:rsid w:val="005478D2"/>
    <w:rsid w:val="0055016C"/>
    <w:rsid w:val="0055128E"/>
    <w:rsid w:val="005518D6"/>
    <w:rsid w:val="00553BD5"/>
    <w:rsid w:val="0055468D"/>
    <w:rsid w:val="005607AC"/>
    <w:rsid w:val="00561900"/>
    <w:rsid w:val="00562ABB"/>
    <w:rsid w:val="0056631B"/>
    <w:rsid w:val="005666A0"/>
    <w:rsid w:val="00566F23"/>
    <w:rsid w:val="00570A4E"/>
    <w:rsid w:val="00571369"/>
    <w:rsid w:val="0057162A"/>
    <w:rsid w:val="005737DF"/>
    <w:rsid w:val="00573DFD"/>
    <w:rsid w:val="00574EFD"/>
    <w:rsid w:val="00575589"/>
    <w:rsid w:val="00576E0A"/>
    <w:rsid w:val="00580763"/>
    <w:rsid w:val="0058198D"/>
    <w:rsid w:val="005834AF"/>
    <w:rsid w:val="00583583"/>
    <w:rsid w:val="00584375"/>
    <w:rsid w:val="00585078"/>
    <w:rsid w:val="00585F09"/>
    <w:rsid w:val="005867E6"/>
    <w:rsid w:val="005874BF"/>
    <w:rsid w:val="00592DBC"/>
    <w:rsid w:val="00592ECE"/>
    <w:rsid w:val="00594D18"/>
    <w:rsid w:val="00595414"/>
    <w:rsid w:val="0059577F"/>
    <w:rsid w:val="005959C8"/>
    <w:rsid w:val="00595D8A"/>
    <w:rsid w:val="005A5612"/>
    <w:rsid w:val="005B23BD"/>
    <w:rsid w:val="005B2C3C"/>
    <w:rsid w:val="005B5068"/>
    <w:rsid w:val="005B64F9"/>
    <w:rsid w:val="005B69AC"/>
    <w:rsid w:val="005B6DE9"/>
    <w:rsid w:val="005B74B1"/>
    <w:rsid w:val="005C0D87"/>
    <w:rsid w:val="005C2F5D"/>
    <w:rsid w:val="005C3103"/>
    <w:rsid w:val="005C38A6"/>
    <w:rsid w:val="005C53F2"/>
    <w:rsid w:val="005C787D"/>
    <w:rsid w:val="005D0E6C"/>
    <w:rsid w:val="005D205C"/>
    <w:rsid w:val="005D5613"/>
    <w:rsid w:val="005D75A5"/>
    <w:rsid w:val="005D7643"/>
    <w:rsid w:val="005E2A9A"/>
    <w:rsid w:val="005E3961"/>
    <w:rsid w:val="005E5627"/>
    <w:rsid w:val="005E5D3E"/>
    <w:rsid w:val="005E5F35"/>
    <w:rsid w:val="005E715C"/>
    <w:rsid w:val="005F0537"/>
    <w:rsid w:val="005F159E"/>
    <w:rsid w:val="005F1F2B"/>
    <w:rsid w:val="005F39BC"/>
    <w:rsid w:val="005F66E3"/>
    <w:rsid w:val="005F67DF"/>
    <w:rsid w:val="005F6E84"/>
    <w:rsid w:val="005F7FBC"/>
    <w:rsid w:val="00601790"/>
    <w:rsid w:val="0060198C"/>
    <w:rsid w:val="0060246C"/>
    <w:rsid w:val="00603CAC"/>
    <w:rsid w:val="0060471A"/>
    <w:rsid w:val="00605572"/>
    <w:rsid w:val="006104B6"/>
    <w:rsid w:val="00612577"/>
    <w:rsid w:val="00613593"/>
    <w:rsid w:val="006138F9"/>
    <w:rsid w:val="00615580"/>
    <w:rsid w:val="006171B4"/>
    <w:rsid w:val="00617C8A"/>
    <w:rsid w:val="0062025C"/>
    <w:rsid w:val="00621B04"/>
    <w:rsid w:val="00622579"/>
    <w:rsid w:val="0062384A"/>
    <w:rsid w:val="00624735"/>
    <w:rsid w:val="00624A94"/>
    <w:rsid w:val="006264D1"/>
    <w:rsid w:val="00632AA9"/>
    <w:rsid w:val="00641DEC"/>
    <w:rsid w:val="0064297A"/>
    <w:rsid w:val="00643796"/>
    <w:rsid w:val="00644281"/>
    <w:rsid w:val="00646002"/>
    <w:rsid w:val="006474A0"/>
    <w:rsid w:val="00647C30"/>
    <w:rsid w:val="00651D4E"/>
    <w:rsid w:val="00651F2C"/>
    <w:rsid w:val="006525AB"/>
    <w:rsid w:val="006527A5"/>
    <w:rsid w:val="00653184"/>
    <w:rsid w:val="006533DC"/>
    <w:rsid w:val="00653DBA"/>
    <w:rsid w:val="006549E4"/>
    <w:rsid w:val="006558B2"/>
    <w:rsid w:val="00656C3C"/>
    <w:rsid w:val="00657382"/>
    <w:rsid w:val="00660FC6"/>
    <w:rsid w:val="006616F5"/>
    <w:rsid w:val="00661C05"/>
    <w:rsid w:val="00662702"/>
    <w:rsid w:val="00663654"/>
    <w:rsid w:val="006641D3"/>
    <w:rsid w:val="006646AD"/>
    <w:rsid w:val="00670050"/>
    <w:rsid w:val="00670F23"/>
    <w:rsid w:val="00671E70"/>
    <w:rsid w:val="00672A66"/>
    <w:rsid w:val="006735AB"/>
    <w:rsid w:val="00674100"/>
    <w:rsid w:val="00674980"/>
    <w:rsid w:val="00675487"/>
    <w:rsid w:val="00680402"/>
    <w:rsid w:val="00680CAA"/>
    <w:rsid w:val="00683CF6"/>
    <w:rsid w:val="006845CD"/>
    <w:rsid w:val="006849D2"/>
    <w:rsid w:val="006869B8"/>
    <w:rsid w:val="00686A21"/>
    <w:rsid w:val="00687E7B"/>
    <w:rsid w:val="006900CD"/>
    <w:rsid w:val="0069024B"/>
    <w:rsid w:val="006913AA"/>
    <w:rsid w:val="00693ABB"/>
    <w:rsid w:val="0069520E"/>
    <w:rsid w:val="006A0D31"/>
    <w:rsid w:val="006A186D"/>
    <w:rsid w:val="006A285B"/>
    <w:rsid w:val="006A30A9"/>
    <w:rsid w:val="006A4486"/>
    <w:rsid w:val="006A4864"/>
    <w:rsid w:val="006A6B81"/>
    <w:rsid w:val="006A76D5"/>
    <w:rsid w:val="006A782D"/>
    <w:rsid w:val="006B321F"/>
    <w:rsid w:val="006B39BC"/>
    <w:rsid w:val="006B3D54"/>
    <w:rsid w:val="006B4165"/>
    <w:rsid w:val="006B5F49"/>
    <w:rsid w:val="006B65E1"/>
    <w:rsid w:val="006B7422"/>
    <w:rsid w:val="006B7781"/>
    <w:rsid w:val="006B7901"/>
    <w:rsid w:val="006C0ED9"/>
    <w:rsid w:val="006C120C"/>
    <w:rsid w:val="006C2DEF"/>
    <w:rsid w:val="006C2E0E"/>
    <w:rsid w:val="006C30A9"/>
    <w:rsid w:val="006C428C"/>
    <w:rsid w:val="006C472D"/>
    <w:rsid w:val="006C5DC1"/>
    <w:rsid w:val="006D08A4"/>
    <w:rsid w:val="006D1270"/>
    <w:rsid w:val="006D27FE"/>
    <w:rsid w:val="006D315A"/>
    <w:rsid w:val="006D44B4"/>
    <w:rsid w:val="006D5A9B"/>
    <w:rsid w:val="006E078A"/>
    <w:rsid w:val="006E1478"/>
    <w:rsid w:val="006E5EBF"/>
    <w:rsid w:val="006E6C9A"/>
    <w:rsid w:val="006E7297"/>
    <w:rsid w:val="006E78B0"/>
    <w:rsid w:val="006E7E1F"/>
    <w:rsid w:val="006F030A"/>
    <w:rsid w:val="006F3B34"/>
    <w:rsid w:val="006F6C2A"/>
    <w:rsid w:val="006F7338"/>
    <w:rsid w:val="00700FB9"/>
    <w:rsid w:val="007013E4"/>
    <w:rsid w:val="00702E42"/>
    <w:rsid w:val="00703196"/>
    <w:rsid w:val="007043AC"/>
    <w:rsid w:val="00704415"/>
    <w:rsid w:val="0070635D"/>
    <w:rsid w:val="0071145E"/>
    <w:rsid w:val="00711744"/>
    <w:rsid w:val="00712E03"/>
    <w:rsid w:val="00712EAF"/>
    <w:rsid w:val="007132BB"/>
    <w:rsid w:val="00714EB2"/>
    <w:rsid w:val="0071543E"/>
    <w:rsid w:val="007163C5"/>
    <w:rsid w:val="00716899"/>
    <w:rsid w:val="00716C8A"/>
    <w:rsid w:val="00716EDA"/>
    <w:rsid w:val="00717635"/>
    <w:rsid w:val="007203D8"/>
    <w:rsid w:val="00720F83"/>
    <w:rsid w:val="00721FD4"/>
    <w:rsid w:val="0072205C"/>
    <w:rsid w:val="007235B3"/>
    <w:rsid w:val="00723A8F"/>
    <w:rsid w:val="00724368"/>
    <w:rsid w:val="0072548A"/>
    <w:rsid w:val="007314E5"/>
    <w:rsid w:val="0073175F"/>
    <w:rsid w:val="00731901"/>
    <w:rsid w:val="007326AB"/>
    <w:rsid w:val="00733188"/>
    <w:rsid w:val="007332F0"/>
    <w:rsid w:val="0073399D"/>
    <w:rsid w:val="00737B4F"/>
    <w:rsid w:val="007409F6"/>
    <w:rsid w:val="007417AD"/>
    <w:rsid w:val="00742BD1"/>
    <w:rsid w:val="00743454"/>
    <w:rsid w:val="00743E1E"/>
    <w:rsid w:val="0074481C"/>
    <w:rsid w:val="00746042"/>
    <w:rsid w:val="00746400"/>
    <w:rsid w:val="00747008"/>
    <w:rsid w:val="00747086"/>
    <w:rsid w:val="00750117"/>
    <w:rsid w:val="00751A27"/>
    <w:rsid w:val="00751DFB"/>
    <w:rsid w:val="00754015"/>
    <w:rsid w:val="00754DBF"/>
    <w:rsid w:val="00754DD4"/>
    <w:rsid w:val="00755480"/>
    <w:rsid w:val="00756529"/>
    <w:rsid w:val="00757407"/>
    <w:rsid w:val="00757F18"/>
    <w:rsid w:val="00763E26"/>
    <w:rsid w:val="00764CE2"/>
    <w:rsid w:val="007650E2"/>
    <w:rsid w:val="00765F14"/>
    <w:rsid w:val="007702C0"/>
    <w:rsid w:val="00770BC8"/>
    <w:rsid w:val="007729FA"/>
    <w:rsid w:val="00773EAF"/>
    <w:rsid w:val="0077422B"/>
    <w:rsid w:val="00774291"/>
    <w:rsid w:val="00774FAF"/>
    <w:rsid w:val="007756E3"/>
    <w:rsid w:val="00775D64"/>
    <w:rsid w:val="00777B44"/>
    <w:rsid w:val="007808A6"/>
    <w:rsid w:val="00781BBE"/>
    <w:rsid w:val="00785DEE"/>
    <w:rsid w:val="00786660"/>
    <w:rsid w:val="00792C46"/>
    <w:rsid w:val="00792D0E"/>
    <w:rsid w:val="007A3C23"/>
    <w:rsid w:val="007A48A8"/>
    <w:rsid w:val="007A5461"/>
    <w:rsid w:val="007A57B3"/>
    <w:rsid w:val="007A587A"/>
    <w:rsid w:val="007B133C"/>
    <w:rsid w:val="007B2C51"/>
    <w:rsid w:val="007B2F10"/>
    <w:rsid w:val="007B321B"/>
    <w:rsid w:val="007B3A80"/>
    <w:rsid w:val="007B4D14"/>
    <w:rsid w:val="007B5A20"/>
    <w:rsid w:val="007B638E"/>
    <w:rsid w:val="007B67F0"/>
    <w:rsid w:val="007B7CE9"/>
    <w:rsid w:val="007C4A01"/>
    <w:rsid w:val="007C5CB4"/>
    <w:rsid w:val="007C7497"/>
    <w:rsid w:val="007C7BD8"/>
    <w:rsid w:val="007D0454"/>
    <w:rsid w:val="007D0E6C"/>
    <w:rsid w:val="007D1B07"/>
    <w:rsid w:val="007D1F0A"/>
    <w:rsid w:val="007D401D"/>
    <w:rsid w:val="007D54FF"/>
    <w:rsid w:val="007D6B46"/>
    <w:rsid w:val="007E1E7C"/>
    <w:rsid w:val="007E2093"/>
    <w:rsid w:val="007E26FD"/>
    <w:rsid w:val="007E306C"/>
    <w:rsid w:val="007E30F6"/>
    <w:rsid w:val="007E330A"/>
    <w:rsid w:val="007E4C7F"/>
    <w:rsid w:val="007E7980"/>
    <w:rsid w:val="007F489C"/>
    <w:rsid w:val="007F4985"/>
    <w:rsid w:val="007F5779"/>
    <w:rsid w:val="007F5EBC"/>
    <w:rsid w:val="007F6363"/>
    <w:rsid w:val="007F6F28"/>
    <w:rsid w:val="007F7BAC"/>
    <w:rsid w:val="007F7BCD"/>
    <w:rsid w:val="0080109A"/>
    <w:rsid w:val="00804C82"/>
    <w:rsid w:val="00805053"/>
    <w:rsid w:val="00807203"/>
    <w:rsid w:val="0081056E"/>
    <w:rsid w:val="00810679"/>
    <w:rsid w:val="00810A23"/>
    <w:rsid w:val="00811CE6"/>
    <w:rsid w:val="00813203"/>
    <w:rsid w:val="00815112"/>
    <w:rsid w:val="0082221A"/>
    <w:rsid w:val="00822274"/>
    <w:rsid w:val="008235C9"/>
    <w:rsid w:val="00826EAC"/>
    <w:rsid w:val="00827056"/>
    <w:rsid w:val="008273CB"/>
    <w:rsid w:val="00830ECD"/>
    <w:rsid w:val="00831FAD"/>
    <w:rsid w:val="00833B0F"/>
    <w:rsid w:val="008353D5"/>
    <w:rsid w:val="00836331"/>
    <w:rsid w:val="00840460"/>
    <w:rsid w:val="00840DC5"/>
    <w:rsid w:val="00844308"/>
    <w:rsid w:val="00844463"/>
    <w:rsid w:val="00845580"/>
    <w:rsid w:val="00846224"/>
    <w:rsid w:val="00847D3D"/>
    <w:rsid w:val="00854CC0"/>
    <w:rsid w:val="008570A7"/>
    <w:rsid w:val="00857604"/>
    <w:rsid w:val="00860228"/>
    <w:rsid w:val="00860BC3"/>
    <w:rsid w:val="00862011"/>
    <w:rsid w:val="00862EB4"/>
    <w:rsid w:val="00863D6F"/>
    <w:rsid w:val="0086406A"/>
    <w:rsid w:val="00864D28"/>
    <w:rsid w:val="00865440"/>
    <w:rsid w:val="00865E1E"/>
    <w:rsid w:val="008674D0"/>
    <w:rsid w:val="008702FF"/>
    <w:rsid w:val="00872A60"/>
    <w:rsid w:val="0087418A"/>
    <w:rsid w:val="00874AEB"/>
    <w:rsid w:val="00874F98"/>
    <w:rsid w:val="00876BA4"/>
    <w:rsid w:val="0088316B"/>
    <w:rsid w:val="00885253"/>
    <w:rsid w:val="00887853"/>
    <w:rsid w:val="00891FD3"/>
    <w:rsid w:val="008921D0"/>
    <w:rsid w:val="00894100"/>
    <w:rsid w:val="00894987"/>
    <w:rsid w:val="00895731"/>
    <w:rsid w:val="00895C22"/>
    <w:rsid w:val="00896095"/>
    <w:rsid w:val="008974BA"/>
    <w:rsid w:val="00897932"/>
    <w:rsid w:val="008A05D4"/>
    <w:rsid w:val="008A3D10"/>
    <w:rsid w:val="008A3F28"/>
    <w:rsid w:val="008A4758"/>
    <w:rsid w:val="008A5C0E"/>
    <w:rsid w:val="008A7FDD"/>
    <w:rsid w:val="008B078B"/>
    <w:rsid w:val="008B27A8"/>
    <w:rsid w:val="008B318A"/>
    <w:rsid w:val="008B3B9C"/>
    <w:rsid w:val="008B52DF"/>
    <w:rsid w:val="008B66E7"/>
    <w:rsid w:val="008B6EED"/>
    <w:rsid w:val="008B706A"/>
    <w:rsid w:val="008C0407"/>
    <w:rsid w:val="008C11DC"/>
    <w:rsid w:val="008C245A"/>
    <w:rsid w:val="008C51EE"/>
    <w:rsid w:val="008C59CF"/>
    <w:rsid w:val="008C5AE5"/>
    <w:rsid w:val="008C7067"/>
    <w:rsid w:val="008D05BB"/>
    <w:rsid w:val="008D3B9E"/>
    <w:rsid w:val="008D3F92"/>
    <w:rsid w:val="008D63E2"/>
    <w:rsid w:val="008D6C6A"/>
    <w:rsid w:val="008D73E8"/>
    <w:rsid w:val="008E0F6D"/>
    <w:rsid w:val="008E1DFA"/>
    <w:rsid w:val="008E2239"/>
    <w:rsid w:val="008E39C3"/>
    <w:rsid w:val="008E4473"/>
    <w:rsid w:val="008E49A5"/>
    <w:rsid w:val="008E4DF5"/>
    <w:rsid w:val="008E6052"/>
    <w:rsid w:val="008E6263"/>
    <w:rsid w:val="008E684C"/>
    <w:rsid w:val="008E6B02"/>
    <w:rsid w:val="008E74C7"/>
    <w:rsid w:val="008F096E"/>
    <w:rsid w:val="008F2118"/>
    <w:rsid w:val="008F3F21"/>
    <w:rsid w:val="008F48F3"/>
    <w:rsid w:val="008F600A"/>
    <w:rsid w:val="009009A3"/>
    <w:rsid w:val="00903B28"/>
    <w:rsid w:val="00903D8F"/>
    <w:rsid w:val="0090420F"/>
    <w:rsid w:val="00904A17"/>
    <w:rsid w:val="0090525C"/>
    <w:rsid w:val="00910A16"/>
    <w:rsid w:val="00913AFF"/>
    <w:rsid w:val="009154FB"/>
    <w:rsid w:val="009160BB"/>
    <w:rsid w:val="00916EE2"/>
    <w:rsid w:val="00917F03"/>
    <w:rsid w:val="009202AD"/>
    <w:rsid w:val="00922C2D"/>
    <w:rsid w:val="0092349E"/>
    <w:rsid w:val="00923E59"/>
    <w:rsid w:val="0092545B"/>
    <w:rsid w:val="0092582B"/>
    <w:rsid w:val="009263CE"/>
    <w:rsid w:val="00927137"/>
    <w:rsid w:val="009304E5"/>
    <w:rsid w:val="00935CEB"/>
    <w:rsid w:val="00942AA6"/>
    <w:rsid w:val="00943379"/>
    <w:rsid w:val="00944261"/>
    <w:rsid w:val="0094562D"/>
    <w:rsid w:val="00954513"/>
    <w:rsid w:val="00955F6E"/>
    <w:rsid w:val="00956507"/>
    <w:rsid w:val="00956FCB"/>
    <w:rsid w:val="009574CF"/>
    <w:rsid w:val="009578AA"/>
    <w:rsid w:val="0096048A"/>
    <w:rsid w:val="00960E7F"/>
    <w:rsid w:val="009612C7"/>
    <w:rsid w:val="00964B0E"/>
    <w:rsid w:val="00965BFB"/>
    <w:rsid w:val="00966139"/>
    <w:rsid w:val="009666CB"/>
    <w:rsid w:val="0097192E"/>
    <w:rsid w:val="00972801"/>
    <w:rsid w:val="00972B1B"/>
    <w:rsid w:val="00973789"/>
    <w:rsid w:val="009742CE"/>
    <w:rsid w:val="00974364"/>
    <w:rsid w:val="00975ED5"/>
    <w:rsid w:val="00977240"/>
    <w:rsid w:val="00977521"/>
    <w:rsid w:val="009775EE"/>
    <w:rsid w:val="009828AF"/>
    <w:rsid w:val="009856F3"/>
    <w:rsid w:val="00985B3B"/>
    <w:rsid w:val="0098708A"/>
    <w:rsid w:val="00987963"/>
    <w:rsid w:val="00990916"/>
    <w:rsid w:val="009921A9"/>
    <w:rsid w:val="00993243"/>
    <w:rsid w:val="00994039"/>
    <w:rsid w:val="00995B43"/>
    <w:rsid w:val="00997076"/>
    <w:rsid w:val="009A076A"/>
    <w:rsid w:val="009A619A"/>
    <w:rsid w:val="009A6C5F"/>
    <w:rsid w:val="009A73E8"/>
    <w:rsid w:val="009B1411"/>
    <w:rsid w:val="009B26CB"/>
    <w:rsid w:val="009B6650"/>
    <w:rsid w:val="009B68D7"/>
    <w:rsid w:val="009B7731"/>
    <w:rsid w:val="009C0586"/>
    <w:rsid w:val="009C0CF0"/>
    <w:rsid w:val="009C0E8E"/>
    <w:rsid w:val="009C31C3"/>
    <w:rsid w:val="009C3E1A"/>
    <w:rsid w:val="009C5147"/>
    <w:rsid w:val="009C5A7B"/>
    <w:rsid w:val="009C6247"/>
    <w:rsid w:val="009C7352"/>
    <w:rsid w:val="009C7CEB"/>
    <w:rsid w:val="009D01E9"/>
    <w:rsid w:val="009D0554"/>
    <w:rsid w:val="009D09D5"/>
    <w:rsid w:val="009D106B"/>
    <w:rsid w:val="009D1F7F"/>
    <w:rsid w:val="009D215A"/>
    <w:rsid w:val="009D2C54"/>
    <w:rsid w:val="009D32CE"/>
    <w:rsid w:val="009D576D"/>
    <w:rsid w:val="009D5909"/>
    <w:rsid w:val="009D7DC9"/>
    <w:rsid w:val="009D7F21"/>
    <w:rsid w:val="009E0439"/>
    <w:rsid w:val="009E1425"/>
    <w:rsid w:val="009E31E8"/>
    <w:rsid w:val="009E345F"/>
    <w:rsid w:val="009E3BA7"/>
    <w:rsid w:val="009E62D9"/>
    <w:rsid w:val="009E657D"/>
    <w:rsid w:val="009E6711"/>
    <w:rsid w:val="009E718A"/>
    <w:rsid w:val="009E7688"/>
    <w:rsid w:val="009E79CE"/>
    <w:rsid w:val="009F00C5"/>
    <w:rsid w:val="009F02D9"/>
    <w:rsid w:val="009F04EB"/>
    <w:rsid w:val="009F0AB4"/>
    <w:rsid w:val="009F2BAF"/>
    <w:rsid w:val="009F2BDA"/>
    <w:rsid w:val="009F4B0B"/>
    <w:rsid w:val="009F4B2E"/>
    <w:rsid w:val="009F4FFC"/>
    <w:rsid w:val="009F5473"/>
    <w:rsid w:val="009F6745"/>
    <w:rsid w:val="009F7448"/>
    <w:rsid w:val="00A04C7E"/>
    <w:rsid w:val="00A05180"/>
    <w:rsid w:val="00A05282"/>
    <w:rsid w:val="00A054E4"/>
    <w:rsid w:val="00A0753B"/>
    <w:rsid w:val="00A10863"/>
    <w:rsid w:val="00A116FE"/>
    <w:rsid w:val="00A12D28"/>
    <w:rsid w:val="00A135F5"/>
    <w:rsid w:val="00A13DE3"/>
    <w:rsid w:val="00A1591F"/>
    <w:rsid w:val="00A222B0"/>
    <w:rsid w:val="00A24512"/>
    <w:rsid w:val="00A24F56"/>
    <w:rsid w:val="00A26F8B"/>
    <w:rsid w:val="00A30F04"/>
    <w:rsid w:val="00A313F5"/>
    <w:rsid w:val="00A34048"/>
    <w:rsid w:val="00A3419A"/>
    <w:rsid w:val="00A34A98"/>
    <w:rsid w:val="00A36142"/>
    <w:rsid w:val="00A363E5"/>
    <w:rsid w:val="00A3683C"/>
    <w:rsid w:val="00A407E9"/>
    <w:rsid w:val="00A41B3D"/>
    <w:rsid w:val="00A42D64"/>
    <w:rsid w:val="00A433F3"/>
    <w:rsid w:val="00A43CA6"/>
    <w:rsid w:val="00A43EC1"/>
    <w:rsid w:val="00A46FD2"/>
    <w:rsid w:val="00A537FA"/>
    <w:rsid w:val="00A544E0"/>
    <w:rsid w:val="00A54CB9"/>
    <w:rsid w:val="00A551BB"/>
    <w:rsid w:val="00A553C7"/>
    <w:rsid w:val="00A55894"/>
    <w:rsid w:val="00A55B33"/>
    <w:rsid w:val="00A55B70"/>
    <w:rsid w:val="00A575D5"/>
    <w:rsid w:val="00A6029C"/>
    <w:rsid w:val="00A63BC9"/>
    <w:rsid w:val="00A659BD"/>
    <w:rsid w:val="00A66909"/>
    <w:rsid w:val="00A67FE4"/>
    <w:rsid w:val="00A70CE1"/>
    <w:rsid w:val="00A7368E"/>
    <w:rsid w:val="00A80479"/>
    <w:rsid w:val="00A80E95"/>
    <w:rsid w:val="00A828B4"/>
    <w:rsid w:val="00A82E61"/>
    <w:rsid w:val="00A8474E"/>
    <w:rsid w:val="00A86BD6"/>
    <w:rsid w:val="00A90763"/>
    <w:rsid w:val="00A9105A"/>
    <w:rsid w:val="00A91256"/>
    <w:rsid w:val="00A928C7"/>
    <w:rsid w:val="00A930B8"/>
    <w:rsid w:val="00A938BC"/>
    <w:rsid w:val="00A94619"/>
    <w:rsid w:val="00A95CD9"/>
    <w:rsid w:val="00A97706"/>
    <w:rsid w:val="00AA0A41"/>
    <w:rsid w:val="00AA2932"/>
    <w:rsid w:val="00AA497E"/>
    <w:rsid w:val="00AA5014"/>
    <w:rsid w:val="00AA521C"/>
    <w:rsid w:val="00AA53C5"/>
    <w:rsid w:val="00AA7FA2"/>
    <w:rsid w:val="00AB1CBB"/>
    <w:rsid w:val="00AB245F"/>
    <w:rsid w:val="00AB3313"/>
    <w:rsid w:val="00AB335C"/>
    <w:rsid w:val="00AB65E5"/>
    <w:rsid w:val="00AB732A"/>
    <w:rsid w:val="00AC7A20"/>
    <w:rsid w:val="00AD2EDC"/>
    <w:rsid w:val="00AD3428"/>
    <w:rsid w:val="00AD36CB"/>
    <w:rsid w:val="00AD3701"/>
    <w:rsid w:val="00AD4506"/>
    <w:rsid w:val="00AD7114"/>
    <w:rsid w:val="00AE1F95"/>
    <w:rsid w:val="00AE218C"/>
    <w:rsid w:val="00AE4033"/>
    <w:rsid w:val="00AE4473"/>
    <w:rsid w:val="00AE543F"/>
    <w:rsid w:val="00AE599C"/>
    <w:rsid w:val="00AE6DA1"/>
    <w:rsid w:val="00AF1389"/>
    <w:rsid w:val="00AF1C57"/>
    <w:rsid w:val="00AF1DD2"/>
    <w:rsid w:val="00AF210D"/>
    <w:rsid w:val="00AF214C"/>
    <w:rsid w:val="00AF21BE"/>
    <w:rsid w:val="00AF338F"/>
    <w:rsid w:val="00AF64B0"/>
    <w:rsid w:val="00B00659"/>
    <w:rsid w:val="00B00F81"/>
    <w:rsid w:val="00B02131"/>
    <w:rsid w:val="00B02414"/>
    <w:rsid w:val="00B02A59"/>
    <w:rsid w:val="00B02D93"/>
    <w:rsid w:val="00B03C9D"/>
    <w:rsid w:val="00B045AE"/>
    <w:rsid w:val="00B04703"/>
    <w:rsid w:val="00B047E4"/>
    <w:rsid w:val="00B07030"/>
    <w:rsid w:val="00B073B4"/>
    <w:rsid w:val="00B1051E"/>
    <w:rsid w:val="00B111AE"/>
    <w:rsid w:val="00B1125F"/>
    <w:rsid w:val="00B119DE"/>
    <w:rsid w:val="00B14E38"/>
    <w:rsid w:val="00B1634C"/>
    <w:rsid w:val="00B171EF"/>
    <w:rsid w:val="00B2024A"/>
    <w:rsid w:val="00B20971"/>
    <w:rsid w:val="00B20FA5"/>
    <w:rsid w:val="00B211DB"/>
    <w:rsid w:val="00B215C3"/>
    <w:rsid w:val="00B23EC1"/>
    <w:rsid w:val="00B24332"/>
    <w:rsid w:val="00B25342"/>
    <w:rsid w:val="00B267D7"/>
    <w:rsid w:val="00B30972"/>
    <w:rsid w:val="00B30D19"/>
    <w:rsid w:val="00B32417"/>
    <w:rsid w:val="00B32600"/>
    <w:rsid w:val="00B32855"/>
    <w:rsid w:val="00B3382F"/>
    <w:rsid w:val="00B33E8E"/>
    <w:rsid w:val="00B3553B"/>
    <w:rsid w:val="00B371FD"/>
    <w:rsid w:val="00B379FB"/>
    <w:rsid w:val="00B415C4"/>
    <w:rsid w:val="00B41FA5"/>
    <w:rsid w:val="00B42A0C"/>
    <w:rsid w:val="00B437A2"/>
    <w:rsid w:val="00B4389B"/>
    <w:rsid w:val="00B4620D"/>
    <w:rsid w:val="00B46544"/>
    <w:rsid w:val="00B46895"/>
    <w:rsid w:val="00B46B7E"/>
    <w:rsid w:val="00B50C33"/>
    <w:rsid w:val="00B514FF"/>
    <w:rsid w:val="00B51B7F"/>
    <w:rsid w:val="00B52E53"/>
    <w:rsid w:val="00B552BF"/>
    <w:rsid w:val="00B557E8"/>
    <w:rsid w:val="00B569BA"/>
    <w:rsid w:val="00B5709B"/>
    <w:rsid w:val="00B577FB"/>
    <w:rsid w:val="00B6192E"/>
    <w:rsid w:val="00B61C91"/>
    <w:rsid w:val="00B62C72"/>
    <w:rsid w:val="00B63509"/>
    <w:rsid w:val="00B6457A"/>
    <w:rsid w:val="00B64650"/>
    <w:rsid w:val="00B667B8"/>
    <w:rsid w:val="00B7169D"/>
    <w:rsid w:val="00B72530"/>
    <w:rsid w:val="00B72EFC"/>
    <w:rsid w:val="00B730DB"/>
    <w:rsid w:val="00B761F2"/>
    <w:rsid w:val="00B80828"/>
    <w:rsid w:val="00B80E9A"/>
    <w:rsid w:val="00B815F4"/>
    <w:rsid w:val="00B83092"/>
    <w:rsid w:val="00B85257"/>
    <w:rsid w:val="00B86460"/>
    <w:rsid w:val="00B918F0"/>
    <w:rsid w:val="00B94222"/>
    <w:rsid w:val="00B94EA7"/>
    <w:rsid w:val="00BA0390"/>
    <w:rsid w:val="00BA227F"/>
    <w:rsid w:val="00BA2A9A"/>
    <w:rsid w:val="00BA2FD7"/>
    <w:rsid w:val="00BA3F0C"/>
    <w:rsid w:val="00BA3FD2"/>
    <w:rsid w:val="00BA43FA"/>
    <w:rsid w:val="00BA473D"/>
    <w:rsid w:val="00BA4819"/>
    <w:rsid w:val="00BA5387"/>
    <w:rsid w:val="00BA55B7"/>
    <w:rsid w:val="00BA5A09"/>
    <w:rsid w:val="00BA5E26"/>
    <w:rsid w:val="00BA6696"/>
    <w:rsid w:val="00BA7956"/>
    <w:rsid w:val="00BB15FF"/>
    <w:rsid w:val="00BB4BCE"/>
    <w:rsid w:val="00BC2374"/>
    <w:rsid w:val="00BC2AE9"/>
    <w:rsid w:val="00BC3256"/>
    <w:rsid w:val="00BC3CFB"/>
    <w:rsid w:val="00BC468C"/>
    <w:rsid w:val="00BC5F21"/>
    <w:rsid w:val="00BC6F01"/>
    <w:rsid w:val="00BD017C"/>
    <w:rsid w:val="00BD0C47"/>
    <w:rsid w:val="00BD24A9"/>
    <w:rsid w:val="00BD4E1B"/>
    <w:rsid w:val="00BD7C58"/>
    <w:rsid w:val="00BE1900"/>
    <w:rsid w:val="00BE2E20"/>
    <w:rsid w:val="00BE2FE9"/>
    <w:rsid w:val="00BE305C"/>
    <w:rsid w:val="00BE324D"/>
    <w:rsid w:val="00BE3550"/>
    <w:rsid w:val="00BE48E7"/>
    <w:rsid w:val="00BE7D7D"/>
    <w:rsid w:val="00BF0054"/>
    <w:rsid w:val="00BF11B4"/>
    <w:rsid w:val="00BF131D"/>
    <w:rsid w:val="00BF292B"/>
    <w:rsid w:val="00BF3DEA"/>
    <w:rsid w:val="00BF470E"/>
    <w:rsid w:val="00BF4A67"/>
    <w:rsid w:val="00BF5B3B"/>
    <w:rsid w:val="00C00D05"/>
    <w:rsid w:val="00C03862"/>
    <w:rsid w:val="00C039AE"/>
    <w:rsid w:val="00C05EA2"/>
    <w:rsid w:val="00C06847"/>
    <w:rsid w:val="00C1053E"/>
    <w:rsid w:val="00C10763"/>
    <w:rsid w:val="00C10F0E"/>
    <w:rsid w:val="00C10FE4"/>
    <w:rsid w:val="00C1279E"/>
    <w:rsid w:val="00C12D2C"/>
    <w:rsid w:val="00C13EFE"/>
    <w:rsid w:val="00C145E5"/>
    <w:rsid w:val="00C15715"/>
    <w:rsid w:val="00C16453"/>
    <w:rsid w:val="00C16CDC"/>
    <w:rsid w:val="00C1788B"/>
    <w:rsid w:val="00C17F4F"/>
    <w:rsid w:val="00C20B46"/>
    <w:rsid w:val="00C21209"/>
    <w:rsid w:val="00C24463"/>
    <w:rsid w:val="00C2464A"/>
    <w:rsid w:val="00C34BBC"/>
    <w:rsid w:val="00C35FFD"/>
    <w:rsid w:val="00C3627F"/>
    <w:rsid w:val="00C37B03"/>
    <w:rsid w:val="00C4134E"/>
    <w:rsid w:val="00C42173"/>
    <w:rsid w:val="00C43BC5"/>
    <w:rsid w:val="00C43FF7"/>
    <w:rsid w:val="00C447AF"/>
    <w:rsid w:val="00C46845"/>
    <w:rsid w:val="00C468F5"/>
    <w:rsid w:val="00C51498"/>
    <w:rsid w:val="00C51EA9"/>
    <w:rsid w:val="00C524FA"/>
    <w:rsid w:val="00C528FB"/>
    <w:rsid w:val="00C5422B"/>
    <w:rsid w:val="00C54593"/>
    <w:rsid w:val="00C54E69"/>
    <w:rsid w:val="00C56539"/>
    <w:rsid w:val="00C572F4"/>
    <w:rsid w:val="00C6163E"/>
    <w:rsid w:val="00C62192"/>
    <w:rsid w:val="00C62A6B"/>
    <w:rsid w:val="00C63760"/>
    <w:rsid w:val="00C6410D"/>
    <w:rsid w:val="00C6416F"/>
    <w:rsid w:val="00C645ED"/>
    <w:rsid w:val="00C64B4F"/>
    <w:rsid w:val="00C66265"/>
    <w:rsid w:val="00C700EB"/>
    <w:rsid w:val="00C711F7"/>
    <w:rsid w:val="00C73A11"/>
    <w:rsid w:val="00C7529E"/>
    <w:rsid w:val="00C77A99"/>
    <w:rsid w:val="00C80908"/>
    <w:rsid w:val="00C81095"/>
    <w:rsid w:val="00C81187"/>
    <w:rsid w:val="00C816D4"/>
    <w:rsid w:val="00C81C9C"/>
    <w:rsid w:val="00C82205"/>
    <w:rsid w:val="00C825C0"/>
    <w:rsid w:val="00C828E9"/>
    <w:rsid w:val="00C84D0D"/>
    <w:rsid w:val="00C84EFE"/>
    <w:rsid w:val="00C85DD5"/>
    <w:rsid w:val="00C86279"/>
    <w:rsid w:val="00C86459"/>
    <w:rsid w:val="00C86D14"/>
    <w:rsid w:val="00C9008E"/>
    <w:rsid w:val="00C9047D"/>
    <w:rsid w:val="00C92337"/>
    <w:rsid w:val="00C92862"/>
    <w:rsid w:val="00C95FA5"/>
    <w:rsid w:val="00C9637A"/>
    <w:rsid w:val="00CA2D23"/>
    <w:rsid w:val="00CA2D38"/>
    <w:rsid w:val="00CA3353"/>
    <w:rsid w:val="00CA63FD"/>
    <w:rsid w:val="00CA6891"/>
    <w:rsid w:val="00CA6BE1"/>
    <w:rsid w:val="00CA762D"/>
    <w:rsid w:val="00CB0882"/>
    <w:rsid w:val="00CB15E5"/>
    <w:rsid w:val="00CB16AE"/>
    <w:rsid w:val="00CB16B6"/>
    <w:rsid w:val="00CB3F86"/>
    <w:rsid w:val="00CB53DA"/>
    <w:rsid w:val="00CB71D2"/>
    <w:rsid w:val="00CC0B3A"/>
    <w:rsid w:val="00CC15E7"/>
    <w:rsid w:val="00CC20A1"/>
    <w:rsid w:val="00CC3AF8"/>
    <w:rsid w:val="00CC6642"/>
    <w:rsid w:val="00CD0138"/>
    <w:rsid w:val="00CD1996"/>
    <w:rsid w:val="00CD5189"/>
    <w:rsid w:val="00CD522B"/>
    <w:rsid w:val="00CD54CB"/>
    <w:rsid w:val="00CE1471"/>
    <w:rsid w:val="00CE1CEC"/>
    <w:rsid w:val="00CE4DE4"/>
    <w:rsid w:val="00CE67C9"/>
    <w:rsid w:val="00CF0407"/>
    <w:rsid w:val="00CF06F6"/>
    <w:rsid w:val="00CF0C01"/>
    <w:rsid w:val="00CF1D6C"/>
    <w:rsid w:val="00CF4DB2"/>
    <w:rsid w:val="00CF506D"/>
    <w:rsid w:val="00CF5375"/>
    <w:rsid w:val="00CF6614"/>
    <w:rsid w:val="00CF7A9E"/>
    <w:rsid w:val="00D02660"/>
    <w:rsid w:val="00D04205"/>
    <w:rsid w:val="00D05E8D"/>
    <w:rsid w:val="00D06240"/>
    <w:rsid w:val="00D11239"/>
    <w:rsid w:val="00D11C63"/>
    <w:rsid w:val="00D12160"/>
    <w:rsid w:val="00D135A3"/>
    <w:rsid w:val="00D14538"/>
    <w:rsid w:val="00D1750B"/>
    <w:rsid w:val="00D237D7"/>
    <w:rsid w:val="00D23CA1"/>
    <w:rsid w:val="00D241FE"/>
    <w:rsid w:val="00D25F44"/>
    <w:rsid w:val="00D269F2"/>
    <w:rsid w:val="00D2728C"/>
    <w:rsid w:val="00D276D8"/>
    <w:rsid w:val="00D27D9A"/>
    <w:rsid w:val="00D346EF"/>
    <w:rsid w:val="00D3571D"/>
    <w:rsid w:val="00D36CC2"/>
    <w:rsid w:val="00D4381B"/>
    <w:rsid w:val="00D4560C"/>
    <w:rsid w:val="00D50941"/>
    <w:rsid w:val="00D51AB8"/>
    <w:rsid w:val="00D52021"/>
    <w:rsid w:val="00D53A4F"/>
    <w:rsid w:val="00D55196"/>
    <w:rsid w:val="00D555D5"/>
    <w:rsid w:val="00D61D70"/>
    <w:rsid w:val="00D61E83"/>
    <w:rsid w:val="00D62BD1"/>
    <w:rsid w:val="00D631D0"/>
    <w:rsid w:val="00D636CF"/>
    <w:rsid w:val="00D646CC"/>
    <w:rsid w:val="00D65124"/>
    <w:rsid w:val="00D6566E"/>
    <w:rsid w:val="00D658FC"/>
    <w:rsid w:val="00D70B2D"/>
    <w:rsid w:val="00D71521"/>
    <w:rsid w:val="00D72F01"/>
    <w:rsid w:val="00D73A93"/>
    <w:rsid w:val="00D7516D"/>
    <w:rsid w:val="00D76401"/>
    <w:rsid w:val="00D801EA"/>
    <w:rsid w:val="00D80A33"/>
    <w:rsid w:val="00D82C2C"/>
    <w:rsid w:val="00D8348A"/>
    <w:rsid w:val="00D845F8"/>
    <w:rsid w:val="00D86377"/>
    <w:rsid w:val="00D8765B"/>
    <w:rsid w:val="00D90FC5"/>
    <w:rsid w:val="00D91204"/>
    <w:rsid w:val="00D92CF0"/>
    <w:rsid w:val="00D9304A"/>
    <w:rsid w:val="00D94834"/>
    <w:rsid w:val="00D9573E"/>
    <w:rsid w:val="00D96342"/>
    <w:rsid w:val="00DA1CBB"/>
    <w:rsid w:val="00DA2EAE"/>
    <w:rsid w:val="00DA3F2B"/>
    <w:rsid w:val="00DA41AE"/>
    <w:rsid w:val="00DA4C15"/>
    <w:rsid w:val="00DB02B8"/>
    <w:rsid w:val="00DB0B46"/>
    <w:rsid w:val="00DB2A63"/>
    <w:rsid w:val="00DB2A76"/>
    <w:rsid w:val="00DB2C6B"/>
    <w:rsid w:val="00DB49CB"/>
    <w:rsid w:val="00DB7CA7"/>
    <w:rsid w:val="00DC0BF9"/>
    <w:rsid w:val="00DC168C"/>
    <w:rsid w:val="00DC1F4C"/>
    <w:rsid w:val="00DC2127"/>
    <w:rsid w:val="00DC3A5D"/>
    <w:rsid w:val="00DC3D47"/>
    <w:rsid w:val="00DC5CA0"/>
    <w:rsid w:val="00DC7045"/>
    <w:rsid w:val="00DC7960"/>
    <w:rsid w:val="00DC7C87"/>
    <w:rsid w:val="00DC7D97"/>
    <w:rsid w:val="00DD00DA"/>
    <w:rsid w:val="00DD0365"/>
    <w:rsid w:val="00DD0D51"/>
    <w:rsid w:val="00DD13C8"/>
    <w:rsid w:val="00DD27EB"/>
    <w:rsid w:val="00DD55BD"/>
    <w:rsid w:val="00DE043C"/>
    <w:rsid w:val="00DE349C"/>
    <w:rsid w:val="00DE408D"/>
    <w:rsid w:val="00DE4181"/>
    <w:rsid w:val="00DE4253"/>
    <w:rsid w:val="00DE4886"/>
    <w:rsid w:val="00DE49C8"/>
    <w:rsid w:val="00DE67A0"/>
    <w:rsid w:val="00DF0350"/>
    <w:rsid w:val="00DF09CB"/>
    <w:rsid w:val="00DF0E0D"/>
    <w:rsid w:val="00DF1C8E"/>
    <w:rsid w:val="00DF2473"/>
    <w:rsid w:val="00DF2B37"/>
    <w:rsid w:val="00DF55E5"/>
    <w:rsid w:val="00E006D1"/>
    <w:rsid w:val="00E0108D"/>
    <w:rsid w:val="00E01278"/>
    <w:rsid w:val="00E01C10"/>
    <w:rsid w:val="00E01FF7"/>
    <w:rsid w:val="00E029FA"/>
    <w:rsid w:val="00E10CEF"/>
    <w:rsid w:val="00E11916"/>
    <w:rsid w:val="00E13231"/>
    <w:rsid w:val="00E13713"/>
    <w:rsid w:val="00E138BC"/>
    <w:rsid w:val="00E15A08"/>
    <w:rsid w:val="00E1672F"/>
    <w:rsid w:val="00E16E4C"/>
    <w:rsid w:val="00E207CF"/>
    <w:rsid w:val="00E20C19"/>
    <w:rsid w:val="00E257F2"/>
    <w:rsid w:val="00E30F65"/>
    <w:rsid w:val="00E312DD"/>
    <w:rsid w:val="00E3313C"/>
    <w:rsid w:val="00E33342"/>
    <w:rsid w:val="00E35CB6"/>
    <w:rsid w:val="00E36020"/>
    <w:rsid w:val="00E45308"/>
    <w:rsid w:val="00E46415"/>
    <w:rsid w:val="00E472BE"/>
    <w:rsid w:val="00E47925"/>
    <w:rsid w:val="00E51C29"/>
    <w:rsid w:val="00E532F4"/>
    <w:rsid w:val="00E53389"/>
    <w:rsid w:val="00E53DB4"/>
    <w:rsid w:val="00E5461E"/>
    <w:rsid w:val="00E54AF2"/>
    <w:rsid w:val="00E56AF9"/>
    <w:rsid w:val="00E57504"/>
    <w:rsid w:val="00E57EC3"/>
    <w:rsid w:val="00E615FB"/>
    <w:rsid w:val="00E63A5F"/>
    <w:rsid w:val="00E65346"/>
    <w:rsid w:val="00E65F81"/>
    <w:rsid w:val="00E701A4"/>
    <w:rsid w:val="00E71D36"/>
    <w:rsid w:val="00E73627"/>
    <w:rsid w:val="00E764CD"/>
    <w:rsid w:val="00E77441"/>
    <w:rsid w:val="00E77CF3"/>
    <w:rsid w:val="00E820F2"/>
    <w:rsid w:val="00E8282B"/>
    <w:rsid w:val="00E8454D"/>
    <w:rsid w:val="00E8767B"/>
    <w:rsid w:val="00E91F9D"/>
    <w:rsid w:val="00E925EE"/>
    <w:rsid w:val="00E9317A"/>
    <w:rsid w:val="00E956E9"/>
    <w:rsid w:val="00EA2FD3"/>
    <w:rsid w:val="00EA3226"/>
    <w:rsid w:val="00EA3322"/>
    <w:rsid w:val="00EA44F4"/>
    <w:rsid w:val="00EA5114"/>
    <w:rsid w:val="00EA5A16"/>
    <w:rsid w:val="00EA780F"/>
    <w:rsid w:val="00EB20F9"/>
    <w:rsid w:val="00EB413E"/>
    <w:rsid w:val="00EB4216"/>
    <w:rsid w:val="00EB515E"/>
    <w:rsid w:val="00EB7146"/>
    <w:rsid w:val="00EB76C6"/>
    <w:rsid w:val="00EC026B"/>
    <w:rsid w:val="00EC0EAC"/>
    <w:rsid w:val="00EC287D"/>
    <w:rsid w:val="00EC3630"/>
    <w:rsid w:val="00EC3717"/>
    <w:rsid w:val="00EC5513"/>
    <w:rsid w:val="00EC5A54"/>
    <w:rsid w:val="00ED0DB6"/>
    <w:rsid w:val="00ED12ED"/>
    <w:rsid w:val="00ED1DE2"/>
    <w:rsid w:val="00ED2997"/>
    <w:rsid w:val="00ED3D6F"/>
    <w:rsid w:val="00ED4D94"/>
    <w:rsid w:val="00ED76F4"/>
    <w:rsid w:val="00EE0D08"/>
    <w:rsid w:val="00EE1674"/>
    <w:rsid w:val="00EE1BED"/>
    <w:rsid w:val="00EE2068"/>
    <w:rsid w:val="00EE21B4"/>
    <w:rsid w:val="00EE23D3"/>
    <w:rsid w:val="00EE3340"/>
    <w:rsid w:val="00EE405E"/>
    <w:rsid w:val="00EE4A6E"/>
    <w:rsid w:val="00EE4A83"/>
    <w:rsid w:val="00EE61AF"/>
    <w:rsid w:val="00EE68B9"/>
    <w:rsid w:val="00EE799D"/>
    <w:rsid w:val="00EF1E6F"/>
    <w:rsid w:val="00EF1EF6"/>
    <w:rsid w:val="00EF1F72"/>
    <w:rsid w:val="00EF2CFD"/>
    <w:rsid w:val="00EF3047"/>
    <w:rsid w:val="00EF3F12"/>
    <w:rsid w:val="00EF5060"/>
    <w:rsid w:val="00EF65E6"/>
    <w:rsid w:val="00EF67B3"/>
    <w:rsid w:val="00F00D37"/>
    <w:rsid w:val="00F012AA"/>
    <w:rsid w:val="00F02D3F"/>
    <w:rsid w:val="00F036D7"/>
    <w:rsid w:val="00F03854"/>
    <w:rsid w:val="00F067FE"/>
    <w:rsid w:val="00F0694F"/>
    <w:rsid w:val="00F07765"/>
    <w:rsid w:val="00F11549"/>
    <w:rsid w:val="00F122E7"/>
    <w:rsid w:val="00F12857"/>
    <w:rsid w:val="00F135CC"/>
    <w:rsid w:val="00F15DE0"/>
    <w:rsid w:val="00F164B0"/>
    <w:rsid w:val="00F16D03"/>
    <w:rsid w:val="00F1703B"/>
    <w:rsid w:val="00F20208"/>
    <w:rsid w:val="00F20C1E"/>
    <w:rsid w:val="00F2307B"/>
    <w:rsid w:val="00F24010"/>
    <w:rsid w:val="00F24D3D"/>
    <w:rsid w:val="00F2688B"/>
    <w:rsid w:val="00F311E4"/>
    <w:rsid w:val="00F31D3B"/>
    <w:rsid w:val="00F324AC"/>
    <w:rsid w:val="00F36FDB"/>
    <w:rsid w:val="00F371B3"/>
    <w:rsid w:val="00F40F08"/>
    <w:rsid w:val="00F42123"/>
    <w:rsid w:val="00F42DB8"/>
    <w:rsid w:val="00F43DE3"/>
    <w:rsid w:val="00F4571B"/>
    <w:rsid w:val="00F46497"/>
    <w:rsid w:val="00F50081"/>
    <w:rsid w:val="00F50C5F"/>
    <w:rsid w:val="00F56A55"/>
    <w:rsid w:val="00F570C9"/>
    <w:rsid w:val="00F57732"/>
    <w:rsid w:val="00F603A5"/>
    <w:rsid w:val="00F64F22"/>
    <w:rsid w:val="00F67DA3"/>
    <w:rsid w:val="00F75262"/>
    <w:rsid w:val="00F76C1B"/>
    <w:rsid w:val="00F8132E"/>
    <w:rsid w:val="00F81507"/>
    <w:rsid w:val="00F853AF"/>
    <w:rsid w:val="00F869BA"/>
    <w:rsid w:val="00F87484"/>
    <w:rsid w:val="00F874CF"/>
    <w:rsid w:val="00F946BF"/>
    <w:rsid w:val="00F96BE4"/>
    <w:rsid w:val="00F96E82"/>
    <w:rsid w:val="00FA0B4B"/>
    <w:rsid w:val="00FA1755"/>
    <w:rsid w:val="00FA1A6F"/>
    <w:rsid w:val="00FA3417"/>
    <w:rsid w:val="00FA3565"/>
    <w:rsid w:val="00FA3781"/>
    <w:rsid w:val="00FA3C87"/>
    <w:rsid w:val="00FA419A"/>
    <w:rsid w:val="00FA436E"/>
    <w:rsid w:val="00FA57D1"/>
    <w:rsid w:val="00FA62F8"/>
    <w:rsid w:val="00FA64C2"/>
    <w:rsid w:val="00FA6F34"/>
    <w:rsid w:val="00FA701D"/>
    <w:rsid w:val="00FA7440"/>
    <w:rsid w:val="00FB03AD"/>
    <w:rsid w:val="00FB0669"/>
    <w:rsid w:val="00FB1A24"/>
    <w:rsid w:val="00FB2D9F"/>
    <w:rsid w:val="00FB3E90"/>
    <w:rsid w:val="00FB3EB3"/>
    <w:rsid w:val="00FB77E9"/>
    <w:rsid w:val="00FC0120"/>
    <w:rsid w:val="00FC28A8"/>
    <w:rsid w:val="00FC48A8"/>
    <w:rsid w:val="00FC5CB5"/>
    <w:rsid w:val="00FD1DA1"/>
    <w:rsid w:val="00FD32C7"/>
    <w:rsid w:val="00FD3AB4"/>
    <w:rsid w:val="00FD5514"/>
    <w:rsid w:val="00FD7892"/>
    <w:rsid w:val="00FE14C2"/>
    <w:rsid w:val="00FE1D66"/>
    <w:rsid w:val="00FE2ED8"/>
    <w:rsid w:val="00FE3E12"/>
    <w:rsid w:val="00FE3EF1"/>
    <w:rsid w:val="00FE5810"/>
    <w:rsid w:val="00FE68EC"/>
    <w:rsid w:val="00FE6F79"/>
    <w:rsid w:val="00FE7EB5"/>
    <w:rsid w:val="00FF017D"/>
    <w:rsid w:val="00FF189F"/>
    <w:rsid w:val="00FF3AA1"/>
    <w:rsid w:val="00FF3DF3"/>
    <w:rsid w:val="00FF4F4C"/>
    <w:rsid w:val="00FF52B6"/>
    <w:rsid w:val="00FF6088"/>
    <w:rsid w:val="00FF6C9C"/>
    <w:rsid w:val="00FF7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ind w:left="72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941"/>
  </w:style>
  <w:style w:type="paragraph" w:styleId="Heading1">
    <w:name w:val="heading 1"/>
    <w:basedOn w:val="Normal"/>
    <w:link w:val="Heading1Char"/>
    <w:uiPriority w:val="9"/>
    <w:qFormat/>
    <w:rsid w:val="001E428B"/>
    <w:pPr>
      <w:spacing w:before="100" w:beforeAutospacing="1" w:after="100" w:afterAutospacing="1"/>
      <w:ind w:left="0" w:firstLine="0"/>
      <w:outlineLvl w:val="0"/>
    </w:pPr>
    <w:rPr>
      <w:rFonts w:eastAsia="Times New Roman" w:cs="Times New Roman"/>
      <w:b/>
      <w:bCs/>
      <w:kern w:val="36"/>
      <w:sz w:val="48"/>
      <w:szCs w:val="48"/>
    </w:rPr>
  </w:style>
  <w:style w:type="paragraph" w:styleId="Heading2">
    <w:name w:val="heading 2"/>
    <w:basedOn w:val="Normal"/>
    <w:next w:val="Normal"/>
    <w:link w:val="Heading2Char"/>
    <w:uiPriority w:val="9"/>
    <w:semiHidden/>
    <w:unhideWhenUsed/>
    <w:qFormat/>
    <w:rsid w:val="0072548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0941"/>
    <w:pPr>
      <w:contextualSpacing/>
    </w:pPr>
  </w:style>
  <w:style w:type="paragraph" w:styleId="Header">
    <w:name w:val="header"/>
    <w:basedOn w:val="Normal"/>
    <w:link w:val="HeaderChar"/>
    <w:uiPriority w:val="99"/>
    <w:unhideWhenUsed/>
    <w:rsid w:val="00D50941"/>
    <w:pPr>
      <w:tabs>
        <w:tab w:val="center" w:pos="4680"/>
        <w:tab w:val="right" w:pos="9360"/>
      </w:tabs>
    </w:pPr>
  </w:style>
  <w:style w:type="character" w:customStyle="1" w:styleId="HeaderChar">
    <w:name w:val="Header Char"/>
    <w:basedOn w:val="DefaultParagraphFont"/>
    <w:link w:val="Header"/>
    <w:uiPriority w:val="99"/>
    <w:rsid w:val="00D50941"/>
  </w:style>
  <w:style w:type="paragraph" w:styleId="Footer">
    <w:name w:val="footer"/>
    <w:basedOn w:val="Normal"/>
    <w:link w:val="FooterChar"/>
    <w:uiPriority w:val="99"/>
    <w:unhideWhenUsed/>
    <w:rsid w:val="00D50941"/>
    <w:pPr>
      <w:tabs>
        <w:tab w:val="center" w:pos="4680"/>
        <w:tab w:val="right" w:pos="9360"/>
      </w:tabs>
    </w:pPr>
  </w:style>
  <w:style w:type="character" w:customStyle="1" w:styleId="FooterChar">
    <w:name w:val="Footer Char"/>
    <w:basedOn w:val="DefaultParagraphFont"/>
    <w:link w:val="Footer"/>
    <w:uiPriority w:val="99"/>
    <w:rsid w:val="00D50941"/>
  </w:style>
  <w:style w:type="paragraph" w:styleId="BalloonText">
    <w:name w:val="Balloon Text"/>
    <w:basedOn w:val="Normal"/>
    <w:link w:val="BalloonTextChar"/>
    <w:uiPriority w:val="99"/>
    <w:semiHidden/>
    <w:unhideWhenUsed/>
    <w:rsid w:val="00D50941"/>
    <w:rPr>
      <w:rFonts w:ascii="Tahoma" w:hAnsi="Tahoma" w:cs="Tahoma"/>
      <w:sz w:val="16"/>
      <w:szCs w:val="16"/>
    </w:rPr>
  </w:style>
  <w:style w:type="character" w:customStyle="1" w:styleId="BalloonTextChar">
    <w:name w:val="Balloon Text Char"/>
    <w:basedOn w:val="DefaultParagraphFont"/>
    <w:link w:val="BalloonText"/>
    <w:uiPriority w:val="99"/>
    <w:semiHidden/>
    <w:rsid w:val="00D50941"/>
    <w:rPr>
      <w:rFonts w:ascii="Tahoma" w:hAnsi="Tahoma" w:cs="Tahoma"/>
      <w:sz w:val="16"/>
      <w:szCs w:val="16"/>
    </w:rPr>
  </w:style>
  <w:style w:type="character" w:styleId="Hyperlink">
    <w:name w:val="Hyperlink"/>
    <w:basedOn w:val="DefaultParagraphFont"/>
    <w:uiPriority w:val="99"/>
    <w:unhideWhenUsed/>
    <w:rsid w:val="00D50941"/>
    <w:rPr>
      <w:color w:val="0000FF" w:themeColor="hyperlink"/>
      <w:u w:val="single"/>
    </w:rPr>
  </w:style>
  <w:style w:type="paragraph" w:styleId="ListBullet">
    <w:name w:val="List Bullet"/>
    <w:basedOn w:val="Normal"/>
    <w:uiPriority w:val="99"/>
    <w:unhideWhenUsed/>
    <w:rsid w:val="00D50941"/>
    <w:pPr>
      <w:ind w:left="0" w:firstLine="0"/>
      <w:contextualSpacing/>
    </w:pPr>
    <w:rPr>
      <w:rFonts w:eastAsia="Times New Roman" w:cs="Times New Roman"/>
      <w:szCs w:val="24"/>
    </w:rPr>
  </w:style>
  <w:style w:type="paragraph" w:styleId="NoSpacing">
    <w:name w:val="No Spacing"/>
    <w:uiPriority w:val="1"/>
    <w:qFormat/>
    <w:rsid w:val="00D50941"/>
  </w:style>
  <w:style w:type="character" w:styleId="Emphasis">
    <w:name w:val="Emphasis"/>
    <w:basedOn w:val="DefaultParagraphFont"/>
    <w:uiPriority w:val="20"/>
    <w:qFormat/>
    <w:rsid w:val="00D50941"/>
    <w:rPr>
      <w:i/>
      <w:iCs/>
    </w:rPr>
  </w:style>
  <w:style w:type="character" w:styleId="HTMLCite">
    <w:name w:val="HTML Cite"/>
    <w:basedOn w:val="DefaultParagraphFont"/>
    <w:uiPriority w:val="99"/>
    <w:semiHidden/>
    <w:unhideWhenUsed/>
    <w:rsid w:val="00D50941"/>
    <w:rPr>
      <w:i/>
      <w:iCs/>
    </w:rPr>
  </w:style>
  <w:style w:type="paragraph" w:customStyle="1" w:styleId="Default">
    <w:name w:val="Default"/>
    <w:rsid w:val="00D50941"/>
    <w:pPr>
      <w:autoSpaceDE w:val="0"/>
      <w:autoSpaceDN w:val="0"/>
      <w:adjustRightInd w:val="0"/>
      <w:ind w:left="0" w:firstLine="0"/>
    </w:pPr>
    <w:rPr>
      <w:rFonts w:cs="Times New Roman"/>
      <w:color w:val="000000"/>
      <w:szCs w:val="24"/>
    </w:rPr>
  </w:style>
  <w:style w:type="character" w:customStyle="1" w:styleId="cit-name-surname">
    <w:name w:val="cit-name-surname"/>
    <w:basedOn w:val="DefaultParagraphFont"/>
    <w:rsid w:val="00D50941"/>
  </w:style>
  <w:style w:type="character" w:customStyle="1" w:styleId="cit-pub-date">
    <w:name w:val="cit-pub-date"/>
    <w:basedOn w:val="DefaultParagraphFont"/>
    <w:rsid w:val="00D50941"/>
  </w:style>
  <w:style w:type="character" w:customStyle="1" w:styleId="cit-article-title">
    <w:name w:val="cit-article-title"/>
    <w:basedOn w:val="DefaultParagraphFont"/>
    <w:rsid w:val="00D50941"/>
  </w:style>
  <w:style w:type="character" w:customStyle="1" w:styleId="cit-vol">
    <w:name w:val="cit-vol"/>
    <w:basedOn w:val="DefaultParagraphFont"/>
    <w:rsid w:val="00D50941"/>
  </w:style>
  <w:style w:type="character" w:customStyle="1" w:styleId="cit-issue">
    <w:name w:val="cit-issue"/>
    <w:basedOn w:val="DefaultParagraphFont"/>
    <w:rsid w:val="00D50941"/>
  </w:style>
  <w:style w:type="character" w:customStyle="1" w:styleId="cit-fpage">
    <w:name w:val="cit-fpage"/>
    <w:basedOn w:val="DefaultParagraphFont"/>
    <w:rsid w:val="00D50941"/>
  </w:style>
  <w:style w:type="character" w:customStyle="1" w:styleId="cit-lpage">
    <w:name w:val="cit-lpage"/>
    <w:basedOn w:val="DefaultParagraphFont"/>
    <w:rsid w:val="00D50941"/>
  </w:style>
  <w:style w:type="character" w:customStyle="1" w:styleId="cit-source">
    <w:name w:val="cit-source"/>
    <w:basedOn w:val="DefaultParagraphFont"/>
    <w:rsid w:val="00D50941"/>
  </w:style>
  <w:style w:type="character" w:customStyle="1" w:styleId="cit-publ-loc">
    <w:name w:val="cit-publ-loc"/>
    <w:basedOn w:val="DefaultParagraphFont"/>
    <w:rsid w:val="00D50941"/>
  </w:style>
  <w:style w:type="character" w:customStyle="1" w:styleId="cit-publ-name">
    <w:name w:val="cit-publ-name"/>
    <w:basedOn w:val="DefaultParagraphFont"/>
    <w:rsid w:val="00D50941"/>
  </w:style>
  <w:style w:type="character" w:styleId="FollowedHyperlink">
    <w:name w:val="FollowedHyperlink"/>
    <w:basedOn w:val="DefaultParagraphFont"/>
    <w:uiPriority w:val="99"/>
    <w:semiHidden/>
    <w:unhideWhenUsed/>
    <w:rsid w:val="00D50941"/>
    <w:rPr>
      <w:color w:val="800080" w:themeColor="followedHyperlink"/>
      <w:u w:val="single"/>
    </w:rPr>
  </w:style>
  <w:style w:type="paragraph" w:styleId="FootnoteText">
    <w:name w:val="footnote text"/>
    <w:basedOn w:val="Normal"/>
    <w:link w:val="FootnoteTextChar"/>
    <w:uiPriority w:val="99"/>
    <w:unhideWhenUsed/>
    <w:rsid w:val="00DD0D51"/>
    <w:rPr>
      <w:sz w:val="20"/>
      <w:szCs w:val="20"/>
    </w:rPr>
  </w:style>
  <w:style w:type="character" w:customStyle="1" w:styleId="FootnoteTextChar">
    <w:name w:val="Footnote Text Char"/>
    <w:basedOn w:val="DefaultParagraphFont"/>
    <w:link w:val="FootnoteText"/>
    <w:uiPriority w:val="99"/>
    <w:rsid w:val="00DD0D51"/>
    <w:rPr>
      <w:sz w:val="20"/>
      <w:szCs w:val="20"/>
    </w:rPr>
  </w:style>
  <w:style w:type="character" w:styleId="FootnoteReference">
    <w:name w:val="footnote reference"/>
    <w:basedOn w:val="DefaultParagraphFont"/>
    <w:uiPriority w:val="99"/>
    <w:semiHidden/>
    <w:unhideWhenUsed/>
    <w:rsid w:val="00DD0D51"/>
    <w:rPr>
      <w:vertAlign w:val="superscript"/>
    </w:rPr>
  </w:style>
  <w:style w:type="paragraph" w:styleId="EndnoteText">
    <w:name w:val="endnote text"/>
    <w:basedOn w:val="Normal"/>
    <w:link w:val="EndnoteTextChar"/>
    <w:unhideWhenUsed/>
    <w:rsid w:val="009921A9"/>
    <w:rPr>
      <w:sz w:val="20"/>
      <w:szCs w:val="20"/>
    </w:rPr>
  </w:style>
  <w:style w:type="character" w:customStyle="1" w:styleId="EndnoteTextChar">
    <w:name w:val="Endnote Text Char"/>
    <w:basedOn w:val="DefaultParagraphFont"/>
    <w:link w:val="EndnoteText"/>
    <w:uiPriority w:val="99"/>
    <w:rsid w:val="009921A9"/>
    <w:rPr>
      <w:sz w:val="20"/>
      <w:szCs w:val="20"/>
    </w:rPr>
  </w:style>
  <w:style w:type="character" w:styleId="EndnoteReference">
    <w:name w:val="endnote reference"/>
    <w:basedOn w:val="DefaultParagraphFont"/>
    <w:semiHidden/>
    <w:unhideWhenUsed/>
    <w:rsid w:val="009921A9"/>
    <w:rPr>
      <w:vertAlign w:val="superscript"/>
    </w:rPr>
  </w:style>
  <w:style w:type="character" w:customStyle="1" w:styleId="cmti-10">
    <w:name w:val="cmti-10"/>
    <w:basedOn w:val="DefaultParagraphFont"/>
    <w:rsid w:val="00C05EA2"/>
  </w:style>
  <w:style w:type="table" w:styleId="TableGrid">
    <w:name w:val="Table Grid"/>
    <w:basedOn w:val="TableNormal"/>
    <w:uiPriority w:val="59"/>
    <w:rsid w:val="007554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765F14"/>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unhideWhenUsed/>
    <w:rsid w:val="00BC6F01"/>
    <w:pPr>
      <w:spacing w:before="100" w:beforeAutospacing="1" w:after="100" w:afterAutospacing="1"/>
      <w:ind w:left="0" w:firstLine="0"/>
    </w:pPr>
    <w:rPr>
      <w:rFonts w:eastAsia="Times New Roman" w:cs="Times New Roman"/>
      <w:szCs w:val="24"/>
    </w:rPr>
  </w:style>
  <w:style w:type="character" w:customStyle="1" w:styleId="pub-title">
    <w:name w:val="pub-title"/>
    <w:basedOn w:val="DefaultParagraphFont"/>
    <w:rsid w:val="00423FF6"/>
  </w:style>
  <w:style w:type="character" w:customStyle="1" w:styleId="cit-title">
    <w:name w:val="cit-title"/>
    <w:basedOn w:val="DefaultParagraphFont"/>
    <w:rsid w:val="005329F5"/>
  </w:style>
  <w:style w:type="character" w:customStyle="1" w:styleId="cit-print-date">
    <w:name w:val="cit-print-date"/>
    <w:basedOn w:val="DefaultParagraphFont"/>
    <w:rsid w:val="005329F5"/>
  </w:style>
  <w:style w:type="character" w:customStyle="1" w:styleId="cit-sep">
    <w:name w:val="cit-sep"/>
    <w:basedOn w:val="DefaultParagraphFont"/>
    <w:rsid w:val="005329F5"/>
  </w:style>
  <w:style w:type="character" w:customStyle="1" w:styleId="cit-first-page">
    <w:name w:val="cit-first-page"/>
    <w:basedOn w:val="DefaultParagraphFont"/>
    <w:rsid w:val="005329F5"/>
  </w:style>
  <w:style w:type="character" w:customStyle="1" w:styleId="cit-last-page">
    <w:name w:val="cit-last-page"/>
    <w:basedOn w:val="DefaultParagraphFont"/>
    <w:rsid w:val="005329F5"/>
  </w:style>
  <w:style w:type="character" w:customStyle="1" w:styleId="Heading1Char">
    <w:name w:val="Heading 1 Char"/>
    <w:basedOn w:val="DefaultParagraphFont"/>
    <w:link w:val="Heading1"/>
    <w:uiPriority w:val="9"/>
    <w:rsid w:val="001E428B"/>
    <w:rPr>
      <w:rFonts w:eastAsia="Times New Roman" w:cs="Times New Roman"/>
      <w:b/>
      <w:bCs/>
      <w:kern w:val="36"/>
      <w:sz w:val="48"/>
      <w:szCs w:val="48"/>
    </w:rPr>
  </w:style>
  <w:style w:type="character" w:customStyle="1" w:styleId="maintitle">
    <w:name w:val="maintitle"/>
    <w:basedOn w:val="DefaultParagraphFont"/>
    <w:rsid w:val="001E428B"/>
  </w:style>
  <w:style w:type="character" w:customStyle="1" w:styleId="highlight">
    <w:name w:val="highlight"/>
    <w:basedOn w:val="DefaultParagraphFont"/>
    <w:rsid w:val="006B39BC"/>
  </w:style>
  <w:style w:type="paragraph" w:customStyle="1" w:styleId="opiniontext">
    <w:name w:val="opinion_text"/>
    <w:basedOn w:val="Normal"/>
    <w:rsid w:val="006B39BC"/>
    <w:pPr>
      <w:spacing w:before="100" w:beforeAutospacing="1" w:after="100" w:afterAutospacing="1"/>
      <w:ind w:left="0" w:firstLine="0"/>
    </w:pPr>
    <w:rPr>
      <w:rFonts w:eastAsia="Times New Roman" w:cs="Times New Roman"/>
      <w:szCs w:val="24"/>
    </w:rPr>
  </w:style>
  <w:style w:type="character" w:customStyle="1" w:styleId="pageno">
    <w:name w:val="page_no"/>
    <w:basedOn w:val="DefaultParagraphFont"/>
    <w:rsid w:val="006B39BC"/>
  </w:style>
  <w:style w:type="character" w:customStyle="1" w:styleId="text">
    <w:name w:val="text"/>
    <w:basedOn w:val="DefaultParagraphFont"/>
    <w:rsid w:val="00145FB1"/>
  </w:style>
  <w:style w:type="paragraph" w:styleId="TOCHeading">
    <w:name w:val="TOC Heading"/>
    <w:basedOn w:val="Heading1"/>
    <w:next w:val="Normal"/>
    <w:uiPriority w:val="39"/>
    <w:semiHidden/>
    <w:unhideWhenUsed/>
    <w:qFormat/>
    <w:rsid w:val="00301AFD"/>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qFormat/>
    <w:rsid w:val="00301AFD"/>
    <w:pPr>
      <w:spacing w:after="100"/>
      <w:ind w:left="0"/>
    </w:pPr>
  </w:style>
  <w:style w:type="character" w:customStyle="1" w:styleId="Heading2Char">
    <w:name w:val="Heading 2 Char"/>
    <w:basedOn w:val="DefaultParagraphFont"/>
    <w:link w:val="Heading2"/>
    <w:uiPriority w:val="9"/>
    <w:semiHidden/>
    <w:rsid w:val="0072548A"/>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qFormat/>
    <w:rsid w:val="0072548A"/>
    <w:pPr>
      <w:spacing w:after="100" w:line="276" w:lineRule="auto"/>
      <w:ind w:left="220" w:firstLine="0"/>
    </w:pPr>
    <w:rPr>
      <w:rFonts w:asciiTheme="minorHAnsi" w:eastAsiaTheme="minorEastAsia" w:hAnsiTheme="minorHAnsi"/>
      <w:sz w:val="22"/>
      <w:lang w:eastAsia="ja-JP"/>
    </w:rPr>
  </w:style>
  <w:style w:type="paragraph" w:styleId="TOC3">
    <w:name w:val="toc 3"/>
    <w:basedOn w:val="Normal"/>
    <w:next w:val="Normal"/>
    <w:autoRedefine/>
    <w:uiPriority w:val="39"/>
    <w:unhideWhenUsed/>
    <w:qFormat/>
    <w:rsid w:val="0072548A"/>
    <w:pPr>
      <w:spacing w:after="100" w:line="276" w:lineRule="auto"/>
      <w:ind w:left="440" w:firstLine="0"/>
    </w:pPr>
    <w:rPr>
      <w:rFonts w:asciiTheme="minorHAnsi" w:eastAsiaTheme="minorEastAsia" w:hAnsiTheme="minorHAnsi"/>
      <w:sz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9381">
      <w:bodyDiv w:val="1"/>
      <w:marLeft w:val="0"/>
      <w:marRight w:val="0"/>
      <w:marTop w:val="0"/>
      <w:marBottom w:val="0"/>
      <w:divBdr>
        <w:top w:val="none" w:sz="0" w:space="0" w:color="auto"/>
        <w:left w:val="none" w:sz="0" w:space="0" w:color="auto"/>
        <w:bottom w:val="none" w:sz="0" w:space="0" w:color="auto"/>
        <w:right w:val="none" w:sz="0" w:space="0" w:color="auto"/>
      </w:divBdr>
    </w:div>
    <w:div w:id="26033637">
      <w:bodyDiv w:val="1"/>
      <w:marLeft w:val="0"/>
      <w:marRight w:val="0"/>
      <w:marTop w:val="0"/>
      <w:marBottom w:val="0"/>
      <w:divBdr>
        <w:top w:val="none" w:sz="0" w:space="0" w:color="auto"/>
        <w:left w:val="none" w:sz="0" w:space="0" w:color="auto"/>
        <w:bottom w:val="none" w:sz="0" w:space="0" w:color="auto"/>
        <w:right w:val="none" w:sz="0" w:space="0" w:color="auto"/>
      </w:divBdr>
      <w:divsChild>
        <w:div w:id="1021391642">
          <w:marLeft w:val="0"/>
          <w:marRight w:val="0"/>
          <w:marTop w:val="0"/>
          <w:marBottom w:val="0"/>
          <w:divBdr>
            <w:top w:val="none" w:sz="0" w:space="0" w:color="auto"/>
            <w:left w:val="none" w:sz="0" w:space="0" w:color="auto"/>
            <w:bottom w:val="none" w:sz="0" w:space="0" w:color="auto"/>
            <w:right w:val="none" w:sz="0" w:space="0" w:color="auto"/>
          </w:divBdr>
        </w:div>
      </w:divsChild>
    </w:div>
    <w:div w:id="51777468">
      <w:bodyDiv w:val="1"/>
      <w:marLeft w:val="0"/>
      <w:marRight w:val="0"/>
      <w:marTop w:val="0"/>
      <w:marBottom w:val="0"/>
      <w:divBdr>
        <w:top w:val="none" w:sz="0" w:space="0" w:color="auto"/>
        <w:left w:val="none" w:sz="0" w:space="0" w:color="auto"/>
        <w:bottom w:val="none" w:sz="0" w:space="0" w:color="auto"/>
        <w:right w:val="none" w:sz="0" w:space="0" w:color="auto"/>
      </w:divBdr>
    </w:div>
    <w:div w:id="63457286">
      <w:bodyDiv w:val="1"/>
      <w:marLeft w:val="0"/>
      <w:marRight w:val="0"/>
      <w:marTop w:val="0"/>
      <w:marBottom w:val="0"/>
      <w:divBdr>
        <w:top w:val="none" w:sz="0" w:space="0" w:color="auto"/>
        <w:left w:val="none" w:sz="0" w:space="0" w:color="auto"/>
        <w:bottom w:val="none" w:sz="0" w:space="0" w:color="auto"/>
        <w:right w:val="none" w:sz="0" w:space="0" w:color="auto"/>
      </w:divBdr>
    </w:div>
    <w:div w:id="103696880">
      <w:bodyDiv w:val="1"/>
      <w:marLeft w:val="0"/>
      <w:marRight w:val="0"/>
      <w:marTop w:val="0"/>
      <w:marBottom w:val="0"/>
      <w:divBdr>
        <w:top w:val="none" w:sz="0" w:space="0" w:color="auto"/>
        <w:left w:val="none" w:sz="0" w:space="0" w:color="auto"/>
        <w:bottom w:val="none" w:sz="0" w:space="0" w:color="auto"/>
        <w:right w:val="none" w:sz="0" w:space="0" w:color="auto"/>
      </w:divBdr>
    </w:div>
    <w:div w:id="132408925">
      <w:bodyDiv w:val="1"/>
      <w:marLeft w:val="0"/>
      <w:marRight w:val="0"/>
      <w:marTop w:val="0"/>
      <w:marBottom w:val="0"/>
      <w:divBdr>
        <w:top w:val="none" w:sz="0" w:space="0" w:color="auto"/>
        <w:left w:val="none" w:sz="0" w:space="0" w:color="auto"/>
        <w:bottom w:val="none" w:sz="0" w:space="0" w:color="auto"/>
        <w:right w:val="none" w:sz="0" w:space="0" w:color="auto"/>
      </w:divBdr>
    </w:div>
    <w:div w:id="137579732">
      <w:bodyDiv w:val="1"/>
      <w:marLeft w:val="0"/>
      <w:marRight w:val="0"/>
      <w:marTop w:val="0"/>
      <w:marBottom w:val="0"/>
      <w:divBdr>
        <w:top w:val="none" w:sz="0" w:space="0" w:color="auto"/>
        <w:left w:val="none" w:sz="0" w:space="0" w:color="auto"/>
        <w:bottom w:val="none" w:sz="0" w:space="0" w:color="auto"/>
        <w:right w:val="none" w:sz="0" w:space="0" w:color="auto"/>
      </w:divBdr>
    </w:div>
    <w:div w:id="166748173">
      <w:bodyDiv w:val="1"/>
      <w:marLeft w:val="0"/>
      <w:marRight w:val="0"/>
      <w:marTop w:val="0"/>
      <w:marBottom w:val="0"/>
      <w:divBdr>
        <w:top w:val="none" w:sz="0" w:space="0" w:color="auto"/>
        <w:left w:val="none" w:sz="0" w:space="0" w:color="auto"/>
        <w:bottom w:val="none" w:sz="0" w:space="0" w:color="auto"/>
        <w:right w:val="none" w:sz="0" w:space="0" w:color="auto"/>
      </w:divBdr>
    </w:div>
    <w:div w:id="167334512">
      <w:bodyDiv w:val="1"/>
      <w:marLeft w:val="0"/>
      <w:marRight w:val="0"/>
      <w:marTop w:val="0"/>
      <w:marBottom w:val="0"/>
      <w:divBdr>
        <w:top w:val="none" w:sz="0" w:space="0" w:color="auto"/>
        <w:left w:val="none" w:sz="0" w:space="0" w:color="auto"/>
        <w:bottom w:val="none" w:sz="0" w:space="0" w:color="auto"/>
        <w:right w:val="none" w:sz="0" w:space="0" w:color="auto"/>
      </w:divBdr>
    </w:div>
    <w:div w:id="204417097">
      <w:bodyDiv w:val="1"/>
      <w:marLeft w:val="0"/>
      <w:marRight w:val="0"/>
      <w:marTop w:val="0"/>
      <w:marBottom w:val="0"/>
      <w:divBdr>
        <w:top w:val="none" w:sz="0" w:space="0" w:color="auto"/>
        <w:left w:val="none" w:sz="0" w:space="0" w:color="auto"/>
        <w:bottom w:val="none" w:sz="0" w:space="0" w:color="auto"/>
        <w:right w:val="none" w:sz="0" w:space="0" w:color="auto"/>
      </w:divBdr>
      <w:divsChild>
        <w:div w:id="96145833">
          <w:marLeft w:val="0"/>
          <w:marRight w:val="0"/>
          <w:marTop w:val="0"/>
          <w:marBottom w:val="0"/>
          <w:divBdr>
            <w:top w:val="none" w:sz="0" w:space="0" w:color="auto"/>
            <w:left w:val="none" w:sz="0" w:space="0" w:color="auto"/>
            <w:bottom w:val="none" w:sz="0" w:space="0" w:color="auto"/>
            <w:right w:val="none" w:sz="0" w:space="0" w:color="auto"/>
          </w:divBdr>
        </w:div>
        <w:div w:id="510992838">
          <w:marLeft w:val="0"/>
          <w:marRight w:val="0"/>
          <w:marTop w:val="0"/>
          <w:marBottom w:val="0"/>
          <w:divBdr>
            <w:top w:val="none" w:sz="0" w:space="0" w:color="auto"/>
            <w:left w:val="none" w:sz="0" w:space="0" w:color="auto"/>
            <w:bottom w:val="none" w:sz="0" w:space="0" w:color="auto"/>
            <w:right w:val="none" w:sz="0" w:space="0" w:color="auto"/>
          </w:divBdr>
        </w:div>
        <w:div w:id="919024404">
          <w:marLeft w:val="0"/>
          <w:marRight w:val="0"/>
          <w:marTop w:val="0"/>
          <w:marBottom w:val="0"/>
          <w:divBdr>
            <w:top w:val="none" w:sz="0" w:space="0" w:color="auto"/>
            <w:left w:val="none" w:sz="0" w:space="0" w:color="auto"/>
            <w:bottom w:val="none" w:sz="0" w:space="0" w:color="auto"/>
            <w:right w:val="none" w:sz="0" w:space="0" w:color="auto"/>
          </w:divBdr>
        </w:div>
        <w:div w:id="761222854">
          <w:marLeft w:val="0"/>
          <w:marRight w:val="0"/>
          <w:marTop w:val="0"/>
          <w:marBottom w:val="0"/>
          <w:divBdr>
            <w:top w:val="none" w:sz="0" w:space="0" w:color="auto"/>
            <w:left w:val="none" w:sz="0" w:space="0" w:color="auto"/>
            <w:bottom w:val="none" w:sz="0" w:space="0" w:color="auto"/>
            <w:right w:val="none" w:sz="0" w:space="0" w:color="auto"/>
          </w:divBdr>
        </w:div>
        <w:div w:id="2132629359">
          <w:marLeft w:val="0"/>
          <w:marRight w:val="0"/>
          <w:marTop w:val="0"/>
          <w:marBottom w:val="0"/>
          <w:divBdr>
            <w:top w:val="none" w:sz="0" w:space="0" w:color="auto"/>
            <w:left w:val="none" w:sz="0" w:space="0" w:color="auto"/>
            <w:bottom w:val="none" w:sz="0" w:space="0" w:color="auto"/>
            <w:right w:val="none" w:sz="0" w:space="0" w:color="auto"/>
          </w:divBdr>
        </w:div>
        <w:div w:id="1653365837">
          <w:marLeft w:val="0"/>
          <w:marRight w:val="0"/>
          <w:marTop w:val="0"/>
          <w:marBottom w:val="0"/>
          <w:divBdr>
            <w:top w:val="none" w:sz="0" w:space="0" w:color="auto"/>
            <w:left w:val="none" w:sz="0" w:space="0" w:color="auto"/>
            <w:bottom w:val="none" w:sz="0" w:space="0" w:color="auto"/>
            <w:right w:val="none" w:sz="0" w:space="0" w:color="auto"/>
          </w:divBdr>
        </w:div>
      </w:divsChild>
    </w:div>
    <w:div w:id="242378832">
      <w:bodyDiv w:val="1"/>
      <w:marLeft w:val="0"/>
      <w:marRight w:val="0"/>
      <w:marTop w:val="0"/>
      <w:marBottom w:val="0"/>
      <w:divBdr>
        <w:top w:val="none" w:sz="0" w:space="0" w:color="auto"/>
        <w:left w:val="none" w:sz="0" w:space="0" w:color="auto"/>
        <w:bottom w:val="none" w:sz="0" w:space="0" w:color="auto"/>
        <w:right w:val="none" w:sz="0" w:space="0" w:color="auto"/>
      </w:divBdr>
    </w:div>
    <w:div w:id="282854832">
      <w:bodyDiv w:val="1"/>
      <w:marLeft w:val="0"/>
      <w:marRight w:val="0"/>
      <w:marTop w:val="0"/>
      <w:marBottom w:val="0"/>
      <w:divBdr>
        <w:top w:val="none" w:sz="0" w:space="0" w:color="auto"/>
        <w:left w:val="none" w:sz="0" w:space="0" w:color="auto"/>
        <w:bottom w:val="none" w:sz="0" w:space="0" w:color="auto"/>
        <w:right w:val="none" w:sz="0" w:space="0" w:color="auto"/>
      </w:divBdr>
    </w:div>
    <w:div w:id="316033809">
      <w:bodyDiv w:val="1"/>
      <w:marLeft w:val="0"/>
      <w:marRight w:val="0"/>
      <w:marTop w:val="0"/>
      <w:marBottom w:val="0"/>
      <w:divBdr>
        <w:top w:val="none" w:sz="0" w:space="0" w:color="auto"/>
        <w:left w:val="none" w:sz="0" w:space="0" w:color="auto"/>
        <w:bottom w:val="none" w:sz="0" w:space="0" w:color="auto"/>
        <w:right w:val="none" w:sz="0" w:space="0" w:color="auto"/>
      </w:divBdr>
    </w:div>
    <w:div w:id="333144849">
      <w:bodyDiv w:val="1"/>
      <w:marLeft w:val="0"/>
      <w:marRight w:val="0"/>
      <w:marTop w:val="0"/>
      <w:marBottom w:val="0"/>
      <w:divBdr>
        <w:top w:val="none" w:sz="0" w:space="0" w:color="auto"/>
        <w:left w:val="none" w:sz="0" w:space="0" w:color="auto"/>
        <w:bottom w:val="none" w:sz="0" w:space="0" w:color="auto"/>
        <w:right w:val="none" w:sz="0" w:space="0" w:color="auto"/>
      </w:divBdr>
    </w:div>
    <w:div w:id="380594388">
      <w:bodyDiv w:val="1"/>
      <w:marLeft w:val="0"/>
      <w:marRight w:val="0"/>
      <w:marTop w:val="0"/>
      <w:marBottom w:val="0"/>
      <w:divBdr>
        <w:top w:val="none" w:sz="0" w:space="0" w:color="auto"/>
        <w:left w:val="none" w:sz="0" w:space="0" w:color="auto"/>
        <w:bottom w:val="none" w:sz="0" w:space="0" w:color="auto"/>
        <w:right w:val="none" w:sz="0" w:space="0" w:color="auto"/>
      </w:divBdr>
      <w:divsChild>
        <w:div w:id="2024548022">
          <w:marLeft w:val="0"/>
          <w:marRight w:val="0"/>
          <w:marTop w:val="0"/>
          <w:marBottom w:val="0"/>
          <w:divBdr>
            <w:top w:val="none" w:sz="0" w:space="0" w:color="auto"/>
            <w:left w:val="none" w:sz="0" w:space="0" w:color="auto"/>
            <w:bottom w:val="none" w:sz="0" w:space="0" w:color="auto"/>
            <w:right w:val="none" w:sz="0" w:space="0" w:color="auto"/>
          </w:divBdr>
          <w:divsChild>
            <w:div w:id="659231812">
              <w:marLeft w:val="0"/>
              <w:marRight w:val="0"/>
              <w:marTop w:val="0"/>
              <w:marBottom w:val="0"/>
              <w:divBdr>
                <w:top w:val="none" w:sz="0" w:space="0" w:color="auto"/>
                <w:left w:val="none" w:sz="0" w:space="0" w:color="auto"/>
                <w:bottom w:val="none" w:sz="0" w:space="0" w:color="auto"/>
                <w:right w:val="none" w:sz="0" w:space="0" w:color="auto"/>
              </w:divBdr>
              <w:divsChild>
                <w:div w:id="1695036505">
                  <w:marLeft w:val="0"/>
                  <w:marRight w:val="0"/>
                  <w:marTop w:val="0"/>
                  <w:marBottom w:val="0"/>
                  <w:divBdr>
                    <w:top w:val="none" w:sz="0" w:space="0" w:color="auto"/>
                    <w:left w:val="none" w:sz="0" w:space="0" w:color="auto"/>
                    <w:bottom w:val="none" w:sz="0" w:space="0" w:color="auto"/>
                    <w:right w:val="none" w:sz="0" w:space="0" w:color="auto"/>
                  </w:divBdr>
                  <w:divsChild>
                    <w:div w:id="1458648611">
                      <w:marLeft w:val="0"/>
                      <w:marRight w:val="0"/>
                      <w:marTop w:val="0"/>
                      <w:marBottom w:val="0"/>
                      <w:divBdr>
                        <w:top w:val="none" w:sz="0" w:space="0" w:color="auto"/>
                        <w:left w:val="none" w:sz="0" w:space="0" w:color="auto"/>
                        <w:bottom w:val="none" w:sz="0" w:space="0" w:color="auto"/>
                        <w:right w:val="none" w:sz="0" w:space="0" w:color="auto"/>
                      </w:divBdr>
                      <w:divsChild>
                        <w:div w:id="14512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534181">
                  <w:marLeft w:val="0"/>
                  <w:marRight w:val="0"/>
                  <w:marTop w:val="0"/>
                  <w:marBottom w:val="0"/>
                  <w:divBdr>
                    <w:top w:val="none" w:sz="0" w:space="0" w:color="auto"/>
                    <w:left w:val="none" w:sz="0" w:space="0" w:color="auto"/>
                    <w:bottom w:val="none" w:sz="0" w:space="0" w:color="auto"/>
                    <w:right w:val="none" w:sz="0" w:space="0" w:color="auto"/>
                  </w:divBdr>
                  <w:divsChild>
                    <w:div w:id="1330330627">
                      <w:marLeft w:val="0"/>
                      <w:marRight w:val="0"/>
                      <w:marTop w:val="0"/>
                      <w:marBottom w:val="0"/>
                      <w:divBdr>
                        <w:top w:val="none" w:sz="0" w:space="0" w:color="auto"/>
                        <w:left w:val="none" w:sz="0" w:space="0" w:color="auto"/>
                        <w:bottom w:val="none" w:sz="0" w:space="0" w:color="auto"/>
                        <w:right w:val="none" w:sz="0" w:space="0" w:color="auto"/>
                      </w:divBdr>
                      <w:divsChild>
                        <w:div w:id="140629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46450">
                  <w:marLeft w:val="0"/>
                  <w:marRight w:val="0"/>
                  <w:marTop w:val="0"/>
                  <w:marBottom w:val="0"/>
                  <w:divBdr>
                    <w:top w:val="none" w:sz="0" w:space="0" w:color="auto"/>
                    <w:left w:val="none" w:sz="0" w:space="0" w:color="auto"/>
                    <w:bottom w:val="none" w:sz="0" w:space="0" w:color="auto"/>
                    <w:right w:val="none" w:sz="0" w:space="0" w:color="auto"/>
                  </w:divBdr>
                  <w:divsChild>
                    <w:div w:id="1909419473">
                      <w:marLeft w:val="0"/>
                      <w:marRight w:val="0"/>
                      <w:marTop w:val="0"/>
                      <w:marBottom w:val="0"/>
                      <w:divBdr>
                        <w:top w:val="none" w:sz="0" w:space="0" w:color="auto"/>
                        <w:left w:val="none" w:sz="0" w:space="0" w:color="auto"/>
                        <w:bottom w:val="none" w:sz="0" w:space="0" w:color="auto"/>
                        <w:right w:val="none" w:sz="0" w:space="0" w:color="auto"/>
                      </w:divBdr>
                      <w:divsChild>
                        <w:div w:id="24002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157624">
                  <w:marLeft w:val="0"/>
                  <w:marRight w:val="0"/>
                  <w:marTop w:val="0"/>
                  <w:marBottom w:val="0"/>
                  <w:divBdr>
                    <w:top w:val="none" w:sz="0" w:space="0" w:color="auto"/>
                    <w:left w:val="none" w:sz="0" w:space="0" w:color="auto"/>
                    <w:bottom w:val="none" w:sz="0" w:space="0" w:color="auto"/>
                    <w:right w:val="none" w:sz="0" w:space="0" w:color="auto"/>
                  </w:divBdr>
                  <w:divsChild>
                    <w:div w:id="1178348336">
                      <w:marLeft w:val="0"/>
                      <w:marRight w:val="0"/>
                      <w:marTop w:val="0"/>
                      <w:marBottom w:val="0"/>
                      <w:divBdr>
                        <w:top w:val="none" w:sz="0" w:space="0" w:color="auto"/>
                        <w:left w:val="none" w:sz="0" w:space="0" w:color="auto"/>
                        <w:bottom w:val="none" w:sz="0" w:space="0" w:color="auto"/>
                        <w:right w:val="none" w:sz="0" w:space="0" w:color="auto"/>
                      </w:divBdr>
                      <w:divsChild>
                        <w:div w:id="146153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732953">
                  <w:marLeft w:val="0"/>
                  <w:marRight w:val="0"/>
                  <w:marTop w:val="0"/>
                  <w:marBottom w:val="0"/>
                  <w:divBdr>
                    <w:top w:val="none" w:sz="0" w:space="0" w:color="auto"/>
                    <w:left w:val="none" w:sz="0" w:space="0" w:color="auto"/>
                    <w:bottom w:val="none" w:sz="0" w:space="0" w:color="auto"/>
                    <w:right w:val="none" w:sz="0" w:space="0" w:color="auto"/>
                  </w:divBdr>
                  <w:divsChild>
                    <w:div w:id="408621374">
                      <w:marLeft w:val="0"/>
                      <w:marRight w:val="0"/>
                      <w:marTop w:val="0"/>
                      <w:marBottom w:val="0"/>
                      <w:divBdr>
                        <w:top w:val="none" w:sz="0" w:space="0" w:color="auto"/>
                        <w:left w:val="none" w:sz="0" w:space="0" w:color="auto"/>
                        <w:bottom w:val="none" w:sz="0" w:space="0" w:color="auto"/>
                        <w:right w:val="none" w:sz="0" w:space="0" w:color="auto"/>
                      </w:divBdr>
                      <w:divsChild>
                        <w:div w:id="37974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1558484">
      <w:bodyDiv w:val="1"/>
      <w:marLeft w:val="0"/>
      <w:marRight w:val="0"/>
      <w:marTop w:val="0"/>
      <w:marBottom w:val="0"/>
      <w:divBdr>
        <w:top w:val="none" w:sz="0" w:space="0" w:color="auto"/>
        <w:left w:val="none" w:sz="0" w:space="0" w:color="auto"/>
        <w:bottom w:val="none" w:sz="0" w:space="0" w:color="auto"/>
        <w:right w:val="none" w:sz="0" w:space="0" w:color="auto"/>
      </w:divBdr>
      <w:divsChild>
        <w:div w:id="753890656">
          <w:marLeft w:val="0"/>
          <w:marRight w:val="0"/>
          <w:marTop w:val="0"/>
          <w:marBottom w:val="0"/>
          <w:divBdr>
            <w:top w:val="none" w:sz="0" w:space="0" w:color="auto"/>
            <w:left w:val="none" w:sz="0" w:space="0" w:color="auto"/>
            <w:bottom w:val="none" w:sz="0" w:space="0" w:color="auto"/>
            <w:right w:val="none" w:sz="0" w:space="0" w:color="auto"/>
          </w:divBdr>
        </w:div>
      </w:divsChild>
    </w:div>
    <w:div w:id="437024738">
      <w:bodyDiv w:val="1"/>
      <w:marLeft w:val="0"/>
      <w:marRight w:val="0"/>
      <w:marTop w:val="0"/>
      <w:marBottom w:val="0"/>
      <w:divBdr>
        <w:top w:val="none" w:sz="0" w:space="0" w:color="auto"/>
        <w:left w:val="none" w:sz="0" w:space="0" w:color="auto"/>
        <w:bottom w:val="none" w:sz="0" w:space="0" w:color="auto"/>
        <w:right w:val="none" w:sz="0" w:space="0" w:color="auto"/>
      </w:divBdr>
    </w:div>
    <w:div w:id="502817291">
      <w:bodyDiv w:val="1"/>
      <w:marLeft w:val="0"/>
      <w:marRight w:val="0"/>
      <w:marTop w:val="0"/>
      <w:marBottom w:val="0"/>
      <w:divBdr>
        <w:top w:val="none" w:sz="0" w:space="0" w:color="auto"/>
        <w:left w:val="none" w:sz="0" w:space="0" w:color="auto"/>
        <w:bottom w:val="none" w:sz="0" w:space="0" w:color="auto"/>
        <w:right w:val="none" w:sz="0" w:space="0" w:color="auto"/>
      </w:divBdr>
      <w:divsChild>
        <w:div w:id="1830903720">
          <w:marLeft w:val="0"/>
          <w:marRight w:val="0"/>
          <w:marTop w:val="0"/>
          <w:marBottom w:val="0"/>
          <w:divBdr>
            <w:top w:val="none" w:sz="0" w:space="0" w:color="auto"/>
            <w:left w:val="none" w:sz="0" w:space="0" w:color="auto"/>
            <w:bottom w:val="none" w:sz="0" w:space="0" w:color="auto"/>
            <w:right w:val="none" w:sz="0" w:space="0" w:color="auto"/>
          </w:divBdr>
        </w:div>
        <w:div w:id="1445810983">
          <w:marLeft w:val="0"/>
          <w:marRight w:val="0"/>
          <w:marTop w:val="0"/>
          <w:marBottom w:val="0"/>
          <w:divBdr>
            <w:top w:val="none" w:sz="0" w:space="0" w:color="auto"/>
            <w:left w:val="none" w:sz="0" w:space="0" w:color="auto"/>
            <w:bottom w:val="none" w:sz="0" w:space="0" w:color="auto"/>
            <w:right w:val="none" w:sz="0" w:space="0" w:color="auto"/>
          </w:divBdr>
        </w:div>
      </w:divsChild>
    </w:div>
    <w:div w:id="511264468">
      <w:bodyDiv w:val="1"/>
      <w:marLeft w:val="0"/>
      <w:marRight w:val="0"/>
      <w:marTop w:val="0"/>
      <w:marBottom w:val="0"/>
      <w:divBdr>
        <w:top w:val="none" w:sz="0" w:space="0" w:color="auto"/>
        <w:left w:val="none" w:sz="0" w:space="0" w:color="auto"/>
        <w:bottom w:val="none" w:sz="0" w:space="0" w:color="auto"/>
        <w:right w:val="none" w:sz="0" w:space="0" w:color="auto"/>
      </w:divBdr>
      <w:divsChild>
        <w:div w:id="942692906">
          <w:marLeft w:val="0"/>
          <w:marRight w:val="0"/>
          <w:marTop w:val="0"/>
          <w:marBottom w:val="0"/>
          <w:divBdr>
            <w:top w:val="none" w:sz="0" w:space="0" w:color="auto"/>
            <w:left w:val="none" w:sz="0" w:space="0" w:color="auto"/>
            <w:bottom w:val="none" w:sz="0" w:space="0" w:color="auto"/>
            <w:right w:val="none" w:sz="0" w:space="0" w:color="auto"/>
          </w:divBdr>
        </w:div>
      </w:divsChild>
    </w:div>
    <w:div w:id="522978265">
      <w:bodyDiv w:val="1"/>
      <w:marLeft w:val="0"/>
      <w:marRight w:val="0"/>
      <w:marTop w:val="0"/>
      <w:marBottom w:val="0"/>
      <w:divBdr>
        <w:top w:val="none" w:sz="0" w:space="0" w:color="auto"/>
        <w:left w:val="none" w:sz="0" w:space="0" w:color="auto"/>
        <w:bottom w:val="none" w:sz="0" w:space="0" w:color="auto"/>
        <w:right w:val="none" w:sz="0" w:space="0" w:color="auto"/>
      </w:divBdr>
    </w:div>
    <w:div w:id="577834196">
      <w:bodyDiv w:val="1"/>
      <w:marLeft w:val="0"/>
      <w:marRight w:val="0"/>
      <w:marTop w:val="0"/>
      <w:marBottom w:val="0"/>
      <w:divBdr>
        <w:top w:val="none" w:sz="0" w:space="0" w:color="auto"/>
        <w:left w:val="none" w:sz="0" w:space="0" w:color="auto"/>
        <w:bottom w:val="none" w:sz="0" w:space="0" w:color="auto"/>
        <w:right w:val="none" w:sz="0" w:space="0" w:color="auto"/>
      </w:divBdr>
    </w:div>
    <w:div w:id="616065957">
      <w:bodyDiv w:val="1"/>
      <w:marLeft w:val="0"/>
      <w:marRight w:val="0"/>
      <w:marTop w:val="0"/>
      <w:marBottom w:val="0"/>
      <w:divBdr>
        <w:top w:val="none" w:sz="0" w:space="0" w:color="auto"/>
        <w:left w:val="none" w:sz="0" w:space="0" w:color="auto"/>
        <w:bottom w:val="none" w:sz="0" w:space="0" w:color="auto"/>
        <w:right w:val="none" w:sz="0" w:space="0" w:color="auto"/>
      </w:divBdr>
    </w:div>
    <w:div w:id="636498820">
      <w:bodyDiv w:val="1"/>
      <w:marLeft w:val="0"/>
      <w:marRight w:val="0"/>
      <w:marTop w:val="0"/>
      <w:marBottom w:val="0"/>
      <w:divBdr>
        <w:top w:val="none" w:sz="0" w:space="0" w:color="auto"/>
        <w:left w:val="none" w:sz="0" w:space="0" w:color="auto"/>
        <w:bottom w:val="none" w:sz="0" w:space="0" w:color="auto"/>
        <w:right w:val="none" w:sz="0" w:space="0" w:color="auto"/>
      </w:divBdr>
    </w:div>
    <w:div w:id="647593550">
      <w:bodyDiv w:val="1"/>
      <w:marLeft w:val="0"/>
      <w:marRight w:val="0"/>
      <w:marTop w:val="0"/>
      <w:marBottom w:val="0"/>
      <w:divBdr>
        <w:top w:val="none" w:sz="0" w:space="0" w:color="auto"/>
        <w:left w:val="none" w:sz="0" w:space="0" w:color="auto"/>
        <w:bottom w:val="none" w:sz="0" w:space="0" w:color="auto"/>
        <w:right w:val="none" w:sz="0" w:space="0" w:color="auto"/>
      </w:divBdr>
    </w:div>
    <w:div w:id="693309168">
      <w:bodyDiv w:val="1"/>
      <w:marLeft w:val="0"/>
      <w:marRight w:val="0"/>
      <w:marTop w:val="0"/>
      <w:marBottom w:val="0"/>
      <w:divBdr>
        <w:top w:val="none" w:sz="0" w:space="0" w:color="auto"/>
        <w:left w:val="none" w:sz="0" w:space="0" w:color="auto"/>
        <w:bottom w:val="none" w:sz="0" w:space="0" w:color="auto"/>
        <w:right w:val="none" w:sz="0" w:space="0" w:color="auto"/>
      </w:divBdr>
    </w:div>
    <w:div w:id="727916989">
      <w:bodyDiv w:val="1"/>
      <w:marLeft w:val="0"/>
      <w:marRight w:val="0"/>
      <w:marTop w:val="0"/>
      <w:marBottom w:val="0"/>
      <w:divBdr>
        <w:top w:val="none" w:sz="0" w:space="0" w:color="auto"/>
        <w:left w:val="none" w:sz="0" w:space="0" w:color="auto"/>
        <w:bottom w:val="none" w:sz="0" w:space="0" w:color="auto"/>
        <w:right w:val="none" w:sz="0" w:space="0" w:color="auto"/>
      </w:divBdr>
      <w:divsChild>
        <w:div w:id="914701217">
          <w:marLeft w:val="0"/>
          <w:marRight w:val="0"/>
          <w:marTop w:val="0"/>
          <w:marBottom w:val="0"/>
          <w:divBdr>
            <w:top w:val="none" w:sz="0" w:space="0" w:color="auto"/>
            <w:left w:val="none" w:sz="0" w:space="0" w:color="auto"/>
            <w:bottom w:val="none" w:sz="0" w:space="0" w:color="auto"/>
            <w:right w:val="none" w:sz="0" w:space="0" w:color="auto"/>
          </w:divBdr>
        </w:div>
      </w:divsChild>
    </w:div>
    <w:div w:id="756171065">
      <w:bodyDiv w:val="1"/>
      <w:marLeft w:val="0"/>
      <w:marRight w:val="0"/>
      <w:marTop w:val="0"/>
      <w:marBottom w:val="0"/>
      <w:divBdr>
        <w:top w:val="none" w:sz="0" w:space="0" w:color="auto"/>
        <w:left w:val="none" w:sz="0" w:space="0" w:color="auto"/>
        <w:bottom w:val="none" w:sz="0" w:space="0" w:color="auto"/>
        <w:right w:val="none" w:sz="0" w:space="0" w:color="auto"/>
      </w:divBdr>
      <w:divsChild>
        <w:div w:id="595673265">
          <w:marLeft w:val="0"/>
          <w:marRight w:val="0"/>
          <w:marTop w:val="0"/>
          <w:marBottom w:val="0"/>
          <w:divBdr>
            <w:top w:val="none" w:sz="0" w:space="0" w:color="auto"/>
            <w:left w:val="none" w:sz="0" w:space="0" w:color="auto"/>
            <w:bottom w:val="none" w:sz="0" w:space="0" w:color="auto"/>
            <w:right w:val="none" w:sz="0" w:space="0" w:color="auto"/>
          </w:divBdr>
        </w:div>
        <w:div w:id="1920097694">
          <w:marLeft w:val="0"/>
          <w:marRight w:val="0"/>
          <w:marTop w:val="0"/>
          <w:marBottom w:val="0"/>
          <w:divBdr>
            <w:top w:val="none" w:sz="0" w:space="0" w:color="auto"/>
            <w:left w:val="none" w:sz="0" w:space="0" w:color="auto"/>
            <w:bottom w:val="none" w:sz="0" w:space="0" w:color="auto"/>
            <w:right w:val="none" w:sz="0" w:space="0" w:color="auto"/>
          </w:divBdr>
        </w:div>
        <w:div w:id="299920622">
          <w:marLeft w:val="0"/>
          <w:marRight w:val="0"/>
          <w:marTop w:val="0"/>
          <w:marBottom w:val="0"/>
          <w:divBdr>
            <w:top w:val="none" w:sz="0" w:space="0" w:color="auto"/>
            <w:left w:val="none" w:sz="0" w:space="0" w:color="auto"/>
            <w:bottom w:val="none" w:sz="0" w:space="0" w:color="auto"/>
            <w:right w:val="none" w:sz="0" w:space="0" w:color="auto"/>
          </w:divBdr>
        </w:div>
        <w:div w:id="412699729">
          <w:marLeft w:val="0"/>
          <w:marRight w:val="0"/>
          <w:marTop w:val="0"/>
          <w:marBottom w:val="0"/>
          <w:divBdr>
            <w:top w:val="none" w:sz="0" w:space="0" w:color="auto"/>
            <w:left w:val="none" w:sz="0" w:space="0" w:color="auto"/>
            <w:bottom w:val="none" w:sz="0" w:space="0" w:color="auto"/>
            <w:right w:val="none" w:sz="0" w:space="0" w:color="auto"/>
          </w:divBdr>
        </w:div>
        <w:div w:id="1649937808">
          <w:marLeft w:val="0"/>
          <w:marRight w:val="0"/>
          <w:marTop w:val="0"/>
          <w:marBottom w:val="0"/>
          <w:divBdr>
            <w:top w:val="none" w:sz="0" w:space="0" w:color="auto"/>
            <w:left w:val="none" w:sz="0" w:space="0" w:color="auto"/>
            <w:bottom w:val="none" w:sz="0" w:space="0" w:color="auto"/>
            <w:right w:val="none" w:sz="0" w:space="0" w:color="auto"/>
          </w:divBdr>
        </w:div>
        <w:div w:id="1435056071">
          <w:marLeft w:val="0"/>
          <w:marRight w:val="0"/>
          <w:marTop w:val="0"/>
          <w:marBottom w:val="0"/>
          <w:divBdr>
            <w:top w:val="none" w:sz="0" w:space="0" w:color="auto"/>
            <w:left w:val="none" w:sz="0" w:space="0" w:color="auto"/>
            <w:bottom w:val="none" w:sz="0" w:space="0" w:color="auto"/>
            <w:right w:val="none" w:sz="0" w:space="0" w:color="auto"/>
          </w:divBdr>
        </w:div>
        <w:div w:id="1877739406">
          <w:marLeft w:val="0"/>
          <w:marRight w:val="0"/>
          <w:marTop w:val="0"/>
          <w:marBottom w:val="0"/>
          <w:divBdr>
            <w:top w:val="none" w:sz="0" w:space="0" w:color="auto"/>
            <w:left w:val="none" w:sz="0" w:space="0" w:color="auto"/>
            <w:bottom w:val="none" w:sz="0" w:space="0" w:color="auto"/>
            <w:right w:val="none" w:sz="0" w:space="0" w:color="auto"/>
          </w:divBdr>
        </w:div>
        <w:div w:id="1754349503">
          <w:marLeft w:val="0"/>
          <w:marRight w:val="0"/>
          <w:marTop w:val="0"/>
          <w:marBottom w:val="0"/>
          <w:divBdr>
            <w:top w:val="none" w:sz="0" w:space="0" w:color="auto"/>
            <w:left w:val="none" w:sz="0" w:space="0" w:color="auto"/>
            <w:bottom w:val="none" w:sz="0" w:space="0" w:color="auto"/>
            <w:right w:val="none" w:sz="0" w:space="0" w:color="auto"/>
          </w:divBdr>
        </w:div>
        <w:div w:id="766849786">
          <w:marLeft w:val="0"/>
          <w:marRight w:val="0"/>
          <w:marTop w:val="0"/>
          <w:marBottom w:val="0"/>
          <w:divBdr>
            <w:top w:val="none" w:sz="0" w:space="0" w:color="auto"/>
            <w:left w:val="none" w:sz="0" w:space="0" w:color="auto"/>
            <w:bottom w:val="none" w:sz="0" w:space="0" w:color="auto"/>
            <w:right w:val="none" w:sz="0" w:space="0" w:color="auto"/>
          </w:divBdr>
        </w:div>
        <w:div w:id="1126660332">
          <w:marLeft w:val="0"/>
          <w:marRight w:val="0"/>
          <w:marTop w:val="0"/>
          <w:marBottom w:val="0"/>
          <w:divBdr>
            <w:top w:val="none" w:sz="0" w:space="0" w:color="auto"/>
            <w:left w:val="none" w:sz="0" w:space="0" w:color="auto"/>
            <w:bottom w:val="none" w:sz="0" w:space="0" w:color="auto"/>
            <w:right w:val="none" w:sz="0" w:space="0" w:color="auto"/>
          </w:divBdr>
        </w:div>
        <w:div w:id="768349889">
          <w:marLeft w:val="0"/>
          <w:marRight w:val="0"/>
          <w:marTop w:val="0"/>
          <w:marBottom w:val="0"/>
          <w:divBdr>
            <w:top w:val="none" w:sz="0" w:space="0" w:color="auto"/>
            <w:left w:val="none" w:sz="0" w:space="0" w:color="auto"/>
            <w:bottom w:val="none" w:sz="0" w:space="0" w:color="auto"/>
            <w:right w:val="none" w:sz="0" w:space="0" w:color="auto"/>
          </w:divBdr>
        </w:div>
        <w:div w:id="182718770">
          <w:marLeft w:val="0"/>
          <w:marRight w:val="0"/>
          <w:marTop w:val="0"/>
          <w:marBottom w:val="0"/>
          <w:divBdr>
            <w:top w:val="none" w:sz="0" w:space="0" w:color="auto"/>
            <w:left w:val="none" w:sz="0" w:space="0" w:color="auto"/>
            <w:bottom w:val="none" w:sz="0" w:space="0" w:color="auto"/>
            <w:right w:val="none" w:sz="0" w:space="0" w:color="auto"/>
          </w:divBdr>
        </w:div>
        <w:div w:id="1062093901">
          <w:marLeft w:val="0"/>
          <w:marRight w:val="0"/>
          <w:marTop w:val="0"/>
          <w:marBottom w:val="0"/>
          <w:divBdr>
            <w:top w:val="none" w:sz="0" w:space="0" w:color="auto"/>
            <w:left w:val="none" w:sz="0" w:space="0" w:color="auto"/>
            <w:bottom w:val="none" w:sz="0" w:space="0" w:color="auto"/>
            <w:right w:val="none" w:sz="0" w:space="0" w:color="auto"/>
          </w:divBdr>
        </w:div>
        <w:div w:id="1517766469">
          <w:marLeft w:val="0"/>
          <w:marRight w:val="0"/>
          <w:marTop w:val="0"/>
          <w:marBottom w:val="0"/>
          <w:divBdr>
            <w:top w:val="none" w:sz="0" w:space="0" w:color="auto"/>
            <w:left w:val="none" w:sz="0" w:space="0" w:color="auto"/>
            <w:bottom w:val="none" w:sz="0" w:space="0" w:color="auto"/>
            <w:right w:val="none" w:sz="0" w:space="0" w:color="auto"/>
          </w:divBdr>
        </w:div>
        <w:div w:id="981234498">
          <w:marLeft w:val="0"/>
          <w:marRight w:val="0"/>
          <w:marTop w:val="0"/>
          <w:marBottom w:val="0"/>
          <w:divBdr>
            <w:top w:val="none" w:sz="0" w:space="0" w:color="auto"/>
            <w:left w:val="none" w:sz="0" w:space="0" w:color="auto"/>
            <w:bottom w:val="none" w:sz="0" w:space="0" w:color="auto"/>
            <w:right w:val="none" w:sz="0" w:space="0" w:color="auto"/>
          </w:divBdr>
        </w:div>
        <w:div w:id="1398090146">
          <w:marLeft w:val="0"/>
          <w:marRight w:val="0"/>
          <w:marTop w:val="0"/>
          <w:marBottom w:val="0"/>
          <w:divBdr>
            <w:top w:val="none" w:sz="0" w:space="0" w:color="auto"/>
            <w:left w:val="none" w:sz="0" w:space="0" w:color="auto"/>
            <w:bottom w:val="none" w:sz="0" w:space="0" w:color="auto"/>
            <w:right w:val="none" w:sz="0" w:space="0" w:color="auto"/>
          </w:divBdr>
        </w:div>
      </w:divsChild>
    </w:div>
    <w:div w:id="767578961">
      <w:bodyDiv w:val="1"/>
      <w:marLeft w:val="0"/>
      <w:marRight w:val="0"/>
      <w:marTop w:val="0"/>
      <w:marBottom w:val="0"/>
      <w:divBdr>
        <w:top w:val="none" w:sz="0" w:space="0" w:color="auto"/>
        <w:left w:val="none" w:sz="0" w:space="0" w:color="auto"/>
        <w:bottom w:val="none" w:sz="0" w:space="0" w:color="auto"/>
        <w:right w:val="none" w:sz="0" w:space="0" w:color="auto"/>
      </w:divBdr>
    </w:div>
    <w:div w:id="793791012">
      <w:bodyDiv w:val="1"/>
      <w:marLeft w:val="0"/>
      <w:marRight w:val="0"/>
      <w:marTop w:val="0"/>
      <w:marBottom w:val="0"/>
      <w:divBdr>
        <w:top w:val="none" w:sz="0" w:space="0" w:color="auto"/>
        <w:left w:val="none" w:sz="0" w:space="0" w:color="auto"/>
        <w:bottom w:val="none" w:sz="0" w:space="0" w:color="auto"/>
        <w:right w:val="none" w:sz="0" w:space="0" w:color="auto"/>
      </w:divBdr>
      <w:divsChild>
        <w:div w:id="564265872">
          <w:marLeft w:val="0"/>
          <w:marRight w:val="0"/>
          <w:marTop w:val="0"/>
          <w:marBottom w:val="0"/>
          <w:divBdr>
            <w:top w:val="none" w:sz="0" w:space="0" w:color="auto"/>
            <w:left w:val="none" w:sz="0" w:space="0" w:color="auto"/>
            <w:bottom w:val="none" w:sz="0" w:space="0" w:color="auto"/>
            <w:right w:val="none" w:sz="0" w:space="0" w:color="auto"/>
          </w:divBdr>
        </w:div>
      </w:divsChild>
    </w:div>
    <w:div w:id="827095011">
      <w:bodyDiv w:val="1"/>
      <w:marLeft w:val="0"/>
      <w:marRight w:val="0"/>
      <w:marTop w:val="0"/>
      <w:marBottom w:val="0"/>
      <w:divBdr>
        <w:top w:val="none" w:sz="0" w:space="0" w:color="auto"/>
        <w:left w:val="none" w:sz="0" w:space="0" w:color="auto"/>
        <w:bottom w:val="none" w:sz="0" w:space="0" w:color="auto"/>
        <w:right w:val="none" w:sz="0" w:space="0" w:color="auto"/>
      </w:divBdr>
    </w:div>
    <w:div w:id="858855869">
      <w:bodyDiv w:val="1"/>
      <w:marLeft w:val="0"/>
      <w:marRight w:val="0"/>
      <w:marTop w:val="0"/>
      <w:marBottom w:val="0"/>
      <w:divBdr>
        <w:top w:val="none" w:sz="0" w:space="0" w:color="auto"/>
        <w:left w:val="none" w:sz="0" w:space="0" w:color="auto"/>
        <w:bottom w:val="none" w:sz="0" w:space="0" w:color="auto"/>
        <w:right w:val="none" w:sz="0" w:space="0" w:color="auto"/>
      </w:divBdr>
    </w:div>
    <w:div w:id="946353266">
      <w:bodyDiv w:val="1"/>
      <w:marLeft w:val="0"/>
      <w:marRight w:val="0"/>
      <w:marTop w:val="0"/>
      <w:marBottom w:val="0"/>
      <w:divBdr>
        <w:top w:val="none" w:sz="0" w:space="0" w:color="auto"/>
        <w:left w:val="none" w:sz="0" w:space="0" w:color="auto"/>
        <w:bottom w:val="none" w:sz="0" w:space="0" w:color="auto"/>
        <w:right w:val="none" w:sz="0" w:space="0" w:color="auto"/>
      </w:divBdr>
      <w:divsChild>
        <w:div w:id="1215389327">
          <w:marLeft w:val="0"/>
          <w:marRight w:val="0"/>
          <w:marTop w:val="0"/>
          <w:marBottom w:val="0"/>
          <w:divBdr>
            <w:top w:val="none" w:sz="0" w:space="0" w:color="auto"/>
            <w:left w:val="none" w:sz="0" w:space="0" w:color="auto"/>
            <w:bottom w:val="none" w:sz="0" w:space="0" w:color="auto"/>
            <w:right w:val="none" w:sz="0" w:space="0" w:color="auto"/>
          </w:divBdr>
        </w:div>
      </w:divsChild>
    </w:div>
    <w:div w:id="947199085">
      <w:bodyDiv w:val="1"/>
      <w:marLeft w:val="0"/>
      <w:marRight w:val="0"/>
      <w:marTop w:val="0"/>
      <w:marBottom w:val="0"/>
      <w:divBdr>
        <w:top w:val="none" w:sz="0" w:space="0" w:color="auto"/>
        <w:left w:val="none" w:sz="0" w:space="0" w:color="auto"/>
        <w:bottom w:val="none" w:sz="0" w:space="0" w:color="auto"/>
        <w:right w:val="none" w:sz="0" w:space="0" w:color="auto"/>
      </w:divBdr>
    </w:div>
    <w:div w:id="948270678">
      <w:bodyDiv w:val="1"/>
      <w:marLeft w:val="0"/>
      <w:marRight w:val="0"/>
      <w:marTop w:val="0"/>
      <w:marBottom w:val="0"/>
      <w:divBdr>
        <w:top w:val="none" w:sz="0" w:space="0" w:color="auto"/>
        <w:left w:val="none" w:sz="0" w:space="0" w:color="auto"/>
        <w:bottom w:val="none" w:sz="0" w:space="0" w:color="auto"/>
        <w:right w:val="none" w:sz="0" w:space="0" w:color="auto"/>
      </w:divBdr>
    </w:div>
    <w:div w:id="955217790">
      <w:bodyDiv w:val="1"/>
      <w:marLeft w:val="0"/>
      <w:marRight w:val="0"/>
      <w:marTop w:val="0"/>
      <w:marBottom w:val="0"/>
      <w:divBdr>
        <w:top w:val="none" w:sz="0" w:space="0" w:color="auto"/>
        <w:left w:val="none" w:sz="0" w:space="0" w:color="auto"/>
        <w:bottom w:val="none" w:sz="0" w:space="0" w:color="auto"/>
        <w:right w:val="none" w:sz="0" w:space="0" w:color="auto"/>
      </w:divBdr>
      <w:divsChild>
        <w:div w:id="1249778391">
          <w:marLeft w:val="0"/>
          <w:marRight w:val="0"/>
          <w:marTop w:val="0"/>
          <w:marBottom w:val="0"/>
          <w:divBdr>
            <w:top w:val="none" w:sz="0" w:space="0" w:color="auto"/>
            <w:left w:val="none" w:sz="0" w:space="0" w:color="auto"/>
            <w:bottom w:val="none" w:sz="0" w:space="0" w:color="auto"/>
            <w:right w:val="none" w:sz="0" w:space="0" w:color="auto"/>
          </w:divBdr>
        </w:div>
      </w:divsChild>
    </w:div>
    <w:div w:id="958494828">
      <w:bodyDiv w:val="1"/>
      <w:marLeft w:val="0"/>
      <w:marRight w:val="0"/>
      <w:marTop w:val="0"/>
      <w:marBottom w:val="0"/>
      <w:divBdr>
        <w:top w:val="none" w:sz="0" w:space="0" w:color="auto"/>
        <w:left w:val="none" w:sz="0" w:space="0" w:color="auto"/>
        <w:bottom w:val="none" w:sz="0" w:space="0" w:color="auto"/>
        <w:right w:val="none" w:sz="0" w:space="0" w:color="auto"/>
      </w:divBdr>
      <w:divsChild>
        <w:div w:id="145826534">
          <w:marLeft w:val="0"/>
          <w:marRight w:val="0"/>
          <w:marTop w:val="0"/>
          <w:marBottom w:val="0"/>
          <w:divBdr>
            <w:top w:val="none" w:sz="0" w:space="0" w:color="auto"/>
            <w:left w:val="none" w:sz="0" w:space="0" w:color="auto"/>
            <w:bottom w:val="none" w:sz="0" w:space="0" w:color="auto"/>
            <w:right w:val="none" w:sz="0" w:space="0" w:color="auto"/>
          </w:divBdr>
        </w:div>
        <w:div w:id="1762532549">
          <w:marLeft w:val="0"/>
          <w:marRight w:val="0"/>
          <w:marTop w:val="0"/>
          <w:marBottom w:val="0"/>
          <w:divBdr>
            <w:top w:val="none" w:sz="0" w:space="0" w:color="auto"/>
            <w:left w:val="none" w:sz="0" w:space="0" w:color="auto"/>
            <w:bottom w:val="none" w:sz="0" w:space="0" w:color="auto"/>
            <w:right w:val="none" w:sz="0" w:space="0" w:color="auto"/>
          </w:divBdr>
        </w:div>
        <w:div w:id="1365639584">
          <w:marLeft w:val="0"/>
          <w:marRight w:val="0"/>
          <w:marTop w:val="0"/>
          <w:marBottom w:val="0"/>
          <w:divBdr>
            <w:top w:val="none" w:sz="0" w:space="0" w:color="auto"/>
            <w:left w:val="none" w:sz="0" w:space="0" w:color="auto"/>
            <w:bottom w:val="none" w:sz="0" w:space="0" w:color="auto"/>
            <w:right w:val="none" w:sz="0" w:space="0" w:color="auto"/>
          </w:divBdr>
        </w:div>
        <w:div w:id="1392148350">
          <w:marLeft w:val="0"/>
          <w:marRight w:val="0"/>
          <w:marTop w:val="0"/>
          <w:marBottom w:val="0"/>
          <w:divBdr>
            <w:top w:val="none" w:sz="0" w:space="0" w:color="auto"/>
            <w:left w:val="none" w:sz="0" w:space="0" w:color="auto"/>
            <w:bottom w:val="none" w:sz="0" w:space="0" w:color="auto"/>
            <w:right w:val="none" w:sz="0" w:space="0" w:color="auto"/>
          </w:divBdr>
        </w:div>
      </w:divsChild>
    </w:div>
    <w:div w:id="973170718">
      <w:bodyDiv w:val="1"/>
      <w:marLeft w:val="0"/>
      <w:marRight w:val="0"/>
      <w:marTop w:val="0"/>
      <w:marBottom w:val="0"/>
      <w:divBdr>
        <w:top w:val="none" w:sz="0" w:space="0" w:color="auto"/>
        <w:left w:val="none" w:sz="0" w:space="0" w:color="auto"/>
        <w:bottom w:val="none" w:sz="0" w:space="0" w:color="auto"/>
        <w:right w:val="none" w:sz="0" w:space="0" w:color="auto"/>
      </w:divBdr>
    </w:div>
    <w:div w:id="980384895">
      <w:bodyDiv w:val="1"/>
      <w:marLeft w:val="0"/>
      <w:marRight w:val="0"/>
      <w:marTop w:val="0"/>
      <w:marBottom w:val="0"/>
      <w:divBdr>
        <w:top w:val="none" w:sz="0" w:space="0" w:color="auto"/>
        <w:left w:val="none" w:sz="0" w:space="0" w:color="auto"/>
        <w:bottom w:val="none" w:sz="0" w:space="0" w:color="auto"/>
        <w:right w:val="none" w:sz="0" w:space="0" w:color="auto"/>
      </w:divBdr>
    </w:div>
    <w:div w:id="1029254913">
      <w:bodyDiv w:val="1"/>
      <w:marLeft w:val="0"/>
      <w:marRight w:val="0"/>
      <w:marTop w:val="0"/>
      <w:marBottom w:val="0"/>
      <w:divBdr>
        <w:top w:val="none" w:sz="0" w:space="0" w:color="auto"/>
        <w:left w:val="none" w:sz="0" w:space="0" w:color="auto"/>
        <w:bottom w:val="none" w:sz="0" w:space="0" w:color="auto"/>
        <w:right w:val="none" w:sz="0" w:space="0" w:color="auto"/>
      </w:divBdr>
      <w:divsChild>
        <w:div w:id="938298468">
          <w:marLeft w:val="0"/>
          <w:marRight w:val="0"/>
          <w:marTop w:val="0"/>
          <w:marBottom w:val="0"/>
          <w:divBdr>
            <w:top w:val="none" w:sz="0" w:space="0" w:color="auto"/>
            <w:left w:val="none" w:sz="0" w:space="0" w:color="auto"/>
            <w:bottom w:val="none" w:sz="0" w:space="0" w:color="auto"/>
            <w:right w:val="none" w:sz="0" w:space="0" w:color="auto"/>
          </w:divBdr>
        </w:div>
      </w:divsChild>
    </w:div>
    <w:div w:id="1036466821">
      <w:bodyDiv w:val="1"/>
      <w:marLeft w:val="0"/>
      <w:marRight w:val="0"/>
      <w:marTop w:val="0"/>
      <w:marBottom w:val="0"/>
      <w:divBdr>
        <w:top w:val="none" w:sz="0" w:space="0" w:color="auto"/>
        <w:left w:val="none" w:sz="0" w:space="0" w:color="auto"/>
        <w:bottom w:val="none" w:sz="0" w:space="0" w:color="auto"/>
        <w:right w:val="none" w:sz="0" w:space="0" w:color="auto"/>
      </w:divBdr>
    </w:div>
    <w:div w:id="1052775195">
      <w:bodyDiv w:val="1"/>
      <w:marLeft w:val="0"/>
      <w:marRight w:val="0"/>
      <w:marTop w:val="0"/>
      <w:marBottom w:val="0"/>
      <w:divBdr>
        <w:top w:val="none" w:sz="0" w:space="0" w:color="auto"/>
        <w:left w:val="none" w:sz="0" w:space="0" w:color="auto"/>
        <w:bottom w:val="none" w:sz="0" w:space="0" w:color="auto"/>
        <w:right w:val="none" w:sz="0" w:space="0" w:color="auto"/>
      </w:divBdr>
    </w:div>
    <w:div w:id="1134060735">
      <w:bodyDiv w:val="1"/>
      <w:marLeft w:val="0"/>
      <w:marRight w:val="0"/>
      <w:marTop w:val="0"/>
      <w:marBottom w:val="0"/>
      <w:divBdr>
        <w:top w:val="none" w:sz="0" w:space="0" w:color="auto"/>
        <w:left w:val="none" w:sz="0" w:space="0" w:color="auto"/>
        <w:bottom w:val="none" w:sz="0" w:space="0" w:color="auto"/>
        <w:right w:val="none" w:sz="0" w:space="0" w:color="auto"/>
      </w:divBdr>
    </w:div>
    <w:div w:id="1173911712">
      <w:bodyDiv w:val="1"/>
      <w:marLeft w:val="0"/>
      <w:marRight w:val="0"/>
      <w:marTop w:val="0"/>
      <w:marBottom w:val="0"/>
      <w:divBdr>
        <w:top w:val="none" w:sz="0" w:space="0" w:color="auto"/>
        <w:left w:val="none" w:sz="0" w:space="0" w:color="auto"/>
        <w:bottom w:val="none" w:sz="0" w:space="0" w:color="auto"/>
        <w:right w:val="none" w:sz="0" w:space="0" w:color="auto"/>
      </w:divBdr>
      <w:divsChild>
        <w:div w:id="103307479">
          <w:marLeft w:val="0"/>
          <w:marRight w:val="0"/>
          <w:marTop w:val="0"/>
          <w:marBottom w:val="0"/>
          <w:divBdr>
            <w:top w:val="none" w:sz="0" w:space="0" w:color="auto"/>
            <w:left w:val="none" w:sz="0" w:space="0" w:color="auto"/>
            <w:bottom w:val="none" w:sz="0" w:space="0" w:color="auto"/>
            <w:right w:val="none" w:sz="0" w:space="0" w:color="auto"/>
          </w:divBdr>
        </w:div>
      </w:divsChild>
    </w:div>
    <w:div w:id="1238705145">
      <w:bodyDiv w:val="1"/>
      <w:marLeft w:val="0"/>
      <w:marRight w:val="0"/>
      <w:marTop w:val="0"/>
      <w:marBottom w:val="0"/>
      <w:divBdr>
        <w:top w:val="none" w:sz="0" w:space="0" w:color="auto"/>
        <w:left w:val="none" w:sz="0" w:space="0" w:color="auto"/>
        <w:bottom w:val="none" w:sz="0" w:space="0" w:color="auto"/>
        <w:right w:val="none" w:sz="0" w:space="0" w:color="auto"/>
      </w:divBdr>
    </w:div>
    <w:div w:id="1276911632">
      <w:bodyDiv w:val="1"/>
      <w:marLeft w:val="0"/>
      <w:marRight w:val="0"/>
      <w:marTop w:val="0"/>
      <w:marBottom w:val="0"/>
      <w:divBdr>
        <w:top w:val="none" w:sz="0" w:space="0" w:color="auto"/>
        <w:left w:val="none" w:sz="0" w:space="0" w:color="auto"/>
        <w:bottom w:val="none" w:sz="0" w:space="0" w:color="auto"/>
        <w:right w:val="none" w:sz="0" w:space="0" w:color="auto"/>
      </w:divBdr>
      <w:divsChild>
        <w:div w:id="1214803734">
          <w:marLeft w:val="0"/>
          <w:marRight w:val="0"/>
          <w:marTop w:val="0"/>
          <w:marBottom w:val="0"/>
          <w:divBdr>
            <w:top w:val="none" w:sz="0" w:space="0" w:color="auto"/>
            <w:left w:val="none" w:sz="0" w:space="0" w:color="auto"/>
            <w:bottom w:val="none" w:sz="0" w:space="0" w:color="auto"/>
            <w:right w:val="none" w:sz="0" w:space="0" w:color="auto"/>
          </w:divBdr>
        </w:div>
      </w:divsChild>
    </w:div>
    <w:div w:id="1292253097">
      <w:bodyDiv w:val="1"/>
      <w:marLeft w:val="0"/>
      <w:marRight w:val="0"/>
      <w:marTop w:val="0"/>
      <w:marBottom w:val="0"/>
      <w:divBdr>
        <w:top w:val="none" w:sz="0" w:space="0" w:color="auto"/>
        <w:left w:val="none" w:sz="0" w:space="0" w:color="auto"/>
        <w:bottom w:val="none" w:sz="0" w:space="0" w:color="auto"/>
        <w:right w:val="none" w:sz="0" w:space="0" w:color="auto"/>
      </w:divBdr>
      <w:divsChild>
        <w:div w:id="1822693980">
          <w:marLeft w:val="0"/>
          <w:marRight w:val="0"/>
          <w:marTop w:val="0"/>
          <w:marBottom w:val="0"/>
          <w:divBdr>
            <w:top w:val="none" w:sz="0" w:space="0" w:color="auto"/>
            <w:left w:val="none" w:sz="0" w:space="0" w:color="auto"/>
            <w:bottom w:val="none" w:sz="0" w:space="0" w:color="auto"/>
            <w:right w:val="none" w:sz="0" w:space="0" w:color="auto"/>
          </w:divBdr>
        </w:div>
      </w:divsChild>
    </w:div>
    <w:div w:id="1349480379">
      <w:bodyDiv w:val="1"/>
      <w:marLeft w:val="0"/>
      <w:marRight w:val="0"/>
      <w:marTop w:val="0"/>
      <w:marBottom w:val="0"/>
      <w:divBdr>
        <w:top w:val="none" w:sz="0" w:space="0" w:color="auto"/>
        <w:left w:val="none" w:sz="0" w:space="0" w:color="auto"/>
        <w:bottom w:val="none" w:sz="0" w:space="0" w:color="auto"/>
        <w:right w:val="none" w:sz="0" w:space="0" w:color="auto"/>
      </w:divBdr>
    </w:div>
    <w:div w:id="1419060115">
      <w:bodyDiv w:val="1"/>
      <w:marLeft w:val="0"/>
      <w:marRight w:val="0"/>
      <w:marTop w:val="0"/>
      <w:marBottom w:val="0"/>
      <w:divBdr>
        <w:top w:val="none" w:sz="0" w:space="0" w:color="auto"/>
        <w:left w:val="none" w:sz="0" w:space="0" w:color="auto"/>
        <w:bottom w:val="none" w:sz="0" w:space="0" w:color="auto"/>
        <w:right w:val="none" w:sz="0" w:space="0" w:color="auto"/>
      </w:divBdr>
      <w:divsChild>
        <w:div w:id="1079399505">
          <w:marLeft w:val="0"/>
          <w:marRight w:val="0"/>
          <w:marTop w:val="0"/>
          <w:marBottom w:val="0"/>
          <w:divBdr>
            <w:top w:val="none" w:sz="0" w:space="0" w:color="auto"/>
            <w:left w:val="none" w:sz="0" w:space="0" w:color="auto"/>
            <w:bottom w:val="none" w:sz="0" w:space="0" w:color="auto"/>
            <w:right w:val="none" w:sz="0" w:space="0" w:color="auto"/>
          </w:divBdr>
        </w:div>
      </w:divsChild>
    </w:div>
    <w:div w:id="1420560140">
      <w:bodyDiv w:val="1"/>
      <w:marLeft w:val="0"/>
      <w:marRight w:val="0"/>
      <w:marTop w:val="0"/>
      <w:marBottom w:val="0"/>
      <w:divBdr>
        <w:top w:val="none" w:sz="0" w:space="0" w:color="auto"/>
        <w:left w:val="none" w:sz="0" w:space="0" w:color="auto"/>
        <w:bottom w:val="none" w:sz="0" w:space="0" w:color="auto"/>
        <w:right w:val="none" w:sz="0" w:space="0" w:color="auto"/>
      </w:divBdr>
      <w:divsChild>
        <w:div w:id="435053994">
          <w:marLeft w:val="0"/>
          <w:marRight w:val="0"/>
          <w:marTop w:val="0"/>
          <w:marBottom w:val="0"/>
          <w:divBdr>
            <w:top w:val="none" w:sz="0" w:space="0" w:color="auto"/>
            <w:left w:val="none" w:sz="0" w:space="0" w:color="auto"/>
            <w:bottom w:val="none" w:sz="0" w:space="0" w:color="auto"/>
            <w:right w:val="none" w:sz="0" w:space="0" w:color="auto"/>
          </w:divBdr>
        </w:div>
        <w:div w:id="1519388233">
          <w:marLeft w:val="0"/>
          <w:marRight w:val="0"/>
          <w:marTop w:val="0"/>
          <w:marBottom w:val="0"/>
          <w:divBdr>
            <w:top w:val="none" w:sz="0" w:space="0" w:color="auto"/>
            <w:left w:val="none" w:sz="0" w:space="0" w:color="auto"/>
            <w:bottom w:val="none" w:sz="0" w:space="0" w:color="auto"/>
            <w:right w:val="none" w:sz="0" w:space="0" w:color="auto"/>
          </w:divBdr>
        </w:div>
        <w:div w:id="556354176">
          <w:marLeft w:val="0"/>
          <w:marRight w:val="0"/>
          <w:marTop w:val="0"/>
          <w:marBottom w:val="0"/>
          <w:divBdr>
            <w:top w:val="none" w:sz="0" w:space="0" w:color="auto"/>
            <w:left w:val="none" w:sz="0" w:space="0" w:color="auto"/>
            <w:bottom w:val="none" w:sz="0" w:space="0" w:color="auto"/>
            <w:right w:val="none" w:sz="0" w:space="0" w:color="auto"/>
          </w:divBdr>
        </w:div>
        <w:div w:id="809634247">
          <w:marLeft w:val="0"/>
          <w:marRight w:val="0"/>
          <w:marTop w:val="0"/>
          <w:marBottom w:val="0"/>
          <w:divBdr>
            <w:top w:val="none" w:sz="0" w:space="0" w:color="auto"/>
            <w:left w:val="none" w:sz="0" w:space="0" w:color="auto"/>
            <w:bottom w:val="none" w:sz="0" w:space="0" w:color="auto"/>
            <w:right w:val="none" w:sz="0" w:space="0" w:color="auto"/>
          </w:divBdr>
        </w:div>
        <w:div w:id="657999633">
          <w:marLeft w:val="0"/>
          <w:marRight w:val="0"/>
          <w:marTop w:val="0"/>
          <w:marBottom w:val="0"/>
          <w:divBdr>
            <w:top w:val="none" w:sz="0" w:space="0" w:color="auto"/>
            <w:left w:val="none" w:sz="0" w:space="0" w:color="auto"/>
            <w:bottom w:val="none" w:sz="0" w:space="0" w:color="auto"/>
            <w:right w:val="none" w:sz="0" w:space="0" w:color="auto"/>
          </w:divBdr>
        </w:div>
        <w:div w:id="1808620691">
          <w:marLeft w:val="0"/>
          <w:marRight w:val="0"/>
          <w:marTop w:val="0"/>
          <w:marBottom w:val="0"/>
          <w:divBdr>
            <w:top w:val="none" w:sz="0" w:space="0" w:color="auto"/>
            <w:left w:val="none" w:sz="0" w:space="0" w:color="auto"/>
            <w:bottom w:val="none" w:sz="0" w:space="0" w:color="auto"/>
            <w:right w:val="none" w:sz="0" w:space="0" w:color="auto"/>
          </w:divBdr>
        </w:div>
        <w:div w:id="633874962">
          <w:marLeft w:val="0"/>
          <w:marRight w:val="0"/>
          <w:marTop w:val="0"/>
          <w:marBottom w:val="0"/>
          <w:divBdr>
            <w:top w:val="none" w:sz="0" w:space="0" w:color="auto"/>
            <w:left w:val="none" w:sz="0" w:space="0" w:color="auto"/>
            <w:bottom w:val="none" w:sz="0" w:space="0" w:color="auto"/>
            <w:right w:val="none" w:sz="0" w:space="0" w:color="auto"/>
          </w:divBdr>
        </w:div>
        <w:div w:id="2111580087">
          <w:marLeft w:val="0"/>
          <w:marRight w:val="0"/>
          <w:marTop w:val="0"/>
          <w:marBottom w:val="0"/>
          <w:divBdr>
            <w:top w:val="none" w:sz="0" w:space="0" w:color="auto"/>
            <w:left w:val="none" w:sz="0" w:space="0" w:color="auto"/>
            <w:bottom w:val="none" w:sz="0" w:space="0" w:color="auto"/>
            <w:right w:val="none" w:sz="0" w:space="0" w:color="auto"/>
          </w:divBdr>
        </w:div>
        <w:div w:id="807625401">
          <w:marLeft w:val="0"/>
          <w:marRight w:val="0"/>
          <w:marTop w:val="0"/>
          <w:marBottom w:val="0"/>
          <w:divBdr>
            <w:top w:val="none" w:sz="0" w:space="0" w:color="auto"/>
            <w:left w:val="none" w:sz="0" w:space="0" w:color="auto"/>
            <w:bottom w:val="none" w:sz="0" w:space="0" w:color="auto"/>
            <w:right w:val="none" w:sz="0" w:space="0" w:color="auto"/>
          </w:divBdr>
        </w:div>
        <w:div w:id="1865942186">
          <w:marLeft w:val="0"/>
          <w:marRight w:val="0"/>
          <w:marTop w:val="0"/>
          <w:marBottom w:val="0"/>
          <w:divBdr>
            <w:top w:val="none" w:sz="0" w:space="0" w:color="auto"/>
            <w:left w:val="none" w:sz="0" w:space="0" w:color="auto"/>
            <w:bottom w:val="none" w:sz="0" w:space="0" w:color="auto"/>
            <w:right w:val="none" w:sz="0" w:space="0" w:color="auto"/>
          </w:divBdr>
        </w:div>
        <w:div w:id="151874418">
          <w:marLeft w:val="0"/>
          <w:marRight w:val="0"/>
          <w:marTop w:val="0"/>
          <w:marBottom w:val="0"/>
          <w:divBdr>
            <w:top w:val="none" w:sz="0" w:space="0" w:color="auto"/>
            <w:left w:val="none" w:sz="0" w:space="0" w:color="auto"/>
            <w:bottom w:val="none" w:sz="0" w:space="0" w:color="auto"/>
            <w:right w:val="none" w:sz="0" w:space="0" w:color="auto"/>
          </w:divBdr>
        </w:div>
        <w:div w:id="575481225">
          <w:marLeft w:val="0"/>
          <w:marRight w:val="0"/>
          <w:marTop w:val="0"/>
          <w:marBottom w:val="0"/>
          <w:divBdr>
            <w:top w:val="none" w:sz="0" w:space="0" w:color="auto"/>
            <w:left w:val="none" w:sz="0" w:space="0" w:color="auto"/>
            <w:bottom w:val="none" w:sz="0" w:space="0" w:color="auto"/>
            <w:right w:val="none" w:sz="0" w:space="0" w:color="auto"/>
          </w:divBdr>
        </w:div>
        <w:div w:id="255984756">
          <w:marLeft w:val="0"/>
          <w:marRight w:val="0"/>
          <w:marTop w:val="0"/>
          <w:marBottom w:val="0"/>
          <w:divBdr>
            <w:top w:val="none" w:sz="0" w:space="0" w:color="auto"/>
            <w:left w:val="none" w:sz="0" w:space="0" w:color="auto"/>
            <w:bottom w:val="none" w:sz="0" w:space="0" w:color="auto"/>
            <w:right w:val="none" w:sz="0" w:space="0" w:color="auto"/>
          </w:divBdr>
        </w:div>
        <w:div w:id="1655337421">
          <w:marLeft w:val="0"/>
          <w:marRight w:val="0"/>
          <w:marTop w:val="0"/>
          <w:marBottom w:val="0"/>
          <w:divBdr>
            <w:top w:val="none" w:sz="0" w:space="0" w:color="auto"/>
            <w:left w:val="none" w:sz="0" w:space="0" w:color="auto"/>
            <w:bottom w:val="none" w:sz="0" w:space="0" w:color="auto"/>
            <w:right w:val="none" w:sz="0" w:space="0" w:color="auto"/>
          </w:divBdr>
        </w:div>
        <w:div w:id="1748304445">
          <w:marLeft w:val="0"/>
          <w:marRight w:val="0"/>
          <w:marTop w:val="0"/>
          <w:marBottom w:val="0"/>
          <w:divBdr>
            <w:top w:val="none" w:sz="0" w:space="0" w:color="auto"/>
            <w:left w:val="none" w:sz="0" w:space="0" w:color="auto"/>
            <w:bottom w:val="none" w:sz="0" w:space="0" w:color="auto"/>
            <w:right w:val="none" w:sz="0" w:space="0" w:color="auto"/>
          </w:divBdr>
        </w:div>
        <w:div w:id="1961761893">
          <w:marLeft w:val="0"/>
          <w:marRight w:val="0"/>
          <w:marTop w:val="0"/>
          <w:marBottom w:val="0"/>
          <w:divBdr>
            <w:top w:val="none" w:sz="0" w:space="0" w:color="auto"/>
            <w:left w:val="none" w:sz="0" w:space="0" w:color="auto"/>
            <w:bottom w:val="none" w:sz="0" w:space="0" w:color="auto"/>
            <w:right w:val="none" w:sz="0" w:space="0" w:color="auto"/>
          </w:divBdr>
        </w:div>
        <w:div w:id="1863779026">
          <w:marLeft w:val="0"/>
          <w:marRight w:val="0"/>
          <w:marTop w:val="0"/>
          <w:marBottom w:val="0"/>
          <w:divBdr>
            <w:top w:val="none" w:sz="0" w:space="0" w:color="auto"/>
            <w:left w:val="none" w:sz="0" w:space="0" w:color="auto"/>
            <w:bottom w:val="none" w:sz="0" w:space="0" w:color="auto"/>
            <w:right w:val="none" w:sz="0" w:space="0" w:color="auto"/>
          </w:divBdr>
        </w:div>
        <w:div w:id="1089622006">
          <w:marLeft w:val="0"/>
          <w:marRight w:val="0"/>
          <w:marTop w:val="0"/>
          <w:marBottom w:val="0"/>
          <w:divBdr>
            <w:top w:val="none" w:sz="0" w:space="0" w:color="auto"/>
            <w:left w:val="none" w:sz="0" w:space="0" w:color="auto"/>
            <w:bottom w:val="none" w:sz="0" w:space="0" w:color="auto"/>
            <w:right w:val="none" w:sz="0" w:space="0" w:color="auto"/>
          </w:divBdr>
        </w:div>
        <w:div w:id="722993191">
          <w:marLeft w:val="0"/>
          <w:marRight w:val="0"/>
          <w:marTop w:val="0"/>
          <w:marBottom w:val="0"/>
          <w:divBdr>
            <w:top w:val="none" w:sz="0" w:space="0" w:color="auto"/>
            <w:left w:val="none" w:sz="0" w:space="0" w:color="auto"/>
            <w:bottom w:val="none" w:sz="0" w:space="0" w:color="auto"/>
            <w:right w:val="none" w:sz="0" w:space="0" w:color="auto"/>
          </w:divBdr>
        </w:div>
      </w:divsChild>
    </w:div>
    <w:div w:id="1452016376">
      <w:bodyDiv w:val="1"/>
      <w:marLeft w:val="0"/>
      <w:marRight w:val="0"/>
      <w:marTop w:val="0"/>
      <w:marBottom w:val="0"/>
      <w:divBdr>
        <w:top w:val="none" w:sz="0" w:space="0" w:color="auto"/>
        <w:left w:val="none" w:sz="0" w:space="0" w:color="auto"/>
        <w:bottom w:val="none" w:sz="0" w:space="0" w:color="auto"/>
        <w:right w:val="none" w:sz="0" w:space="0" w:color="auto"/>
      </w:divBdr>
    </w:div>
    <w:div w:id="1456438515">
      <w:bodyDiv w:val="1"/>
      <w:marLeft w:val="0"/>
      <w:marRight w:val="0"/>
      <w:marTop w:val="0"/>
      <w:marBottom w:val="0"/>
      <w:divBdr>
        <w:top w:val="none" w:sz="0" w:space="0" w:color="auto"/>
        <w:left w:val="none" w:sz="0" w:space="0" w:color="auto"/>
        <w:bottom w:val="none" w:sz="0" w:space="0" w:color="auto"/>
        <w:right w:val="none" w:sz="0" w:space="0" w:color="auto"/>
      </w:divBdr>
    </w:div>
    <w:div w:id="1456874636">
      <w:bodyDiv w:val="1"/>
      <w:marLeft w:val="0"/>
      <w:marRight w:val="0"/>
      <w:marTop w:val="0"/>
      <w:marBottom w:val="0"/>
      <w:divBdr>
        <w:top w:val="none" w:sz="0" w:space="0" w:color="auto"/>
        <w:left w:val="none" w:sz="0" w:space="0" w:color="auto"/>
        <w:bottom w:val="none" w:sz="0" w:space="0" w:color="auto"/>
        <w:right w:val="none" w:sz="0" w:space="0" w:color="auto"/>
      </w:divBdr>
    </w:div>
    <w:div w:id="1612666588">
      <w:bodyDiv w:val="1"/>
      <w:marLeft w:val="0"/>
      <w:marRight w:val="0"/>
      <w:marTop w:val="0"/>
      <w:marBottom w:val="0"/>
      <w:divBdr>
        <w:top w:val="none" w:sz="0" w:space="0" w:color="auto"/>
        <w:left w:val="none" w:sz="0" w:space="0" w:color="auto"/>
        <w:bottom w:val="none" w:sz="0" w:space="0" w:color="auto"/>
        <w:right w:val="none" w:sz="0" w:space="0" w:color="auto"/>
      </w:divBdr>
    </w:div>
    <w:div w:id="1619406150">
      <w:bodyDiv w:val="1"/>
      <w:marLeft w:val="0"/>
      <w:marRight w:val="0"/>
      <w:marTop w:val="0"/>
      <w:marBottom w:val="0"/>
      <w:divBdr>
        <w:top w:val="none" w:sz="0" w:space="0" w:color="auto"/>
        <w:left w:val="none" w:sz="0" w:space="0" w:color="auto"/>
        <w:bottom w:val="none" w:sz="0" w:space="0" w:color="auto"/>
        <w:right w:val="none" w:sz="0" w:space="0" w:color="auto"/>
      </w:divBdr>
    </w:div>
    <w:div w:id="1652904809">
      <w:bodyDiv w:val="1"/>
      <w:marLeft w:val="0"/>
      <w:marRight w:val="0"/>
      <w:marTop w:val="0"/>
      <w:marBottom w:val="0"/>
      <w:divBdr>
        <w:top w:val="none" w:sz="0" w:space="0" w:color="auto"/>
        <w:left w:val="none" w:sz="0" w:space="0" w:color="auto"/>
        <w:bottom w:val="none" w:sz="0" w:space="0" w:color="auto"/>
        <w:right w:val="none" w:sz="0" w:space="0" w:color="auto"/>
      </w:divBdr>
    </w:div>
    <w:div w:id="1671788003">
      <w:bodyDiv w:val="1"/>
      <w:marLeft w:val="0"/>
      <w:marRight w:val="0"/>
      <w:marTop w:val="0"/>
      <w:marBottom w:val="0"/>
      <w:divBdr>
        <w:top w:val="none" w:sz="0" w:space="0" w:color="auto"/>
        <w:left w:val="none" w:sz="0" w:space="0" w:color="auto"/>
        <w:bottom w:val="none" w:sz="0" w:space="0" w:color="auto"/>
        <w:right w:val="none" w:sz="0" w:space="0" w:color="auto"/>
      </w:divBdr>
      <w:divsChild>
        <w:div w:id="907350890">
          <w:marLeft w:val="0"/>
          <w:marRight w:val="0"/>
          <w:marTop w:val="0"/>
          <w:marBottom w:val="0"/>
          <w:divBdr>
            <w:top w:val="none" w:sz="0" w:space="0" w:color="auto"/>
            <w:left w:val="none" w:sz="0" w:space="0" w:color="auto"/>
            <w:bottom w:val="none" w:sz="0" w:space="0" w:color="auto"/>
            <w:right w:val="none" w:sz="0" w:space="0" w:color="auto"/>
          </w:divBdr>
        </w:div>
      </w:divsChild>
    </w:div>
    <w:div w:id="1680695241">
      <w:bodyDiv w:val="1"/>
      <w:marLeft w:val="0"/>
      <w:marRight w:val="0"/>
      <w:marTop w:val="0"/>
      <w:marBottom w:val="0"/>
      <w:divBdr>
        <w:top w:val="none" w:sz="0" w:space="0" w:color="auto"/>
        <w:left w:val="none" w:sz="0" w:space="0" w:color="auto"/>
        <w:bottom w:val="none" w:sz="0" w:space="0" w:color="auto"/>
        <w:right w:val="none" w:sz="0" w:space="0" w:color="auto"/>
      </w:divBdr>
      <w:divsChild>
        <w:div w:id="1801149002">
          <w:marLeft w:val="0"/>
          <w:marRight w:val="0"/>
          <w:marTop w:val="0"/>
          <w:marBottom w:val="0"/>
          <w:divBdr>
            <w:top w:val="none" w:sz="0" w:space="0" w:color="auto"/>
            <w:left w:val="none" w:sz="0" w:space="0" w:color="auto"/>
            <w:bottom w:val="none" w:sz="0" w:space="0" w:color="auto"/>
            <w:right w:val="none" w:sz="0" w:space="0" w:color="auto"/>
          </w:divBdr>
          <w:divsChild>
            <w:div w:id="1348094340">
              <w:marLeft w:val="0"/>
              <w:marRight w:val="0"/>
              <w:marTop w:val="0"/>
              <w:marBottom w:val="0"/>
              <w:divBdr>
                <w:top w:val="none" w:sz="0" w:space="0" w:color="auto"/>
                <w:left w:val="none" w:sz="0" w:space="0" w:color="auto"/>
                <w:bottom w:val="none" w:sz="0" w:space="0" w:color="auto"/>
                <w:right w:val="none" w:sz="0" w:space="0" w:color="auto"/>
              </w:divBdr>
            </w:div>
            <w:div w:id="1575044494">
              <w:marLeft w:val="0"/>
              <w:marRight w:val="0"/>
              <w:marTop w:val="0"/>
              <w:marBottom w:val="0"/>
              <w:divBdr>
                <w:top w:val="none" w:sz="0" w:space="0" w:color="auto"/>
                <w:left w:val="none" w:sz="0" w:space="0" w:color="auto"/>
                <w:bottom w:val="none" w:sz="0" w:space="0" w:color="auto"/>
                <w:right w:val="none" w:sz="0" w:space="0" w:color="auto"/>
              </w:divBdr>
            </w:div>
            <w:div w:id="42680467">
              <w:marLeft w:val="0"/>
              <w:marRight w:val="0"/>
              <w:marTop w:val="0"/>
              <w:marBottom w:val="0"/>
              <w:divBdr>
                <w:top w:val="none" w:sz="0" w:space="0" w:color="auto"/>
                <w:left w:val="none" w:sz="0" w:space="0" w:color="auto"/>
                <w:bottom w:val="none" w:sz="0" w:space="0" w:color="auto"/>
                <w:right w:val="none" w:sz="0" w:space="0" w:color="auto"/>
              </w:divBdr>
            </w:div>
            <w:div w:id="1525436309">
              <w:marLeft w:val="0"/>
              <w:marRight w:val="0"/>
              <w:marTop w:val="0"/>
              <w:marBottom w:val="0"/>
              <w:divBdr>
                <w:top w:val="none" w:sz="0" w:space="0" w:color="auto"/>
                <w:left w:val="none" w:sz="0" w:space="0" w:color="auto"/>
                <w:bottom w:val="none" w:sz="0" w:space="0" w:color="auto"/>
                <w:right w:val="none" w:sz="0" w:space="0" w:color="auto"/>
              </w:divBdr>
            </w:div>
            <w:div w:id="664282366">
              <w:marLeft w:val="0"/>
              <w:marRight w:val="0"/>
              <w:marTop w:val="0"/>
              <w:marBottom w:val="0"/>
              <w:divBdr>
                <w:top w:val="none" w:sz="0" w:space="0" w:color="auto"/>
                <w:left w:val="none" w:sz="0" w:space="0" w:color="auto"/>
                <w:bottom w:val="none" w:sz="0" w:space="0" w:color="auto"/>
                <w:right w:val="none" w:sz="0" w:space="0" w:color="auto"/>
              </w:divBdr>
            </w:div>
            <w:div w:id="783117954">
              <w:marLeft w:val="0"/>
              <w:marRight w:val="0"/>
              <w:marTop w:val="0"/>
              <w:marBottom w:val="0"/>
              <w:divBdr>
                <w:top w:val="none" w:sz="0" w:space="0" w:color="auto"/>
                <w:left w:val="none" w:sz="0" w:space="0" w:color="auto"/>
                <w:bottom w:val="none" w:sz="0" w:space="0" w:color="auto"/>
                <w:right w:val="none" w:sz="0" w:space="0" w:color="auto"/>
              </w:divBdr>
            </w:div>
            <w:div w:id="603613914">
              <w:marLeft w:val="0"/>
              <w:marRight w:val="0"/>
              <w:marTop w:val="0"/>
              <w:marBottom w:val="0"/>
              <w:divBdr>
                <w:top w:val="none" w:sz="0" w:space="0" w:color="auto"/>
                <w:left w:val="none" w:sz="0" w:space="0" w:color="auto"/>
                <w:bottom w:val="none" w:sz="0" w:space="0" w:color="auto"/>
                <w:right w:val="none" w:sz="0" w:space="0" w:color="auto"/>
              </w:divBdr>
            </w:div>
            <w:div w:id="1354111334">
              <w:marLeft w:val="0"/>
              <w:marRight w:val="0"/>
              <w:marTop w:val="0"/>
              <w:marBottom w:val="0"/>
              <w:divBdr>
                <w:top w:val="none" w:sz="0" w:space="0" w:color="auto"/>
                <w:left w:val="none" w:sz="0" w:space="0" w:color="auto"/>
                <w:bottom w:val="none" w:sz="0" w:space="0" w:color="auto"/>
                <w:right w:val="none" w:sz="0" w:space="0" w:color="auto"/>
              </w:divBdr>
            </w:div>
            <w:div w:id="1675262065">
              <w:marLeft w:val="0"/>
              <w:marRight w:val="0"/>
              <w:marTop w:val="0"/>
              <w:marBottom w:val="0"/>
              <w:divBdr>
                <w:top w:val="none" w:sz="0" w:space="0" w:color="auto"/>
                <w:left w:val="none" w:sz="0" w:space="0" w:color="auto"/>
                <w:bottom w:val="none" w:sz="0" w:space="0" w:color="auto"/>
                <w:right w:val="none" w:sz="0" w:space="0" w:color="auto"/>
              </w:divBdr>
            </w:div>
            <w:div w:id="1032271011">
              <w:marLeft w:val="0"/>
              <w:marRight w:val="0"/>
              <w:marTop w:val="0"/>
              <w:marBottom w:val="0"/>
              <w:divBdr>
                <w:top w:val="none" w:sz="0" w:space="0" w:color="auto"/>
                <w:left w:val="none" w:sz="0" w:space="0" w:color="auto"/>
                <w:bottom w:val="none" w:sz="0" w:space="0" w:color="auto"/>
                <w:right w:val="none" w:sz="0" w:space="0" w:color="auto"/>
              </w:divBdr>
            </w:div>
            <w:div w:id="2051758791">
              <w:marLeft w:val="0"/>
              <w:marRight w:val="0"/>
              <w:marTop w:val="0"/>
              <w:marBottom w:val="0"/>
              <w:divBdr>
                <w:top w:val="none" w:sz="0" w:space="0" w:color="auto"/>
                <w:left w:val="none" w:sz="0" w:space="0" w:color="auto"/>
                <w:bottom w:val="none" w:sz="0" w:space="0" w:color="auto"/>
                <w:right w:val="none" w:sz="0" w:space="0" w:color="auto"/>
              </w:divBdr>
            </w:div>
            <w:div w:id="852452236">
              <w:marLeft w:val="0"/>
              <w:marRight w:val="0"/>
              <w:marTop w:val="0"/>
              <w:marBottom w:val="0"/>
              <w:divBdr>
                <w:top w:val="none" w:sz="0" w:space="0" w:color="auto"/>
                <w:left w:val="none" w:sz="0" w:space="0" w:color="auto"/>
                <w:bottom w:val="none" w:sz="0" w:space="0" w:color="auto"/>
                <w:right w:val="none" w:sz="0" w:space="0" w:color="auto"/>
              </w:divBdr>
            </w:div>
            <w:div w:id="596326095">
              <w:marLeft w:val="0"/>
              <w:marRight w:val="0"/>
              <w:marTop w:val="0"/>
              <w:marBottom w:val="0"/>
              <w:divBdr>
                <w:top w:val="none" w:sz="0" w:space="0" w:color="auto"/>
                <w:left w:val="none" w:sz="0" w:space="0" w:color="auto"/>
                <w:bottom w:val="none" w:sz="0" w:space="0" w:color="auto"/>
                <w:right w:val="none" w:sz="0" w:space="0" w:color="auto"/>
              </w:divBdr>
            </w:div>
            <w:div w:id="1021466521">
              <w:marLeft w:val="0"/>
              <w:marRight w:val="0"/>
              <w:marTop w:val="0"/>
              <w:marBottom w:val="0"/>
              <w:divBdr>
                <w:top w:val="none" w:sz="0" w:space="0" w:color="auto"/>
                <w:left w:val="none" w:sz="0" w:space="0" w:color="auto"/>
                <w:bottom w:val="none" w:sz="0" w:space="0" w:color="auto"/>
                <w:right w:val="none" w:sz="0" w:space="0" w:color="auto"/>
              </w:divBdr>
            </w:div>
            <w:div w:id="682323406">
              <w:marLeft w:val="0"/>
              <w:marRight w:val="0"/>
              <w:marTop w:val="0"/>
              <w:marBottom w:val="0"/>
              <w:divBdr>
                <w:top w:val="none" w:sz="0" w:space="0" w:color="auto"/>
                <w:left w:val="none" w:sz="0" w:space="0" w:color="auto"/>
                <w:bottom w:val="none" w:sz="0" w:space="0" w:color="auto"/>
                <w:right w:val="none" w:sz="0" w:space="0" w:color="auto"/>
              </w:divBdr>
            </w:div>
            <w:div w:id="244000986">
              <w:marLeft w:val="0"/>
              <w:marRight w:val="0"/>
              <w:marTop w:val="0"/>
              <w:marBottom w:val="0"/>
              <w:divBdr>
                <w:top w:val="none" w:sz="0" w:space="0" w:color="auto"/>
                <w:left w:val="none" w:sz="0" w:space="0" w:color="auto"/>
                <w:bottom w:val="none" w:sz="0" w:space="0" w:color="auto"/>
                <w:right w:val="none" w:sz="0" w:space="0" w:color="auto"/>
              </w:divBdr>
            </w:div>
            <w:div w:id="1365209521">
              <w:marLeft w:val="0"/>
              <w:marRight w:val="0"/>
              <w:marTop w:val="0"/>
              <w:marBottom w:val="0"/>
              <w:divBdr>
                <w:top w:val="none" w:sz="0" w:space="0" w:color="auto"/>
                <w:left w:val="none" w:sz="0" w:space="0" w:color="auto"/>
                <w:bottom w:val="none" w:sz="0" w:space="0" w:color="auto"/>
                <w:right w:val="none" w:sz="0" w:space="0" w:color="auto"/>
              </w:divBdr>
            </w:div>
            <w:div w:id="1203131486">
              <w:marLeft w:val="0"/>
              <w:marRight w:val="0"/>
              <w:marTop w:val="0"/>
              <w:marBottom w:val="0"/>
              <w:divBdr>
                <w:top w:val="none" w:sz="0" w:space="0" w:color="auto"/>
                <w:left w:val="none" w:sz="0" w:space="0" w:color="auto"/>
                <w:bottom w:val="none" w:sz="0" w:space="0" w:color="auto"/>
                <w:right w:val="none" w:sz="0" w:space="0" w:color="auto"/>
              </w:divBdr>
            </w:div>
            <w:div w:id="106479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12525">
      <w:bodyDiv w:val="1"/>
      <w:marLeft w:val="0"/>
      <w:marRight w:val="0"/>
      <w:marTop w:val="0"/>
      <w:marBottom w:val="0"/>
      <w:divBdr>
        <w:top w:val="none" w:sz="0" w:space="0" w:color="auto"/>
        <w:left w:val="none" w:sz="0" w:space="0" w:color="auto"/>
        <w:bottom w:val="none" w:sz="0" w:space="0" w:color="auto"/>
        <w:right w:val="none" w:sz="0" w:space="0" w:color="auto"/>
      </w:divBdr>
      <w:divsChild>
        <w:div w:id="1294288643">
          <w:marLeft w:val="0"/>
          <w:marRight w:val="0"/>
          <w:marTop w:val="0"/>
          <w:marBottom w:val="0"/>
          <w:divBdr>
            <w:top w:val="none" w:sz="0" w:space="0" w:color="auto"/>
            <w:left w:val="none" w:sz="0" w:space="0" w:color="auto"/>
            <w:bottom w:val="none" w:sz="0" w:space="0" w:color="auto"/>
            <w:right w:val="none" w:sz="0" w:space="0" w:color="auto"/>
          </w:divBdr>
        </w:div>
      </w:divsChild>
    </w:div>
    <w:div w:id="1766733230">
      <w:bodyDiv w:val="1"/>
      <w:marLeft w:val="0"/>
      <w:marRight w:val="0"/>
      <w:marTop w:val="0"/>
      <w:marBottom w:val="0"/>
      <w:divBdr>
        <w:top w:val="none" w:sz="0" w:space="0" w:color="auto"/>
        <w:left w:val="none" w:sz="0" w:space="0" w:color="auto"/>
        <w:bottom w:val="none" w:sz="0" w:space="0" w:color="auto"/>
        <w:right w:val="none" w:sz="0" w:space="0" w:color="auto"/>
      </w:divBdr>
    </w:div>
    <w:div w:id="1769613778">
      <w:bodyDiv w:val="1"/>
      <w:marLeft w:val="0"/>
      <w:marRight w:val="0"/>
      <w:marTop w:val="0"/>
      <w:marBottom w:val="0"/>
      <w:divBdr>
        <w:top w:val="none" w:sz="0" w:space="0" w:color="auto"/>
        <w:left w:val="none" w:sz="0" w:space="0" w:color="auto"/>
        <w:bottom w:val="none" w:sz="0" w:space="0" w:color="auto"/>
        <w:right w:val="none" w:sz="0" w:space="0" w:color="auto"/>
      </w:divBdr>
    </w:div>
    <w:div w:id="1801070832">
      <w:bodyDiv w:val="1"/>
      <w:marLeft w:val="0"/>
      <w:marRight w:val="0"/>
      <w:marTop w:val="0"/>
      <w:marBottom w:val="0"/>
      <w:divBdr>
        <w:top w:val="none" w:sz="0" w:space="0" w:color="auto"/>
        <w:left w:val="none" w:sz="0" w:space="0" w:color="auto"/>
        <w:bottom w:val="none" w:sz="0" w:space="0" w:color="auto"/>
        <w:right w:val="none" w:sz="0" w:space="0" w:color="auto"/>
      </w:divBdr>
      <w:divsChild>
        <w:div w:id="1837067913">
          <w:marLeft w:val="0"/>
          <w:marRight w:val="0"/>
          <w:marTop w:val="0"/>
          <w:marBottom w:val="0"/>
          <w:divBdr>
            <w:top w:val="none" w:sz="0" w:space="0" w:color="auto"/>
            <w:left w:val="none" w:sz="0" w:space="0" w:color="auto"/>
            <w:bottom w:val="none" w:sz="0" w:space="0" w:color="auto"/>
            <w:right w:val="none" w:sz="0" w:space="0" w:color="auto"/>
          </w:divBdr>
        </w:div>
        <w:div w:id="400107538">
          <w:marLeft w:val="0"/>
          <w:marRight w:val="0"/>
          <w:marTop w:val="0"/>
          <w:marBottom w:val="0"/>
          <w:divBdr>
            <w:top w:val="none" w:sz="0" w:space="0" w:color="auto"/>
            <w:left w:val="none" w:sz="0" w:space="0" w:color="auto"/>
            <w:bottom w:val="none" w:sz="0" w:space="0" w:color="auto"/>
            <w:right w:val="none" w:sz="0" w:space="0" w:color="auto"/>
          </w:divBdr>
        </w:div>
        <w:div w:id="1019547583">
          <w:marLeft w:val="0"/>
          <w:marRight w:val="0"/>
          <w:marTop w:val="0"/>
          <w:marBottom w:val="0"/>
          <w:divBdr>
            <w:top w:val="none" w:sz="0" w:space="0" w:color="auto"/>
            <w:left w:val="none" w:sz="0" w:space="0" w:color="auto"/>
            <w:bottom w:val="none" w:sz="0" w:space="0" w:color="auto"/>
            <w:right w:val="none" w:sz="0" w:space="0" w:color="auto"/>
          </w:divBdr>
        </w:div>
        <w:div w:id="203520938">
          <w:marLeft w:val="0"/>
          <w:marRight w:val="0"/>
          <w:marTop w:val="0"/>
          <w:marBottom w:val="0"/>
          <w:divBdr>
            <w:top w:val="none" w:sz="0" w:space="0" w:color="auto"/>
            <w:left w:val="none" w:sz="0" w:space="0" w:color="auto"/>
            <w:bottom w:val="none" w:sz="0" w:space="0" w:color="auto"/>
            <w:right w:val="none" w:sz="0" w:space="0" w:color="auto"/>
          </w:divBdr>
        </w:div>
        <w:div w:id="1274047525">
          <w:marLeft w:val="0"/>
          <w:marRight w:val="0"/>
          <w:marTop w:val="0"/>
          <w:marBottom w:val="0"/>
          <w:divBdr>
            <w:top w:val="none" w:sz="0" w:space="0" w:color="auto"/>
            <w:left w:val="none" w:sz="0" w:space="0" w:color="auto"/>
            <w:bottom w:val="none" w:sz="0" w:space="0" w:color="auto"/>
            <w:right w:val="none" w:sz="0" w:space="0" w:color="auto"/>
          </w:divBdr>
        </w:div>
      </w:divsChild>
    </w:div>
    <w:div w:id="1805924384">
      <w:bodyDiv w:val="1"/>
      <w:marLeft w:val="0"/>
      <w:marRight w:val="0"/>
      <w:marTop w:val="0"/>
      <w:marBottom w:val="0"/>
      <w:divBdr>
        <w:top w:val="none" w:sz="0" w:space="0" w:color="auto"/>
        <w:left w:val="none" w:sz="0" w:space="0" w:color="auto"/>
        <w:bottom w:val="none" w:sz="0" w:space="0" w:color="auto"/>
        <w:right w:val="none" w:sz="0" w:space="0" w:color="auto"/>
      </w:divBdr>
      <w:divsChild>
        <w:div w:id="1160654000">
          <w:marLeft w:val="0"/>
          <w:marRight w:val="0"/>
          <w:marTop w:val="0"/>
          <w:marBottom w:val="0"/>
          <w:divBdr>
            <w:top w:val="none" w:sz="0" w:space="0" w:color="auto"/>
            <w:left w:val="none" w:sz="0" w:space="0" w:color="auto"/>
            <w:bottom w:val="none" w:sz="0" w:space="0" w:color="auto"/>
            <w:right w:val="none" w:sz="0" w:space="0" w:color="auto"/>
          </w:divBdr>
        </w:div>
      </w:divsChild>
    </w:div>
    <w:div w:id="1818759737">
      <w:bodyDiv w:val="1"/>
      <w:marLeft w:val="0"/>
      <w:marRight w:val="0"/>
      <w:marTop w:val="0"/>
      <w:marBottom w:val="0"/>
      <w:divBdr>
        <w:top w:val="none" w:sz="0" w:space="0" w:color="auto"/>
        <w:left w:val="none" w:sz="0" w:space="0" w:color="auto"/>
        <w:bottom w:val="none" w:sz="0" w:space="0" w:color="auto"/>
        <w:right w:val="none" w:sz="0" w:space="0" w:color="auto"/>
      </w:divBdr>
      <w:divsChild>
        <w:div w:id="20128056">
          <w:marLeft w:val="0"/>
          <w:marRight w:val="0"/>
          <w:marTop w:val="0"/>
          <w:marBottom w:val="0"/>
          <w:divBdr>
            <w:top w:val="none" w:sz="0" w:space="0" w:color="auto"/>
            <w:left w:val="none" w:sz="0" w:space="0" w:color="auto"/>
            <w:bottom w:val="none" w:sz="0" w:space="0" w:color="auto"/>
            <w:right w:val="none" w:sz="0" w:space="0" w:color="auto"/>
          </w:divBdr>
        </w:div>
      </w:divsChild>
    </w:div>
    <w:div w:id="1831631492">
      <w:bodyDiv w:val="1"/>
      <w:marLeft w:val="0"/>
      <w:marRight w:val="0"/>
      <w:marTop w:val="0"/>
      <w:marBottom w:val="0"/>
      <w:divBdr>
        <w:top w:val="none" w:sz="0" w:space="0" w:color="auto"/>
        <w:left w:val="none" w:sz="0" w:space="0" w:color="auto"/>
        <w:bottom w:val="none" w:sz="0" w:space="0" w:color="auto"/>
        <w:right w:val="none" w:sz="0" w:space="0" w:color="auto"/>
      </w:divBdr>
    </w:div>
    <w:div w:id="1862544269">
      <w:bodyDiv w:val="1"/>
      <w:marLeft w:val="0"/>
      <w:marRight w:val="0"/>
      <w:marTop w:val="0"/>
      <w:marBottom w:val="0"/>
      <w:divBdr>
        <w:top w:val="none" w:sz="0" w:space="0" w:color="auto"/>
        <w:left w:val="none" w:sz="0" w:space="0" w:color="auto"/>
        <w:bottom w:val="none" w:sz="0" w:space="0" w:color="auto"/>
        <w:right w:val="none" w:sz="0" w:space="0" w:color="auto"/>
      </w:divBdr>
    </w:div>
    <w:div w:id="1863283986">
      <w:bodyDiv w:val="1"/>
      <w:marLeft w:val="0"/>
      <w:marRight w:val="0"/>
      <w:marTop w:val="0"/>
      <w:marBottom w:val="0"/>
      <w:divBdr>
        <w:top w:val="none" w:sz="0" w:space="0" w:color="auto"/>
        <w:left w:val="none" w:sz="0" w:space="0" w:color="auto"/>
        <w:bottom w:val="none" w:sz="0" w:space="0" w:color="auto"/>
        <w:right w:val="none" w:sz="0" w:space="0" w:color="auto"/>
      </w:divBdr>
    </w:div>
    <w:div w:id="1883859226">
      <w:bodyDiv w:val="1"/>
      <w:marLeft w:val="0"/>
      <w:marRight w:val="0"/>
      <w:marTop w:val="0"/>
      <w:marBottom w:val="0"/>
      <w:divBdr>
        <w:top w:val="none" w:sz="0" w:space="0" w:color="auto"/>
        <w:left w:val="none" w:sz="0" w:space="0" w:color="auto"/>
        <w:bottom w:val="none" w:sz="0" w:space="0" w:color="auto"/>
        <w:right w:val="none" w:sz="0" w:space="0" w:color="auto"/>
      </w:divBdr>
    </w:div>
    <w:div w:id="1973706371">
      <w:bodyDiv w:val="1"/>
      <w:marLeft w:val="0"/>
      <w:marRight w:val="0"/>
      <w:marTop w:val="0"/>
      <w:marBottom w:val="0"/>
      <w:divBdr>
        <w:top w:val="none" w:sz="0" w:space="0" w:color="auto"/>
        <w:left w:val="none" w:sz="0" w:space="0" w:color="auto"/>
        <w:bottom w:val="none" w:sz="0" w:space="0" w:color="auto"/>
        <w:right w:val="none" w:sz="0" w:space="0" w:color="auto"/>
      </w:divBdr>
      <w:divsChild>
        <w:div w:id="526217679">
          <w:marLeft w:val="0"/>
          <w:marRight w:val="0"/>
          <w:marTop w:val="0"/>
          <w:marBottom w:val="0"/>
          <w:divBdr>
            <w:top w:val="none" w:sz="0" w:space="0" w:color="auto"/>
            <w:left w:val="none" w:sz="0" w:space="0" w:color="auto"/>
            <w:bottom w:val="none" w:sz="0" w:space="0" w:color="auto"/>
            <w:right w:val="none" w:sz="0" w:space="0" w:color="auto"/>
          </w:divBdr>
        </w:div>
        <w:div w:id="1076169425">
          <w:marLeft w:val="0"/>
          <w:marRight w:val="0"/>
          <w:marTop w:val="0"/>
          <w:marBottom w:val="0"/>
          <w:divBdr>
            <w:top w:val="none" w:sz="0" w:space="0" w:color="auto"/>
            <w:left w:val="none" w:sz="0" w:space="0" w:color="auto"/>
            <w:bottom w:val="none" w:sz="0" w:space="0" w:color="auto"/>
            <w:right w:val="none" w:sz="0" w:space="0" w:color="auto"/>
          </w:divBdr>
        </w:div>
      </w:divsChild>
    </w:div>
    <w:div w:id="1988434351">
      <w:bodyDiv w:val="1"/>
      <w:marLeft w:val="0"/>
      <w:marRight w:val="0"/>
      <w:marTop w:val="0"/>
      <w:marBottom w:val="0"/>
      <w:divBdr>
        <w:top w:val="none" w:sz="0" w:space="0" w:color="auto"/>
        <w:left w:val="none" w:sz="0" w:space="0" w:color="auto"/>
        <w:bottom w:val="none" w:sz="0" w:space="0" w:color="auto"/>
        <w:right w:val="none" w:sz="0" w:space="0" w:color="auto"/>
      </w:divBdr>
    </w:div>
    <w:div w:id="2027321966">
      <w:bodyDiv w:val="1"/>
      <w:marLeft w:val="0"/>
      <w:marRight w:val="0"/>
      <w:marTop w:val="0"/>
      <w:marBottom w:val="0"/>
      <w:divBdr>
        <w:top w:val="none" w:sz="0" w:space="0" w:color="auto"/>
        <w:left w:val="none" w:sz="0" w:space="0" w:color="auto"/>
        <w:bottom w:val="none" w:sz="0" w:space="0" w:color="auto"/>
        <w:right w:val="none" w:sz="0" w:space="0" w:color="auto"/>
      </w:divBdr>
      <w:divsChild>
        <w:div w:id="1353412976">
          <w:marLeft w:val="0"/>
          <w:marRight w:val="0"/>
          <w:marTop w:val="0"/>
          <w:marBottom w:val="0"/>
          <w:divBdr>
            <w:top w:val="none" w:sz="0" w:space="0" w:color="auto"/>
            <w:left w:val="none" w:sz="0" w:space="0" w:color="auto"/>
            <w:bottom w:val="none" w:sz="0" w:space="0" w:color="auto"/>
            <w:right w:val="none" w:sz="0" w:space="0" w:color="auto"/>
          </w:divBdr>
        </w:div>
      </w:divsChild>
    </w:div>
    <w:div w:id="2085687405">
      <w:bodyDiv w:val="1"/>
      <w:marLeft w:val="0"/>
      <w:marRight w:val="0"/>
      <w:marTop w:val="0"/>
      <w:marBottom w:val="0"/>
      <w:divBdr>
        <w:top w:val="none" w:sz="0" w:space="0" w:color="auto"/>
        <w:left w:val="none" w:sz="0" w:space="0" w:color="auto"/>
        <w:bottom w:val="none" w:sz="0" w:space="0" w:color="auto"/>
        <w:right w:val="none" w:sz="0" w:space="0" w:color="auto"/>
      </w:divBdr>
    </w:div>
    <w:div w:id="2112509251">
      <w:bodyDiv w:val="1"/>
      <w:marLeft w:val="0"/>
      <w:marRight w:val="0"/>
      <w:marTop w:val="0"/>
      <w:marBottom w:val="0"/>
      <w:divBdr>
        <w:top w:val="none" w:sz="0" w:space="0" w:color="auto"/>
        <w:left w:val="none" w:sz="0" w:space="0" w:color="auto"/>
        <w:bottom w:val="none" w:sz="0" w:space="0" w:color="auto"/>
        <w:right w:val="none" w:sz="0" w:space="0" w:color="auto"/>
      </w:divBdr>
      <w:divsChild>
        <w:div w:id="1966156890">
          <w:marLeft w:val="0"/>
          <w:marRight w:val="0"/>
          <w:marTop w:val="0"/>
          <w:marBottom w:val="0"/>
          <w:divBdr>
            <w:top w:val="none" w:sz="0" w:space="0" w:color="auto"/>
            <w:left w:val="none" w:sz="0" w:space="0" w:color="auto"/>
            <w:bottom w:val="none" w:sz="0" w:space="0" w:color="auto"/>
            <w:right w:val="none" w:sz="0" w:space="0" w:color="auto"/>
          </w:divBdr>
        </w:div>
      </w:divsChild>
    </w:div>
    <w:div w:id="2129228333">
      <w:bodyDiv w:val="1"/>
      <w:marLeft w:val="0"/>
      <w:marRight w:val="0"/>
      <w:marTop w:val="0"/>
      <w:marBottom w:val="0"/>
      <w:divBdr>
        <w:top w:val="none" w:sz="0" w:space="0" w:color="auto"/>
        <w:left w:val="none" w:sz="0" w:space="0" w:color="auto"/>
        <w:bottom w:val="none" w:sz="0" w:space="0" w:color="auto"/>
        <w:right w:val="none" w:sz="0" w:space="0" w:color="auto"/>
      </w:divBdr>
    </w:div>
    <w:div w:id="213046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yperlink" Target="http://www.americanbar.org/publications/preview_home.html" TargetMode="External"/><Relationship Id="rId26" Type="http://schemas.openxmlformats.org/officeDocument/2006/relationships/image" Target="media/image4.emf"/><Relationship Id="rId39" Type="http://schemas.openxmlformats.org/officeDocument/2006/relationships/hyperlink" Target="http://www.nytimes.com/2013/05/05/business/pro-business-decisions-are-defining-this-supreme-court.html?pagewanted=all" TargetMode="External"/><Relationship Id="rId21" Type="http://schemas.openxmlformats.org/officeDocument/2006/relationships/hyperlink" Target="http://scdb.wustl.edu/index.php" TargetMode="External"/><Relationship Id="rId34" Type="http://schemas.openxmlformats.org/officeDocument/2006/relationships/hyperlink" Target="http://library.cqpress.com.proxy.lib.utk.edu:90/scyb/scyb10-1270-72831-2396980" TargetMode="External"/><Relationship Id="rId42" Type="http://schemas.openxmlformats.org/officeDocument/2006/relationships/hyperlink" Target="http://www.cato.org/pubs/scr/2009/FourthAmendment-ONeill.pdf" TargetMode="External"/><Relationship Id="rId47" Type="http://schemas.openxmlformats.org/officeDocument/2006/relationships/hyperlink" Target="http://sblog.s3.amazonaws.com/wp-content/uploads/2012/06/SCOTUSblog_Summary_Memo_OT11.pdf" TargetMode="External"/><Relationship Id="rId50" Type="http://schemas.openxmlformats.org/officeDocument/2006/relationships/hyperlink" Target="http://content.time.com/time/covers/0,16641,20120618,00.html"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image" Target="media/image3.emf"/><Relationship Id="rId33" Type="http://schemas.openxmlformats.org/officeDocument/2006/relationships/hyperlink" Target="http://library.cqpress.com.proxy.lib.utk.edu:90/scyb/scyb11-1386-79303-2493502" TargetMode="External"/><Relationship Id="rId38" Type="http://schemas.openxmlformats.org/officeDocument/2006/relationships/hyperlink" Target="http://www.nytimes.com/2010/07/25/us/25roberts.html?ref=therobertscourt" TargetMode="External"/><Relationship Id="rId46" Type="http://schemas.openxmlformats.org/officeDocument/2006/relationships/hyperlink" Target="http://www.nytimes.com/2008/03/16/magazine/16supreme-t.html?pagewanted=all"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www.supremecourt.gov/docket/docket.aspx" TargetMode="External"/><Relationship Id="rId29" Type="http://schemas.openxmlformats.org/officeDocument/2006/relationships/hyperlink" Target="http://www.volokh.com/2010/08/01/court-underroberts-is-most-restrained-in-decades/" TargetMode="External"/><Relationship Id="rId41" Type="http://schemas.openxmlformats.org/officeDocument/2006/relationships/hyperlink" Target="http://www.law.yale.edu/documents/pdf/News_&amp;_Events/For_Pincus_tax_issue_was_always_at_center_of_HC_case.SCI.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2.emf"/><Relationship Id="rId32" Type="http://schemas.openxmlformats.org/officeDocument/2006/relationships/hyperlink" Target="http://opinionator.blogs.nytimes.com/2013/06/29/the-real-john-roberts-emerges/" TargetMode="External"/><Relationship Id="rId37" Type="http://schemas.openxmlformats.org/officeDocument/2006/relationships/hyperlink" Target="http://library.cqpress.com.proxy.lib.utk.edu:90/scyb/scyb07-995-46668-2078042" TargetMode="External"/><Relationship Id="rId40" Type="http://schemas.openxmlformats.org/officeDocument/2006/relationships/hyperlink" Target="http://www.nytimes.com/2013/06/28/us/politics/roberts-plays-a-long-game.html?pagewanted=all&amp;_r=0" TargetMode="External"/><Relationship Id="rId45" Type="http://schemas.openxmlformats.org/officeDocument/2006/relationships/hyperlink" Target="http://purl.umn.edu/57307" TargetMode="External"/><Relationship Id="rId53" Type="http://schemas.openxmlformats.org/officeDocument/2006/relationships/hyperlink" Target="http://www.scotusblog.com/" TargetMode="Externa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image" Target="media/image1.emf"/><Relationship Id="rId28" Type="http://schemas.openxmlformats.org/officeDocument/2006/relationships/image" Target="media/image6.emf"/><Relationship Id="rId36" Type="http://schemas.openxmlformats.org/officeDocument/2006/relationships/hyperlink" Target="http://library.cqpress.com.proxy.lib.utk.edu:90/scyb/scyb08-1085-52873-2185004" TargetMode="External"/><Relationship Id="rId49" Type="http://schemas.openxmlformats.org/officeDocument/2006/relationships/hyperlink" Target="http://scdb.wustl.edu/" TargetMode="External"/><Relationship Id="rId10" Type="http://schemas.openxmlformats.org/officeDocument/2006/relationships/hyperlink" Target="http://scdb.wustl.edu/index.php" TargetMode="External"/><Relationship Id="rId19" Type="http://schemas.openxmlformats.org/officeDocument/2006/relationships/hyperlink" Target="http://www.scotusblog.com/" TargetMode="External"/><Relationship Id="rId31" Type="http://schemas.openxmlformats.org/officeDocument/2006/relationships/hyperlink" Target="http://www.npr.org/2012/07/08/156466010/congress-big-stick-just-got-a-little-shorter" TargetMode="External"/><Relationship Id="rId44" Type="http://schemas.openxmlformats.org/officeDocument/2006/relationships/hyperlink" Target="http://www.cnn.com/2005/POLITICS/09/12/roberts.statement/index.html?_s=PM:POLITICS" TargetMode="External"/><Relationship Id="rId52" Type="http://schemas.openxmlformats.org/officeDocument/2006/relationships/hyperlink" Target="http://www.scotusblog.com/2012/06/the-roberts-court-is-bor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hyperlink" Target="http://scdb.wustl.edu/index.php" TargetMode="External"/><Relationship Id="rId27" Type="http://schemas.openxmlformats.org/officeDocument/2006/relationships/image" Target="media/image5.emf"/><Relationship Id="rId30" Type="http://schemas.openxmlformats.org/officeDocument/2006/relationships/hyperlink" Target="http://www.scotusblog.com/2013/07/the-roberts-court-and-the-first-amendment/" TargetMode="External"/><Relationship Id="rId35" Type="http://schemas.openxmlformats.org/officeDocument/2006/relationships/hyperlink" Target="http://library.cqpress.com.proxy.lib.utk.edu:90/scyb/scyb09-1175-63040-2281991" TargetMode="External"/><Relationship Id="rId43" Type="http://schemas.openxmlformats.org/officeDocument/2006/relationships/hyperlink" Target="http://news.vanderbilt.edu/2012/07/aca-scotus/" TargetMode="External"/><Relationship Id="rId48" Type="http://schemas.openxmlformats.org/officeDocument/2006/relationships/hyperlink" Target="http://scdb.wustl.edu/" TargetMode="External"/><Relationship Id="rId8" Type="http://schemas.openxmlformats.org/officeDocument/2006/relationships/endnotes" Target="endnotes.xml"/><Relationship Id="rId51" Type="http://schemas.openxmlformats.org/officeDocument/2006/relationships/hyperlink" Target="http://www.newyorker.com/reporting/2009/05/25/090525fa_fact_toobin"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pacificlegal.org/about" TargetMode="External"/><Relationship Id="rId2" Type="http://schemas.openxmlformats.org/officeDocument/2006/relationships/hyperlink" Target="http://library.cqpress.com/supremecourtguide/" TargetMode="External"/><Relationship Id="rId1" Type="http://schemas.openxmlformats.org/officeDocument/2006/relationships/hyperlink" Target="http://scdb.wustl.edu/data.php?s=5"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Number of Cases Decided</c:v>
                </c:pt>
              </c:strCache>
            </c:strRef>
          </c:tx>
          <c:invertIfNegative val="0"/>
          <c:dLbls>
            <c:dLblPos val="outEnd"/>
            <c:showLegendKey val="0"/>
            <c:showVal val="1"/>
            <c:showCatName val="0"/>
            <c:showSerName val="0"/>
            <c:showPercent val="0"/>
            <c:showBubbleSize val="0"/>
            <c:showLeaderLines val="0"/>
          </c:dLbls>
          <c:cat>
            <c:numRef>
              <c:f>Sheet1!$A$2:$A$9</c:f>
              <c:numCache>
                <c:formatCode>General</c:formatCode>
                <c:ptCount val="8"/>
                <c:pt idx="0">
                  <c:v>2005</c:v>
                </c:pt>
                <c:pt idx="1">
                  <c:v>2006</c:v>
                </c:pt>
                <c:pt idx="2">
                  <c:v>2007</c:v>
                </c:pt>
                <c:pt idx="3">
                  <c:v>2008</c:v>
                </c:pt>
                <c:pt idx="4">
                  <c:v>2009</c:v>
                </c:pt>
                <c:pt idx="5">
                  <c:v>2010</c:v>
                </c:pt>
                <c:pt idx="6">
                  <c:v>2011</c:v>
                </c:pt>
                <c:pt idx="7">
                  <c:v>2012</c:v>
                </c:pt>
              </c:numCache>
            </c:numRef>
          </c:cat>
          <c:val>
            <c:numRef>
              <c:f>Sheet1!$B$2:$B$9</c:f>
              <c:numCache>
                <c:formatCode>General</c:formatCode>
                <c:ptCount val="8"/>
                <c:pt idx="0">
                  <c:v>74</c:v>
                </c:pt>
                <c:pt idx="1">
                  <c:v>71</c:v>
                </c:pt>
                <c:pt idx="2">
                  <c:v>69</c:v>
                </c:pt>
                <c:pt idx="3">
                  <c:v>77</c:v>
                </c:pt>
                <c:pt idx="4">
                  <c:v>76</c:v>
                </c:pt>
                <c:pt idx="5">
                  <c:v>78</c:v>
                </c:pt>
                <c:pt idx="6">
                  <c:v>67</c:v>
                </c:pt>
                <c:pt idx="7">
                  <c:v>74</c:v>
                </c:pt>
              </c:numCache>
            </c:numRef>
          </c:val>
        </c:ser>
        <c:dLbls>
          <c:showLegendKey val="0"/>
          <c:showVal val="0"/>
          <c:showCatName val="0"/>
          <c:showSerName val="0"/>
          <c:showPercent val="0"/>
          <c:showBubbleSize val="0"/>
        </c:dLbls>
        <c:gapWidth val="150"/>
        <c:axId val="139849088"/>
        <c:axId val="173738624"/>
      </c:barChart>
      <c:catAx>
        <c:axId val="139849088"/>
        <c:scaling>
          <c:orientation val="minMax"/>
        </c:scaling>
        <c:delete val="0"/>
        <c:axPos val="l"/>
        <c:title>
          <c:tx>
            <c:rich>
              <a:bodyPr rot="0" vert="horz"/>
              <a:lstStyle/>
              <a:p>
                <a:pPr>
                  <a:defRPr/>
                </a:pPr>
                <a:r>
                  <a:rPr lang="en-US"/>
                  <a:t>Term</a:t>
                </a:r>
              </a:p>
            </c:rich>
          </c:tx>
          <c:overlay val="0"/>
        </c:title>
        <c:numFmt formatCode="General" sourceLinked="1"/>
        <c:majorTickMark val="out"/>
        <c:minorTickMark val="none"/>
        <c:tickLblPos val="nextTo"/>
        <c:crossAx val="173738624"/>
        <c:crosses val="autoZero"/>
        <c:auto val="1"/>
        <c:lblAlgn val="ctr"/>
        <c:lblOffset val="100"/>
        <c:noMultiLvlLbl val="0"/>
      </c:catAx>
      <c:valAx>
        <c:axId val="173738624"/>
        <c:scaling>
          <c:orientation val="minMax"/>
        </c:scaling>
        <c:delete val="0"/>
        <c:axPos val="b"/>
        <c:title>
          <c:tx>
            <c:rich>
              <a:bodyPr/>
              <a:lstStyle/>
              <a:p>
                <a:pPr algn="ctr" rtl="0">
                  <a:defRPr/>
                </a:pPr>
                <a:r>
                  <a:rPr lang="en-US"/>
                  <a:t>Number of Cases Decided Per Term</a:t>
                </a:r>
              </a:p>
              <a:p>
                <a:pPr algn="ctr" rtl="0">
                  <a:defRPr/>
                </a:pPr>
                <a:endParaRPr lang="en-US"/>
              </a:p>
            </c:rich>
          </c:tx>
          <c:overlay val="0"/>
        </c:title>
        <c:numFmt formatCode="General" sourceLinked="1"/>
        <c:majorTickMark val="out"/>
        <c:minorTickMark val="none"/>
        <c:tickLblPos val="nextTo"/>
        <c:crossAx val="139849088"/>
        <c:crosses val="autoZero"/>
        <c:crossBetween val="between"/>
      </c:valAx>
    </c:plotArea>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Sheet1!$B$1</c:f>
              <c:strCache>
                <c:ptCount val="1"/>
                <c:pt idx="0">
                  <c:v>Liberal</c:v>
                </c:pt>
              </c:strCache>
            </c:strRef>
          </c:tx>
          <c:invertIfNegative val="0"/>
          <c:cat>
            <c:numRef>
              <c:f>Sheet1!$A$2:$A$9</c:f>
              <c:numCache>
                <c:formatCode>General</c:formatCode>
                <c:ptCount val="8"/>
                <c:pt idx="0">
                  <c:v>2005</c:v>
                </c:pt>
                <c:pt idx="1">
                  <c:v>2006</c:v>
                </c:pt>
                <c:pt idx="2">
                  <c:v>2007</c:v>
                </c:pt>
                <c:pt idx="3">
                  <c:v>2008</c:v>
                </c:pt>
                <c:pt idx="4">
                  <c:v>2009</c:v>
                </c:pt>
                <c:pt idx="5">
                  <c:v>2010</c:v>
                </c:pt>
                <c:pt idx="6">
                  <c:v>2011</c:v>
                </c:pt>
                <c:pt idx="7">
                  <c:v>2012</c:v>
                </c:pt>
              </c:numCache>
            </c:numRef>
          </c:cat>
          <c:val>
            <c:numRef>
              <c:f>Sheet1!$B$2:$B$9</c:f>
              <c:numCache>
                <c:formatCode>General</c:formatCode>
                <c:ptCount val="8"/>
                <c:pt idx="0">
                  <c:v>29</c:v>
                </c:pt>
                <c:pt idx="1">
                  <c:v>29</c:v>
                </c:pt>
                <c:pt idx="2">
                  <c:v>36</c:v>
                </c:pt>
                <c:pt idx="3">
                  <c:v>26</c:v>
                </c:pt>
                <c:pt idx="4">
                  <c:v>36</c:v>
                </c:pt>
                <c:pt idx="5">
                  <c:v>35</c:v>
                </c:pt>
                <c:pt idx="6">
                  <c:v>31</c:v>
                </c:pt>
                <c:pt idx="7">
                  <c:v>40</c:v>
                </c:pt>
              </c:numCache>
            </c:numRef>
          </c:val>
        </c:ser>
        <c:ser>
          <c:idx val="1"/>
          <c:order val="1"/>
          <c:tx>
            <c:strRef>
              <c:f>Sheet1!$C$1</c:f>
              <c:strCache>
                <c:ptCount val="1"/>
                <c:pt idx="0">
                  <c:v>Conservative</c:v>
                </c:pt>
              </c:strCache>
            </c:strRef>
          </c:tx>
          <c:invertIfNegative val="0"/>
          <c:cat>
            <c:numRef>
              <c:f>Sheet1!$A$2:$A$9</c:f>
              <c:numCache>
                <c:formatCode>General</c:formatCode>
                <c:ptCount val="8"/>
                <c:pt idx="0">
                  <c:v>2005</c:v>
                </c:pt>
                <c:pt idx="1">
                  <c:v>2006</c:v>
                </c:pt>
                <c:pt idx="2">
                  <c:v>2007</c:v>
                </c:pt>
                <c:pt idx="3">
                  <c:v>2008</c:v>
                </c:pt>
                <c:pt idx="4">
                  <c:v>2009</c:v>
                </c:pt>
                <c:pt idx="5">
                  <c:v>2010</c:v>
                </c:pt>
                <c:pt idx="6">
                  <c:v>2011</c:v>
                </c:pt>
                <c:pt idx="7">
                  <c:v>2012</c:v>
                </c:pt>
              </c:numCache>
            </c:numRef>
          </c:cat>
          <c:val>
            <c:numRef>
              <c:f>Sheet1!$C$2:$C$9</c:f>
              <c:numCache>
                <c:formatCode>General</c:formatCode>
                <c:ptCount val="8"/>
                <c:pt idx="0">
                  <c:v>45</c:v>
                </c:pt>
                <c:pt idx="1">
                  <c:v>42</c:v>
                </c:pt>
                <c:pt idx="2">
                  <c:v>32</c:v>
                </c:pt>
                <c:pt idx="3">
                  <c:v>49</c:v>
                </c:pt>
                <c:pt idx="4">
                  <c:v>39</c:v>
                </c:pt>
                <c:pt idx="5">
                  <c:v>41</c:v>
                </c:pt>
                <c:pt idx="6">
                  <c:v>35</c:v>
                </c:pt>
                <c:pt idx="7">
                  <c:v>34</c:v>
                </c:pt>
              </c:numCache>
            </c:numRef>
          </c:val>
        </c:ser>
        <c:dLbls>
          <c:dLblPos val="outEnd"/>
          <c:showLegendKey val="0"/>
          <c:showVal val="1"/>
          <c:showCatName val="0"/>
          <c:showSerName val="0"/>
          <c:showPercent val="0"/>
          <c:showBubbleSize val="0"/>
        </c:dLbls>
        <c:gapWidth val="150"/>
        <c:axId val="121142272"/>
        <c:axId val="121152640"/>
      </c:barChart>
      <c:catAx>
        <c:axId val="121142272"/>
        <c:scaling>
          <c:orientation val="minMax"/>
        </c:scaling>
        <c:delete val="0"/>
        <c:axPos val="l"/>
        <c:title>
          <c:tx>
            <c:rich>
              <a:bodyPr rot="0" vert="horz"/>
              <a:lstStyle/>
              <a:p>
                <a:pPr>
                  <a:defRPr/>
                </a:pPr>
                <a:r>
                  <a:rPr lang="en-US"/>
                  <a:t>Term</a:t>
                </a:r>
              </a:p>
            </c:rich>
          </c:tx>
          <c:overlay val="0"/>
        </c:title>
        <c:numFmt formatCode="General" sourceLinked="1"/>
        <c:majorTickMark val="out"/>
        <c:minorTickMark val="none"/>
        <c:tickLblPos val="nextTo"/>
        <c:crossAx val="121152640"/>
        <c:crosses val="autoZero"/>
        <c:auto val="1"/>
        <c:lblAlgn val="ctr"/>
        <c:lblOffset val="100"/>
        <c:noMultiLvlLbl val="0"/>
      </c:catAx>
      <c:valAx>
        <c:axId val="121152640"/>
        <c:scaling>
          <c:orientation val="minMax"/>
        </c:scaling>
        <c:delete val="0"/>
        <c:axPos val="b"/>
        <c:title>
          <c:tx>
            <c:rich>
              <a:bodyPr/>
              <a:lstStyle/>
              <a:p>
                <a:pPr>
                  <a:defRPr/>
                </a:pPr>
                <a:r>
                  <a:rPr lang="en-US"/>
                  <a:t>Number of Cases</a:t>
                </a:r>
              </a:p>
            </c:rich>
          </c:tx>
          <c:overlay val="0"/>
        </c:title>
        <c:numFmt formatCode="General" sourceLinked="1"/>
        <c:majorTickMark val="out"/>
        <c:minorTickMark val="none"/>
        <c:tickLblPos val="nextTo"/>
        <c:crossAx val="121142272"/>
        <c:crosses val="autoZero"/>
        <c:crossBetween val="between"/>
      </c:valAx>
    </c:plotArea>
    <c:legend>
      <c:legendPos val="r"/>
      <c:overlay val="0"/>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Percent of Cases Striking Down Laws As Unconstitutional</c:v>
                </c:pt>
              </c:strCache>
            </c:strRef>
          </c:tx>
          <c:invertIfNegative val="0"/>
          <c:cat>
            <c:strRef>
              <c:f>Sheet1!$A$2:$A$5</c:f>
              <c:strCache>
                <c:ptCount val="4"/>
                <c:pt idx="0">
                  <c:v>Roberts</c:v>
                </c:pt>
                <c:pt idx="1">
                  <c:v>Rehnquist</c:v>
                </c:pt>
                <c:pt idx="2">
                  <c:v>Burger</c:v>
                </c:pt>
                <c:pt idx="3">
                  <c:v>Warren</c:v>
                </c:pt>
              </c:strCache>
            </c:strRef>
          </c:cat>
          <c:val>
            <c:numRef>
              <c:f>Sheet1!$B$2:$B$5</c:f>
              <c:numCache>
                <c:formatCode>0.00%</c:formatCode>
                <c:ptCount val="4"/>
                <c:pt idx="0">
                  <c:v>3.7499999999999999E-2</c:v>
                </c:pt>
                <c:pt idx="1">
                  <c:v>6.3399999999999998E-2</c:v>
                </c:pt>
                <c:pt idx="2">
                  <c:v>8.8999999999999996E-2</c:v>
                </c:pt>
                <c:pt idx="3">
                  <c:v>7.0000000000000007E-2</c:v>
                </c:pt>
              </c:numCache>
            </c:numRef>
          </c:val>
        </c:ser>
        <c:dLbls>
          <c:dLblPos val="outEnd"/>
          <c:showLegendKey val="0"/>
          <c:showVal val="1"/>
          <c:showCatName val="0"/>
          <c:showSerName val="0"/>
          <c:showPercent val="0"/>
          <c:showBubbleSize val="0"/>
        </c:dLbls>
        <c:gapWidth val="150"/>
        <c:axId val="121309056"/>
        <c:axId val="121311232"/>
      </c:barChart>
      <c:catAx>
        <c:axId val="121309056"/>
        <c:scaling>
          <c:orientation val="minMax"/>
        </c:scaling>
        <c:delete val="0"/>
        <c:axPos val="l"/>
        <c:title>
          <c:tx>
            <c:rich>
              <a:bodyPr rot="0" vert="horz"/>
              <a:lstStyle/>
              <a:p>
                <a:pPr>
                  <a:defRPr sz="1200"/>
                </a:pPr>
                <a:r>
                  <a:rPr lang="en-US" sz="1200"/>
                  <a:t>Court</a:t>
                </a:r>
              </a:p>
            </c:rich>
          </c:tx>
          <c:overlay val="0"/>
        </c:title>
        <c:majorTickMark val="out"/>
        <c:minorTickMark val="none"/>
        <c:tickLblPos val="nextTo"/>
        <c:crossAx val="121311232"/>
        <c:crosses val="autoZero"/>
        <c:auto val="1"/>
        <c:lblAlgn val="ctr"/>
        <c:lblOffset val="100"/>
        <c:noMultiLvlLbl val="0"/>
      </c:catAx>
      <c:valAx>
        <c:axId val="121311232"/>
        <c:scaling>
          <c:orientation val="minMax"/>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i="0" baseline="0">
                    <a:effectLst/>
                  </a:rPr>
                  <a:t>Percent of Cases</a:t>
                </a:r>
                <a:endParaRPr lang="en-US" sz="1200">
                  <a:effectLst/>
                </a:endParaRPr>
              </a:p>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sz="1200"/>
              </a:p>
            </c:rich>
          </c:tx>
          <c:overlay val="0"/>
        </c:title>
        <c:numFmt formatCode="0.00%" sourceLinked="1"/>
        <c:majorTickMark val="out"/>
        <c:minorTickMark val="none"/>
        <c:tickLblPos val="nextTo"/>
        <c:crossAx val="121309056"/>
        <c:crosses val="autoZero"/>
        <c:crossBetween val="between"/>
      </c:valAx>
    </c:plotArea>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Percent of Cases in Which USSC Ruled in Favor of Petitioner</c:v>
                </c:pt>
              </c:strCache>
            </c:strRef>
          </c:tx>
          <c:invertIfNegative val="0"/>
          <c:cat>
            <c:strRef>
              <c:f>Sheet1!$A$2:$A$5</c:f>
              <c:strCache>
                <c:ptCount val="4"/>
                <c:pt idx="0">
                  <c:v>Roberts</c:v>
                </c:pt>
                <c:pt idx="1">
                  <c:v>Rehnquist</c:v>
                </c:pt>
                <c:pt idx="2">
                  <c:v>Burger</c:v>
                </c:pt>
                <c:pt idx="3">
                  <c:v>Warren</c:v>
                </c:pt>
              </c:strCache>
            </c:strRef>
          </c:cat>
          <c:val>
            <c:numRef>
              <c:f>Sheet1!$B$2:$B$5</c:f>
              <c:numCache>
                <c:formatCode>0.00%</c:formatCode>
                <c:ptCount val="4"/>
                <c:pt idx="0">
                  <c:v>0.6502</c:v>
                </c:pt>
                <c:pt idx="1">
                  <c:v>0.59630000000000005</c:v>
                </c:pt>
                <c:pt idx="2">
                  <c:v>0.63959999999999995</c:v>
                </c:pt>
                <c:pt idx="3">
                  <c:v>0.64980000000000004</c:v>
                </c:pt>
              </c:numCache>
            </c:numRef>
          </c:val>
        </c:ser>
        <c:dLbls>
          <c:dLblPos val="outEnd"/>
          <c:showLegendKey val="0"/>
          <c:showVal val="1"/>
          <c:showCatName val="0"/>
          <c:showSerName val="0"/>
          <c:showPercent val="0"/>
          <c:showBubbleSize val="0"/>
        </c:dLbls>
        <c:gapWidth val="150"/>
        <c:axId val="121315328"/>
        <c:axId val="121317248"/>
      </c:barChart>
      <c:catAx>
        <c:axId val="121315328"/>
        <c:scaling>
          <c:orientation val="minMax"/>
        </c:scaling>
        <c:delete val="0"/>
        <c:axPos val="l"/>
        <c:title>
          <c:tx>
            <c:rich>
              <a:bodyPr rot="0" vert="horz"/>
              <a:lstStyle/>
              <a:p>
                <a:pPr>
                  <a:defRPr/>
                </a:pPr>
                <a:r>
                  <a:rPr lang="en-US"/>
                  <a:t>Court</a:t>
                </a:r>
              </a:p>
            </c:rich>
          </c:tx>
          <c:overlay val="0"/>
        </c:title>
        <c:majorTickMark val="out"/>
        <c:minorTickMark val="none"/>
        <c:tickLblPos val="nextTo"/>
        <c:crossAx val="121317248"/>
        <c:crosses val="autoZero"/>
        <c:auto val="1"/>
        <c:lblAlgn val="ctr"/>
        <c:lblOffset val="100"/>
        <c:noMultiLvlLbl val="0"/>
      </c:catAx>
      <c:valAx>
        <c:axId val="121317248"/>
        <c:scaling>
          <c:orientation val="minMax"/>
        </c:scaling>
        <c:delete val="0"/>
        <c:axPos val="b"/>
        <c:title>
          <c:tx>
            <c:rich>
              <a:bodyPr/>
              <a:lstStyle/>
              <a:p>
                <a:pPr>
                  <a:defRPr/>
                </a:pPr>
                <a:r>
                  <a:rPr lang="en-US"/>
                  <a:t>Percent of Cases</a:t>
                </a:r>
              </a:p>
            </c:rich>
          </c:tx>
          <c:overlay val="0"/>
        </c:title>
        <c:numFmt formatCode="0.00%" sourceLinked="1"/>
        <c:majorTickMark val="out"/>
        <c:minorTickMark val="none"/>
        <c:tickLblPos val="nextTo"/>
        <c:crossAx val="121315328"/>
        <c:crosses val="autoZero"/>
        <c:crossBetween val="between"/>
      </c:valAx>
    </c:plotArea>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Percentage of Cases in Which Precedent Altered</c:v>
                </c:pt>
              </c:strCache>
            </c:strRef>
          </c:tx>
          <c:invertIfNegative val="0"/>
          <c:cat>
            <c:strRef>
              <c:f>Sheet1!$A$2:$A$5</c:f>
              <c:strCache>
                <c:ptCount val="4"/>
                <c:pt idx="0">
                  <c:v>Roberts</c:v>
                </c:pt>
                <c:pt idx="1">
                  <c:v>Rehnquist</c:v>
                </c:pt>
                <c:pt idx="2">
                  <c:v>Burger</c:v>
                </c:pt>
                <c:pt idx="3">
                  <c:v>Warren</c:v>
                </c:pt>
              </c:strCache>
            </c:strRef>
          </c:cat>
          <c:val>
            <c:numRef>
              <c:f>Sheet1!$B$2:$B$5</c:f>
              <c:numCache>
                <c:formatCode>0.00%</c:formatCode>
                <c:ptCount val="4"/>
                <c:pt idx="0">
                  <c:v>1.7100000000000001E-2</c:v>
                </c:pt>
                <c:pt idx="1">
                  <c:v>2.4E-2</c:v>
                </c:pt>
                <c:pt idx="2">
                  <c:v>1.9300000000000001E-2</c:v>
                </c:pt>
                <c:pt idx="3">
                  <c:v>2.3699999999999999E-2</c:v>
                </c:pt>
              </c:numCache>
            </c:numRef>
          </c:val>
        </c:ser>
        <c:dLbls>
          <c:dLblPos val="outEnd"/>
          <c:showLegendKey val="0"/>
          <c:showVal val="1"/>
          <c:showCatName val="0"/>
          <c:showSerName val="0"/>
          <c:showPercent val="0"/>
          <c:showBubbleSize val="0"/>
        </c:dLbls>
        <c:gapWidth val="150"/>
        <c:axId val="121481472"/>
        <c:axId val="121500032"/>
      </c:barChart>
      <c:catAx>
        <c:axId val="121481472"/>
        <c:scaling>
          <c:orientation val="minMax"/>
        </c:scaling>
        <c:delete val="0"/>
        <c:axPos val="l"/>
        <c:title>
          <c:tx>
            <c:rich>
              <a:bodyPr rot="0" vert="horz"/>
              <a:lstStyle/>
              <a:p>
                <a:pPr>
                  <a:defRPr/>
                </a:pPr>
                <a:r>
                  <a:rPr lang="en-US"/>
                  <a:t>Court</a:t>
                </a:r>
              </a:p>
            </c:rich>
          </c:tx>
          <c:overlay val="0"/>
        </c:title>
        <c:majorTickMark val="out"/>
        <c:minorTickMark val="none"/>
        <c:tickLblPos val="nextTo"/>
        <c:txPr>
          <a:bodyPr/>
          <a:lstStyle/>
          <a:p>
            <a:pPr>
              <a:defRPr b="0"/>
            </a:pPr>
            <a:endParaRPr lang="en-US"/>
          </a:p>
        </c:txPr>
        <c:crossAx val="121500032"/>
        <c:crosses val="autoZero"/>
        <c:auto val="1"/>
        <c:lblAlgn val="ctr"/>
        <c:lblOffset val="100"/>
        <c:noMultiLvlLbl val="0"/>
      </c:catAx>
      <c:valAx>
        <c:axId val="121500032"/>
        <c:scaling>
          <c:orientation val="minMax"/>
        </c:scaling>
        <c:delete val="0"/>
        <c:axPos val="b"/>
        <c:title>
          <c:tx>
            <c:rich>
              <a:bodyPr/>
              <a:lstStyle/>
              <a:p>
                <a:pPr>
                  <a:defRPr/>
                </a:pPr>
                <a:r>
                  <a:rPr lang="en-US"/>
                  <a:t>Percent of Cases</a:t>
                </a:r>
              </a:p>
            </c:rich>
          </c:tx>
          <c:overlay val="0"/>
        </c:title>
        <c:numFmt formatCode="0.00%" sourceLinked="1"/>
        <c:majorTickMark val="out"/>
        <c:minorTickMark val="none"/>
        <c:tickLblPos val="nextTo"/>
        <c:crossAx val="121481472"/>
        <c:crosses val="autoZero"/>
        <c:crossBetween val="between"/>
      </c:valAx>
    </c:plotArea>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Sheet1!$B$1</c:f>
              <c:strCache>
                <c:ptCount val="1"/>
                <c:pt idx="0">
                  <c:v>Five Vote Majority</c:v>
                </c:pt>
              </c:strCache>
            </c:strRef>
          </c:tx>
          <c:invertIfNegative val="0"/>
          <c:cat>
            <c:strRef>
              <c:f>Sheet1!$A$2:$A$5</c:f>
              <c:strCache>
                <c:ptCount val="4"/>
                <c:pt idx="0">
                  <c:v>Roberts</c:v>
                </c:pt>
                <c:pt idx="1">
                  <c:v>Rehnquist</c:v>
                </c:pt>
                <c:pt idx="2">
                  <c:v>Burger</c:v>
                </c:pt>
                <c:pt idx="3">
                  <c:v>Warren</c:v>
                </c:pt>
              </c:strCache>
            </c:strRef>
          </c:cat>
          <c:val>
            <c:numRef>
              <c:f>Sheet1!$B$2:$B$5</c:f>
              <c:numCache>
                <c:formatCode>0.00%</c:formatCode>
                <c:ptCount val="4"/>
                <c:pt idx="0">
                  <c:v>0.2611</c:v>
                </c:pt>
                <c:pt idx="1">
                  <c:v>0.222</c:v>
                </c:pt>
                <c:pt idx="2">
                  <c:v>0.2112</c:v>
                </c:pt>
                <c:pt idx="3">
                  <c:v>0.17949999999999999</c:v>
                </c:pt>
              </c:numCache>
            </c:numRef>
          </c:val>
        </c:ser>
        <c:ser>
          <c:idx val="1"/>
          <c:order val="1"/>
          <c:tx>
            <c:strRef>
              <c:f>Sheet1!$C$1</c:f>
              <c:strCache>
                <c:ptCount val="1"/>
                <c:pt idx="0">
                  <c:v>Unanimous Vote</c:v>
                </c:pt>
              </c:strCache>
            </c:strRef>
          </c:tx>
          <c:invertIfNegative val="0"/>
          <c:cat>
            <c:strRef>
              <c:f>Sheet1!$A$2:$A$5</c:f>
              <c:strCache>
                <c:ptCount val="4"/>
                <c:pt idx="0">
                  <c:v>Roberts</c:v>
                </c:pt>
                <c:pt idx="1">
                  <c:v>Rehnquist</c:v>
                </c:pt>
                <c:pt idx="2">
                  <c:v>Burger</c:v>
                </c:pt>
                <c:pt idx="3">
                  <c:v>Warren</c:v>
                </c:pt>
              </c:strCache>
            </c:strRef>
          </c:cat>
          <c:val>
            <c:numRef>
              <c:f>Sheet1!$C$2:$C$5</c:f>
              <c:numCache>
                <c:formatCode>0.00%</c:formatCode>
                <c:ptCount val="4"/>
                <c:pt idx="0">
                  <c:v>0.3362</c:v>
                </c:pt>
                <c:pt idx="1">
                  <c:v>0.36199999999999999</c:v>
                </c:pt>
                <c:pt idx="2">
                  <c:v>0.24399999999999999</c:v>
                </c:pt>
                <c:pt idx="3">
                  <c:v>0.24940000000000001</c:v>
                </c:pt>
              </c:numCache>
            </c:numRef>
          </c:val>
        </c:ser>
        <c:dLbls>
          <c:dLblPos val="outEnd"/>
          <c:showLegendKey val="0"/>
          <c:showVal val="1"/>
          <c:showCatName val="0"/>
          <c:showSerName val="0"/>
          <c:showPercent val="0"/>
          <c:showBubbleSize val="0"/>
        </c:dLbls>
        <c:gapWidth val="150"/>
        <c:axId val="126781312"/>
        <c:axId val="126799872"/>
      </c:barChart>
      <c:catAx>
        <c:axId val="126781312"/>
        <c:scaling>
          <c:orientation val="minMax"/>
        </c:scaling>
        <c:delete val="0"/>
        <c:axPos val="l"/>
        <c:title>
          <c:tx>
            <c:rich>
              <a:bodyPr rot="0" vert="horz"/>
              <a:lstStyle/>
              <a:p>
                <a:pPr>
                  <a:defRPr/>
                </a:pPr>
                <a:r>
                  <a:rPr lang="en-US"/>
                  <a:t>Court</a:t>
                </a:r>
              </a:p>
            </c:rich>
          </c:tx>
          <c:overlay val="0"/>
        </c:title>
        <c:majorTickMark val="out"/>
        <c:minorTickMark val="none"/>
        <c:tickLblPos val="nextTo"/>
        <c:crossAx val="126799872"/>
        <c:crosses val="autoZero"/>
        <c:auto val="1"/>
        <c:lblAlgn val="ctr"/>
        <c:lblOffset val="100"/>
        <c:noMultiLvlLbl val="0"/>
      </c:catAx>
      <c:valAx>
        <c:axId val="126799872"/>
        <c:scaling>
          <c:orientation val="minMax"/>
        </c:scaling>
        <c:delete val="0"/>
        <c:axPos val="b"/>
        <c:title>
          <c:tx>
            <c:rich>
              <a:bodyPr/>
              <a:lstStyle/>
              <a:p>
                <a:pPr>
                  <a:defRPr/>
                </a:pPr>
                <a:r>
                  <a:rPr lang="en-US"/>
                  <a:t>Percent</a:t>
                </a:r>
                <a:r>
                  <a:rPr lang="en-US" baseline="0"/>
                  <a:t> of Cases</a:t>
                </a:r>
              </a:p>
            </c:rich>
          </c:tx>
          <c:overlay val="0"/>
        </c:title>
        <c:numFmt formatCode="0.00%" sourceLinked="1"/>
        <c:majorTickMark val="out"/>
        <c:minorTickMark val="none"/>
        <c:tickLblPos val="nextTo"/>
        <c:crossAx val="126781312"/>
        <c:crosses val="autoZero"/>
        <c:crossBetween val="between"/>
      </c:valAx>
    </c:plotArea>
    <c:legend>
      <c:legendPos val="r"/>
      <c:overlay val="0"/>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Liberal</c:v>
                </c:pt>
              </c:strCache>
            </c:strRef>
          </c:tx>
          <c:invertIfNegative val="0"/>
          <c:cat>
            <c:strRef>
              <c:f>Sheet1!$A$2:$A$12</c:f>
              <c:strCache>
                <c:ptCount val="11"/>
                <c:pt idx="0">
                  <c:v>Criminal Procedure</c:v>
                </c:pt>
                <c:pt idx="1">
                  <c:v>Economic Activity</c:v>
                </c:pt>
                <c:pt idx="2">
                  <c:v>Civil Rights</c:v>
                </c:pt>
                <c:pt idx="3">
                  <c:v>Judicial Power</c:v>
                </c:pt>
                <c:pt idx="4">
                  <c:v>First Amendment</c:v>
                </c:pt>
                <c:pt idx="5">
                  <c:v>Due Process</c:v>
                </c:pt>
                <c:pt idx="6">
                  <c:v>Federalism</c:v>
                </c:pt>
                <c:pt idx="7">
                  <c:v>Unions</c:v>
                </c:pt>
                <c:pt idx="8">
                  <c:v>Federal Taxation</c:v>
                </c:pt>
                <c:pt idx="9">
                  <c:v>Privacy</c:v>
                </c:pt>
                <c:pt idx="10">
                  <c:v>Attorneys</c:v>
                </c:pt>
              </c:strCache>
            </c:strRef>
          </c:cat>
          <c:val>
            <c:numRef>
              <c:f>Sheet1!$B$2:$B$12</c:f>
              <c:numCache>
                <c:formatCode>General</c:formatCode>
                <c:ptCount val="11"/>
                <c:pt idx="0">
                  <c:v>71</c:v>
                </c:pt>
                <c:pt idx="1">
                  <c:v>48</c:v>
                </c:pt>
                <c:pt idx="2">
                  <c:v>48</c:v>
                </c:pt>
                <c:pt idx="3">
                  <c:v>29</c:v>
                </c:pt>
                <c:pt idx="4">
                  <c:v>9</c:v>
                </c:pt>
                <c:pt idx="5">
                  <c:v>11</c:v>
                </c:pt>
                <c:pt idx="6">
                  <c:v>26</c:v>
                </c:pt>
                <c:pt idx="7">
                  <c:v>5</c:v>
                </c:pt>
                <c:pt idx="8">
                  <c:v>7</c:v>
                </c:pt>
                <c:pt idx="9">
                  <c:v>3</c:v>
                </c:pt>
                <c:pt idx="10">
                  <c:v>5</c:v>
                </c:pt>
              </c:numCache>
            </c:numRef>
          </c:val>
        </c:ser>
        <c:ser>
          <c:idx val="1"/>
          <c:order val="1"/>
          <c:tx>
            <c:strRef>
              <c:f>Sheet1!$C$1</c:f>
              <c:strCache>
                <c:ptCount val="1"/>
                <c:pt idx="0">
                  <c:v>Conservative</c:v>
                </c:pt>
              </c:strCache>
            </c:strRef>
          </c:tx>
          <c:invertIfNegative val="0"/>
          <c:cat>
            <c:strRef>
              <c:f>Sheet1!$A$2:$A$12</c:f>
              <c:strCache>
                <c:ptCount val="11"/>
                <c:pt idx="0">
                  <c:v>Criminal Procedure</c:v>
                </c:pt>
                <c:pt idx="1">
                  <c:v>Economic Activity</c:v>
                </c:pt>
                <c:pt idx="2">
                  <c:v>Civil Rights</c:v>
                </c:pt>
                <c:pt idx="3">
                  <c:v>Judicial Power</c:v>
                </c:pt>
                <c:pt idx="4">
                  <c:v>First Amendment</c:v>
                </c:pt>
                <c:pt idx="5">
                  <c:v>Due Process</c:v>
                </c:pt>
                <c:pt idx="6">
                  <c:v>Federalism</c:v>
                </c:pt>
                <c:pt idx="7">
                  <c:v>Unions</c:v>
                </c:pt>
                <c:pt idx="8">
                  <c:v>Federal Taxation</c:v>
                </c:pt>
                <c:pt idx="9">
                  <c:v>Privacy</c:v>
                </c:pt>
                <c:pt idx="10">
                  <c:v>Attorneys</c:v>
                </c:pt>
              </c:strCache>
            </c:strRef>
          </c:cat>
          <c:val>
            <c:numRef>
              <c:f>Sheet1!$C$2:$C$12</c:f>
              <c:numCache>
                <c:formatCode>General</c:formatCode>
                <c:ptCount val="11"/>
                <c:pt idx="0">
                  <c:v>91</c:v>
                </c:pt>
                <c:pt idx="1">
                  <c:v>74</c:v>
                </c:pt>
                <c:pt idx="2">
                  <c:v>50</c:v>
                </c:pt>
                <c:pt idx="3">
                  <c:v>44</c:v>
                </c:pt>
                <c:pt idx="4">
                  <c:v>20</c:v>
                </c:pt>
                <c:pt idx="5">
                  <c:v>3</c:v>
                </c:pt>
                <c:pt idx="6">
                  <c:v>11</c:v>
                </c:pt>
                <c:pt idx="7">
                  <c:v>6</c:v>
                </c:pt>
                <c:pt idx="8">
                  <c:v>1</c:v>
                </c:pt>
                <c:pt idx="9">
                  <c:v>10</c:v>
                </c:pt>
                <c:pt idx="10">
                  <c:v>7</c:v>
                </c:pt>
              </c:numCache>
            </c:numRef>
          </c:val>
        </c:ser>
        <c:ser>
          <c:idx val="2"/>
          <c:order val="2"/>
          <c:tx>
            <c:strRef>
              <c:f>Sheet1!$D$1</c:f>
              <c:strCache>
                <c:ptCount val="1"/>
                <c:pt idx="0">
                  <c:v>Total</c:v>
                </c:pt>
              </c:strCache>
            </c:strRef>
          </c:tx>
          <c:invertIfNegative val="0"/>
          <c:cat>
            <c:strRef>
              <c:f>Sheet1!$A$2:$A$12</c:f>
              <c:strCache>
                <c:ptCount val="11"/>
                <c:pt idx="0">
                  <c:v>Criminal Procedure</c:v>
                </c:pt>
                <c:pt idx="1">
                  <c:v>Economic Activity</c:v>
                </c:pt>
                <c:pt idx="2">
                  <c:v>Civil Rights</c:v>
                </c:pt>
                <c:pt idx="3">
                  <c:v>Judicial Power</c:v>
                </c:pt>
                <c:pt idx="4">
                  <c:v>First Amendment</c:v>
                </c:pt>
                <c:pt idx="5">
                  <c:v>Due Process</c:v>
                </c:pt>
                <c:pt idx="6">
                  <c:v>Federalism</c:v>
                </c:pt>
                <c:pt idx="7">
                  <c:v>Unions</c:v>
                </c:pt>
                <c:pt idx="8">
                  <c:v>Federal Taxation</c:v>
                </c:pt>
                <c:pt idx="9">
                  <c:v>Privacy</c:v>
                </c:pt>
                <c:pt idx="10">
                  <c:v>Attorneys</c:v>
                </c:pt>
              </c:strCache>
            </c:strRef>
          </c:cat>
          <c:val>
            <c:numRef>
              <c:f>Sheet1!$D$2:$D$12</c:f>
              <c:numCache>
                <c:formatCode>General</c:formatCode>
                <c:ptCount val="11"/>
                <c:pt idx="0">
                  <c:v>162</c:v>
                </c:pt>
                <c:pt idx="1">
                  <c:v>122</c:v>
                </c:pt>
                <c:pt idx="2">
                  <c:v>98</c:v>
                </c:pt>
                <c:pt idx="3">
                  <c:v>74</c:v>
                </c:pt>
                <c:pt idx="4">
                  <c:v>29</c:v>
                </c:pt>
                <c:pt idx="5">
                  <c:v>14</c:v>
                </c:pt>
                <c:pt idx="6">
                  <c:v>37</c:v>
                </c:pt>
                <c:pt idx="7">
                  <c:v>11</c:v>
                </c:pt>
                <c:pt idx="8">
                  <c:v>8</c:v>
                </c:pt>
                <c:pt idx="9">
                  <c:v>13</c:v>
                </c:pt>
                <c:pt idx="10">
                  <c:v>12</c:v>
                </c:pt>
              </c:numCache>
            </c:numRef>
          </c:val>
        </c:ser>
        <c:dLbls>
          <c:dLblPos val="outEnd"/>
          <c:showLegendKey val="0"/>
          <c:showVal val="1"/>
          <c:showCatName val="0"/>
          <c:showSerName val="0"/>
          <c:showPercent val="0"/>
          <c:showBubbleSize val="0"/>
        </c:dLbls>
        <c:gapWidth val="75"/>
        <c:overlap val="-25"/>
        <c:axId val="134904832"/>
        <c:axId val="134911104"/>
      </c:barChart>
      <c:catAx>
        <c:axId val="134904832"/>
        <c:scaling>
          <c:orientation val="minMax"/>
        </c:scaling>
        <c:delete val="0"/>
        <c:axPos val="l"/>
        <c:title>
          <c:tx>
            <c:rich>
              <a:bodyPr rot="-5400000" vert="horz"/>
              <a:lstStyle/>
              <a:p>
                <a:pPr>
                  <a:defRPr/>
                </a:pPr>
                <a:r>
                  <a:rPr lang="en-US" sz="1400"/>
                  <a:t>Issue Area</a:t>
                </a:r>
              </a:p>
            </c:rich>
          </c:tx>
          <c:overlay val="0"/>
        </c:title>
        <c:majorTickMark val="none"/>
        <c:minorTickMark val="none"/>
        <c:tickLblPos val="nextTo"/>
        <c:crossAx val="134911104"/>
        <c:crosses val="autoZero"/>
        <c:auto val="1"/>
        <c:lblAlgn val="ctr"/>
        <c:lblOffset val="100"/>
        <c:noMultiLvlLbl val="0"/>
      </c:catAx>
      <c:valAx>
        <c:axId val="134911104"/>
        <c:scaling>
          <c:orientation val="minMax"/>
        </c:scaling>
        <c:delete val="0"/>
        <c:axPos val="b"/>
        <c:majorGridlines/>
        <c:title>
          <c:tx>
            <c:rich>
              <a:bodyPr/>
              <a:lstStyle/>
              <a:p>
                <a:pPr>
                  <a:defRPr/>
                </a:pPr>
                <a:r>
                  <a:rPr lang="en-US" sz="1400"/>
                  <a:t>Number of Cases</a:t>
                </a:r>
              </a:p>
            </c:rich>
          </c:tx>
          <c:overlay val="0"/>
        </c:title>
        <c:numFmt formatCode="General" sourceLinked="1"/>
        <c:majorTickMark val="none"/>
        <c:minorTickMark val="none"/>
        <c:tickLblPos val="nextTo"/>
        <c:spPr>
          <a:ln w="9525">
            <a:noFill/>
          </a:ln>
        </c:spPr>
        <c:crossAx val="134904832"/>
        <c:crosses val="autoZero"/>
        <c:crossBetween val="between"/>
      </c:valAx>
    </c:plotArea>
    <c:legend>
      <c:legendPos val="b"/>
      <c:overlay val="0"/>
    </c:legend>
    <c:plotVisOnly val="1"/>
    <c:dispBlanksAs val="gap"/>
    <c:showDLblsOverMax val="0"/>
  </c:chart>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98304A-3BDB-41DF-8692-F1A9E9208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1385</TotalTime>
  <Pages>283</Pages>
  <Words>72125</Words>
  <Characters>411118</Characters>
  <Application>Microsoft Office Word</Application>
  <DocSecurity>0</DocSecurity>
  <Lines>3425</Lines>
  <Paragraphs>964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482279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Scott</dc:creator>
  <cp:lastModifiedBy>dahooper</cp:lastModifiedBy>
  <cp:revision>80</cp:revision>
  <dcterms:created xsi:type="dcterms:W3CDTF">2013-11-08T18:41:00Z</dcterms:created>
  <dcterms:modified xsi:type="dcterms:W3CDTF">2013-11-17T03:01:00Z</dcterms:modified>
</cp:coreProperties>
</file>