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C51A2C" w14:textId="77777777" w:rsidR="0045161C" w:rsidRPr="000B1736" w:rsidRDefault="00014D3D" w:rsidP="000A0056">
      <w:pPr>
        <w:ind w:firstLine="0"/>
        <w:jc w:val="center"/>
        <w:rPr>
          <w:sz w:val="48"/>
          <w:szCs w:val="48"/>
        </w:rPr>
      </w:pPr>
      <w:r>
        <w:rPr>
          <w:sz w:val="48"/>
          <w:szCs w:val="48"/>
        </w:rPr>
        <w:t>“</w:t>
      </w:r>
      <w:r w:rsidR="00143DD8">
        <w:rPr>
          <w:sz w:val="48"/>
          <w:szCs w:val="48"/>
        </w:rPr>
        <w:t>N</w:t>
      </w:r>
      <w:r>
        <w:rPr>
          <w:sz w:val="48"/>
          <w:szCs w:val="48"/>
        </w:rPr>
        <w:t xml:space="preserve">ot for </w:t>
      </w:r>
      <w:r w:rsidR="00143DD8">
        <w:rPr>
          <w:sz w:val="48"/>
          <w:szCs w:val="48"/>
        </w:rPr>
        <w:t>C</w:t>
      </w:r>
      <w:r>
        <w:rPr>
          <w:sz w:val="48"/>
          <w:szCs w:val="48"/>
        </w:rPr>
        <w:t xml:space="preserve">asual </w:t>
      </w:r>
      <w:r w:rsidR="00143DD8">
        <w:rPr>
          <w:sz w:val="48"/>
          <w:szCs w:val="48"/>
        </w:rPr>
        <w:t>R</w:t>
      </w:r>
      <w:r>
        <w:rPr>
          <w:sz w:val="48"/>
          <w:szCs w:val="48"/>
        </w:rPr>
        <w:t>eaders</w:t>
      </w:r>
      <w:r w:rsidR="00143DD8">
        <w:rPr>
          <w:sz w:val="48"/>
          <w:szCs w:val="48"/>
        </w:rPr>
        <w:t>:</w:t>
      </w:r>
      <w:r>
        <w:rPr>
          <w:sz w:val="48"/>
          <w:szCs w:val="48"/>
        </w:rPr>
        <w:t xml:space="preserve">” </w:t>
      </w:r>
      <w:r w:rsidR="0045161C" w:rsidRPr="000B1736">
        <w:rPr>
          <w:sz w:val="48"/>
          <w:szCs w:val="48"/>
        </w:rPr>
        <w:t xml:space="preserve">An </w:t>
      </w:r>
      <w:r w:rsidR="00143DD8">
        <w:rPr>
          <w:sz w:val="48"/>
          <w:szCs w:val="48"/>
        </w:rPr>
        <w:t>E</w:t>
      </w:r>
      <w:r w:rsidR="0045161C" w:rsidRPr="000B1736">
        <w:rPr>
          <w:sz w:val="48"/>
          <w:szCs w:val="48"/>
        </w:rPr>
        <w:t xml:space="preserve">valuation of </w:t>
      </w:r>
      <w:r w:rsidR="00143DD8">
        <w:rPr>
          <w:sz w:val="48"/>
          <w:szCs w:val="48"/>
        </w:rPr>
        <w:t>D</w:t>
      </w:r>
      <w:r w:rsidR="00973EFA">
        <w:rPr>
          <w:sz w:val="48"/>
          <w:szCs w:val="48"/>
        </w:rPr>
        <w:t xml:space="preserve">igital </w:t>
      </w:r>
      <w:r w:rsidR="00143DD8">
        <w:rPr>
          <w:sz w:val="48"/>
          <w:szCs w:val="48"/>
        </w:rPr>
        <w:t>D</w:t>
      </w:r>
      <w:r w:rsidR="0045161C" w:rsidRPr="000B1736">
        <w:rPr>
          <w:sz w:val="48"/>
          <w:szCs w:val="48"/>
        </w:rPr>
        <w:t xml:space="preserve">ata </w:t>
      </w:r>
      <w:r w:rsidR="00CE33C8" w:rsidRPr="000B1736">
        <w:rPr>
          <w:sz w:val="48"/>
          <w:szCs w:val="48"/>
        </w:rPr>
        <w:t xml:space="preserve">from </w:t>
      </w:r>
      <w:r w:rsidR="0045161C" w:rsidRPr="000B1736">
        <w:rPr>
          <w:sz w:val="48"/>
          <w:szCs w:val="48"/>
        </w:rPr>
        <w:t>Virginia</w:t>
      </w:r>
      <w:r w:rsidR="00DB0B2D">
        <w:rPr>
          <w:sz w:val="48"/>
          <w:szCs w:val="48"/>
        </w:rPr>
        <w:t xml:space="preserve"> A</w:t>
      </w:r>
      <w:r w:rsidR="00DB0B2D" w:rsidRPr="000B1736">
        <w:rPr>
          <w:sz w:val="48"/>
          <w:szCs w:val="48"/>
        </w:rPr>
        <w:t>rchaeological</w:t>
      </w:r>
      <w:r w:rsidR="00C42E49">
        <w:rPr>
          <w:sz w:val="48"/>
          <w:szCs w:val="48"/>
        </w:rPr>
        <w:t xml:space="preserve"> </w:t>
      </w:r>
      <w:r w:rsidR="002F0CEF">
        <w:rPr>
          <w:sz w:val="48"/>
          <w:szCs w:val="48"/>
        </w:rPr>
        <w:t>Websites</w:t>
      </w:r>
    </w:p>
    <w:p w14:paraId="6789BB23" w14:textId="77777777" w:rsidR="00580248" w:rsidRDefault="00580248" w:rsidP="00580248">
      <w:pPr>
        <w:rPr>
          <w:sz w:val="48"/>
          <w:szCs w:val="48"/>
        </w:rPr>
      </w:pPr>
    </w:p>
    <w:p w14:paraId="29DD0D8D" w14:textId="0A189C2B" w:rsidR="000B1736" w:rsidRDefault="000B1736" w:rsidP="00F0306D">
      <w:pPr>
        <w:ind w:firstLine="0"/>
        <w:jc w:val="center"/>
        <w:rPr>
          <w:sz w:val="36"/>
          <w:szCs w:val="36"/>
        </w:rPr>
      </w:pPr>
      <w:r w:rsidRPr="000B1736">
        <w:rPr>
          <w:sz w:val="36"/>
          <w:szCs w:val="36"/>
        </w:rPr>
        <w:t xml:space="preserve">A Thesis </w:t>
      </w:r>
      <w:r w:rsidR="00F0306D">
        <w:rPr>
          <w:sz w:val="36"/>
          <w:szCs w:val="36"/>
        </w:rPr>
        <w:t>P</w:t>
      </w:r>
      <w:r w:rsidRPr="000B1736">
        <w:rPr>
          <w:sz w:val="36"/>
          <w:szCs w:val="36"/>
        </w:rPr>
        <w:t>resented for the</w:t>
      </w:r>
    </w:p>
    <w:p w14:paraId="71E47772" w14:textId="6D2BD8D0" w:rsidR="00F0306D" w:rsidRDefault="000B1736" w:rsidP="00F0306D">
      <w:pPr>
        <w:ind w:firstLine="0"/>
        <w:jc w:val="center"/>
        <w:rPr>
          <w:sz w:val="36"/>
          <w:szCs w:val="36"/>
        </w:rPr>
      </w:pPr>
      <w:r w:rsidRPr="000B1736">
        <w:rPr>
          <w:sz w:val="36"/>
          <w:szCs w:val="36"/>
        </w:rPr>
        <w:t xml:space="preserve">Masters </w:t>
      </w:r>
      <w:r w:rsidR="00F0306D">
        <w:rPr>
          <w:sz w:val="36"/>
          <w:szCs w:val="36"/>
        </w:rPr>
        <w:t>of S</w:t>
      </w:r>
      <w:r w:rsidRPr="000B1736">
        <w:rPr>
          <w:sz w:val="36"/>
          <w:szCs w:val="36"/>
        </w:rPr>
        <w:t>cience</w:t>
      </w:r>
    </w:p>
    <w:p w14:paraId="205D99EA" w14:textId="0E2AEE29" w:rsidR="000B1736" w:rsidRPr="000B1736" w:rsidRDefault="00F0306D" w:rsidP="00F0306D">
      <w:pPr>
        <w:ind w:firstLine="0"/>
        <w:jc w:val="center"/>
        <w:rPr>
          <w:sz w:val="36"/>
          <w:szCs w:val="36"/>
        </w:rPr>
      </w:pPr>
      <w:r>
        <w:rPr>
          <w:sz w:val="36"/>
          <w:szCs w:val="36"/>
        </w:rPr>
        <w:t>D</w:t>
      </w:r>
      <w:r w:rsidR="000B1736" w:rsidRPr="000B1736">
        <w:rPr>
          <w:sz w:val="36"/>
          <w:szCs w:val="36"/>
        </w:rPr>
        <w:t>egree</w:t>
      </w:r>
    </w:p>
    <w:p w14:paraId="41E6689F" w14:textId="77777777" w:rsidR="000B1736" w:rsidRPr="000B1736" w:rsidRDefault="000B1736" w:rsidP="00F0306D">
      <w:pPr>
        <w:ind w:firstLine="0"/>
        <w:jc w:val="center"/>
        <w:rPr>
          <w:sz w:val="36"/>
          <w:szCs w:val="36"/>
        </w:rPr>
      </w:pPr>
      <w:r w:rsidRPr="000B1736">
        <w:rPr>
          <w:sz w:val="36"/>
          <w:szCs w:val="36"/>
        </w:rPr>
        <w:t>The University of Tennessee, Knoxville</w:t>
      </w:r>
    </w:p>
    <w:p w14:paraId="3F486198" w14:textId="77777777" w:rsidR="000B1736" w:rsidRDefault="000B1736" w:rsidP="00580248">
      <w:pPr>
        <w:rPr>
          <w:sz w:val="48"/>
          <w:szCs w:val="48"/>
        </w:rPr>
      </w:pPr>
    </w:p>
    <w:p w14:paraId="56D4E925" w14:textId="77777777" w:rsidR="00DC3C34" w:rsidRDefault="00DC3C34" w:rsidP="000B1736">
      <w:pPr>
        <w:jc w:val="center"/>
        <w:rPr>
          <w:sz w:val="48"/>
          <w:szCs w:val="48"/>
        </w:rPr>
      </w:pPr>
    </w:p>
    <w:p w14:paraId="410123FB" w14:textId="1FFF5AA9" w:rsidR="0045161C" w:rsidRPr="00DC3C34" w:rsidRDefault="0045161C" w:rsidP="00F0306D">
      <w:pPr>
        <w:ind w:firstLine="0"/>
        <w:jc w:val="center"/>
        <w:rPr>
          <w:sz w:val="36"/>
          <w:szCs w:val="36"/>
        </w:rPr>
      </w:pPr>
      <w:r w:rsidRPr="00DC3C34">
        <w:rPr>
          <w:sz w:val="36"/>
          <w:szCs w:val="36"/>
        </w:rPr>
        <w:t xml:space="preserve">Mark </w:t>
      </w:r>
      <w:r w:rsidR="00F0306D">
        <w:rPr>
          <w:sz w:val="36"/>
          <w:szCs w:val="36"/>
        </w:rPr>
        <w:t xml:space="preserve">Antony </w:t>
      </w:r>
      <w:r w:rsidRPr="00DC3C34">
        <w:rPr>
          <w:sz w:val="36"/>
          <w:szCs w:val="36"/>
        </w:rPr>
        <w:t>Freeman</w:t>
      </w:r>
    </w:p>
    <w:p w14:paraId="63CE3178" w14:textId="2A3EC3C0" w:rsidR="000B1736" w:rsidRPr="00DC3C34" w:rsidRDefault="00CF0DB5" w:rsidP="00F0306D">
      <w:pPr>
        <w:ind w:firstLine="0"/>
        <w:jc w:val="center"/>
        <w:rPr>
          <w:sz w:val="36"/>
          <w:szCs w:val="36"/>
        </w:rPr>
      </w:pPr>
      <w:r>
        <w:rPr>
          <w:sz w:val="36"/>
          <w:szCs w:val="36"/>
        </w:rPr>
        <w:t xml:space="preserve">August </w:t>
      </w:r>
      <w:r w:rsidR="00B92B98">
        <w:rPr>
          <w:sz w:val="36"/>
          <w:szCs w:val="36"/>
        </w:rPr>
        <w:t>20</w:t>
      </w:r>
      <w:r w:rsidR="000B1736" w:rsidRPr="00DC3C34">
        <w:rPr>
          <w:sz w:val="36"/>
          <w:szCs w:val="36"/>
        </w:rPr>
        <w:t>1</w:t>
      </w:r>
      <w:r w:rsidR="00B92B98">
        <w:rPr>
          <w:sz w:val="36"/>
          <w:szCs w:val="36"/>
        </w:rPr>
        <w:t>5</w:t>
      </w:r>
    </w:p>
    <w:p w14:paraId="784CA7E6" w14:textId="77777777" w:rsidR="000B1736" w:rsidRDefault="000B1736">
      <w:pPr>
        <w:spacing w:after="160" w:line="259" w:lineRule="auto"/>
        <w:ind w:firstLine="0"/>
        <w:rPr>
          <w:sz w:val="48"/>
          <w:szCs w:val="48"/>
        </w:rPr>
      </w:pPr>
      <w:r>
        <w:rPr>
          <w:sz w:val="48"/>
          <w:szCs w:val="48"/>
        </w:rPr>
        <w:br w:type="page"/>
      </w:r>
    </w:p>
    <w:p w14:paraId="2FD2248E" w14:textId="77777777" w:rsidR="000B1736" w:rsidRDefault="000B1736">
      <w:pPr>
        <w:spacing w:after="160" w:line="259" w:lineRule="auto"/>
        <w:ind w:firstLine="0"/>
        <w:rPr>
          <w:sz w:val="48"/>
          <w:szCs w:val="48"/>
        </w:rPr>
      </w:pPr>
    </w:p>
    <w:p w14:paraId="2BD13B1F" w14:textId="77777777" w:rsidR="002A51D1" w:rsidRDefault="002A51D1">
      <w:pPr>
        <w:spacing w:after="160" w:line="259" w:lineRule="auto"/>
        <w:ind w:firstLine="0"/>
        <w:rPr>
          <w:sz w:val="48"/>
          <w:szCs w:val="48"/>
        </w:rPr>
      </w:pPr>
    </w:p>
    <w:p w14:paraId="14D5DE72" w14:textId="77777777" w:rsidR="002A51D1" w:rsidRDefault="002A51D1">
      <w:pPr>
        <w:spacing w:after="160" w:line="259" w:lineRule="auto"/>
        <w:ind w:firstLine="0"/>
        <w:rPr>
          <w:sz w:val="48"/>
          <w:szCs w:val="48"/>
        </w:rPr>
      </w:pPr>
    </w:p>
    <w:p w14:paraId="180DA308" w14:textId="7E5B35BB" w:rsidR="00F076BF" w:rsidRDefault="00F076BF" w:rsidP="000B1736">
      <w:pPr>
        <w:spacing w:after="160" w:line="259" w:lineRule="auto"/>
        <w:ind w:firstLine="0"/>
        <w:jc w:val="center"/>
        <w:rPr>
          <w:sz w:val="48"/>
          <w:szCs w:val="48"/>
        </w:rPr>
      </w:pPr>
      <w:r>
        <w:rPr>
          <w:sz w:val="48"/>
          <w:szCs w:val="48"/>
        </w:rPr>
        <w:t>Licensed as CC BY-NC-ND</w:t>
      </w:r>
    </w:p>
    <w:p w14:paraId="0C293754" w14:textId="04D459D6" w:rsidR="00F076BF" w:rsidRDefault="00F076BF" w:rsidP="000B1736">
      <w:pPr>
        <w:spacing w:after="160" w:line="259" w:lineRule="auto"/>
        <w:ind w:firstLine="0"/>
        <w:jc w:val="center"/>
        <w:rPr>
          <w:sz w:val="48"/>
          <w:szCs w:val="48"/>
        </w:rPr>
      </w:pPr>
      <w:r>
        <w:rPr>
          <w:sz w:val="48"/>
          <w:szCs w:val="48"/>
        </w:rPr>
        <w:t>Creative Commons: Attribution, Non-Commercial, No Derivatives</w:t>
      </w:r>
      <w:r>
        <w:rPr>
          <w:sz w:val="48"/>
          <w:szCs w:val="48"/>
        </w:rPr>
        <w:br/>
      </w:r>
      <w:r w:rsidR="00F0306D" w:rsidRPr="00F0306D">
        <w:rPr>
          <w:sz w:val="48"/>
          <w:szCs w:val="48"/>
        </w:rPr>
        <w:t>http://creativecommons.org/licenses/by-nc-nd/3.0/us/</w:t>
      </w:r>
      <w:r>
        <w:rPr>
          <w:sz w:val="48"/>
          <w:szCs w:val="48"/>
        </w:rPr>
        <w:t xml:space="preserve"> </w:t>
      </w:r>
    </w:p>
    <w:p w14:paraId="4173E81C" w14:textId="77777777" w:rsidR="00F0306D" w:rsidRDefault="00F0306D" w:rsidP="00F0306D">
      <w:pPr>
        <w:spacing w:after="160" w:line="259" w:lineRule="auto"/>
        <w:ind w:firstLine="0"/>
        <w:jc w:val="center"/>
        <w:rPr>
          <w:sz w:val="48"/>
          <w:szCs w:val="48"/>
        </w:rPr>
      </w:pPr>
      <w:r>
        <w:rPr>
          <w:sz w:val="48"/>
          <w:szCs w:val="48"/>
        </w:rPr>
        <w:t>2015 by Mark Antony Freeman</w:t>
      </w:r>
    </w:p>
    <w:p w14:paraId="38EA20B7" w14:textId="77777777" w:rsidR="00F0306D" w:rsidRDefault="00F0306D" w:rsidP="000B1736">
      <w:pPr>
        <w:spacing w:after="160" w:line="259" w:lineRule="auto"/>
        <w:ind w:firstLine="0"/>
        <w:jc w:val="center"/>
        <w:rPr>
          <w:sz w:val="48"/>
          <w:szCs w:val="48"/>
        </w:rPr>
      </w:pPr>
    </w:p>
    <w:p w14:paraId="267FB7BB" w14:textId="77777777" w:rsidR="000B1736" w:rsidRDefault="000B1736">
      <w:pPr>
        <w:spacing w:after="160" w:line="259" w:lineRule="auto"/>
        <w:ind w:firstLine="0"/>
        <w:rPr>
          <w:sz w:val="48"/>
          <w:szCs w:val="48"/>
        </w:rPr>
      </w:pPr>
      <w:r>
        <w:rPr>
          <w:sz w:val="48"/>
          <w:szCs w:val="48"/>
        </w:rPr>
        <w:br w:type="page"/>
      </w:r>
    </w:p>
    <w:p w14:paraId="0CB853CF" w14:textId="77777777" w:rsidR="000B1736" w:rsidRPr="00393393" w:rsidRDefault="000B1736" w:rsidP="00393393">
      <w:pPr>
        <w:spacing w:after="160" w:line="259" w:lineRule="auto"/>
        <w:rPr>
          <w:b/>
          <w:sz w:val="32"/>
          <w:szCs w:val="32"/>
        </w:rPr>
      </w:pPr>
      <w:r w:rsidRPr="00393393">
        <w:rPr>
          <w:b/>
          <w:sz w:val="32"/>
          <w:szCs w:val="32"/>
        </w:rPr>
        <w:lastRenderedPageBreak/>
        <w:t>Acknowledgements</w:t>
      </w:r>
    </w:p>
    <w:p w14:paraId="1673DBA2" w14:textId="77777777" w:rsidR="00B92B98" w:rsidRDefault="00B92B98" w:rsidP="00E1614C">
      <w:pPr>
        <w:spacing w:after="160" w:line="259" w:lineRule="auto"/>
        <w:ind w:firstLine="0"/>
      </w:pPr>
    </w:p>
    <w:p w14:paraId="75BD8880" w14:textId="77777777" w:rsidR="000B1736" w:rsidRDefault="000B1736" w:rsidP="00F776A9">
      <w:pPr>
        <w:spacing w:after="160" w:line="259" w:lineRule="auto"/>
      </w:pPr>
      <w:r w:rsidRPr="007404F4">
        <w:t xml:space="preserve">I would like to </w:t>
      </w:r>
      <w:r w:rsidR="00B92B98">
        <w:t>thank my wife, Barbara Heath, for her encouragement, support and insight.</w:t>
      </w:r>
    </w:p>
    <w:p w14:paraId="032A8E9D" w14:textId="77777777" w:rsidR="00B92B98" w:rsidRDefault="00B92B98" w:rsidP="00B92B98">
      <w:pPr>
        <w:spacing w:after="160" w:line="259" w:lineRule="auto"/>
        <w:ind w:firstLine="0"/>
        <w:jc w:val="center"/>
      </w:pPr>
    </w:p>
    <w:p w14:paraId="12ADD71C" w14:textId="77777777" w:rsidR="00B92B98" w:rsidRDefault="00B92B98" w:rsidP="00F776A9">
      <w:pPr>
        <w:spacing w:after="160" w:line="259" w:lineRule="auto"/>
      </w:pPr>
      <w:r>
        <w:t>I’d also like to thank my committee</w:t>
      </w:r>
      <w:r w:rsidR="001C5E96">
        <w:t xml:space="preserve"> for their </w:t>
      </w:r>
      <w:r w:rsidR="00F1294F">
        <w:t xml:space="preserve">insights and </w:t>
      </w:r>
      <w:r w:rsidR="00B80E43">
        <w:t xml:space="preserve">considerable </w:t>
      </w:r>
      <w:r w:rsidR="001C5E96">
        <w:t>help</w:t>
      </w:r>
      <w:r w:rsidR="00F1294F">
        <w:t>.</w:t>
      </w:r>
    </w:p>
    <w:p w14:paraId="3221F7E2" w14:textId="77777777" w:rsidR="00B92B98" w:rsidRDefault="000F3354" w:rsidP="00F776A9">
      <w:pPr>
        <w:spacing w:after="160" w:line="259" w:lineRule="auto"/>
        <w:ind w:firstLine="0"/>
        <w:jc w:val="center"/>
      </w:pPr>
      <w:r>
        <w:t xml:space="preserve">Chair: Dr. </w:t>
      </w:r>
      <w:r w:rsidR="00143DD8">
        <w:t xml:space="preserve">Xiaohua </w:t>
      </w:r>
      <w:r w:rsidR="00B92B98">
        <w:t>Zhu</w:t>
      </w:r>
    </w:p>
    <w:p w14:paraId="5C2F781C" w14:textId="77777777" w:rsidR="00B92B98" w:rsidRDefault="000F3354" w:rsidP="00F776A9">
      <w:pPr>
        <w:spacing w:after="160" w:line="259" w:lineRule="auto"/>
        <w:ind w:firstLine="0"/>
        <w:jc w:val="center"/>
      </w:pPr>
      <w:r>
        <w:t xml:space="preserve">Dr. </w:t>
      </w:r>
      <w:r w:rsidR="00B92B98">
        <w:t>Suzie Allard</w:t>
      </w:r>
    </w:p>
    <w:p w14:paraId="241FB04D" w14:textId="77777777" w:rsidR="00B92B98" w:rsidRDefault="000F3354" w:rsidP="00F776A9">
      <w:pPr>
        <w:spacing w:after="160" w:line="259" w:lineRule="auto"/>
        <w:ind w:firstLine="0"/>
        <w:jc w:val="center"/>
      </w:pPr>
      <w:r>
        <w:t xml:space="preserve">Dr. </w:t>
      </w:r>
      <w:r w:rsidR="00B92B98">
        <w:t>Carolyn Hank</w:t>
      </w:r>
    </w:p>
    <w:p w14:paraId="6EBB438D" w14:textId="77777777" w:rsidR="00B92B98" w:rsidRDefault="00B92B98" w:rsidP="00B92B98">
      <w:pPr>
        <w:spacing w:after="160" w:line="259" w:lineRule="auto"/>
        <w:ind w:firstLine="0"/>
        <w:jc w:val="center"/>
      </w:pPr>
    </w:p>
    <w:p w14:paraId="211B604D" w14:textId="77777777" w:rsidR="00B92B98" w:rsidRPr="007404F4" w:rsidRDefault="00B92B98" w:rsidP="00F776A9">
      <w:pPr>
        <w:spacing w:after="160" w:line="259" w:lineRule="auto"/>
        <w:ind w:left="720" w:firstLine="0"/>
      </w:pPr>
      <w:r>
        <w:t>Finally I’d like to thank the following people who assisted with the research: David Anderson, Gillian Galle, Fraser Neiman, Jolene Smith,</w:t>
      </w:r>
      <w:r w:rsidRPr="00B92B98">
        <w:t xml:space="preserve"> </w:t>
      </w:r>
      <w:r w:rsidR="002F0CEF">
        <w:t xml:space="preserve">and Eleanor Breen and </w:t>
      </w:r>
      <w:r>
        <w:t>Esther White</w:t>
      </w:r>
      <w:r w:rsidR="002F0CEF">
        <w:t xml:space="preserve"> whose initial study was part of the basis for this research.</w:t>
      </w:r>
    </w:p>
    <w:p w14:paraId="324A28FD" w14:textId="77777777" w:rsidR="00E1614C" w:rsidRDefault="00E1614C" w:rsidP="00E1614C">
      <w:pPr>
        <w:spacing w:after="160" w:line="259" w:lineRule="auto"/>
        <w:ind w:firstLine="0"/>
        <w:rPr>
          <w:sz w:val="48"/>
          <w:szCs w:val="48"/>
        </w:rPr>
      </w:pPr>
    </w:p>
    <w:p w14:paraId="62134288" w14:textId="77777777" w:rsidR="00E1614C" w:rsidRDefault="00E1614C">
      <w:pPr>
        <w:spacing w:after="160" w:line="259" w:lineRule="auto"/>
        <w:ind w:firstLine="0"/>
        <w:rPr>
          <w:sz w:val="48"/>
          <w:szCs w:val="48"/>
        </w:rPr>
      </w:pPr>
      <w:r>
        <w:rPr>
          <w:sz w:val="48"/>
          <w:szCs w:val="48"/>
        </w:rPr>
        <w:br w:type="page"/>
      </w:r>
    </w:p>
    <w:p w14:paraId="17EC4655" w14:textId="77777777" w:rsidR="00E1614C" w:rsidRPr="00F776A9" w:rsidRDefault="00E1614C" w:rsidP="00F776A9">
      <w:pPr>
        <w:spacing w:after="160" w:line="259" w:lineRule="auto"/>
        <w:ind w:firstLine="0"/>
        <w:rPr>
          <w:b/>
          <w:sz w:val="32"/>
          <w:szCs w:val="32"/>
        </w:rPr>
      </w:pPr>
      <w:r w:rsidRPr="00F776A9">
        <w:rPr>
          <w:b/>
          <w:sz w:val="32"/>
          <w:szCs w:val="32"/>
        </w:rPr>
        <w:lastRenderedPageBreak/>
        <w:t>Abstract</w:t>
      </w:r>
    </w:p>
    <w:p w14:paraId="5E52E612" w14:textId="77777777" w:rsidR="00E1614C" w:rsidRDefault="00E1614C" w:rsidP="00E1614C">
      <w:pPr>
        <w:spacing w:after="160" w:line="259" w:lineRule="auto"/>
        <w:ind w:firstLine="0"/>
        <w:rPr>
          <w:sz w:val="48"/>
          <w:szCs w:val="48"/>
        </w:rPr>
      </w:pPr>
    </w:p>
    <w:p w14:paraId="2D512D69" w14:textId="77777777" w:rsidR="001C5E96" w:rsidRDefault="001C5E96" w:rsidP="001C5E96">
      <w:r w:rsidRPr="00F64A07">
        <w:t xml:space="preserve">Archaeological data dissemination is complicated by the need to serve disparate audiences, </w:t>
      </w:r>
      <w:r w:rsidR="002622CF">
        <w:t>each of which has</w:t>
      </w:r>
      <w:r w:rsidR="002622CF" w:rsidRPr="00F64A07">
        <w:t xml:space="preserve"> </w:t>
      </w:r>
      <w:r w:rsidRPr="00F64A07">
        <w:t xml:space="preserve">different data needs. This </w:t>
      </w:r>
      <w:r w:rsidR="00FC794E">
        <w:t>study</w:t>
      </w:r>
      <w:r w:rsidRPr="00F64A07">
        <w:t xml:space="preserve"> </w:t>
      </w:r>
      <w:r w:rsidR="000F3354">
        <w:t>examined</w:t>
      </w:r>
      <w:r w:rsidR="00F1294F">
        <w:t xml:space="preserve"> the websites of </w:t>
      </w:r>
      <w:r w:rsidR="00B06819">
        <w:t>148</w:t>
      </w:r>
      <w:r w:rsidR="00DE27C6">
        <w:t xml:space="preserve"> </w:t>
      </w:r>
      <w:r w:rsidRPr="00F64A07">
        <w:t xml:space="preserve">Virginia </w:t>
      </w:r>
      <w:r w:rsidR="00F1294F">
        <w:t xml:space="preserve">institutions identified as having </w:t>
      </w:r>
      <w:r w:rsidRPr="00F64A07">
        <w:t>archaeological</w:t>
      </w:r>
      <w:r w:rsidR="00F1294F">
        <w:t xml:space="preserve"> collections or data</w:t>
      </w:r>
      <w:r w:rsidRPr="00F64A07">
        <w:t xml:space="preserve">, </w:t>
      </w:r>
      <w:r w:rsidR="000F3354">
        <w:t>and used</w:t>
      </w:r>
      <w:r w:rsidR="00DE27C6">
        <w:t xml:space="preserve"> content analysis</w:t>
      </w:r>
      <w:r w:rsidR="00FC794E">
        <w:t xml:space="preserve"> </w:t>
      </w:r>
      <w:r w:rsidRPr="00F64A07">
        <w:t>to see how they support</w:t>
      </w:r>
      <w:r w:rsidR="000F3354">
        <w:t>ed</w:t>
      </w:r>
      <w:r w:rsidRPr="00F64A07">
        <w:t xml:space="preserve"> characteristics of scholarly publishing, open data and public outreach. Archaeologists are increasingly looking for comparative data sets for research needs, </w:t>
      </w:r>
      <w:r w:rsidR="00DE27C6">
        <w:t>with</w:t>
      </w:r>
      <w:r w:rsidRPr="00F64A07">
        <w:t xml:space="preserve"> professional ethics</w:t>
      </w:r>
      <w:r w:rsidR="00DE27C6">
        <w:t xml:space="preserve"> </w:t>
      </w:r>
      <w:r w:rsidRPr="00F64A07">
        <w:t>and a desire for public engagement</w:t>
      </w:r>
      <w:r w:rsidR="00DE27C6">
        <w:t xml:space="preserve"> encouraging</w:t>
      </w:r>
      <w:r w:rsidRPr="00F64A07">
        <w:t xml:space="preserve"> data sharing. However this </w:t>
      </w:r>
      <w:r w:rsidR="00DE27C6">
        <w:t>analysis</w:t>
      </w:r>
      <w:r w:rsidRPr="00F64A07">
        <w:t xml:space="preserve"> suggests that</w:t>
      </w:r>
      <w:r w:rsidR="00FC794E">
        <w:t xml:space="preserve">, while there are some exemplary websites, </w:t>
      </w:r>
      <w:r w:rsidRPr="00F64A07">
        <w:t xml:space="preserve">much of the archaeological record remains </w:t>
      </w:r>
      <w:r w:rsidR="002622CF">
        <w:t>publically</w:t>
      </w:r>
      <w:r w:rsidR="002622CF" w:rsidRPr="00F64A07">
        <w:t xml:space="preserve"> </w:t>
      </w:r>
      <w:r w:rsidRPr="00F64A07">
        <w:t>inaccessible.</w:t>
      </w:r>
      <w:r w:rsidR="004F7ECA">
        <w:t xml:space="preserve"> The majority of </w:t>
      </w:r>
      <w:r w:rsidR="00BB00D7">
        <w:t>web</w:t>
      </w:r>
      <w:r w:rsidR="004F7ECA">
        <w:t xml:space="preserve">sites examined provided no </w:t>
      </w:r>
      <w:r w:rsidR="00BB00D7">
        <w:t xml:space="preserve">reference to </w:t>
      </w:r>
      <w:r w:rsidR="004F7ECA">
        <w:t>archaeolog</w:t>
      </w:r>
      <w:r w:rsidR="00BB00D7">
        <w:t>y</w:t>
      </w:r>
      <w:r w:rsidR="004F7ECA">
        <w:t xml:space="preserve"> and, of the remainder, a third did not provide archaeological data. These website</w:t>
      </w:r>
      <w:r w:rsidR="00DE27C6">
        <w:t>s</w:t>
      </w:r>
      <w:r w:rsidR="004F7ECA">
        <w:t xml:space="preserve"> did provide </w:t>
      </w:r>
      <w:r w:rsidR="000F3354">
        <w:t xml:space="preserve">many </w:t>
      </w:r>
      <w:r w:rsidR="004F7ECA">
        <w:t>supporting characteristics for public outreach</w:t>
      </w:r>
      <w:r w:rsidR="000F3354">
        <w:t>,</w:t>
      </w:r>
      <w:r w:rsidR="004F7ECA">
        <w:t xml:space="preserve"> but concerns about preservation, data “openness”, and limited datasets remain.</w:t>
      </w:r>
    </w:p>
    <w:p w14:paraId="1E47EC10" w14:textId="77777777" w:rsidR="008D7ABA" w:rsidRDefault="008D7ABA" w:rsidP="000F3354"/>
    <w:p w14:paraId="4837F043" w14:textId="77777777" w:rsidR="002A51D1" w:rsidRDefault="002A51D1">
      <w:pPr>
        <w:spacing w:after="160" w:line="259" w:lineRule="auto"/>
        <w:ind w:firstLine="0"/>
      </w:pPr>
      <w:r>
        <w:br w:type="page"/>
      </w:r>
    </w:p>
    <w:sdt>
      <w:sdtPr>
        <w:rPr>
          <w:rFonts w:asciiTheme="minorHAnsi" w:eastAsiaTheme="minorHAnsi" w:hAnsiTheme="minorHAnsi" w:cstheme="minorBidi"/>
          <w:color w:val="auto"/>
          <w:sz w:val="22"/>
          <w:szCs w:val="22"/>
        </w:rPr>
        <w:id w:val="-349951142"/>
        <w:docPartObj>
          <w:docPartGallery w:val="Table of Contents"/>
          <w:docPartUnique/>
        </w:docPartObj>
      </w:sdtPr>
      <w:sdtEndPr>
        <w:rPr>
          <w:rFonts w:eastAsia="SimSun"/>
          <w:b/>
          <w:bCs/>
          <w:noProof/>
        </w:rPr>
      </w:sdtEndPr>
      <w:sdtContent>
        <w:p w14:paraId="0D471367" w14:textId="0E9F7655" w:rsidR="00705D4E" w:rsidRDefault="00F0306D" w:rsidP="00A346BE">
          <w:pPr>
            <w:pStyle w:val="TOCHeading"/>
            <w:rPr>
              <w:noProof/>
            </w:rPr>
          </w:pPr>
          <w:r w:rsidRPr="00393393">
            <w:rPr>
              <w:rFonts w:asciiTheme="minorHAnsi" w:hAnsiTheme="minorHAnsi"/>
              <w:b/>
              <w:color w:val="000000" w:themeColor="text1"/>
            </w:rPr>
            <w:t>Table of C</w:t>
          </w:r>
          <w:r w:rsidR="00B34E50" w:rsidRPr="00393393">
            <w:rPr>
              <w:rFonts w:asciiTheme="minorHAnsi" w:hAnsiTheme="minorHAnsi"/>
              <w:b/>
              <w:color w:val="000000" w:themeColor="text1"/>
            </w:rPr>
            <w:t>ontent</w:t>
          </w:r>
          <w:r w:rsidR="00393393">
            <w:rPr>
              <w:rFonts w:asciiTheme="minorHAnsi" w:hAnsiTheme="minorHAnsi"/>
              <w:b/>
              <w:color w:val="000000" w:themeColor="text1"/>
            </w:rPr>
            <w:t>s</w:t>
          </w:r>
          <w:r w:rsidR="003F7CC1">
            <w:fldChar w:fldCharType="begin"/>
          </w:r>
          <w:r w:rsidR="00B34E50">
            <w:instrText xml:space="preserve"> TOC \o "1-3" \h \z \u </w:instrText>
          </w:r>
          <w:r w:rsidR="003F7CC1">
            <w:fldChar w:fldCharType="separate"/>
          </w:r>
        </w:p>
        <w:p w14:paraId="3270FD13" w14:textId="77777777" w:rsidR="00705D4E" w:rsidRDefault="00CF0DB5">
          <w:pPr>
            <w:pStyle w:val="TOC1"/>
            <w:tabs>
              <w:tab w:val="right" w:leader="dot" w:pos="9350"/>
            </w:tabs>
            <w:rPr>
              <w:rFonts w:eastAsiaTheme="minorEastAsia"/>
              <w:noProof/>
            </w:rPr>
          </w:pPr>
          <w:hyperlink w:anchor="_Toc419135391" w:history="1">
            <w:r w:rsidR="00705D4E" w:rsidRPr="003C38E5">
              <w:rPr>
                <w:rStyle w:val="Hyperlink"/>
                <w:noProof/>
              </w:rPr>
              <w:t>Chapter 1 - Introduction</w:t>
            </w:r>
            <w:r w:rsidR="00705D4E">
              <w:rPr>
                <w:noProof/>
                <w:webHidden/>
              </w:rPr>
              <w:tab/>
            </w:r>
            <w:r w:rsidR="00705D4E">
              <w:rPr>
                <w:noProof/>
                <w:webHidden/>
              </w:rPr>
              <w:fldChar w:fldCharType="begin"/>
            </w:r>
            <w:r w:rsidR="00705D4E">
              <w:rPr>
                <w:noProof/>
                <w:webHidden/>
              </w:rPr>
              <w:instrText xml:space="preserve"> PAGEREF _Toc419135391 \h </w:instrText>
            </w:r>
            <w:r w:rsidR="00705D4E">
              <w:rPr>
                <w:noProof/>
                <w:webHidden/>
              </w:rPr>
            </w:r>
            <w:r w:rsidR="00705D4E">
              <w:rPr>
                <w:noProof/>
                <w:webHidden/>
              </w:rPr>
              <w:fldChar w:fldCharType="separate"/>
            </w:r>
            <w:r w:rsidR="00887438">
              <w:rPr>
                <w:noProof/>
                <w:webHidden/>
              </w:rPr>
              <w:t>1</w:t>
            </w:r>
            <w:r w:rsidR="00705D4E">
              <w:rPr>
                <w:noProof/>
                <w:webHidden/>
              </w:rPr>
              <w:fldChar w:fldCharType="end"/>
            </w:r>
          </w:hyperlink>
        </w:p>
        <w:p w14:paraId="33A98CC2" w14:textId="77777777" w:rsidR="00705D4E" w:rsidRDefault="00CF0DB5">
          <w:pPr>
            <w:pStyle w:val="TOC2"/>
            <w:rPr>
              <w:rFonts w:eastAsiaTheme="minorEastAsia"/>
              <w:noProof/>
            </w:rPr>
          </w:pPr>
          <w:hyperlink w:anchor="_Toc419135392" w:history="1">
            <w:r w:rsidR="00705D4E" w:rsidRPr="003C38E5">
              <w:rPr>
                <w:rStyle w:val="Hyperlink"/>
                <w:noProof/>
              </w:rPr>
              <w:t>Overview</w:t>
            </w:r>
            <w:r w:rsidR="00705D4E">
              <w:rPr>
                <w:noProof/>
                <w:webHidden/>
              </w:rPr>
              <w:tab/>
            </w:r>
            <w:r w:rsidR="00705D4E">
              <w:rPr>
                <w:noProof/>
                <w:webHidden/>
              </w:rPr>
              <w:fldChar w:fldCharType="begin"/>
            </w:r>
            <w:r w:rsidR="00705D4E">
              <w:rPr>
                <w:noProof/>
                <w:webHidden/>
              </w:rPr>
              <w:instrText xml:space="preserve"> PAGEREF _Toc419135392 \h </w:instrText>
            </w:r>
            <w:r w:rsidR="00705D4E">
              <w:rPr>
                <w:noProof/>
                <w:webHidden/>
              </w:rPr>
            </w:r>
            <w:r w:rsidR="00705D4E">
              <w:rPr>
                <w:noProof/>
                <w:webHidden/>
              </w:rPr>
              <w:fldChar w:fldCharType="separate"/>
            </w:r>
            <w:r w:rsidR="00887438">
              <w:rPr>
                <w:noProof/>
                <w:webHidden/>
              </w:rPr>
              <w:t>1</w:t>
            </w:r>
            <w:r w:rsidR="00705D4E">
              <w:rPr>
                <w:noProof/>
                <w:webHidden/>
              </w:rPr>
              <w:fldChar w:fldCharType="end"/>
            </w:r>
          </w:hyperlink>
        </w:p>
        <w:p w14:paraId="0A89B390" w14:textId="77777777" w:rsidR="00705D4E" w:rsidRDefault="00CF0DB5">
          <w:pPr>
            <w:pStyle w:val="TOC2"/>
            <w:rPr>
              <w:rFonts w:eastAsiaTheme="minorEastAsia"/>
              <w:noProof/>
            </w:rPr>
          </w:pPr>
          <w:hyperlink w:anchor="_Toc419135393" w:history="1">
            <w:r w:rsidR="00705D4E" w:rsidRPr="003C38E5">
              <w:rPr>
                <w:rStyle w:val="Hyperlink"/>
                <w:noProof/>
              </w:rPr>
              <w:t>Definitions used in study</w:t>
            </w:r>
            <w:r w:rsidR="00705D4E">
              <w:rPr>
                <w:noProof/>
                <w:webHidden/>
              </w:rPr>
              <w:tab/>
            </w:r>
            <w:r w:rsidR="00705D4E">
              <w:rPr>
                <w:noProof/>
                <w:webHidden/>
              </w:rPr>
              <w:fldChar w:fldCharType="begin"/>
            </w:r>
            <w:r w:rsidR="00705D4E">
              <w:rPr>
                <w:noProof/>
                <w:webHidden/>
              </w:rPr>
              <w:instrText xml:space="preserve"> PAGEREF _Toc419135393 \h </w:instrText>
            </w:r>
            <w:r w:rsidR="00705D4E">
              <w:rPr>
                <w:noProof/>
                <w:webHidden/>
              </w:rPr>
            </w:r>
            <w:r w:rsidR="00705D4E">
              <w:rPr>
                <w:noProof/>
                <w:webHidden/>
              </w:rPr>
              <w:fldChar w:fldCharType="separate"/>
            </w:r>
            <w:r w:rsidR="00887438">
              <w:rPr>
                <w:noProof/>
                <w:webHidden/>
              </w:rPr>
              <w:t>3</w:t>
            </w:r>
            <w:r w:rsidR="00705D4E">
              <w:rPr>
                <w:noProof/>
                <w:webHidden/>
              </w:rPr>
              <w:fldChar w:fldCharType="end"/>
            </w:r>
          </w:hyperlink>
        </w:p>
        <w:p w14:paraId="5FBA60EB" w14:textId="77777777" w:rsidR="00705D4E" w:rsidRDefault="00CF0DB5">
          <w:pPr>
            <w:pStyle w:val="TOC2"/>
            <w:rPr>
              <w:rFonts w:eastAsiaTheme="minorEastAsia"/>
              <w:noProof/>
            </w:rPr>
          </w:pPr>
          <w:hyperlink w:anchor="_Toc419135394" w:history="1">
            <w:r w:rsidR="00705D4E" w:rsidRPr="003C38E5">
              <w:rPr>
                <w:rStyle w:val="Hyperlink"/>
                <w:noProof/>
              </w:rPr>
              <w:t>Conceptual Framework</w:t>
            </w:r>
            <w:r w:rsidR="00705D4E">
              <w:rPr>
                <w:noProof/>
                <w:webHidden/>
              </w:rPr>
              <w:tab/>
            </w:r>
            <w:r w:rsidR="00705D4E">
              <w:rPr>
                <w:noProof/>
                <w:webHidden/>
              </w:rPr>
              <w:fldChar w:fldCharType="begin"/>
            </w:r>
            <w:r w:rsidR="00705D4E">
              <w:rPr>
                <w:noProof/>
                <w:webHidden/>
              </w:rPr>
              <w:instrText xml:space="preserve"> PAGEREF _Toc419135394 \h </w:instrText>
            </w:r>
            <w:r w:rsidR="00705D4E">
              <w:rPr>
                <w:noProof/>
                <w:webHidden/>
              </w:rPr>
            </w:r>
            <w:r w:rsidR="00705D4E">
              <w:rPr>
                <w:noProof/>
                <w:webHidden/>
              </w:rPr>
              <w:fldChar w:fldCharType="separate"/>
            </w:r>
            <w:r w:rsidR="00887438">
              <w:rPr>
                <w:noProof/>
                <w:webHidden/>
              </w:rPr>
              <w:t>4</w:t>
            </w:r>
            <w:r w:rsidR="00705D4E">
              <w:rPr>
                <w:noProof/>
                <w:webHidden/>
              </w:rPr>
              <w:fldChar w:fldCharType="end"/>
            </w:r>
          </w:hyperlink>
        </w:p>
        <w:p w14:paraId="0C250DC3" w14:textId="77777777" w:rsidR="00705D4E" w:rsidRDefault="00CF0DB5">
          <w:pPr>
            <w:pStyle w:val="TOC2"/>
            <w:rPr>
              <w:rFonts w:eastAsiaTheme="minorEastAsia"/>
              <w:noProof/>
            </w:rPr>
          </w:pPr>
          <w:hyperlink w:anchor="_Toc419135395" w:history="1">
            <w:r w:rsidR="00705D4E" w:rsidRPr="003C38E5">
              <w:rPr>
                <w:rStyle w:val="Hyperlink"/>
                <w:noProof/>
              </w:rPr>
              <w:t>Significance</w:t>
            </w:r>
            <w:r w:rsidR="00705D4E">
              <w:rPr>
                <w:noProof/>
                <w:webHidden/>
              </w:rPr>
              <w:tab/>
            </w:r>
            <w:r w:rsidR="00705D4E">
              <w:rPr>
                <w:noProof/>
                <w:webHidden/>
              </w:rPr>
              <w:fldChar w:fldCharType="begin"/>
            </w:r>
            <w:r w:rsidR="00705D4E">
              <w:rPr>
                <w:noProof/>
                <w:webHidden/>
              </w:rPr>
              <w:instrText xml:space="preserve"> PAGEREF _Toc419135395 \h </w:instrText>
            </w:r>
            <w:r w:rsidR="00705D4E">
              <w:rPr>
                <w:noProof/>
                <w:webHidden/>
              </w:rPr>
            </w:r>
            <w:r w:rsidR="00705D4E">
              <w:rPr>
                <w:noProof/>
                <w:webHidden/>
              </w:rPr>
              <w:fldChar w:fldCharType="separate"/>
            </w:r>
            <w:r w:rsidR="00887438">
              <w:rPr>
                <w:noProof/>
                <w:webHidden/>
              </w:rPr>
              <w:t>8</w:t>
            </w:r>
            <w:r w:rsidR="00705D4E">
              <w:rPr>
                <w:noProof/>
                <w:webHidden/>
              </w:rPr>
              <w:fldChar w:fldCharType="end"/>
            </w:r>
          </w:hyperlink>
        </w:p>
        <w:p w14:paraId="048DA505" w14:textId="77777777" w:rsidR="00705D4E" w:rsidRDefault="00CF0DB5">
          <w:pPr>
            <w:pStyle w:val="TOC1"/>
            <w:tabs>
              <w:tab w:val="right" w:leader="dot" w:pos="9350"/>
            </w:tabs>
            <w:rPr>
              <w:rFonts w:eastAsiaTheme="minorEastAsia"/>
              <w:noProof/>
            </w:rPr>
          </w:pPr>
          <w:hyperlink w:anchor="_Toc419135396" w:history="1">
            <w:r w:rsidR="00705D4E" w:rsidRPr="003C38E5">
              <w:rPr>
                <w:rStyle w:val="Hyperlink"/>
                <w:noProof/>
              </w:rPr>
              <w:t>Chapter 2 – Literature Review</w:t>
            </w:r>
            <w:r w:rsidR="00705D4E">
              <w:rPr>
                <w:noProof/>
                <w:webHidden/>
              </w:rPr>
              <w:tab/>
            </w:r>
            <w:r w:rsidR="00705D4E">
              <w:rPr>
                <w:noProof/>
                <w:webHidden/>
              </w:rPr>
              <w:fldChar w:fldCharType="begin"/>
            </w:r>
            <w:r w:rsidR="00705D4E">
              <w:rPr>
                <w:noProof/>
                <w:webHidden/>
              </w:rPr>
              <w:instrText xml:space="preserve"> PAGEREF _Toc419135396 \h </w:instrText>
            </w:r>
            <w:r w:rsidR="00705D4E">
              <w:rPr>
                <w:noProof/>
                <w:webHidden/>
              </w:rPr>
            </w:r>
            <w:r w:rsidR="00705D4E">
              <w:rPr>
                <w:noProof/>
                <w:webHidden/>
              </w:rPr>
              <w:fldChar w:fldCharType="separate"/>
            </w:r>
            <w:r w:rsidR="00887438">
              <w:rPr>
                <w:noProof/>
                <w:webHidden/>
              </w:rPr>
              <w:t>11</w:t>
            </w:r>
            <w:r w:rsidR="00705D4E">
              <w:rPr>
                <w:noProof/>
                <w:webHidden/>
              </w:rPr>
              <w:fldChar w:fldCharType="end"/>
            </w:r>
          </w:hyperlink>
        </w:p>
        <w:p w14:paraId="4900669D" w14:textId="77777777" w:rsidR="00705D4E" w:rsidRDefault="00CF0DB5">
          <w:pPr>
            <w:pStyle w:val="TOC2"/>
            <w:rPr>
              <w:rFonts w:eastAsiaTheme="minorEastAsia"/>
              <w:noProof/>
            </w:rPr>
          </w:pPr>
          <w:hyperlink w:anchor="_Toc419135397" w:history="1">
            <w:r w:rsidR="00705D4E" w:rsidRPr="003C38E5">
              <w:rPr>
                <w:rStyle w:val="Hyperlink"/>
                <w:noProof/>
              </w:rPr>
              <w:t>Archaeological publishing and the curation crisis</w:t>
            </w:r>
            <w:r w:rsidR="00705D4E">
              <w:rPr>
                <w:noProof/>
                <w:webHidden/>
              </w:rPr>
              <w:tab/>
            </w:r>
            <w:r w:rsidR="00705D4E">
              <w:rPr>
                <w:noProof/>
                <w:webHidden/>
              </w:rPr>
              <w:fldChar w:fldCharType="begin"/>
            </w:r>
            <w:r w:rsidR="00705D4E">
              <w:rPr>
                <w:noProof/>
                <w:webHidden/>
              </w:rPr>
              <w:instrText xml:space="preserve"> PAGEREF _Toc419135397 \h </w:instrText>
            </w:r>
            <w:r w:rsidR="00705D4E">
              <w:rPr>
                <w:noProof/>
                <w:webHidden/>
              </w:rPr>
            </w:r>
            <w:r w:rsidR="00705D4E">
              <w:rPr>
                <w:noProof/>
                <w:webHidden/>
              </w:rPr>
              <w:fldChar w:fldCharType="separate"/>
            </w:r>
            <w:r w:rsidR="00887438">
              <w:rPr>
                <w:noProof/>
                <w:webHidden/>
              </w:rPr>
              <w:t>11</w:t>
            </w:r>
            <w:r w:rsidR="00705D4E">
              <w:rPr>
                <w:noProof/>
                <w:webHidden/>
              </w:rPr>
              <w:fldChar w:fldCharType="end"/>
            </w:r>
          </w:hyperlink>
        </w:p>
        <w:p w14:paraId="2F6D7EE9" w14:textId="77777777" w:rsidR="00705D4E" w:rsidRDefault="00CF0DB5">
          <w:pPr>
            <w:pStyle w:val="TOC2"/>
            <w:rPr>
              <w:rFonts w:eastAsiaTheme="minorEastAsia"/>
              <w:noProof/>
            </w:rPr>
          </w:pPr>
          <w:hyperlink w:anchor="_Toc419135398" w:history="1">
            <w:r w:rsidR="00705D4E" w:rsidRPr="003C38E5">
              <w:rPr>
                <w:rStyle w:val="Hyperlink"/>
                <w:noProof/>
              </w:rPr>
              <w:t>Archaeological Data</w:t>
            </w:r>
            <w:r w:rsidR="00705D4E">
              <w:rPr>
                <w:noProof/>
                <w:webHidden/>
              </w:rPr>
              <w:tab/>
            </w:r>
            <w:r w:rsidR="00705D4E">
              <w:rPr>
                <w:noProof/>
                <w:webHidden/>
              </w:rPr>
              <w:fldChar w:fldCharType="begin"/>
            </w:r>
            <w:r w:rsidR="00705D4E">
              <w:rPr>
                <w:noProof/>
                <w:webHidden/>
              </w:rPr>
              <w:instrText xml:space="preserve"> PAGEREF _Toc419135398 \h </w:instrText>
            </w:r>
            <w:r w:rsidR="00705D4E">
              <w:rPr>
                <w:noProof/>
                <w:webHidden/>
              </w:rPr>
            </w:r>
            <w:r w:rsidR="00705D4E">
              <w:rPr>
                <w:noProof/>
                <w:webHidden/>
              </w:rPr>
              <w:fldChar w:fldCharType="separate"/>
            </w:r>
            <w:r w:rsidR="00887438">
              <w:rPr>
                <w:noProof/>
                <w:webHidden/>
              </w:rPr>
              <w:t>17</w:t>
            </w:r>
            <w:r w:rsidR="00705D4E">
              <w:rPr>
                <w:noProof/>
                <w:webHidden/>
              </w:rPr>
              <w:fldChar w:fldCharType="end"/>
            </w:r>
          </w:hyperlink>
        </w:p>
        <w:p w14:paraId="16AA7D60" w14:textId="77777777" w:rsidR="00705D4E" w:rsidRDefault="00CF0DB5">
          <w:pPr>
            <w:pStyle w:val="TOC2"/>
            <w:rPr>
              <w:rFonts w:eastAsiaTheme="minorEastAsia"/>
              <w:noProof/>
            </w:rPr>
          </w:pPr>
          <w:hyperlink w:anchor="_Toc419135399" w:history="1">
            <w:r w:rsidR="00705D4E" w:rsidRPr="003C38E5">
              <w:rPr>
                <w:rStyle w:val="Hyperlink"/>
                <w:noProof/>
              </w:rPr>
              <w:t>Archaeological repositories and data publishing options</w:t>
            </w:r>
            <w:r w:rsidR="00705D4E">
              <w:rPr>
                <w:noProof/>
                <w:webHidden/>
              </w:rPr>
              <w:tab/>
            </w:r>
            <w:r w:rsidR="00705D4E">
              <w:rPr>
                <w:noProof/>
                <w:webHidden/>
              </w:rPr>
              <w:fldChar w:fldCharType="begin"/>
            </w:r>
            <w:r w:rsidR="00705D4E">
              <w:rPr>
                <w:noProof/>
                <w:webHidden/>
              </w:rPr>
              <w:instrText xml:space="preserve"> PAGEREF _Toc419135399 \h </w:instrText>
            </w:r>
            <w:r w:rsidR="00705D4E">
              <w:rPr>
                <w:noProof/>
                <w:webHidden/>
              </w:rPr>
            </w:r>
            <w:r w:rsidR="00705D4E">
              <w:rPr>
                <w:noProof/>
                <w:webHidden/>
              </w:rPr>
              <w:fldChar w:fldCharType="separate"/>
            </w:r>
            <w:r w:rsidR="00887438">
              <w:rPr>
                <w:noProof/>
                <w:webHidden/>
              </w:rPr>
              <w:t>19</w:t>
            </w:r>
            <w:r w:rsidR="00705D4E">
              <w:rPr>
                <w:noProof/>
                <w:webHidden/>
              </w:rPr>
              <w:fldChar w:fldCharType="end"/>
            </w:r>
          </w:hyperlink>
        </w:p>
        <w:p w14:paraId="25987F5A" w14:textId="77777777" w:rsidR="00705D4E" w:rsidRDefault="00CF0DB5">
          <w:pPr>
            <w:pStyle w:val="TOC2"/>
            <w:rPr>
              <w:rFonts w:eastAsiaTheme="minorEastAsia"/>
              <w:noProof/>
            </w:rPr>
          </w:pPr>
          <w:hyperlink w:anchor="_Toc419135400" w:history="1">
            <w:r w:rsidR="00705D4E" w:rsidRPr="003C38E5">
              <w:rPr>
                <w:rStyle w:val="Hyperlink"/>
                <w:noProof/>
              </w:rPr>
              <w:t>Scholarly publishing</w:t>
            </w:r>
            <w:r w:rsidR="00705D4E">
              <w:rPr>
                <w:noProof/>
                <w:webHidden/>
              </w:rPr>
              <w:tab/>
            </w:r>
            <w:r w:rsidR="00705D4E">
              <w:rPr>
                <w:noProof/>
                <w:webHidden/>
              </w:rPr>
              <w:fldChar w:fldCharType="begin"/>
            </w:r>
            <w:r w:rsidR="00705D4E">
              <w:rPr>
                <w:noProof/>
                <w:webHidden/>
              </w:rPr>
              <w:instrText xml:space="preserve"> PAGEREF _Toc419135400 \h </w:instrText>
            </w:r>
            <w:r w:rsidR="00705D4E">
              <w:rPr>
                <w:noProof/>
                <w:webHidden/>
              </w:rPr>
            </w:r>
            <w:r w:rsidR="00705D4E">
              <w:rPr>
                <w:noProof/>
                <w:webHidden/>
              </w:rPr>
              <w:fldChar w:fldCharType="separate"/>
            </w:r>
            <w:r w:rsidR="00887438">
              <w:rPr>
                <w:noProof/>
                <w:webHidden/>
              </w:rPr>
              <w:t>26</w:t>
            </w:r>
            <w:r w:rsidR="00705D4E">
              <w:rPr>
                <w:noProof/>
                <w:webHidden/>
              </w:rPr>
              <w:fldChar w:fldCharType="end"/>
            </w:r>
          </w:hyperlink>
        </w:p>
        <w:p w14:paraId="665A715D" w14:textId="77777777" w:rsidR="00705D4E" w:rsidRDefault="00CF0DB5">
          <w:pPr>
            <w:pStyle w:val="TOC2"/>
            <w:rPr>
              <w:rFonts w:eastAsiaTheme="minorEastAsia"/>
              <w:noProof/>
            </w:rPr>
          </w:pPr>
          <w:hyperlink w:anchor="_Toc419135401" w:history="1">
            <w:r w:rsidR="00705D4E" w:rsidRPr="003C38E5">
              <w:rPr>
                <w:rStyle w:val="Hyperlink"/>
                <w:noProof/>
              </w:rPr>
              <w:t>Open data</w:t>
            </w:r>
            <w:r w:rsidR="00705D4E">
              <w:rPr>
                <w:noProof/>
                <w:webHidden/>
              </w:rPr>
              <w:tab/>
            </w:r>
            <w:r w:rsidR="00705D4E">
              <w:rPr>
                <w:noProof/>
                <w:webHidden/>
              </w:rPr>
              <w:fldChar w:fldCharType="begin"/>
            </w:r>
            <w:r w:rsidR="00705D4E">
              <w:rPr>
                <w:noProof/>
                <w:webHidden/>
              </w:rPr>
              <w:instrText xml:space="preserve"> PAGEREF _Toc419135401 \h </w:instrText>
            </w:r>
            <w:r w:rsidR="00705D4E">
              <w:rPr>
                <w:noProof/>
                <w:webHidden/>
              </w:rPr>
            </w:r>
            <w:r w:rsidR="00705D4E">
              <w:rPr>
                <w:noProof/>
                <w:webHidden/>
              </w:rPr>
              <w:fldChar w:fldCharType="separate"/>
            </w:r>
            <w:r w:rsidR="00887438">
              <w:rPr>
                <w:noProof/>
                <w:webHidden/>
              </w:rPr>
              <w:t>29</w:t>
            </w:r>
            <w:r w:rsidR="00705D4E">
              <w:rPr>
                <w:noProof/>
                <w:webHidden/>
              </w:rPr>
              <w:fldChar w:fldCharType="end"/>
            </w:r>
          </w:hyperlink>
        </w:p>
        <w:p w14:paraId="36BBFC8A" w14:textId="77777777" w:rsidR="00705D4E" w:rsidRDefault="00CF0DB5">
          <w:pPr>
            <w:pStyle w:val="TOC2"/>
            <w:rPr>
              <w:rFonts w:eastAsiaTheme="minorEastAsia"/>
              <w:noProof/>
            </w:rPr>
          </w:pPr>
          <w:hyperlink w:anchor="_Toc419135402" w:history="1">
            <w:r w:rsidR="00705D4E" w:rsidRPr="003C38E5">
              <w:rPr>
                <w:rStyle w:val="Hyperlink"/>
                <w:noProof/>
              </w:rPr>
              <w:t>Public outreach and audience</w:t>
            </w:r>
            <w:r w:rsidR="00705D4E">
              <w:rPr>
                <w:noProof/>
                <w:webHidden/>
              </w:rPr>
              <w:tab/>
            </w:r>
            <w:r w:rsidR="00705D4E">
              <w:rPr>
                <w:noProof/>
                <w:webHidden/>
              </w:rPr>
              <w:fldChar w:fldCharType="begin"/>
            </w:r>
            <w:r w:rsidR="00705D4E">
              <w:rPr>
                <w:noProof/>
                <w:webHidden/>
              </w:rPr>
              <w:instrText xml:space="preserve"> PAGEREF _Toc419135402 \h </w:instrText>
            </w:r>
            <w:r w:rsidR="00705D4E">
              <w:rPr>
                <w:noProof/>
                <w:webHidden/>
              </w:rPr>
            </w:r>
            <w:r w:rsidR="00705D4E">
              <w:rPr>
                <w:noProof/>
                <w:webHidden/>
              </w:rPr>
              <w:fldChar w:fldCharType="separate"/>
            </w:r>
            <w:r w:rsidR="00887438">
              <w:rPr>
                <w:noProof/>
                <w:webHidden/>
              </w:rPr>
              <w:t>31</w:t>
            </w:r>
            <w:r w:rsidR="00705D4E">
              <w:rPr>
                <w:noProof/>
                <w:webHidden/>
              </w:rPr>
              <w:fldChar w:fldCharType="end"/>
            </w:r>
          </w:hyperlink>
        </w:p>
        <w:p w14:paraId="64D4085B" w14:textId="77777777" w:rsidR="00705D4E" w:rsidRDefault="00CF0DB5">
          <w:pPr>
            <w:pStyle w:val="TOC2"/>
            <w:rPr>
              <w:rFonts w:eastAsiaTheme="minorEastAsia"/>
              <w:noProof/>
            </w:rPr>
          </w:pPr>
          <w:hyperlink w:anchor="_Toc419135403" w:history="1">
            <w:r w:rsidR="00705D4E" w:rsidRPr="003C38E5">
              <w:rPr>
                <w:rStyle w:val="Hyperlink"/>
                <w:noProof/>
              </w:rPr>
              <w:t>Summary</w:t>
            </w:r>
            <w:r w:rsidR="00705D4E">
              <w:rPr>
                <w:noProof/>
                <w:webHidden/>
              </w:rPr>
              <w:tab/>
            </w:r>
            <w:r w:rsidR="00705D4E">
              <w:rPr>
                <w:noProof/>
                <w:webHidden/>
              </w:rPr>
              <w:fldChar w:fldCharType="begin"/>
            </w:r>
            <w:r w:rsidR="00705D4E">
              <w:rPr>
                <w:noProof/>
                <w:webHidden/>
              </w:rPr>
              <w:instrText xml:space="preserve"> PAGEREF _Toc419135403 \h </w:instrText>
            </w:r>
            <w:r w:rsidR="00705D4E">
              <w:rPr>
                <w:noProof/>
                <w:webHidden/>
              </w:rPr>
            </w:r>
            <w:r w:rsidR="00705D4E">
              <w:rPr>
                <w:noProof/>
                <w:webHidden/>
              </w:rPr>
              <w:fldChar w:fldCharType="separate"/>
            </w:r>
            <w:r w:rsidR="00887438">
              <w:rPr>
                <w:noProof/>
                <w:webHidden/>
              </w:rPr>
              <w:t>38</w:t>
            </w:r>
            <w:r w:rsidR="00705D4E">
              <w:rPr>
                <w:noProof/>
                <w:webHidden/>
              </w:rPr>
              <w:fldChar w:fldCharType="end"/>
            </w:r>
          </w:hyperlink>
        </w:p>
        <w:p w14:paraId="35517D2D" w14:textId="77777777" w:rsidR="00705D4E" w:rsidRDefault="00CF0DB5">
          <w:pPr>
            <w:pStyle w:val="TOC1"/>
            <w:tabs>
              <w:tab w:val="right" w:leader="dot" w:pos="9350"/>
            </w:tabs>
            <w:rPr>
              <w:rFonts w:eastAsiaTheme="minorEastAsia"/>
              <w:noProof/>
            </w:rPr>
          </w:pPr>
          <w:hyperlink w:anchor="_Toc419135404" w:history="1">
            <w:r w:rsidR="00705D4E" w:rsidRPr="003C38E5">
              <w:rPr>
                <w:rStyle w:val="Hyperlink"/>
                <w:noProof/>
              </w:rPr>
              <w:t>Chapter 3 - Methods</w:t>
            </w:r>
            <w:r w:rsidR="00705D4E">
              <w:rPr>
                <w:noProof/>
                <w:webHidden/>
              </w:rPr>
              <w:tab/>
            </w:r>
            <w:r w:rsidR="00705D4E">
              <w:rPr>
                <w:noProof/>
                <w:webHidden/>
              </w:rPr>
              <w:fldChar w:fldCharType="begin"/>
            </w:r>
            <w:r w:rsidR="00705D4E">
              <w:rPr>
                <w:noProof/>
                <w:webHidden/>
              </w:rPr>
              <w:instrText xml:space="preserve"> PAGEREF _Toc419135404 \h </w:instrText>
            </w:r>
            <w:r w:rsidR="00705D4E">
              <w:rPr>
                <w:noProof/>
                <w:webHidden/>
              </w:rPr>
            </w:r>
            <w:r w:rsidR="00705D4E">
              <w:rPr>
                <w:noProof/>
                <w:webHidden/>
              </w:rPr>
              <w:fldChar w:fldCharType="separate"/>
            </w:r>
            <w:r w:rsidR="00887438">
              <w:rPr>
                <w:noProof/>
                <w:webHidden/>
              </w:rPr>
              <w:t>40</w:t>
            </w:r>
            <w:r w:rsidR="00705D4E">
              <w:rPr>
                <w:noProof/>
                <w:webHidden/>
              </w:rPr>
              <w:fldChar w:fldCharType="end"/>
            </w:r>
          </w:hyperlink>
        </w:p>
        <w:p w14:paraId="123BF354" w14:textId="77777777" w:rsidR="00705D4E" w:rsidRDefault="00CF0DB5">
          <w:pPr>
            <w:pStyle w:val="TOC2"/>
            <w:rPr>
              <w:rFonts w:eastAsiaTheme="minorEastAsia"/>
              <w:noProof/>
            </w:rPr>
          </w:pPr>
          <w:hyperlink w:anchor="_Toc419135405" w:history="1">
            <w:r w:rsidR="00705D4E" w:rsidRPr="003C38E5">
              <w:rPr>
                <w:rStyle w:val="Hyperlink"/>
                <w:noProof/>
              </w:rPr>
              <w:t>Content analysis</w:t>
            </w:r>
            <w:r w:rsidR="00705D4E">
              <w:rPr>
                <w:noProof/>
                <w:webHidden/>
              </w:rPr>
              <w:tab/>
            </w:r>
            <w:r w:rsidR="00705D4E">
              <w:rPr>
                <w:noProof/>
                <w:webHidden/>
              </w:rPr>
              <w:fldChar w:fldCharType="begin"/>
            </w:r>
            <w:r w:rsidR="00705D4E">
              <w:rPr>
                <w:noProof/>
                <w:webHidden/>
              </w:rPr>
              <w:instrText xml:space="preserve"> PAGEREF _Toc419135405 \h </w:instrText>
            </w:r>
            <w:r w:rsidR="00705D4E">
              <w:rPr>
                <w:noProof/>
                <w:webHidden/>
              </w:rPr>
            </w:r>
            <w:r w:rsidR="00705D4E">
              <w:rPr>
                <w:noProof/>
                <w:webHidden/>
              </w:rPr>
              <w:fldChar w:fldCharType="separate"/>
            </w:r>
            <w:r w:rsidR="00887438">
              <w:rPr>
                <w:noProof/>
                <w:webHidden/>
              </w:rPr>
              <w:t>40</w:t>
            </w:r>
            <w:r w:rsidR="00705D4E">
              <w:rPr>
                <w:noProof/>
                <w:webHidden/>
              </w:rPr>
              <w:fldChar w:fldCharType="end"/>
            </w:r>
          </w:hyperlink>
        </w:p>
        <w:p w14:paraId="20F29809" w14:textId="77777777" w:rsidR="00705D4E" w:rsidRDefault="00CF0DB5">
          <w:pPr>
            <w:pStyle w:val="TOC2"/>
            <w:rPr>
              <w:rFonts w:eastAsiaTheme="minorEastAsia"/>
              <w:noProof/>
            </w:rPr>
          </w:pPr>
          <w:hyperlink w:anchor="_Toc419135406" w:history="1">
            <w:r w:rsidR="00705D4E" w:rsidRPr="003C38E5">
              <w:rPr>
                <w:rStyle w:val="Hyperlink"/>
                <w:noProof/>
              </w:rPr>
              <w:t>Population</w:t>
            </w:r>
            <w:r w:rsidR="00705D4E">
              <w:rPr>
                <w:noProof/>
                <w:webHidden/>
              </w:rPr>
              <w:tab/>
            </w:r>
            <w:r w:rsidR="00705D4E">
              <w:rPr>
                <w:noProof/>
                <w:webHidden/>
              </w:rPr>
              <w:fldChar w:fldCharType="begin"/>
            </w:r>
            <w:r w:rsidR="00705D4E">
              <w:rPr>
                <w:noProof/>
                <w:webHidden/>
              </w:rPr>
              <w:instrText xml:space="preserve"> PAGEREF _Toc419135406 \h </w:instrText>
            </w:r>
            <w:r w:rsidR="00705D4E">
              <w:rPr>
                <w:noProof/>
                <w:webHidden/>
              </w:rPr>
            </w:r>
            <w:r w:rsidR="00705D4E">
              <w:rPr>
                <w:noProof/>
                <w:webHidden/>
              </w:rPr>
              <w:fldChar w:fldCharType="separate"/>
            </w:r>
            <w:r w:rsidR="00887438">
              <w:rPr>
                <w:noProof/>
                <w:webHidden/>
              </w:rPr>
              <w:t>41</w:t>
            </w:r>
            <w:r w:rsidR="00705D4E">
              <w:rPr>
                <w:noProof/>
                <w:webHidden/>
              </w:rPr>
              <w:fldChar w:fldCharType="end"/>
            </w:r>
          </w:hyperlink>
        </w:p>
        <w:p w14:paraId="15BF65CB" w14:textId="77777777" w:rsidR="00705D4E" w:rsidRDefault="00CF0DB5">
          <w:pPr>
            <w:pStyle w:val="TOC2"/>
            <w:rPr>
              <w:rFonts w:eastAsiaTheme="minorEastAsia"/>
              <w:noProof/>
            </w:rPr>
          </w:pPr>
          <w:hyperlink w:anchor="_Toc419135407" w:history="1">
            <w:r w:rsidR="00705D4E" w:rsidRPr="003C38E5">
              <w:rPr>
                <w:rStyle w:val="Hyperlink"/>
                <w:noProof/>
              </w:rPr>
              <w:t>Data Collection</w:t>
            </w:r>
            <w:r w:rsidR="00705D4E">
              <w:rPr>
                <w:noProof/>
                <w:webHidden/>
              </w:rPr>
              <w:tab/>
            </w:r>
            <w:r w:rsidR="00705D4E">
              <w:rPr>
                <w:noProof/>
                <w:webHidden/>
              </w:rPr>
              <w:fldChar w:fldCharType="begin"/>
            </w:r>
            <w:r w:rsidR="00705D4E">
              <w:rPr>
                <w:noProof/>
                <w:webHidden/>
              </w:rPr>
              <w:instrText xml:space="preserve"> PAGEREF _Toc419135407 \h </w:instrText>
            </w:r>
            <w:r w:rsidR="00705D4E">
              <w:rPr>
                <w:noProof/>
                <w:webHidden/>
              </w:rPr>
            </w:r>
            <w:r w:rsidR="00705D4E">
              <w:rPr>
                <w:noProof/>
                <w:webHidden/>
              </w:rPr>
              <w:fldChar w:fldCharType="separate"/>
            </w:r>
            <w:r w:rsidR="00887438">
              <w:rPr>
                <w:noProof/>
                <w:webHidden/>
              </w:rPr>
              <w:t>42</w:t>
            </w:r>
            <w:r w:rsidR="00705D4E">
              <w:rPr>
                <w:noProof/>
                <w:webHidden/>
              </w:rPr>
              <w:fldChar w:fldCharType="end"/>
            </w:r>
          </w:hyperlink>
        </w:p>
        <w:p w14:paraId="6AB0CC06" w14:textId="77777777" w:rsidR="00705D4E" w:rsidRDefault="00CF0DB5">
          <w:pPr>
            <w:pStyle w:val="TOC2"/>
            <w:rPr>
              <w:rFonts w:eastAsiaTheme="minorEastAsia"/>
              <w:noProof/>
            </w:rPr>
          </w:pPr>
          <w:hyperlink w:anchor="_Toc419135408" w:history="1">
            <w:r w:rsidR="00705D4E" w:rsidRPr="003C38E5">
              <w:rPr>
                <w:rStyle w:val="Hyperlink"/>
                <w:noProof/>
              </w:rPr>
              <w:t>Data Analysis</w:t>
            </w:r>
            <w:r w:rsidR="00705D4E">
              <w:rPr>
                <w:noProof/>
                <w:webHidden/>
              </w:rPr>
              <w:tab/>
            </w:r>
            <w:r w:rsidR="00705D4E">
              <w:rPr>
                <w:noProof/>
                <w:webHidden/>
              </w:rPr>
              <w:fldChar w:fldCharType="begin"/>
            </w:r>
            <w:r w:rsidR="00705D4E">
              <w:rPr>
                <w:noProof/>
                <w:webHidden/>
              </w:rPr>
              <w:instrText xml:space="preserve"> PAGEREF _Toc419135408 \h </w:instrText>
            </w:r>
            <w:r w:rsidR="00705D4E">
              <w:rPr>
                <w:noProof/>
                <w:webHidden/>
              </w:rPr>
            </w:r>
            <w:r w:rsidR="00705D4E">
              <w:rPr>
                <w:noProof/>
                <w:webHidden/>
              </w:rPr>
              <w:fldChar w:fldCharType="separate"/>
            </w:r>
            <w:r w:rsidR="00887438">
              <w:rPr>
                <w:noProof/>
                <w:webHidden/>
              </w:rPr>
              <w:t>46</w:t>
            </w:r>
            <w:r w:rsidR="00705D4E">
              <w:rPr>
                <w:noProof/>
                <w:webHidden/>
              </w:rPr>
              <w:fldChar w:fldCharType="end"/>
            </w:r>
          </w:hyperlink>
        </w:p>
        <w:p w14:paraId="1B8FF3A0" w14:textId="77777777" w:rsidR="00705D4E" w:rsidRDefault="00CF0DB5">
          <w:pPr>
            <w:pStyle w:val="TOC1"/>
            <w:tabs>
              <w:tab w:val="right" w:leader="dot" w:pos="9350"/>
            </w:tabs>
            <w:rPr>
              <w:rFonts w:eastAsiaTheme="minorEastAsia"/>
              <w:noProof/>
            </w:rPr>
          </w:pPr>
          <w:hyperlink w:anchor="_Toc419135409" w:history="1">
            <w:r w:rsidR="00705D4E" w:rsidRPr="003C38E5">
              <w:rPr>
                <w:rStyle w:val="Hyperlink"/>
                <w:noProof/>
              </w:rPr>
              <w:t>Chapter 4 – Results</w:t>
            </w:r>
            <w:r w:rsidR="00705D4E">
              <w:rPr>
                <w:noProof/>
                <w:webHidden/>
              </w:rPr>
              <w:tab/>
            </w:r>
            <w:r w:rsidR="00705D4E">
              <w:rPr>
                <w:noProof/>
                <w:webHidden/>
              </w:rPr>
              <w:fldChar w:fldCharType="begin"/>
            </w:r>
            <w:r w:rsidR="00705D4E">
              <w:rPr>
                <w:noProof/>
                <w:webHidden/>
              </w:rPr>
              <w:instrText xml:space="preserve"> PAGEREF _Toc419135409 \h </w:instrText>
            </w:r>
            <w:r w:rsidR="00705D4E">
              <w:rPr>
                <w:noProof/>
                <w:webHidden/>
              </w:rPr>
            </w:r>
            <w:r w:rsidR="00705D4E">
              <w:rPr>
                <w:noProof/>
                <w:webHidden/>
              </w:rPr>
              <w:fldChar w:fldCharType="separate"/>
            </w:r>
            <w:r w:rsidR="00887438">
              <w:rPr>
                <w:noProof/>
                <w:webHidden/>
              </w:rPr>
              <w:t>47</w:t>
            </w:r>
            <w:r w:rsidR="00705D4E">
              <w:rPr>
                <w:noProof/>
                <w:webHidden/>
              </w:rPr>
              <w:fldChar w:fldCharType="end"/>
            </w:r>
          </w:hyperlink>
        </w:p>
        <w:p w14:paraId="7C81F4BF" w14:textId="77777777" w:rsidR="00705D4E" w:rsidRDefault="00CF0DB5">
          <w:pPr>
            <w:pStyle w:val="TOC2"/>
            <w:rPr>
              <w:rFonts w:eastAsiaTheme="minorEastAsia"/>
              <w:noProof/>
            </w:rPr>
          </w:pPr>
          <w:hyperlink w:anchor="_Toc419135410" w:history="1">
            <w:r w:rsidR="00705D4E" w:rsidRPr="003C38E5">
              <w:rPr>
                <w:rStyle w:val="Hyperlink"/>
                <w:noProof/>
              </w:rPr>
              <w:t>“No Archaeology” web pages</w:t>
            </w:r>
            <w:r w:rsidR="00705D4E">
              <w:rPr>
                <w:noProof/>
                <w:webHidden/>
              </w:rPr>
              <w:tab/>
            </w:r>
            <w:r w:rsidR="00705D4E">
              <w:rPr>
                <w:noProof/>
                <w:webHidden/>
              </w:rPr>
              <w:fldChar w:fldCharType="begin"/>
            </w:r>
            <w:r w:rsidR="00705D4E">
              <w:rPr>
                <w:noProof/>
                <w:webHidden/>
              </w:rPr>
              <w:instrText xml:space="preserve"> PAGEREF _Toc419135410 \h </w:instrText>
            </w:r>
            <w:r w:rsidR="00705D4E">
              <w:rPr>
                <w:noProof/>
                <w:webHidden/>
              </w:rPr>
            </w:r>
            <w:r w:rsidR="00705D4E">
              <w:rPr>
                <w:noProof/>
                <w:webHidden/>
              </w:rPr>
              <w:fldChar w:fldCharType="separate"/>
            </w:r>
            <w:r w:rsidR="00887438">
              <w:rPr>
                <w:noProof/>
                <w:webHidden/>
              </w:rPr>
              <w:t>47</w:t>
            </w:r>
            <w:r w:rsidR="00705D4E">
              <w:rPr>
                <w:noProof/>
                <w:webHidden/>
              </w:rPr>
              <w:fldChar w:fldCharType="end"/>
            </w:r>
          </w:hyperlink>
        </w:p>
        <w:p w14:paraId="2097495C" w14:textId="77777777" w:rsidR="00705D4E" w:rsidRDefault="00CF0DB5">
          <w:pPr>
            <w:pStyle w:val="TOC2"/>
            <w:rPr>
              <w:rFonts w:eastAsiaTheme="minorEastAsia"/>
              <w:noProof/>
            </w:rPr>
          </w:pPr>
          <w:hyperlink w:anchor="_Toc419135411" w:history="1">
            <w:r w:rsidR="00705D4E" w:rsidRPr="003C38E5">
              <w:rPr>
                <w:rStyle w:val="Hyperlink"/>
                <w:noProof/>
              </w:rPr>
              <w:t>Archaeology content, but not data</w:t>
            </w:r>
            <w:r w:rsidR="00705D4E">
              <w:rPr>
                <w:noProof/>
                <w:webHidden/>
              </w:rPr>
              <w:tab/>
            </w:r>
            <w:r w:rsidR="00705D4E">
              <w:rPr>
                <w:noProof/>
                <w:webHidden/>
              </w:rPr>
              <w:fldChar w:fldCharType="begin"/>
            </w:r>
            <w:r w:rsidR="00705D4E">
              <w:rPr>
                <w:noProof/>
                <w:webHidden/>
              </w:rPr>
              <w:instrText xml:space="preserve"> PAGEREF _Toc419135411 \h </w:instrText>
            </w:r>
            <w:r w:rsidR="00705D4E">
              <w:rPr>
                <w:noProof/>
                <w:webHidden/>
              </w:rPr>
            </w:r>
            <w:r w:rsidR="00705D4E">
              <w:rPr>
                <w:noProof/>
                <w:webHidden/>
              </w:rPr>
              <w:fldChar w:fldCharType="separate"/>
            </w:r>
            <w:r w:rsidR="00887438">
              <w:rPr>
                <w:noProof/>
                <w:webHidden/>
              </w:rPr>
              <w:t>49</w:t>
            </w:r>
            <w:r w:rsidR="00705D4E">
              <w:rPr>
                <w:noProof/>
                <w:webHidden/>
              </w:rPr>
              <w:fldChar w:fldCharType="end"/>
            </w:r>
          </w:hyperlink>
        </w:p>
        <w:p w14:paraId="66E61F91" w14:textId="77777777" w:rsidR="00705D4E" w:rsidRDefault="00CF0DB5">
          <w:pPr>
            <w:pStyle w:val="TOC3"/>
            <w:tabs>
              <w:tab w:val="right" w:leader="dot" w:pos="9350"/>
            </w:tabs>
            <w:rPr>
              <w:rFonts w:eastAsiaTheme="minorEastAsia"/>
              <w:noProof/>
            </w:rPr>
          </w:pPr>
          <w:hyperlink w:anchor="_Toc419135412" w:history="1">
            <w:r w:rsidR="00705D4E" w:rsidRPr="003C38E5">
              <w:rPr>
                <w:rStyle w:val="Hyperlink"/>
                <w:noProof/>
              </w:rPr>
              <w:t>Public Outreach</w:t>
            </w:r>
            <w:r w:rsidR="00705D4E">
              <w:rPr>
                <w:noProof/>
                <w:webHidden/>
              </w:rPr>
              <w:tab/>
            </w:r>
            <w:r w:rsidR="00705D4E">
              <w:rPr>
                <w:noProof/>
                <w:webHidden/>
              </w:rPr>
              <w:fldChar w:fldCharType="begin"/>
            </w:r>
            <w:r w:rsidR="00705D4E">
              <w:rPr>
                <w:noProof/>
                <w:webHidden/>
              </w:rPr>
              <w:instrText xml:space="preserve"> PAGEREF _Toc419135412 \h </w:instrText>
            </w:r>
            <w:r w:rsidR="00705D4E">
              <w:rPr>
                <w:noProof/>
                <w:webHidden/>
              </w:rPr>
            </w:r>
            <w:r w:rsidR="00705D4E">
              <w:rPr>
                <w:noProof/>
                <w:webHidden/>
              </w:rPr>
              <w:fldChar w:fldCharType="separate"/>
            </w:r>
            <w:r w:rsidR="00887438">
              <w:rPr>
                <w:noProof/>
                <w:webHidden/>
              </w:rPr>
              <w:t>49</w:t>
            </w:r>
            <w:r w:rsidR="00705D4E">
              <w:rPr>
                <w:noProof/>
                <w:webHidden/>
              </w:rPr>
              <w:fldChar w:fldCharType="end"/>
            </w:r>
          </w:hyperlink>
        </w:p>
        <w:p w14:paraId="2555F304" w14:textId="77777777" w:rsidR="00705D4E" w:rsidRDefault="00CF0DB5">
          <w:pPr>
            <w:pStyle w:val="TOC2"/>
            <w:rPr>
              <w:rFonts w:eastAsiaTheme="minorEastAsia"/>
              <w:noProof/>
            </w:rPr>
          </w:pPr>
          <w:hyperlink w:anchor="_Toc419135413" w:history="1">
            <w:r w:rsidR="00705D4E" w:rsidRPr="003C38E5">
              <w:rPr>
                <w:rStyle w:val="Hyperlink"/>
                <w:noProof/>
              </w:rPr>
              <w:t>Archaeological Data</w:t>
            </w:r>
            <w:r w:rsidR="00705D4E">
              <w:rPr>
                <w:noProof/>
                <w:webHidden/>
              </w:rPr>
              <w:tab/>
            </w:r>
            <w:r w:rsidR="00705D4E">
              <w:rPr>
                <w:noProof/>
                <w:webHidden/>
              </w:rPr>
              <w:fldChar w:fldCharType="begin"/>
            </w:r>
            <w:r w:rsidR="00705D4E">
              <w:rPr>
                <w:noProof/>
                <w:webHidden/>
              </w:rPr>
              <w:instrText xml:space="preserve"> PAGEREF _Toc419135413 \h </w:instrText>
            </w:r>
            <w:r w:rsidR="00705D4E">
              <w:rPr>
                <w:noProof/>
                <w:webHidden/>
              </w:rPr>
            </w:r>
            <w:r w:rsidR="00705D4E">
              <w:rPr>
                <w:noProof/>
                <w:webHidden/>
              </w:rPr>
              <w:fldChar w:fldCharType="separate"/>
            </w:r>
            <w:r w:rsidR="00887438">
              <w:rPr>
                <w:noProof/>
                <w:webHidden/>
              </w:rPr>
              <w:t>52</w:t>
            </w:r>
            <w:r w:rsidR="00705D4E">
              <w:rPr>
                <w:noProof/>
                <w:webHidden/>
              </w:rPr>
              <w:fldChar w:fldCharType="end"/>
            </w:r>
          </w:hyperlink>
        </w:p>
        <w:p w14:paraId="6D58A529" w14:textId="77777777" w:rsidR="00705D4E" w:rsidRDefault="00CF0DB5">
          <w:pPr>
            <w:pStyle w:val="TOC3"/>
            <w:tabs>
              <w:tab w:val="right" w:leader="dot" w:pos="9350"/>
            </w:tabs>
            <w:rPr>
              <w:rFonts w:eastAsiaTheme="minorEastAsia"/>
              <w:noProof/>
            </w:rPr>
          </w:pPr>
          <w:hyperlink w:anchor="_Toc419135414" w:history="1">
            <w:r w:rsidR="00705D4E" w:rsidRPr="003C38E5">
              <w:rPr>
                <w:rStyle w:val="Hyperlink"/>
                <w:noProof/>
              </w:rPr>
              <w:t>Open Data</w:t>
            </w:r>
            <w:r w:rsidR="00705D4E">
              <w:rPr>
                <w:noProof/>
                <w:webHidden/>
              </w:rPr>
              <w:tab/>
            </w:r>
            <w:r w:rsidR="00705D4E">
              <w:rPr>
                <w:noProof/>
                <w:webHidden/>
              </w:rPr>
              <w:fldChar w:fldCharType="begin"/>
            </w:r>
            <w:r w:rsidR="00705D4E">
              <w:rPr>
                <w:noProof/>
                <w:webHidden/>
              </w:rPr>
              <w:instrText xml:space="preserve"> PAGEREF _Toc419135414 \h </w:instrText>
            </w:r>
            <w:r w:rsidR="00705D4E">
              <w:rPr>
                <w:noProof/>
                <w:webHidden/>
              </w:rPr>
            </w:r>
            <w:r w:rsidR="00705D4E">
              <w:rPr>
                <w:noProof/>
                <w:webHidden/>
              </w:rPr>
              <w:fldChar w:fldCharType="separate"/>
            </w:r>
            <w:r w:rsidR="00887438">
              <w:rPr>
                <w:noProof/>
                <w:webHidden/>
              </w:rPr>
              <w:t>52</w:t>
            </w:r>
            <w:r w:rsidR="00705D4E">
              <w:rPr>
                <w:noProof/>
                <w:webHidden/>
              </w:rPr>
              <w:fldChar w:fldCharType="end"/>
            </w:r>
          </w:hyperlink>
        </w:p>
        <w:p w14:paraId="7CC50562" w14:textId="77777777" w:rsidR="00705D4E" w:rsidRDefault="00CF0DB5">
          <w:pPr>
            <w:pStyle w:val="TOC3"/>
            <w:tabs>
              <w:tab w:val="right" w:leader="dot" w:pos="9350"/>
            </w:tabs>
            <w:rPr>
              <w:rFonts w:eastAsiaTheme="minorEastAsia"/>
              <w:noProof/>
            </w:rPr>
          </w:pPr>
          <w:hyperlink w:anchor="_Toc419135415" w:history="1">
            <w:r w:rsidR="00705D4E" w:rsidRPr="003C38E5">
              <w:rPr>
                <w:rStyle w:val="Hyperlink"/>
                <w:noProof/>
              </w:rPr>
              <w:t>Scholarly publishing</w:t>
            </w:r>
            <w:r w:rsidR="00705D4E">
              <w:rPr>
                <w:noProof/>
                <w:webHidden/>
              </w:rPr>
              <w:tab/>
            </w:r>
            <w:r w:rsidR="00705D4E">
              <w:rPr>
                <w:noProof/>
                <w:webHidden/>
              </w:rPr>
              <w:fldChar w:fldCharType="begin"/>
            </w:r>
            <w:r w:rsidR="00705D4E">
              <w:rPr>
                <w:noProof/>
                <w:webHidden/>
              </w:rPr>
              <w:instrText xml:space="preserve"> PAGEREF _Toc419135415 \h </w:instrText>
            </w:r>
            <w:r w:rsidR="00705D4E">
              <w:rPr>
                <w:noProof/>
                <w:webHidden/>
              </w:rPr>
            </w:r>
            <w:r w:rsidR="00705D4E">
              <w:rPr>
                <w:noProof/>
                <w:webHidden/>
              </w:rPr>
              <w:fldChar w:fldCharType="separate"/>
            </w:r>
            <w:r w:rsidR="00887438">
              <w:rPr>
                <w:noProof/>
                <w:webHidden/>
              </w:rPr>
              <w:t>54</w:t>
            </w:r>
            <w:r w:rsidR="00705D4E">
              <w:rPr>
                <w:noProof/>
                <w:webHidden/>
              </w:rPr>
              <w:fldChar w:fldCharType="end"/>
            </w:r>
          </w:hyperlink>
        </w:p>
        <w:p w14:paraId="2D6C8B98" w14:textId="77777777" w:rsidR="00705D4E" w:rsidRDefault="00CF0DB5">
          <w:pPr>
            <w:pStyle w:val="TOC3"/>
            <w:tabs>
              <w:tab w:val="right" w:leader="dot" w:pos="9350"/>
            </w:tabs>
            <w:rPr>
              <w:rFonts w:eastAsiaTheme="minorEastAsia"/>
              <w:noProof/>
            </w:rPr>
          </w:pPr>
          <w:hyperlink w:anchor="_Toc419135416" w:history="1">
            <w:r w:rsidR="00705D4E" w:rsidRPr="003C38E5">
              <w:rPr>
                <w:rStyle w:val="Hyperlink"/>
                <w:noProof/>
              </w:rPr>
              <w:t>Archaeological data sub-clusters</w:t>
            </w:r>
            <w:r w:rsidR="00705D4E">
              <w:rPr>
                <w:noProof/>
                <w:webHidden/>
              </w:rPr>
              <w:tab/>
            </w:r>
            <w:r w:rsidR="00705D4E">
              <w:rPr>
                <w:noProof/>
                <w:webHidden/>
              </w:rPr>
              <w:fldChar w:fldCharType="begin"/>
            </w:r>
            <w:r w:rsidR="00705D4E">
              <w:rPr>
                <w:noProof/>
                <w:webHidden/>
              </w:rPr>
              <w:instrText xml:space="preserve"> PAGEREF _Toc419135416 \h </w:instrText>
            </w:r>
            <w:r w:rsidR="00705D4E">
              <w:rPr>
                <w:noProof/>
                <w:webHidden/>
              </w:rPr>
            </w:r>
            <w:r w:rsidR="00705D4E">
              <w:rPr>
                <w:noProof/>
                <w:webHidden/>
              </w:rPr>
              <w:fldChar w:fldCharType="separate"/>
            </w:r>
            <w:r w:rsidR="00887438">
              <w:rPr>
                <w:noProof/>
                <w:webHidden/>
              </w:rPr>
              <w:t>55</w:t>
            </w:r>
            <w:r w:rsidR="00705D4E">
              <w:rPr>
                <w:noProof/>
                <w:webHidden/>
              </w:rPr>
              <w:fldChar w:fldCharType="end"/>
            </w:r>
          </w:hyperlink>
        </w:p>
        <w:p w14:paraId="38341DF6" w14:textId="77777777" w:rsidR="00705D4E" w:rsidRDefault="00CF0DB5">
          <w:pPr>
            <w:pStyle w:val="TOC1"/>
            <w:tabs>
              <w:tab w:val="right" w:leader="dot" w:pos="9350"/>
            </w:tabs>
            <w:rPr>
              <w:rFonts w:eastAsiaTheme="minorEastAsia"/>
              <w:noProof/>
            </w:rPr>
          </w:pPr>
          <w:hyperlink w:anchor="_Toc419135417" w:history="1">
            <w:r w:rsidR="00705D4E" w:rsidRPr="003C38E5">
              <w:rPr>
                <w:rStyle w:val="Hyperlink"/>
                <w:noProof/>
              </w:rPr>
              <w:t>Chapter 5 – Discussions</w:t>
            </w:r>
            <w:r w:rsidR="00705D4E">
              <w:rPr>
                <w:noProof/>
                <w:webHidden/>
              </w:rPr>
              <w:tab/>
            </w:r>
            <w:r w:rsidR="00705D4E">
              <w:rPr>
                <w:noProof/>
                <w:webHidden/>
              </w:rPr>
              <w:fldChar w:fldCharType="begin"/>
            </w:r>
            <w:r w:rsidR="00705D4E">
              <w:rPr>
                <w:noProof/>
                <w:webHidden/>
              </w:rPr>
              <w:instrText xml:space="preserve"> PAGEREF _Toc419135417 \h </w:instrText>
            </w:r>
            <w:r w:rsidR="00705D4E">
              <w:rPr>
                <w:noProof/>
                <w:webHidden/>
              </w:rPr>
            </w:r>
            <w:r w:rsidR="00705D4E">
              <w:rPr>
                <w:noProof/>
                <w:webHidden/>
              </w:rPr>
              <w:fldChar w:fldCharType="separate"/>
            </w:r>
            <w:r w:rsidR="00887438">
              <w:rPr>
                <w:noProof/>
                <w:webHidden/>
              </w:rPr>
              <w:t>56</w:t>
            </w:r>
            <w:r w:rsidR="00705D4E">
              <w:rPr>
                <w:noProof/>
                <w:webHidden/>
              </w:rPr>
              <w:fldChar w:fldCharType="end"/>
            </w:r>
          </w:hyperlink>
        </w:p>
        <w:p w14:paraId="426E34BE" w14:textId="77777777" w:rsidR="00705D4E" w:rsidRDefault="00CF0DB5">
          <w:pPr>
            <w:pStyle w:val="TOC2"/>
            <w:rPr>
              <w:rFonts w:eastAsiaTheme="minorEastAsia"/>
              <w:noProof/>
            </w:rPr>
          </w:pPr>
          <w:hyperlink w:anchor="_Toc419135418" w:history="1">
            <w:r w:rsidR="00705D4E" w:rsidRPr="003C38E5">
              <w:rPr>
                <w:rStyle w:val="Hyperlink"/>
                <w:noProof/>
              </w:rPr>
              <w:t>Overview</w:t>
            </w:r>
            <w:r w:rsidR="00705D4E">
              <w:rPr>
                <w:noProof/>
                <w:webHidden/>
              </w:rPr>
              <w:tab/>
            </w:r>
            <w:r w:rsidR="00705D4E">
              <w:rPr>
                <w:noProof/>
                <w:webHidden/>
              </w:rPr>
              <w:fldChar w:fldCharType="begin"/>
            </w:r>
            <w:r w:rsidR="00705D4E">
              <w:rPr>
                <w:noProof/>
                <w:webHidden/>
              </w:rPr>
              <w:instrText xml:space="preserve"> PAGEREF _Toc419135418 \h </w:instrText>
            </w:r>
            <w:r w:rsidR="00705D4E">
              <w:rPr>
                <w:noProof/>
                <w:webHidden/>
              </w:rPr>
            </w:r>
            <w:r w:rsidR="00705D4E">
              <w:rPr>
                <w:noProof/>
                <w:webHidden/>
              </w:rPr>
              <w:fldChar w:fldCharType="separate"/>
            </w:r>
            <w:r w:rsidR="00887438">
              <w:rPr>
                <w:noProof/>
                <w:webHidden/>
              </w:rPr>
              <w:t>56</w:t>
            </w:r>
            <w:r w:rsidR="00705D4E">
              <w:rPr>
                <w:noProof/>
                <w:webHidden/>
              </w:rPr>
              <w:fldChar w:fldCharType="end"/>
            </w:r>
          </w:hyperlink>
        </w:p>
        <w:p w14:paraId="18EA36B7" w14:textId="77777777" w:rsidR="00705D4E" w:rsidRDefault="00CF0DB5">
          <w:pPr>
            <w:pStyle w:val="TOC2"/>
            <w:rPr>
              <w:rFonts w:eastAsiaTheme="minorEastAsia"/>
              <w:noProof/>
            </w:rPr>
          </w:pPr>
          <w:hyperlink w:anchor="_Toc419135419" w:history="1">
            <w:r w:rsidR="00705D4E" w:rsidRPr="003C38E5">
              <w:rPr>
                <w:rStyle w:val="Hyperlink"/>
                <w:noProof/>
              </w:rPr>
              <w:t>Limitations</w:t>
            </w:r>
            <w:r w:rsidR="00705D4E">
              <w:rPr>
                <w:noProof/>
                <w:webHidden/>
              </w:rPr>
              <w:tab/>
            </w:r>
            <w:r w:rsidR="00705D4E">
              <w:rPr>
                <w:noProof/>
                <w:webHidden/>
              </w:rPr>
              <w:fldChar w:fldCharType="begin"/>
            </w:r>
            <w:r w:rsidR="00705D4E">
              <w:rPr>
                <w:noProof/>
                <w:webHidden/>
              </w:rPr>
              <w:instrText xml:space="preserve"> PAGEREF _Toc419135419 \h </w:instrText>
            </w:r>
            <w:r w:rsidR="00705D4E">
              <w:rPr>
                <w:noProof/>
                <w:webHidden/>
              </w:rPr>
            </w:r>
            <w:r w:rsidR="00705D4E">
              <w:rPr>
                <w:noProof/>
                <w:webHidden/>
              </w:rPr>
              <w:fldChar w:fldCharType="separate"/>
            </w:r>
            <w:r w:rsidR="00887438">
              <w:rPr>
                <w:noProof/>
                <w:webHidden/>
              </w:rPr>
              <w:t>57</w:t>
            </w:r>
            <w:r w:rsidR="00705D4E">
              <w:rPr>
                <w:noProof/>
                <w:webHidden/>
              </w:rPr>
              <w:fldChar w:fldCharType="end"/>
            </w:r>
          </w:hyperlink>
        </w:p>
        <w:p w14:paraId="6C41CE37" w14:textId="77777777" w:rsidR="00705D4E" w:rsidRDefault="00CF0DB5">
          <w:pPr>
            <w:pStyle w:val="TOC2"/>
            <w:rPr>
              <w:rFonts w:eastAsiaTheme="minorEastAsia"/>
              <w:noProof/>
            </w:rPr>
          </w:pPr>
          <w:hyperlink w:anchor="_Toc419135420" w:history="1">
            <w:r w:rsidR="00705D4E" w:rsidRPr="003C38E5">
              <w:rPr>
                <w:rStyle w:val="Hyperlink"/>
                <w:noProof/>
              </w:rPr>
              <w:t>Scholarly Publishing</w:t>
            </w:r>
            <w:r w:rsidR="00705D4E">
              <w:rPr>
                <w:noProof/>
                <w:webHidden/>
              </w:rPr>
              <w:tab/>
            </w:r>
            <w:r w:rsidR="00705D4E">
              <w:rPr>
                <w:noProof/>
                <w:webHidden/>
              </w:rPr>
              <w:fldChar w:fldCharType="begin"/>
            </w:r>
            <w:r w:rsidR="00705D4E">
              <w:rPr>
                <w:noProof/>
                <w:webHidden/>
              </w:rPr>
              <w:instrText xml:space="preserve"> PAGEREF _Toc419135420 \h </w:instrText>
            </w:r>
            <w:r w:rsidR="00705D4E">
              <w:rPr>
                <w:noProof/>
                <w:webHidden/>
              </w:rPr>
            </w:r>
            <w:r w:rsidR="00705D4E">
              <w:rPr>
                <w:noProof/>
                <w:webHidden/>
              </w:rPr>
              <w:fldChar w:fldCharType="separate"/>
            </w:r>
            <w:r w:rsidR="00887438">
              <w:rPr>
                <w:noProof/>
                <w:webHidden/>
              </w:rPr>
              <w:t>59</w:t>
            </w:r>
            <w:r w:rsidR="00705D4E">
              <w:rPr>
                <w:noProof/>
                <w:webHidden/>
              </w:rPr>
              <w:fldChar w:fldCharType="end"/>
            </w:r>
          </w:hyperlink>
        </w:p>
        <w:p w14:paraId="3390F59D" w14:textId="77777777" w:rsidR="00705D4E" w:rsidRDefault="00CF0DB5">
          <w:pPr>
            <w:pStyle w:val="TOC2"/>
            <w:rPr>
              <w:rFonts w:eastAsiaTheme="minorEastAsia"/>
              <w:noProof/>
            </w:rPr>
          </w:pPr>
          <w:hyperlink w:anchor="_Toc419135421" w:history="1">
            <w:r w:rsidR="00705D4E" w:rsidRPr="003C38E5">
              <w:rPr>
                <w:rStyle w:val="Hyperlink"/>
                <w:noProof/>
              </w:rPr>
              <w:t>Open Data</w:t>
            </w:r>
            <w:r w:rsidR="00705D4E">
              <w:rPr>
                <w:noProof/>
                <w:webHidden/>
              </w:rPr>
              <w:tab/>
            </w:r>
            <w:r w:rsidR="00705D4E">
              <w:rPr>
                <w:noProof/>
                <w:webHidden/>
              </w:rPr>
              <w:fldChar w:fldCharType="begin"/>
            </w:r>
            <w:r w:rsidR="00705D4E">
              <w:rPr>
                <w:noProof/>
                <w:webHidden/>
              </w:rPr>
              <w:instrText xml:space="preserve"> PAGEREF _Toc419135421 \h </w:instrText>
            </w:r>
            <w:r w:rsidR="00705D4E">
              <w:rPr>
                <w:noProof/>
                <w:webHidden/>
              </w:rPr>
            </w:r>
            <w:r w:rsidR="00705D4E">
              <w:rPr>
                <w:noProof/>
                <w:webHidden/>
              </w:rPr>
              <w:fldChar w:fldCharType="separate"/>
            </w:r>
            <w:r w:rsidR="00887438">
              <w:rPr>
                <w:noProof/>
                <w:webHidden/>
              </w:rPr>
              <w:t>63</w:t>
            </w:r>
            <w:r w:rsidR="00705D4E">
              <w:rPr>
                <w:noProof/>
                <w:webHidden/>
              </w:rPr>
              <w:fldChar w:fldCharType="end"/>
            </w:r>
          </w:hyperlink>
        </w:p>
        <w:p w14:paraId="5B2B5596" w14:textId="77777777" w:rsidR="00705D4E" w:rsidRDefault="00CF0DB5">
          <w:pPr>
            <w:pStyle w:val="TOC2"/>
            <w:rPr>
              <w:rFonts w:eastAsiaTheme="minorEastAsia"/>
              <w:noProof/>
            </w:rPr>
          </w:pPr>
          <w:hyperlink w:anchor="_Toc419135422" w:history="1">
            <w:r w:rsidR="00705D4E" w:rsidRPr="003C38E5">
              <w:rPr>
                <w:rStyle w:val="Hyperlink"/>
                <w:noProof/>
              </w:rPr>
              <w:t>Public Outreach</w:t>
            </w:r>
            <w:r w:rsidR="00705D4E">
              <w:rPr>
                <w:noProof/>
                <w:webHidden/>
              </w:rPr>
              <w:tab/>
            </w:r>
            <w:r w:rsidR="00705D4E">
              <w:rPr>
                <w:noProof/>
                <w:webHidden/>
              </w:rPr>
              <w:fldChar w:fldCharType="begin"/>
            </w:r>
            <w:r w:rsidR="00705D4E">
              <w:rPr>
                <w:noProof/>
                <w:webHidden/>
              </w:rPr>
              <w:instrText xml:space="preserve"> PAGEREF _Toc419135422 \h </w:instrText>
            </w:r>
            <w:r w:rsidR="00705D4E">
              <w:rPr>
                <w:noProof/>
                <w:webHidden/>
              </w:rPr>
            </w:r>
            <w:r w:rsidR="00705D4E">
              <w:rPr>
                <w:noProof/>
                <w:webHidden/>
              </w:rPr>
              <w:fldChar w:fldCharType="separate"/>
            </w:r>
            <w:r w:rsidR="00887438">
              <w:rPr>
                <w:noProof/>
                <w:webHidden/>
              </w:rPr>
              <w:t>64</w:t>
            </w:r>
            <w:r w:rsidR="00705D4E">
              <w:rPr>
                <w:noProof/>
                <w:webHidden/>
              </w:rPr>
              <w:fldChar w:fldCharType="end"/>
            </w:r>
          </w:hyperlink>
        </w:p>
        <w:p w14:paraId="287F3542" w14:textId="77777777" w:rsidR="00705D4E" w:rsidRDefault="00CF0DB5">
          <w:pPr>
            <w:pStyle w:val="TOC2"/>
            <w:rPr>
              <w:rFonts w:eastAsiaTheme="minorEastAsia"/>
              <w:noProof/>
            </w:rPr>
          </w:pPr>
          <w:hyperlink w:anchor="_Toc419135423" w:history="1">
            <w:r w:rsidR="00705D4E" w:rsidRPr="003C38E5">
              <w:rPr>
                <w:rStyle w:val="Hyperlink"/>
                <w:noProof/>
              </w:rPr>
              <w:t>Findings by institutional type</w:t>
            </w:r>
            <w:r w:rsidR="00705D4E">
              <w:rPr>
                <w:noProof/>
                <w:webHidden/>
              </w:rPr>
              <w:tab/>
            </w:r>
            <w:r w:rsidR="00705D4E">
              <w:rPr>
                <w:noProof/>
                <w:webHidden/>
              </w:rPr>
              <w:fldChar w:fldCharType="begin"/>
            </w:r>
            <w:r w:rsidR="00705D4E">
              <w:rPr>
                <w:noProof/>
                <w:webHidden/>
              </w:rPr>
              <w:instrText xml:space="preserve"> PAGEREF _Toc419135423 \h </w:instrText>
            </w:r>
            <w:r w:rsidR="00705D4E">
              <w:rPr>
                <w:noProof/>
                <w:webHidden/>
              </w:rPr>
            </w:r>
            <w:r w:rsidR="00705D4E">
              <w:rPr>
                <w:noProof/>
                <w:webHidden/>
              </w:rPr>
              <w:fldChar w:fldCharType="separate"/>
            </w:r>
            <w:r w:rsidR="00887438">
              <w:rPr>
                <w:noProof/>
                <w:webHidden/>
              </w:rPr>
              <w:t>66</w:t>
            </w:r>
            <w:r w:rsidR="00705D4E">
              <w:rPr>
                <w:noProof/>
                <w:webHidden/>
              </w:rPr>
              <w:fldChar w:fldCharType="end"/>
            </w:r>
          </w:hyperlink>
        </w:p>
        <w:p w14:paraId="332AEFAE" w14:textId="77777777" w:rsidR="00705D4E" w:rsidRDefault="00CF0DB5">
          <w:pPr>
            <w:pStyle w:val="TOC2"/>
            <w:rPr>
              <w:rFonts w:eastAsiaTheme="minorEastAsia"/>
              <w:noProof/>
            </w:rPr>
          </w:pPr>
          <w:hyperlink w:anchor="_Toc419135424" w:history="1">
            <w:r w:rsidR="00705D4E" w:rsidRPr="003C38E5">
              <w:rPr>
                <w:rStyle w:val="Hyperlink"/>
                <w:noProof/>
              </w:rPr>
              <w:t>Aggregated websites</w:t>
            </w:r>
            <w:r w:rsidR="00705D4E">
              <w:rPr>
                <w:noProof/>
                <w:webHidden/>
              </w:rPr>
              <w:tab/>
            </w:r>
            <w:r w:rsidR="00705D4E">
              <w:rPr>
                <w:noProof/>
                <w:webHidden/>
              </w:rPr>
              <w:fldChar w:fldCharType="begin"/>
            </w:r>
            <w:r w:rsidR="00705D4E">
              <w:rPr>
                <w:noProof/>
                <w:webHidden/>
              </w:rPr>
              <w:instrText xml:space="preserve"> PAGEREF _Toc419135424 \h </w:instrText>
            </w:r>
            <w:r w:rsidR="00705D4E">
              <w:rPr>
                <w:noProof/>
                <w:webHidden/>
              </w:rPr>
            </w:r>
            <w:r w:rsidR="00705D4E">
              <w:rPr>
                <w:noProof/>
                <w:webHidden/>
              </w:rPr>
              <w:fldChar w:fldCharType="separate"/>
            </w:r>
            <w:r w:rsidR="00887438">
              <w:rPr>
                <w:noProof/>
                <w:webHidden/>
              </w:rPr>
              <w:t>67</w:t>
            </w:r>
            <w:r w:rsidR="00705D4E">
              <w:rPr>
                <w:noProof/>
                <w:webHidden/>
              </w:rPr>
              <w:fldChar w:fldCharType="end"/>
            </w:r>
          </w:hyperlink>
        </w:p>
        <w:p w14:paraId="1139C3BA" w14:textId="77777777" w:rsidR="00705D4E" w:rsidRDefault="00CF0DB5">
          <w:pPr>
            <w:pStyle w:val="TOC2"/>
            <w:rPr>
              <w:rFonts w:eastAsiaTheme="minorEastAsia"/>
              <w:noProof/>
            </w:rPr>
          </w:pPr>
          <w:hyperlink w:anchor="_Toc419135425" w:history="1">
            <w:r w:rsidR="00705D4E" w:rsidRPr="003C38E5">
              <w:rPr>
                <w:rStyle w:val="Hyperlink"/>
                <w:noProof/>
              </w:rPr>
              <w:t>Conclusions</w:t>
            </w:r>
            <w:r w:rsidR="00705D4E">
              <w:rPr>
                <w:noProof/>
                <w:webHidden/>
              </w:rPr>
              <w:tab/>
            </w:r>
            <w:r w:rsidR="00705D4E">
              <w:rPr>
                <w:noProof/>
                <w:webHidden/>
              </w:rPr>
              <w:fldChar w:fldCharType="begin"/>
            </w:r>
            <w:r w:rsidR="00705D4E">
              <w:rPr>
                <w:noProof/>
                <w:webHidden/>
              </w:rPr>
              <w:instrText xml:space="preserve"> PAGEREF _Toc419135425 \h </w:instrText>
            </w:r>
            <w:r w:rsidR="00705D4E">
              <w:rPr>
                <w:noProof/>
                <w:webHidden/>
              </w:rPr>
            </w:r>
            <w:r w:rsidR="00705D4E">
              <w:rPr>
                <w:noProof/>
                <w:webHidden/>
              </w:rPr>
              <w:fldChar w:fldCharType="separate"/>
            </w:r>
            <w:r w:rsidR="00887438">
              <w:rPr>
                <w:noProof/>
                <w:webHidden/>
              </w:rPr>
              <w:t>69</w:t>
            </w:r>
            <w:r w:rsidR="00705D4E">
              <w:rPr>
                <w:noProof/>
                <w:webHidden/>
              </w:rPr>
              <w:fldChar w:fldCharType="end"/>
            </w:r>
          </w:hyperlink>
        </w:p>
        <w:p w14:paraId="70165E0E" w14:textId="77777777" w:rsidR="00705D4E" w:rsidRDefault="00CF0DB5">
          <w:pPr>
            <w:pStyle w:val="TOC1"/>
            <w:tabs>
              <w:tab w:val="right" w:leader="dot" w:pos="9350"/>
            </w:tabs>
            <w:rPr>
              <w:rFonts w:eastAsiaTheme="minorEastAsia"/>
              <w:noProof/>
            </w:rPr>
          </w:pPr>
          <w:hyperlink w:anchor="_Toc419135426" w:history="1">
            <w:r w:rsidR="00705D4E" w:rsidRPr="003C38E5">
              <w:rPr>
                <w:rStyle w:val="Hyperlink"/>
                <w:noProof/>
              </w:rPr>
              <w:t>References</w:t>
            </w:r>
            <w:r w:rsidR="00705D4E">
              <w:rPr>
                <w:noProof/>
                <w:webHidden/>
              </w:rPr>
              <w:tab/>
            </w:r>
            <w:r w:rsidR="00705D4E">
              <w:rPr>
                <w:noProof/>
                <w:webHidden/>
              </w:rPr>
              <w:fldChar w:fldCharType="begin"/>
            </w:r>
            <w:r w:rsidR="00705D4E">
              <w:rPr>
                <w:noProof/>
                <w:webHidden/>
              </w:rPr>
              <w:instrText xml:space="preserve"> PAGEREF _Toc419135426 \h </w:instrText>
            </w:r>
            <w:r w:rsidR="00705D4E">
              <w:rPr>
                <w:noProof/>
                <w:webHidden/>
              </w:rPr>
            </w:r>
            <w:r w:rsidR="00705D4E">
              <w:rPr>
                <w:noProof/>
                <w:webHidden/>
              </w:rPr>
              <w:fldChar w:fldCharType="separate"/>
            </w:r>
            <w:r w:rsidR="00887438">
              <w:rPr>
                <w:noProof/>
                <w:webHidden/>
              </w:rPr>
              <w:t>73</w:t>
            </w:r>
            <w:r w:rsidR="00705D4E">
              <w:rPr>
                <w:noProof/>
                <w:webHidden/>
              </w:rPr>
              <w:fldChar w:fldCharType="end"/>
            </w:r>
          </w:hyperlink>
        </w:p>
        <w:p w14:paraId="252334BA" w14:textId="77777777" w:rsidR="00705D4E" w:rsidRDefault="00CF0DB5">
          <w:pPr>
            <w:pStyle w:val="TOC1"/>
            <w:tabs>
              <w:tab w:val="right" w:leader="dot" w:pos="9350"/>
            </w:tabs>
            <w:rPr>
              <w:rFonts w:eastAsiaTheme="minorEastAsia"/>
              <w:noProof/>
            </w:rPr>
          </w:pPr>
          <w:hyperlink w:anchor="_Toc419135427" w:history="1">
            <w:r w:rsidR="00705D4E" w:rsidRPr="003C38E5">
              <w:rPr>
                <w:rStyle w:val="Hyperlink"/>
                <w:noProof/>
              </w:rPr>
              <w:t>Appendix A – institutional websites holding archaeology collections</w:t>
            </w:r>
            <w:r w:rsidR="00705D4E">
              <w:rPr>
                <w:noProof/>
                <w:webHidden/>
              </w:rPr>
              <w:tab/>
            </w:r>
            <w:r w:rsidR="00705D4E">
              <w:rPr>
                <w:noProof/>
                <w:webHidden/>
              </w:rPr>
              <w:fldChar w:fldCharType="begin"/>
            </w:r>
            <w:r w:rsidR="00705D4E">
              <w:rPr>
                <w:noProof/>
                <w:webHidden/>
              </w:rPr>
              <w:instrText xml:space="preserve"> PAGEREF _Toc419135427 \h </w:instrText>
            </w:r>
            <w:r w:rsidR="00705D4E">
              <w:rPr>
                <w:noProof/>
                <w:webHidden/>
              </w:rPr>
            </w:r>
            <w:r w:rsidR="00705D4E">
              <w:rPr>
                <w:noProof/>
                <w:webHidden/>
              </w:rPr>
              <w:fldChar w:fldCharType="separate"/>
            </w:r>
            <w:r w:rsidR="00887438">
              <w:rPr>
                <w:noProof/>
                <w:webHidden/>
              </w:rPr>
              <w:t>82</w:t>
            </w:r>
            <w:r w:rsidR="00705D4E">
              <w:rPr>
                <w:noProof/>
                <w:webHidden/>
              </w:rPr>
              <w:fldChar w:fldCharType="end"/>
            </w:r>
          </w:hyperlink>
        </w:p>
        <w:p w14:paraId="52AA7DF0" w14:textId="77777777" w:rsidR="00705D4E" w:rsidRDefault="00CF0DB5">
          <w:pPr>
            <w:pStyle w:val="TOC1"/>
            <w:tabs>
              <w:tab w:val="right" w:leader="dot" w:pos="9350"/>
            </w:tabs>
            <w:rPr>
              <w:rFonts w:eastAsiaTheme="minorEastAsia"/>
              <w:noProof/>
            </w:rPr>
          </w:pPr>
          <w:hyperlink w:anchor="_Toc419135428" w:history="1">
            <w:r w:rsidR="00705D4E" w:rsidRPr="003C38E5">
              <w:rPr>
                <w:rStyle w:val="Hyperlink"/>
                <w:noProof/>
              </w:rPr>
              <w:t>Appendix B – Website Coding System</w:t>
            </w:r>
            <w:r w:rsidR="00705D4E">
              <w:rPr>
                <w:noProof/>
                <w:webHidden/>
              </w:rPr>
              <w:tab/>
            </w:r>
            <w:r w:rsidR="00705D4E">
              <w:rPr>
                <w:noProof/>
                <w:webHidden/>
              </w:rPr>
              <w:fldChar w:fldCharType="begin"/>
            </w:r>
            <w:r w:rsidR="00705D4E">
              <w:rPr>
                <w:noProof/>
                <w:webHidden/>
              </w:rPr>
              <w:instrText xml:space="preserve"> PAGEREF _Toc419135428 \h </w:instrText>
            </w:r>
            <w:r w:rsidR="00705D4E">
              <w:rPr>
                <w:noProof/>
                <w:webHidden/>
              </w:rPr>
            </w:r>
            <w:r w:rsidR="00705D4E">
              <w:rPr>
                <w:noProof/>
                <w:webHidden/>
              </w:rPr>
              <w:fldChar w:fldCharType="separate"/>
            </w:r>
            <w:r w:rsidR="00887438">
              <w:rPr>
                <w:noProof/>
                <w:webHidden/>
              </w:rPr>
              <w:t>86</w:t>
            </w:r>
            <w:r w:rsidR="00705D4E">
              <w:rPr>
                <w:noProof/>
                <w:webHidden/>
              </w:rPr>
              <w:fldChar w:fldCharType="end"/>
            </w:r>
          </w:hyperlink>
        </w:p>
        <w:p w14:paraId="71AE4D21" w14:textId="77777777" w:rsidR="00705D4E" w:rsidRDefault="00CF0DB5">
          <w:pPr>
            <w:pStyle w:val="TOC3"/>
            <w:tabs>
              <w:tab w:val="right" w:leader="dot" w:pos="9350"/>
            </w:tabs>
            <w:rPr>
              <w:rFonts w:eastAsiaTheme="minorEastAsia"/>
              <w:noProof/>
            </w:rPr>
          </w:pPr>
          <w:hyperlink w:anchor="_Toc419135429" w:history="1">
            <w:r w:rsidR="00705D4E" w:rsidRPr="003C38E5">
              <w:rPr>
                <w:rStyle w:val="Hyperlink"/>
                <w:noProof/>
              </w:rPr>
              <w:t>Data Management</w:t>
            </w:r>
            <w:r w:rsidR="00705D4E">
              <w:rPr>
                <w:noProof/>
                <w:webHidden/>
              </w:rPr>
              <w:tab/>
            </w:r>
            <w:r w:rsidR="00705D4E">
              <w:rPr>
                <w:noProof/>
                <w:webHidden/>
              </w:rPr>
              <w:fldChar w:fldCharType="begin"/>
            </w:r>
            <w:r w:rsidR="00705D4E">
              <w:rPr>
                <w:noProof/>
                <w:webHidden/>
              </w:rPr>
              <w:instrText xml:space="preserve"> PAGEREF _Toc419135429 \h </w:instrText>
            </w:r>
            <w:r w:rsidR="00705D4E">
              <w:rPr>
                <w:noProof/>
                <w:webHidden/>
              </w:rPr>
            </w:r>
            <w:r w:rsidR="00705D4E">
              <w:rPr>
                <w:noProof/>
                <w:webHidden/>
              </w:rPr>
              <w:fldChar w:fldCharType="separate"/>
            </w:r>
            <w:r w:rsidR="00887438">
              <w:rPr>
                <w:noProof/>
                <w:webHidden/>
              </w:rPr>
              <w:t>86</w:t>
            </w:r>
            <w:r w:rsidR="00705D4E">
              <w:rPr>
                <w:noProof/>
                <w:webHidden/>
              </w:rPr>
              <w:fldChar w:fldCharType="end"/>
            </w:r>
          </w:hyperlink>
        </w:p>
        <w:p w14:paraId="46D1EF3D" w14:textId="77777777" w:rsidR="00705D4E" w:rsidRDefault="00CF0DB5">
          <w:pPr>
            <w:pStyle w:val="TOC3"/>
            <w:tabs>
              <w:tab w:val="right" w:leader="dot" w:pos="9350"/>
            </w:tabs>
            <w:rPr>
              <w:rFonts w:eastAsiaTheme="minorEastAsia"/>
              <w:noProof/>
            </w:rPr>
          </w:pPr>
          <w:hyperlink w:anchor="_Toc419135430" w:history="1">
            <w:r w:rsidR="00705D4E" w:rsidRPr="003C38E5">
              <w:rPr>
                <w:rStyle w:val="Hyperlink"/>
                <w:noProof/>
              </w:rPr>
              <w:t>Institutional Information</w:t>
            </w:r>
            <w:r w:rsidR="00705D4E">
              <w:rPr>
                <w:noProof/>
                <w:webHidden/>
              </w:rPr>
              <w:tab/>
            </w:r>
            <w:r w:rsidR="00705D4E">
              <w:rPr>
                <w:noProof/>
                <w:webHidden/>
              </w:rPr>
              <w:fldChar w:fldCharType="begin"/>
            </w:r>
            <w:r w:rsidR="00705D4E">
              <w:rPr>
                <w:noProof/>
                <w:webHidden/>
              </w:rPr>
              <w:instrText xml:space="preserve"> PAGEREF _Toc419135430 \h </w:instrText>
            </w:r>
            <w:r w:rsidR="00705D4E">
              <w:rPr>
                <w:noProof/>
                <w:webHidden/>
              </w:rPr>
            </w:r>
            <w:r w:rsidR="00705D4E">
              <w:rPr>
                <w:noProof/>
                <w:webHidden/>
              </w:rPr>
              <w:fldChar w:fldCharType="separate"/>
            </w:r>
            <w:r w:rsidR="00887438">
              <w:rPr>
                <w:noProof/>
                <w:webHidden/>
              </w:rPr>
              <w:t>86</w:t>
            </w:r>
            <w:r w:rsidR="00705D4E">
              <w:rPr>
                <w:noProof/>
                <w:webHidden/>
              </w:rPr>
              <w:fldChar w:fldCharType="end"/>
            </w:r>
          </w:hyperlink>
        </w:p>
        <w:p w14:paraId="7ED3C18F" w14:textId="77777777" w:rsidR="00705D4E" w:rsidRDefault="00CF0DB5">
          <w:pPr>
            <w:pStyle w:val="TOC3"/>
            <w:tabs>
              <w:tab w:val="right" w:leader="dot" w:pos="9350"/>
            </w:tabs>
            <w:rPr>
              <w:rFonts w:eastAsiaTheme="minorEastAsia"/>
              <w:noProof/>
            </w:rPr>
          </w:pPr>
          <w:hyperlink w:anchor="_Toc419135431" w:history="1">
            <w:r w:rsidR="00705D4E" w:rsidRPr="003C38E5">
              <w:rPr>
                <w:rStyle w:val="Hyperlink"/>
                <w:noProof/>
              </w:rPr>
              <w:t>Data Content</w:t>
            </w:r>
            <w:r w:rsidR="00705D4E">
              <w:rPr>
                <w:noProof/>
                <w:webHidden/>
              </w:rPr>
              <w:tab/>
            </w:r>
            <w:r w:rsidR="00705D4E">
              <w:rPr>
                <w:noProof/>
                <w:webHidden/>
              </w:rPr>
              <w:fldChar w:fldCharType="begin"/>
            </w:r>
            <w:r w:rsidR="00705D4E">
              <w:rPr>
                <w:noProof/>
                <w:webHidden/>
              </w:rPr>
              <w:instrText xml:space="preserve"> PAGEREF _Toc419135431 \h </w:instrText>
            </w:r>
            <w:r w:rsidR="00705D4E">
              <w:rPr>
                <w:noProof/>
                <w:webHidden/>
              </w:rPr>
            </w:r>
            <w:r w:rsidR="00705D4E">
              <w:rPr>
                <w:noProof/>
                <w:webHidden/>
              </w:rPr>
              <w:fldChar w:fldCharType="separate"/>
            </w:r>
            <w:r w:rsidR="00887438">
              <w:rPr>
                <w:noProof/>
                <w:webHidden/>
              </w:rPr>
              <w:t>86</w:t>
            </w:r>
            <w:r w:rsidR="00705D4E">
              <w:rPr>
                <w:noProof/>
                <w:webHidden/>
              </w:rPr>
              <w:fldChar w:fldCharType="end"/>
            </w:r>
          </w:hyperlink>
        </w:p>
        <w:p w14:paraId="1CB59951" w14:textId="77777777" w:rsidR="00705D4E" w:rsidRDefault="00CF0DB5">
          <w:pPr>
            <w:pStyle w:val="TOC3"/>
            <w:tabs>
              <w:tab w:val="right" w:leader="dot" w:pos="9350"/>
            </w:tabs>
            <w:rPr>
              <w:rFonts w:eastAsiaTheme="minorEastAsia"/>
              <w:noProof/>
            </w:rPr>
          </w:pPr>
          <w:hyperlink w:anchor="_Toc419135432" w:history="1">
            <w:r w:rsidR="00705D4E" w:rsidRPr="003C38E5">
              <w:rPr>
                <w:rStyle w:val="Hyperlink"/>
                <w:noProof/>
              </w:rPr>
              <w:t>Scholarly Publishing</w:t>
            </w:r>
            <w:r w:rsidR="00705D4E">
              <w:rPr>
                <w:noProof/>
                <w:webHidden/>
              </w:rPr>
              <w:tab/>
            </w:r>
            <w:r w:rsidR="00705D4E">
              <w:rPr>
                <w:noProof/>
                <w:webHidden/>
              </w:rPr>
              <w:fldChar w:fldCharType="begin"/>
            </w:r>
            <w:r w:rsidR="00705D4E">
              <w:rPr>
                <w:noProof/>
                <w:webHidden/>
              </w:rPr>
              <w:instrText xml:space="preserve"> PAGEREF _Toc419135432 \h </w:instrText>
            </w:r>
            <w:r w:rsidR="00705D4E">
              <w:rPr>
                <w:noProof/>
                <w:webHidden/>
              </w:rPr>
            </w:r>
            <w:r w:rsidR="00705D4E">
              <w:rPr>
                <w:noProof/>
                <w:webHidden/>
              </w:rPr>
              <w:fldChar w:fldCharType="separate"/>
            </w:r>
            <w:r w:rsidR="00887438">
              <w:rPr>
                <w:noProof/>
                <w:webHidden/>
              </w:rPr>
              <w:t>87</w:t>
            </w:r>
            <w:r w:rsidR="00705D4E">
              <w:rPr>
                <w:noProof/>
                <w:webHidden/>
              </w:rPr>
              <w:fldChar w:fldCharType="end"/>
            </w:r>
          </w:hyperlink>
        </w:p>
        <w:p w14:paraId="7DC77065" w14:textId="77777777" w:rsidR="00705D4E" w:rsidRDefault="00CF0DB5">
          <w:pPr>
            <w:pStyle w:val="TOC3"/>
            <w:tabs>
              <w:tab w:val="right" w:leader="dot" w:pos="9350"/>
            </w:tabs>
            <w:rPr>
              <w:rFonts w:eastAsiaTheme="minorEastAsia"/>
              <w:noProof/>
            </w:rPr>
          </w:pPr>
          <w:hyperlink w:anchor="_Toc419135433" w:history="1">
            <w:r w:rsidR="00705D4E" w:rsidRPr="003C38E5">
              <w:rPr>
                <w:rStyle w:val="Hyperlink"/>
                <w:noProof/>
              </w:rPr>
              <w:t>Open Data</w:t>
            </w:r>
            <w:r w:rsidR="00705D4E">
              <w:rPr>
                <w:noProof/>
                <w:webHidden/>
              </w:rPr>
              <w:tab/>
            </w:r>
            <w:r w:rsidR="00705D4E">
              <w:rPr>
                <w:noProof/>
                <w:webHidden/>
              </w:rPr>
              <w:fldChar w:fldCharType="begin"/>
            </w:r>
            <w:r w:rsidR="00705D4E">
              <w:rPr>
                <w:noProof/>
                <w:webHidden/>
              </w:rPr>
              <w:instrText xml:space="preserve"> PAGEREF _Toc419135433 \h </w:instrText>
            </w:r>
            <w:r w:rsidR="00705D4E">
              <w:rPr>
                <w:noProof/>
                <w:webHidden/>
              </w:rPr>
            </w:r>
            <w:r w:rsidR="00705D4E">
              <w:rPr>
                <w:noProof/>
                <w:webHidden/>
              </w:rPr>
              <w:fldChar w:fldCharType="separate"/>
            </w:r>
            <w:r w:rsidR="00887438">
              <w:rPr>
                <w:noProof/>
                <w:webHidden/>
              </w:rPr>
              <w:t>87</w:t>
            </w:r>
            <w:r w:rsidR="00705D4E">
              <w:rPr>
                <w:noProof/>
                <w:webHidden/>
              </w:rPr>
              <w:fldChar w:fldCharType="end"/>
            </w:r>
          </w:hyperlink>
        </w:p>
        <w:p w14:paraId="672FC6D4" w14:textId="77777777" w:rsidR="00705D4E" w:rsidRDefault="00CF0DB5">
          <w:pPr>
            <w:pStyle w:val="TOC3"/>
            <w:tabs>
              <w:tab w:val="right" w:leader="dot" w:pos="9350"/>
            </w:tabs>
            <w:rPr>
              <w:rFonts w:eastAsiaTheme="minorEastAsia"/>
              <w:noProof/>
            </w:rPr>
          </w:pPr>
          <w:hyperlink w:anchor="_Toc419135434" w:history="1">
            <w:r w:rsidR="00705D4E" w:rsidRPr="003C38E5">
              <w:rPr>
                <w:rStyle w:val="Hyperlink"/>
                <w:noProof/>
              </w:rPr>
              <w:t>Public outreach</w:t>
            </w:r>
            <w:r w:rsidR="00705D4E">
              <w:rPr>
                <w:noProof/>
                <w:webHidden/>
              </w:rPr>
              <w:tab/>
            </w:r>
            <w:r w:rsidR="00705D4E">
              <w:rPr>
                <w:noProof/>
                <w:webHidden/>
              </w:rPr>
              <w:fldChar w:fldCharType="begin"/>
            </w:r>
            <w:r w:rsidR="00705D4E">
              <w:rPr>
                <w:noProof/>
                <w:webHidden/>
              </w:rPr>
              <w:instrText xml:space="preserve"> PAGEREF _Toc419135434 \h </w:instrText>
            </w:r>
            <w:r w:rsidR="00705D4E">
              <w:rPr>
                <w:noProof/>
                <w:webHidden/>
              </w:rPr>
            </w:r>
            <w:r w:rsidR="00705D4E">
              <w:rPr>
                <w:noProof/>
                <w:webHidden/>
              </w:rPr>
              <w:fldChar w:fldCharType="separate"/>
            </w:r>
            <w:r w:rsidR="00887438">
              <w:rPr>
                <w:noProof/>
                <w:webHidden/>
              </w:rPr>
              <w:t>87</w:t>
            </w:r>
            <w:r w:rsidR="00705D4E">
              <w:rPr>
                <w:noProof/>
                <w:webHidden/>
              </w:rPr>
              <w:fldChar w:fldCharType="end"/>
            </w:r>
          </w:hyperlink>
        </w:p>
        <w:p w14:paraId="2EEBA1D6" w14:textId="4F41EA7D" w:rsidR="00705D4E" w:rsidRDefault="00CF0DB5">
          <w:pPr>
            <w:pStyle w:val="TOC1"/>
            <w:tabs>
              <w:tab w:val="right" w:leader="dot" w:pos="9350"/>
            </w:tabs>
            <w:rPr>
              <w:rFonts w:eastAsiaTheme="minorEastAsia"/>
              <w:noProof/>
            </w:rPr>
          </w:pPr>
          <w:hyperlink w:anchor="_Toc419135435" w:history="1">
            <w:r w:rsidR="00AE575A">
              <w:rPr>
                <w:rStyle w:val="Hyperlink"/>
                <w:noProof/>
              </w:rPr>
              <w:t>Resumé</w:t>
            </w:r>
            <w:r w:rsidR="00705D4E">
              <w:rPr>
                <w:noProof/>
                <w:webHidden/>
              </w:rPr>
              <w:tab/>
            </w:r>
            <w:r w:rsidR="00705D4E">
              <w:rPr>
                <w:noProof/>
                <w:webHidden/>
              </w:rPr>
              <w:fldChar w:fldCharType="begin"/>
            </w:r>
            <w:r w:rsidR="00705D4E">
              <w:rPr>
                <w:noProof/>
                <w:webHidden/>
              </w:rPr>
              <w:instrText xml:space="preserve"> PAGEREF _Toc419135435 \h </w:instrText>
            </w:r>
            <w:r w:rsidR="00705D4E">
              <w:rPr>
                <w:noProof/>
                <w:webHidden/>
              </w:rPr>
            </w:r>
            <w:r w:rsidR="00705D4E">
              <w:rPr>
                <w:noProof/>
                <w:webHidden/>
              </w:rPr>
              <w:fldChar w:fldCharType="separate"/>
            </w:r>
            <w:r w:rsidR="00887438">
              <w:rPr>
                <w:noProof/>
                <w:webHidden/>
              </w:rPr>
              <w:t>89</w:t>
            </w:r>
            <w:r w:rsidR="00705D4E">
              <w:rPr>
                <w:noProof/>
                <w:webHidden/>
              </w:rPr>
              <w:fldChar w:fldCharType="end"/>
            </w:r>
          </w:hyperlink>
        </w:p>
        <w:p w14:paraId="4119D2A9" w14:textId="77777777" w:rsidR="00B34E50" w:rsidRDefault="003F7CC1">
          <w:r>
            <w:rPr>
              <w:b/>
              <w:bCs/>
              <w:noProof/>
            </w:rPr>
            <w:fldChar w:fldCharType="end"/>
          </w:r>
        </w:p>
      </w:sdtContent>
    </w:sdt>
    <w:p w14:paraId="16B36F72" w14:textId="77777777" w:rsidR="00A346BE" w:rsidRDefault="00A346BE">
      <w:pPr>
        <w:spacing w:after="160" w:line="259" w:lineRule="auto"/>
        <w:ind w:firstLine="0"/>
        <w:rPr>
          <w:rFonts w:eastAsia="Times New Roman" w:cs="Times New Roman"/>
          <w:b/>
          <w:bCs/>
          <w:kern w:val="36"/>
          <w:sz w:val="36"/>
          <w:szCs w:val="48"/>
        </w:rPr>
      </w:pPr>
      <w:r>
        <w:br w:type="page"/>
      </w:r>
    </w:p>
    <w:p w14:paraId="7CC717EA" w14:textId="29AFEAF1" w:rsidR="00A346BE" w:rsidRPr="00F776A9" w:rsidRDefault="00A346BE" w:rsidP="00F776A9">
      <w:pPr>
        <w:rPr>
          <w:b/>
          <w:sz w:val="32"/>
          <w:szCs w:val="32"/>
        </w:rPr>
      </w:pPr>
      <w:bookmarkStart w:id="0" w:name="_Toc411369873"/>
      <w:bookmarkStart w:id="1" w:name="_Toc413611787"/>
      <w:bookmarkStart w:id="2" w:name="_Toc413704288"/>
      <w:bookmarkStart w:id="3" w:name="_Toc418514708"/>
      <w:bookmarkStart w:id="4" w:name="_Toc418681296"/>
      <w:bookmarkStart w:id="5" w:name="_Toc419135390"/>
      <w:r w:rsidRPr="00F776A9">
        <w:rPr>
          <w:b/>
          <w:sz w:val="32"/>
          <w:szCs w:val="32"/>
        </w:rPr>
        <w:lastRenderedPageBreak/>
        <w:t>List of Tables</w:t>
      </w:r>
      <w:bookmarkEnd w:id="0"/>
      <w:bookmarkEnd w:id="1"/>
      <w:bookmarkEnd w:id="2"/>
      <w:bookmarkEnd w:id="3"/>
      <w:bookmarkEnd w:id="4"/>
      <w:bookmarkEnd w:id="5"/>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9"/>
        <w:gridCol w:w="990"/>
      </w:tblGrid>
      <w:tr w:rsidR="00986EB8" w14:paraId="5E0360F8" w14:textId="77777777" w:rsidTr="00094F57">
        <w:trPr>
          <w:jc w:val="center"/>
        </w:trPr>
        <w:tc>
          <w:tcPr>
            <w:tcW w:w="5319" w:type="dxa"/>
          </w:tcPr>
          <w:p w14:paraId="7897830A" w14:textId="77777777" w:rsidR="00986EB8" w:rsidRDefault="00986EB8" w:rsidP="00986EB8">
            <w:pPr>
              <w:ind w:firstLine="0"/>
            </w:pPr>
            <w:r w:rsidRPr="00402CE2">
              <w:t>Table 1.</w:t>
            </w:r>
            <w:r>
              <w:t xml:space="preserve"> </w:t>
            </w:r>
            <w:r w:rsidR="00870A9F" w:rsidRPr="00870A9F">
              <w:t>Data collection fields by sectio</w:t>
            </w:r>
            <w:r w:rsidR="00870A9F">
              <w:t>n</w:t>
            </w:r>
          </w:p>
        </w:tc>
        <w:tc>
          <w:tcPr>
            <w:tcW w:w="990" w:type="dxa"/>
          </w:tcPr>
          <w:p w14:paraId="678B1722" w14:textId="77777777" w:rsidR="00986EB8" w:rsidRDefault="00094F57" w:rsidP="00094F57">
            <w:pPr>
              <w:ind w:firstLine="0"/>
              <w:jc w:val="right"/>
            </w:pPr>
            <w:r>
              <w:t>45</w:t>
            </w:r>
          </w:p>
        </w:tc>
      </w:tr>
      <w:tr w:rsidR="00A346BE" w14:paraId="12A1BB17" w14:textId="77777777" w:rsidTr="00094F57">
        <w:trPr>
          <w:jc w:val="center"/>
        </w:trPr>
        <w:tc>
          <w:tcPr>
            <w:tcW w:w="5319" w:type="dxa"/>
          </w:tcPr>
          <w:p w14:paraId="42AC0055" w14:textId="77777777" w:rsidR="00A346BE" w:rsidRDefault="00A346BE" w:rsidP="00870A9F">
            <w:pPr>
              <w:ind w:firstLine="0"/>
            </w:pPr>
            <w:r w:rsidRPr="00402CE2">
              <w:t xml:space="preserve">Table </w:t>
            </w:r>
            <w:r w:rsidR="00986EB8">
              <w:t>2</w:t>
            </w:r>
            <w:r w:rsidRPr="00402CE2">
              <w:t>.</w:t>
            </w:r>
            <w:r>
              <w:t xml:space="preserve"> </w:t>
            </w:r>
            <w:r w:rsidR="00870A9F">
              <w:t xml:space="preserve">Clusters </w:t>
            </w:r>
            <w:r>
              <w:t>by presence of data</w:t>
            </w:r>
          </w:p>
        </w:tc>
        <w:tc>
          <w:tcPr>
            <w:tcW w:w="990" w:type="dxa"/>
          </w:tcPr>
          <w:p w14:paraId="5B95887B" w14:textId="0F2CA536" w:rsidR="00A346BE" w:rsidRDefault="00986EB8" w:rsidP="00705D4E">
            <w:pPr>
              <w:ind w:firstLine="0"/>
              <w:jc w:val="right"/>
            </w:pPr>
            <w:r>
              <w:t>4</w:t>
            </w:r>
            <w:r w:rsidR="00705D4E">
              <w:t>7</w:t>
            </w:r>
          </w:p>
        </w:tc>
      </w:tr>
      <w:tr w:rsidR="00870A9F" w14:paraId="1CB88ACF" w14:textId="77777777" w:rsidTr="00094F57">
        <w:trPr>
          <w:jc w:val="center"/>
        </w:trPr>
        <w:tc>
          <w:tcPr>
            <w:tcW w:w="5319" w:type="dxa"/>
          </w:tcPr>
          <w:p w14:paraId="6193241D" w14:textId="77777777" w:rsidR="00870A9F" w:rsidRDefault="00870A9F" w:rsidP="00094F57">
            <w:pPr>
              <w:ind w:firstLine="0"/>
            </w:pPr>
            <w:r>
              <w:t>Table 3</w:t>
            </w:r>
            <w:r w:rsidRPr="00402CE2">
              <w:t>.</w:t>
            </w:r>
            <w:r>
              <w:t xml:space="preserve"> </w:t>
            </w:r>
            <w:r w:rsidRPr="00870A9F">
              <w:t>No archaeology pages by organizational typ</w:t>
            </w:r>
            <w:r w:rsidR="00094F57">
              <w:t>e</w:t>
            </w:r>
          </w:p>
        </w:tc>
        <w:tc>
          <w:tcPr>
            <w:tcW w:w="990" w:type="dxa"/>
          </w:tcPr>
          <w:p w14:paraId="64DD66AB" w14:textId="0519F9D0" w:rsidR="00870A9F" w:rsidRDefault="00094F57" w:rsidP="00705D4E">
            <w:pPr>
              <w:ind w:firstLine="0"/>
              <w:jc w:val="right"/>
            </w:pPr>
            <w:r>
              <w:t>4</w:t>
            </w:r>
            <w:r w:rsidR="00705D4E">
              <w:t>8</w:t>
            </w:r>
          </w:p>
        </w:tc>
      </w:tr>
      <w:tr w:rsidR="00A346BE" w14:paraId="2515FB30" w14:textId="77777777" w:rsidTr="00094F57">
        <w:trPr>
          <w:jc w:val="center"/>
        </w:trPr>
        <w:tc>
          <w:tcPr>
            <w:tcW w:w="5319" w:type="dxa"/>
          </w:tcPr>
          <w:p w14:paraId="6EB1F51F" w14:textId="77777777" w:rsidR="00A346BE" w:rsidRDefault="00A346BE" w:rsidP="00870A9F">
            <w:pPr>
              <w:ind w:firstLine="0"/>
            </w:pPr>
            <w:r>
              <w:t xml:space="preserve">Table </w:t>
            </w:r>
            <w:r w:rsidR="00094F57">
              <w:t>4</w:t>
            </w:r>
            <w:r w:rsidRPr="00402CE2">
              <w:t>.</w:t>
            </w:r>
            <w:r>
              <w:t xml:space="preserve"> Public </w:t>
            </w:r>
            <w:r w:rsidR="000F3354">
              <w:t>o</w:t>
            </w:r>
            <w:r>
              <w:t xml:space="preserve">utreach </w:t>
            </w:r>
            <w:r w:rsidR="000F3354">
              <w:t>c</w:t>
            </w:r>
            <w:r>
              <w:t>haracteristics</w:t>
            </w:r>
          </w:p>
        </w:tc>
        <w:tc>
          <w:tcPr>
            <w:tcW w:w="990" w:type="dxa"/>
          </w:tcPr>
          <w:p w14:paraId="3C15A2DE" w14:textId="4DAC436A" w:rsidR="00A346BE" w:rsidRDefault="00705D4E" w:rsidP="00094F57">
            <w:pPr>
              <w:ind w:firstLine="0"/>
              <w:jc w:val="right"/>
            </w:pPr>
            <w:r>
              <w:t>50</w:t>
            </w:r>
          </w:p>
        </w:tc>
      </w:tr>
      <w:tr w:rsidR="00A346BE" w14:paraId="5B7F0557" w14:textId="77777777" w:rsidTr="00094F57">
        <w:trPr>
          <w:jc w:val="center"/>
        </w:trPr>
        <w:tc>
          <w:tcPr>
            <w:tcW w:w="5319" w:type="dxa"/>
          </w:tcPr>
          <w:p w14:paraId="5752206D" w14:textId="77777777" w:rsidR="00A346BE" w:rsidRDefault="00A346BE" w:rsidP="00094F57">
            <w:pPr>
              <w:ind w:firstLine="0"/>
            </w:pPr>
            <w:r>
              <w:t xml:space="preserve">Table </w:t>
            </w:r>
            <w:r w:rsidR="00094F57">
              <w:t>5</w:t>
            </w:r>
            <w:r w:rsidRPr="00402CE2">
              <w:t>.</w:t>
            </w:r>
            <w:r w:rsidRPr="00645586">
              <w:t xml:space="preserve"> </w:t>
            </w:r>
            <w:r>
              <w:t>N</w:t>
            </w:r>
            <w:r w:rsidRPr="00645586">
              <w:t>umber of public outreach characteristics</w:t>
            </w:r>
          </w:p>
        </w:tc>
        <w:tc>
          <w:tcPr>
            <w:tcW w:w="990" w:type="dxa"/>
          </w:tcPr>
          <w:p w14:paraId="04B2D416" w14:textId="5FE206BA" w:rsidR="00A346BE" w:rsidRDefault="00705D4E" w:rsidP="00442E75">
            <w:pPr>
              <w:ind w:firstLine="0"/>
              <w:jc w:val="right"/>
            </w:pPr>
            <w:r>
              <w:t>51</w:t>
            </w:r>
          </w:p>
        </w:tc>
      </w:tr>
      <w:tr w:rsidR="00A346BE" w14:paraId="28B9E204" w14:textId="77777777" w:rsidTr="00094F57">
        <w:trPr>
          <w:jc w:val="center"/>
        </w:trPr>
        <w:tc>
          <w:tcPr>
            <w:tcW w:w="5319" w:type="dxa"/>
          </w:tcPr>
          <w:p w14:paraId="32FCC109" w14:textId="77777777" w:rsidR="00A346BE" w:rsidRDefault="00A346BE" w:rsidP="00094F57">
            <w:pPr>
              <w:ind w:firstLine="0"/>
            </w:pPr>
            <w:r w:rsidRPr="00402CE2">
              <w:t xml:space="preserve">Table </w:t>
            </w:r>
            <w:r w:rsidR="00094F57">
              <w:t>6</w:t>
            </w:r>
            <w:r w:rsidRPr="00402CE2">
              <w:t>.</w:t>
            </w:r>
            <w:r>
              <w:t xml:space="preserve"> </w:t>
            </w:r>
            <w:r w:rsidRPr="00645586">
              <w:t xml:space="preserve">Types of </w:t>
            </w:r>
            <w:r w:rsidR="000F3354">
              <w:t>d</w:t>
            </w:r>
            <w:r w:rsidRPr="00645586">
              <w:t>ata</w:t>
            </w:r>
          </w:p>
        </w:tc>
        <w:tc>
          <w:tcPr>
            <w:tcW w:w="990" w:type="dxa"/>
          </w:tcPr>
          <w:p w14:paraId="2586355C" w14:textId="01AD10DE" w:rsidR="00A346BE" w:rsidRDefault="00705D4E" w:rsidP="00356E6D">
            <w:pPr>
              <w:ind w:firstLine="0"/>
              <w:jc w:val="right"/>
            </w:pPr>
            <w:r>
              <w:t>5</w:t>
            </w:r>
            <w:r w:rsidR="00356E6D">
              <w:t>2</w:t>
            </w:r>
          </w:p>
        </w:tc>
      </w:tr>
      <w:tr w:rsidR="00A346BE" w14:paraId="406AA2E7" w14:textId="77777777" w:rsidTr="00094F57">
        <w:trPr>
          <w:jc w:val="center"/>
        </w:trPr>
        <w:tc>
          <w:tcPr>
            <w:tcW w:w="5319" w:type="dxa"/>
          </w:tcPr>
          <w:p w14:paraId="7E2073E3" w14:textId="77777777" w:rsidR="00A346BE" w:rsidRDefault="00A346BE" w:rsidP="000F3354">
            <w:pPr>
              <w:ind w:firstLine="0"/>
            </w:pPr>
            <w:r w:rsidRPr="00402CE2">
              <w:t xml:space="preserve">Table </w:t>
            </w:r>
            <w:r w:rsidR="00094F57">
              <w:t>7</w:t>
            </w:r>
            <w:r w:rsidRPr="00402CE2">
              <w:t>.</w:t>
            </w:r>
            <w:r>
              <w:t xml:space="preserve"> </w:t>
            </w:r>
            <w:r w:rsidRPr="00645586">
              <w:t xml:space="preserve">Open </w:t>
            </w:r>
            <w:r w:rsidR="000F3354">
              <w:t>d</w:t>
            </w:r>
            <w:r w:rsidRPr="00645586">
              <w:t>ata</w:t>
            </w:r>
            <w:r w:rsidR="00094F57">
              <w:t xml:space="preserve"> by type</w:t>
            </w:r>
          </w:p>
        </w:tc>
        <w:tc>
          <w:tcPr>
            <w:tcW w:w="990" w:type="dxa"/>
          </w:tcPr>
          <w:p w14:paraId="3E0AD3C3" w14:textId="1FBA3587" w:rsidR="00A346BE" w:rsidRDefault="00705D4E" w:rsidP="00442E75">
            <w:pPr>
              <w:ind w:firstLine="0"/>
              <w:jc w:val="right"/>
            </w:pPr>
            <w:r>
              <w:t>53</w:t>
            </w:r>
          </w:p>
        </w:tc>
      </w:tr>
      <w:tr w:rsidR="00A346BE" w14:paraId="411D8E5C" w14:textId="77777777" w:rsidTr="00094F57">
        <w:trPr>
          <w:jc w:val="center"/>
        </w:trPr>
        <w:tc>
          <w:tcPr>
            <w:tcW w:w="5319" w:type="dxa"/>
          </w:tcPr>
          <w:p w14:paraId="55F84132" w14:textId="77777777" w:rsidR="00A346BE" w:rsidRDefault="00A346BE" w:rsidP="000F3354">
            <w:pPr>
              <w:ind w:firstLine="0"/>
            </w:pPr>
            <w:r w:rsidRPr="00402CE2">
              <w:t xml:space="preserve">Table </w:t>
            </w:r>
            <w:r w:rsidR="00094F57">
              <w:t>8</w:t>
            </w:r>
            <w:r w:rsidRPr="00402CE2">
              <w:t>.</w:t>
            </w:r>
            <w:r>
              <w:t xml:space="preserve"> Five</w:t>
            </w:r>
            <w:r w:rsidRPr="00645586">
              <w:t xml:space="preserve"> </w:t>
            </w:r>
            <w:r w:rsidR="000F3354">
              <w:t>s</w:t>
            </w:r>
            <w:r w:rsidRPr="00645586">
              <w:t xml:space="preserve">tar </w:t>
            </w:r>
            <w:r w:rsidR="000F3354">
              <w:t>r</w:t>
            </w:r>
            <w:r w:rsidRPr="00645586">
              <w:t>ating</w:t>
            </w:r>
          </w:p>
        </w:tc>
        <w:tc>
          <w:tcPr>
            <w:tcW w:w="990" w:type="dxa"/>
          </w:tcPr>
          <w:p w14:paraId="2FEA0DBB" w14:textId="4B5A5DF7" w:rsidR="00A346BE" w:rsidRDefault="00705D4E" w:rsidP="00442E75">
            <w:pPr>
              <w:ind w:firstLine="0"/>
              <w:jc w:val="right"/>
            </w:pPr>
            <w:r>
              <w:t>53</w:t>
            </w:r>
          </w:p>
        </w:tc>
      </w:tr>
      <w:tr w:rsidR="00A346BE" w14:paraId="23DE5B49" w14:textId="77777777" w:rsidTr="00094F57">
        <w:trPr>
          <w:jc w:val="center"/>
        </w:trPr>
        <w:tc>
          <w:tcPr>
            <w:tcW w:w="5319" w:type="dxa"/>
          </w:tcPr>
          <w:p w14:paraId="25EB2794" w14:textId="77777777" w:rsidR="00A346BE" w:rsidRDefault="00A346BE" w:rsidP="00094F57">
            <w:pPr>
              <w:ind w:firstLine="0"/>
            </w:pPr>
            <w:r>
              <w:t xml:space="preserve">Table </w:t>
            </w:r>
            <w:r w:rsidR="00094F57">
              <w:t>9</w:t>
            </w:r>
            <w:r w:rsidRPr="00402CE2">
              <w:t>.</w:t>
            </w:r>
            <w:r>
              <w:t xml:space="preserve"> Scholarly </w:t>
            </w:r>
            <w:r w:rsidR="000F3354">
              <w:t>p</w:t>
            </w:r>
            <w:r>
              <w:t>ublishing</w:t>
            </w:r>
          </w:p>
        </w:tc>
        <w:tc>
          <w:tcPr>
            <w:tcW w:w="990" w:type="dxa"/>
          </w:tcPr>
          <w:p w14:paraId="495A2F88" w14:textId="5343656D" w:rsidR="00A346BE" w:rsidRDefault="00094F57" w:rsidP="00356E6D">
            <w:pPr>
              <w:ind w:firstLine="0"/>
              <w:jc w:val="right"/>
            </w:pPr>
            <w:r>
              <w:t>5</w:t>
            </w:r>
            <w:r w:rsidR="00356E6D">
              <w:t>4</w:t>
            </w:r>
          </w:p>
        </w:tc>
      </w:tr>
    </w:tbl>
    <w:p w14:paraId="2460C20F" w14:textId="147F4FAF" w:rsidR="00F776A9" w:rsidRDefault="00F776A9">
      <w:pPr>
        <w:spacing w:after="160" w:line="259" w:lineRule="auto"/>
      </w:pPr>
    </w:p>
    <w:p w14:paraId="73209748" w14:textId="77777777" w:rsidR="00F776A9" w:rsidRDefault="00F776A9">
      <w:pPr>
        <w:spacing w:after="160" w:line="259" w:lineRule="auto"/>
        <w:ind w:firstLine="0"/>
      </w:pPr>
      <w:r>
        <w:br w:type="page"/>
      </w:r>
    </w:p>
    <w:p w14:paraId="37ECDA4B" w14:textId="6CBF1E68" w:rsidR="008D7ABA" w:rsidRPr="00F776A9" w:rsidRDefault="00F776A9">
      <w:pPr>
        <w:spacing w:after="160" w:line="259" w:lineRule="auto"/>
        <w:rPr>
          <w:b/>
          <w:sz w:val="32"/>
          <w:szCs w:val="32"/>
        </w:rPr>
      </w:pPr>
      <w:r w:rsidRPr="00F776A9">
        <w:rPr>
          <w:b/>
          <w:sz w:val="32"/>
          <w:szCs w:val="32"/>
        </w:rPr>
        <w:lastRenderedPageBreak/>
        <w:t xml:space="preserve">List of </w:t>
      </w:r>
      <w:r w:rsidRPr="00F776A9">
        <w:rPr>
          <w:b/>
          <w:sz w:val="32"/>
          <w:szCs w:val="32"/>
        </w:rPr>
        <w:t>Figures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9"/>
        <w:gridCol w:w="990"/>
      </w:tblGrid>
      <w:tr w:rsidR="00094F57" w14:paraId="2AFFEB57" w14:textId="77777777" w:rsidTr="00094F57">
        <w:trPr>
          <w:jc w:val="center"/>
        </w:trPr>
        <w:tc>
          <w:tcPr>
            <w:tcW w:w="5319" w:type="dxa"/>
          </w:tcPr>
          <w:p w14:paraId="2F017851" w14:textId="7B80DE00" w:rsidR="00094F57" w:rsidRPr="00645586" w:rsidRDefault="00094F57" w:rsidP="00094F57">
            <w:pPr>
              <w:ind w:firstLine="0"/>
              <w:rPr>
                <w:b/>
              </w:rPr>
            </w:pPr>
          </w:p>
        </w:tc>
        <w:tc>
          <w:tcPr>
            <w:tcW w:w="990" w:type="dxa"/>
          </w:tcPr>
          <w:p w14:paraId="66717E1C" w14:textId="65E26E07" w:rsidR="00094F57" w:rsidRDefault="00094F57" w:rsidP="00094F57">
            <w:pPr>
              <w:ind w:firstLine="0"/>
              <w:jc w:val="right"/>
            </w:pPr>
          </w:p>
        </w:tc>
      </w:tr>
      <w:tr w:rsidR="00F776A9" w14:paraId="09EE1F71" w14:textId="77777777" w:rsidTr="00960AB5">
        <w:trPr>
          <w:jc w:val="center"/>
        </w:trPr>
        <w:tc>
          <w:tcPr>
            <w:tcW w:w="5319" w:type="dxa"/>
          </w:tcPr>
          <w:p w14:paraId="4FA8193E" w14:textId="3A96A99A" w:rsidR="00F776A9" w:rsidRDefault="00F776A9" w:rsidP="00F776A9">
            <w:pPr>
              <w:ind w:firstLine="0"/>
            </w:pPr>
            <w:r>
              <w:t>Figure</w:t>
            </w:r>
            <w:r w:rsidRPr="00402CE2">
              <w:t xml:space="preserve"> 1.</w:t>
            </w:r>
            <w:r>
              <w:t xml:space="preserve"> </w:t>
            </w:r>
            <w:r>
              <w:t>Conceptual Framework</w:t>
            </w:r>
          </w:p>
        </w:tc>
        <w:tc>
          <w:tcPr>
            <w:tcW w:w="990" w:type="dxa"/>
          </w:tcPr>
          <w:p w14:paraId="7EDD46B2" w14:textId="1B903310" w:rsidR="00F776A9" w:rsidRDefault="00F776A9" w:rsidP="00960AB5">
            <w:pPr>
              <w:ind w:firstLine="0"/>
              <w:jc w:val="right"/>
            </w:pPr>
            <w:r>
              <w:t>5</w:t>
            </w:r>
          </w:p>
        </w:tc>
      </w:tr>
      <w:tr w:rsidR="00F776A9" w14:paraId="62FA4E4E" w14:textId="77777777" w:rsidTr="00960AB5">
        <w:trPr>
          <w:jc w:val="center"/>
        </w:trPr>
        <w:tc>
          <w:tcPr>
            <w:tcW w:w="5319" w:type="dxa"/>
          </w:tcPr>
          <w:p w14:paraId="0F38E06F" w14:textId="38F6E4D8" w:rsidR="00F776A9" w:rsidRDefault="00F776A9" w:rsidP="00F776A9">
            <w:pPr>
              <w:ind w:firstLine="0"/>
            </w:pPr>
            <w:r>
              <w:t>Figure</w:t>
            </w:r>
            <w:r w:rsidRPr="00402CE2">
              <w:t xml:space="preserve"> </w:t>
            </w:r>
            <w:r>
              <w:t>2</w:t>
            </w:r>
            <w:r w:rsidRPr="00402CE2">
              <w:t>.</w:t>
            </w:r>
            <w:r>
              <w:t xml:space="preserve"> </w:t>
            </w:r>
            <w:r>
              <w:t>Benefits of Open Data</w:t>
            </w:r>
          </w:p>
        </w:tc>
        <w:tc>
          <w:tcPr>
            <w:tcW w:w="990" w:type="dxa"/>
          </w:tcPr>
          <w:p w14:paraId="1406C683" w14:textId="4D31024D" w:rsidR="00F776A9" w:rsidRDefault="00F776A9" w:rsidP="00960AB5">
            <w:pPr>
              <w:ind w:firstLine="0"/>
              <w:jc w:val="right"/>
            </w:pPr>
            <w:r>
              <w:t>9</w:t>
            </w:r>
          </w:p>
        </w:tc>
      </w:tr>
      <w:tr w:rsidR="00094F57" w14:paraId="20799232" w14:textId="77777777" w:rsidTr="00094F57">
        <w:trPr>
          <w:jc w:val="center"/>
        </w:trPr>
        <w:tc>
          <w:tcPr>
            <w:tcW w:w="5319" w:type="dxa"/>
          </w:tcPr>
          <w:p w14:paraId="36F4230D" w14:textId="4BC7CDD2" w:rsidR="00094F57" w:rsidRDefault="00F776A9" w:rsidP="00F776A9">
            <w:pPr>
              <w:ind w:firstLine="0"/>
            </w:pPr>
            <w:r>
              <w:t>Figure</w:t>
            </w:r>
            <w:r w:rsidR="00094F57" w:rsidRPr="00402CE2">
              <w:t xml:space="preserve"> </w:t>
            </w:r>
            <w:r>
              <w:t>3</w:t>
            </w:r>
            <w:r w:rsidR="00094F57" w:rsidRPr="00402CE2">
              <w:t>.</w:t>
            </w:r>
            <w:r w:rsidR="00094F57">
              <w:t xml:space="preserve"> </w:t>
            </w:r>
            <w:r w:rsidR="00094F57" w:rsidRPr="00094F57">
              <w:t>Clusters by presence of data</w:t>
            </w:r>
          </w:p>
        </w:tc>
        <w:tc>
          <w:tcPr>
            <w:tcW w:w="990" w:type="dxa"/>
          </w:tcPr>
          <w:p w14:paraId="4EF17746" w14:textId="51C5798C" w:rsidR="00094F57" w:rsidRDefault="00094F57" w:rsidP="00705D4E">
            <w:pPr>
              <w:ind w:firstLine="0"/>
              <w:jc w:val="right"/>
            </w:pPr>
            <w:r>
              <w:t>4</w:t>
            </w:r>
            <w:r w:rsidR="00705D4E">
              <w:t>7</w:t>
            </w:r>
          </w:p>
        </w:tc>
      </w:tr>
      <w:tr w:rsidR="00094F57" w14:paraId="3A65AEBF" w14:textId="77777777" w:rsidTr="00094F57">
        <w:trPr>
          <w:jc w:val="center"/>
        </w:trPr>
        <w:tc>
          <w:tcPr>
            <w:tcW w:w="5319" w:type="dxa"/>
          </w:tcPr>
          <w:p w14:paraId="72EA52DD" w14:textId="047F17EE" w:rsidR="00094F57" w:rsidRDefault="00F776A9" w:rsidP="00094F57">
            <w:pPr>
              <w:ind w:firstLine="0"/>
            </w:pPr>
            <w:r>
              <w:t>Figure</w:t>
            </w:r>
            <w:r w:rsidRPr="00402CE2">
              <w:t xml:space="preserve"> </w:t>
            </w:r>
            <w:r>
              <w:t>4</w:t>
            </w:r>
            <w:r w:rsidR="00094F57" w:rsidRPr="00402CE2">
              <w:t>.</w:t>
            </w:r>
            <w:r w:rsidR="00094F57">
              <w:t xml:space="preserve"> </w:t>
            </w:r>
            <w:r w:rsidR="00094F57" w:rsidRPr="00094F57">
              <w:t>No archaeology pages by institution type</w:t>
            </w:r>
          </w:p>
        </w:tc>
        <w:tc>
          <w:tcPr>
            <w:tcW w:w="990" w:type="dxa"/>
          </w:tcPr>
          <w:p w14:paraId="2279EC29" w14:textId="41282B40" w:rsidR="00094F57" w:rsidRDefault="00705D4E" w:rsidP="00094F57">
            <w:pPr>
              <w:ind w:firstLine="0"/>
              <w:jc w:val="right"/>
            </w:pPr>
            <w:r>
              <w:t>48</w:t>
            </w:r>
          </w:p>
        </w:tc>
      </w:tr>
      <w:tr w:rsidR="00094F57" w14:paraId="1D4EA0D5" w14:textId="77777777" w:rsidTr="00094F57">
        <w:trPr>
          <w:jc w:val="center"/>
        </w:trPr>
        <w:tc>
          <w:tcPr>
            <w:tcW w:w="5319" w:type="dxa"/>
          </w:tcPr>
          <w:p w14:paraId="69EDA4A9" w14:textId="2EBEFC13" w:rsidR="00094F57" w:rsidRDefault="00F776A9" w:rsidP="000B6187">
            <w:pPr>
              <w:ind w:firstLine="0"/>
            </w:pPr>
            <w:r>
              <w:t>Figure</w:t>
            </w:r>
            <w:r w:rsidRPr="00402CE2">
              <w:t xml:space="preserve"> </w:t>
            </w:r>
            <w:r>
              <w:t>5</w:t>
            </w:r>
            <w:r w:rsidR="00094F57" w:rsidRPr="00402CE2">
              <w:t>.</w:t>
            </w:r>
            <w:r w:rsidR="00094F57">
              <w:t xml:space="preserve"> P</w:t>
            </w:r>
            <w:r w:rsidR="00094F57" w:rsidRPr="00094F57">
              <w:t xml:space="preserve">ublic </w:t>
            </w:r>
            <w:r w:rsidR="000B6187">
              <w:t>o</w:t>
            </w:r>
            <w:r w:rsidR="000B6187" w:rsidRPr="00094F57">
              <w:t xml:space="preserve">utreach </w:t>
            </w:r>
            <w:r w:rsidR="00094F57" w:rsidRPr="00094F57">
              <w:t>characteristic</w:t>
            </w:r>
            <w:r w:rsidR="00094F57">
              <w:t>s</w:t>
            </w:r>
          </w:p>
        </w:tc>
        <w:tc>
          <w:tcPr>
            <w:tcW w:w="990" w:type="dxa"/>
          </w:tcPr>
          <w:p w14:paraId="5CD2C7FA" w14:textId="2E6A8360" w:rsidR="00094F57" w:rsidRDefault="00705D4E" w:rsidP="00705D4E">
            <w:pPr>
              <w:ind w:firstLine="0"/>
              <w:jc w:val="right"/>
            </w:pPr>
            <w:r>
              <w:t>50</w:t>
            </w:r>
          </w:p>
        </w:tc>
      </w:tr>
      <w:tr w:rsidR="00094F57" w14:paraId="6E2EEC0A" w14:textId="77777777" w:rsidTr="00094F57">
        <w:trPr>
          <w:jc w:val="center"/>
        </w:trPr>
        <w:tc>
          <w:tcPr>
            <w:tcW w:w="5319" w:type="dxa"/>
          </w:tcPr>
          <w:p w14:paraId="6C7CCB24" w14:textId="7C5CEFC9" w:rsidR="00094F57" w:rsidRDefault="00F776A9" w:rsidP="00094F57">
            <w:pPr>
              <w:ind w:firstLine="0"/>
            </w:pPr>
            <w:r>
              <w:t>Figure</w:t>
            </w:r>
            <w:r w:rsidRPr="00402CE2">
              <w:t xml:space="preserve"> </w:t>
            </w:r>
            <w:r>
              <w:t>6</w:t>
            </w:r>
            <w:r w:rsidR="00094F57" w:rsidRPr="00402CE2">
              <w:t>.</w:t>
            </w:r>
            <w:r w:rsidR="00094F57">
              <w:t xml:space="preserve"> </w:t>
            </w:r>
            <w:r w:rsidR="00094F57" w:rsidRPr="00094F57">
              <w:t>Open data by type</w:t>
            </w:r>
          </w:p>
        </w:tc>
        <w:tc>
          <w:tcPr>
            <w:tcW w:w="990" w:type="dxa"/>
          </w:tcPr>
          <w:p w14:paraId="0A8A1406" w14:textId="26598455" w:rsidR="00094F57" w:rsidRDefault="00705D4E" w:rsidP="00094F57">
            <w:pPr>
              <w:ind w:firstLine="0"/>
              <w:jc w:val="right"/>
            </w:pPr>
            <w:r>
              <w:t>53</w:t>
            </w:r>
          </w:p>
        </w:tc>
      </w:tr>
      <w:tr w:rsidR="00094F57" w14:paraId="24FCB68E" w14:textId="77777777" w:rsidTr="00094F57">
        <w:trPr>
          <w:jc w:val="center"/>
        </w:trPr>
        <w:tc>
          <w:tcPr>
            <w:tcW w:w="5319" w:type="dxa"/>
          </w:tcPr>
          <w:p w14:paraId="19222EE0" w14:textId="7422F6AC" w:rsidR="00094F57" w:rsidRDefault="00F776A9" w:rsidP="00094F57">
            <w:pPr>
              <w:ind w:firstLine="0"/>
            </w:pPr>
            <w:r>
              <w:t>Figure</w:t>
            </w:r>
            <w:r w:rsidRPr="00402CE2">
              <w:t xml:space="preserve"> </w:t>
            </w:r>
            <w:r>
              <w:t>7</w:t>
            </w:r>
            <w:r w:rsidR="00094F57" w:rsidRPr="00402CE2">
              <w:t>.</w:t>
            </w:r>
            <w:r w:rsidR="00094F57" w:rsidRPr="00645586">
              <w:t xml:space="preserve"> </w:t>
            </w:r>
            <w:r w:rsidR="00094F57" w:rsidRPr="00094F57">
              <w:t>Scholarly publishing characteristics</w:t>
            </w:r>
          </w:p>
        </w:tc>
        <w:tc>
          <w:tcPr>
            <w:tcW w:w="990" w:type="dxa"/>
          </w:tcPr>
          <w:p w14:paraId="4F6D08F0" w14:textId="4A2C4C52" w:rsidR="00094F57" w:rsidRDefault="00094F57" w:rsidP="00356E6D">
            <w:pPr>
              <w:ind w:firstLine="0"/>
              <w:jc w:val="right"/>
            </w:pPr>
            <w:r>
              <w:t>5</w:t>
            </w:r>
            <w:r w:rsidR="00356E6D">
              <w:t>5</w:t>
            </w:r>
          </w:p>
        </w:tc>
      </w:tr>
    </w:tbl>
    <w:p w14:paraId="0DF4377C" w14:textId="77777777" w:rsidR="00094F57" w:rsidRDefault="00094F57">
      <w:pPr>
        <w:spacing w:after="160" w:line="259" w:lineRule="auto"/>
        <w:sectPr w:rsidR="00094F57" w:rsidSect="00CB7D4F">
          <w:headerReference w:type="default" r:id="rId8"/>
          <w:footerReference w:type="default" r:id="rId9"/>
          <w:pgSz w:w="12240" w:h="15840"/>
          <w:pgMar w:top="1440" w:right="1440" w:bottom="1440" w:left="1440" w:header="720" w:footer="720" w:gutter="0"/>
          <w:pgNumType w:fmt="lowerRoman" w:start="1"/>
          <w:cols w:space="720"/>
          <w:titlePg/>
          <w:docGrid w:linePitch="360"/>
        </w:sectPr>
      </w:pPr>
    </w:p>
    <w:p w14:paraId="6D0157FA" w14:textId="77777777" w:rsidR="0045161C" w:rsidRDefault="002463BC" w:rsidP="00067C17">
      <w:pPr>
        <w:pStyle w:val="Heading1"/>
        <w:ind w:firstLine="0"/>
      </w:pPr>
      <w:bookmarkStart w:id="6" w:name="_Toc419135391"/>
      <w:r>
        <w:lastRenderedPageBreak/>
        <w:t xml:space="preserve">Chapter 1 - </w:t>
      </w:r>
      <w:r w:rsidR="0045161C" w:rsidRPr="00242AAB">
        <w:t>Introduction</w:t>
      </w:r>
      <w:bookmarkEnd w:id="6"/>
    </w:p>
    <w:p w14:paraId="6798FA0B" w14:textId="77777777" w:rsidR="008C7F60" w:rsidRDefault="008C7F60" w:rsidP="008C7F60">
      <w:pPr>
        <w:pStyle w:val="Heading2"/>
      </w:pPr>
      <w:bookmarkStart w:id="7" w:name="_Toc419135392"/>
      <w:r>
        <w:t>Overview</w:t>
      </w:r>
      <w:bookmarkEnd w:id="7"/>
    </w:p>
    <w:p w14:paraId="72BD6B4F" w14:textId="77777777" w:rsidR="005D70E9" w:rsidRDefault="008C5237" w:rsidP="008C5237">
      <w:pPr>
        <w:rPr>
          <w:rFonts w:ascii="Calibri" w:hAnsi="Calibri"/>
        </w:rPr>
      </w:pPr>
      <w:r>
        <w:rPr>
          <w:rFonts w:ascii="Calibri" w:hAnsi="Calibri"/>
        </w:rPr>
        <w:t xml:space="preserve">An early </w:t>
      </w:r>
      <w:r w:rsidR="00091617">
        <w:rPr>
          <w:rFonts w:ascii="Calibri" w:hAnsi="Calibri"/>
        </w:rPr>
        <w:t xml:space="preserve">tenet </w:t>
      </w:r>
      <w:r>
        <w:rPr>
          <w:rFonts w:ascii="Calibri" w:hAnsi="Calibri"/>
        </w:rPr>
        <w:t>of archaeology was “preservation by record</w:t>
      </w:r>
      <w:r w:rsidR="00091617">
        <w:rPr>
          <w:rFonts w:ascii="Calibri" w:hAnsi="Calibri"/>
        </w:rPr>
        <w:t>,</w:t>
      </w:r>
      <w:r>
        <w:rPr>
          <w:rFonts w:ascii="Calibri" w:hAnsi="Calibri"/>
        </w:rPr>
        <w:t>” the idea that publishing the detailed record of a</w:t>
      </w:r>
      <w:r w:rsidR="00EF2F17">
        <w:rPr>
          <w:rFonts w:ascii="Calibri" w:hAnsi="Calibri"/>
        </w:rPr>
        <w:t>n archaeological</w:t>
      </w:r>
      <w:r>
        <w:rPr>
          <w:rFonts w:ascii="Calibri" w:hAnsi="Calibri"/>
        </w:rPr>
        <w:t xml:space="preserve"> site served to preserve it</w:t>
      </w:r>
      <w:r w:rsidR="005D70E9">
        <w:rPr>
          <w:rFonts w:ascii="Calibri" w:hAnsi="Calibri"/>
        </w:rPr>
        <w:t xml:space="preserve">. </w:t>
      </w:r>
      <w:r w:rsidR="005D70E9" w:rsidRPr="005D70E9">
        <w:rPr>
          <w:rFonts w:ascii="Calibri" w:hAnsi="Calibri"/>
        </w:rPr>
        <w:t xml:space="preserve">Data publication </w:t>
      </w:r>
      <w:r w:rsidR="005D70E9">
        <w:rPr>
          <w:rFonts w:ascii="Calibri" w:hAnsi="Calibri"/>
        </w:rPr>
        <w:t xml:space="preserve">has always been </w:t>
      </w:r>
      <w:r w:rsidR="005D70E9" w:rsidRPr="005D70E9">
        <w:rPr>
          <w:rFonts w:ascii="Calibri" w:hAnsi="Calibri"/>
        </w:rPr>
        <w:t xml:space="preserve">integral to </w:t>
      </w:r>
      <w:r w:rsidR="005D70E9">
        <w:rPr>
          <w:rFonts w:ascii="Calibri" w:hAnsi="Calibri"/>
        </w:rPr>
        <w:t xml:space="preserve">the practice of archaeology, a connection explored by Richards </w:t>
      </w:r>
      <w:r w:rsidR="002622CF">
        <w:rPr>
          <w:rFonts w:ascii="Calibri" w:hAnsi="Calibri"/>
        </w:rPr>
        <w:t xml:space="preserve">(2004) </w:t>
      </w:r>
      <w:r w:rsidR="00091617">
        <w:rPr>
          <w:rFonts w:ascii="Calibri" w:hAnsi="Calibri"/>
        </w:rPr>
        <w:t xml:space="preserve">when </w:t>
      </w:r>
      <w:r w:rsidR="000F3354">
        <w:rPr>
          <w:rFonts w:ascii="Calibri" w:hAnsi="Calibri"/>
        </w:rPr>
        <w:t xml:space="preserve">referring to </w:t>
      </w:r>
      <w:r w:rsidR="005D70E9" w:rsidRPr="005D70E9">
        <w:rPr>
          <w:rFonts w:ascii="Calibri" w:hAnsi="Calibri"/>
        </w:rPr>
        <w:t>the</w:t>
      </w:r>
      <w:r w:rsidR="00091617">
        <w:rPr>
          <w:rFonts w:ascii="Calibri" w:hAnsi="Calibri"/>
        </w:rPr>
        <w:t xml:space="preserve"> position</w:t>
      </w:r>
      <w:r w:rsidR="005D70E9" w:rsidRPr="005D70E9">
        <w:rPr>
          <w:rFonts w:ascii="Calibri" w:hAnsi="Calibri"/>
        </w:rPr>
        <w:t xml:space="preserve"> attributed to the 19th-century English archaeologist Augustus Henry Lane-Fox Pitt-Rivers that “publicati</w:t>
      </w:r>
      <w:r w:rsidR="00DA49F9">
        <w:rPr>
          <w:rFonts w:ascii="Calibri" w:hAnsi="Calibri"/>
        </w:rPr>
        <w:t>on provided an objective record</w:t>
      </w:r>
      <w:r w:rsidR="005D70E9" w:rsidRPr="005D70E9">
        <w:rPr>
          <w:rFonts w:ascii="Calibri" w:hAnsi="Calibri"/>
        </w:rPr>
        <w:t>”</w:t>
      </w:r>
      <w:r w:rsidR="00DA49F9">
        <w:rPr>
          <w:rFonts w:ascii="Calibri" w:hAnsi="Calibri"/>
        </w:rPr>
        <w:t xml:space="preserve"> (Richards, 2004, section publication and archiving). </w:t>
      </w:r>
      <w:r w:rsidR="005D70E9" w:rsidRPr="005D70E9">
        <w:rPr>
          <w:rFonts w:ascii="Calibri" w:hAnsi="Calibri"/>
        </w:rPr>
        <w:t xml:space="preserve"> Pitt-Rivers also said that his voluminous excavation volumes were “not intended for casual readers,” raising the still relevant question</w:t>
      </w:r>
      <w:r w:rsidR="002622CF">
        <w:rPr>
          <w:rFonts w:ascii="Calibri" w:hAnsi="Calibri"/>
        </w:rPr>
        <w:t xml:space="preserve">: </w:t>
      </w:r>
      <w:r w:rsidR="005D70E9" w:rsidRPr="005D70E9">
        <w:rPr>
          <w:rFonts w:ascii="Calibri" w:hAnsi="Calibri"/>
        </w:rPr>
        <w:t>who are the audiences for archaeological data</w:t>
      </w:r>
      <w:r w:rsidR="00353403">
        <w:rPr>
          <w:rFonts w:ascii="Calibri" w:hAnsi="Calibri"/>
        </w:rPr>
        <w:t xml:space="preserve"> (section: publication and archiving)</w:t>
      </w:r>
      <w:r w:rsidR="002622CF">
        <w:rPr>
          <w:rFonts w:ascii="Calibri" w:hAnsi="Calibri"/>
        </w:rPr>
        <w:t>?</w:t>
      </w:r>
    </w:p>
    <w:p w14:paraId="67CAA471" w14:textId="77777777" w:rsidR="008C5237" w:rsidRDefault="008C5237" w:rsidP="008C5237">
      <w:pPr>
        <w:rPr>
          <w:rFonts w:ascii="Calibri" w:hAnsi="Calibri" w:cs="GoudyOldStyleT-Bold"/>
          <w:bCs/>
        </w:rPr>
      </w:pPr>
      <w:r>
        <w:rPr>
          <w:rFonts w:ascii="Calibri" w:hAnsi="Calibri"/>
        </w:rPr>
        <w:t>How archaeological data are disseminated has changed over time</w:t>
      </w:r>
      <w:r w:rsidR="00D2378C">
        <w:rPr>
          <w:rFonts w:ascii="Calibri" w:hAnsi="Calibri"/>
        </w:rPr>
        <w:t xml:space="preserve">, </w:t>
      </w:r>
      <w:r>
        <w:rPr>
          <w:rFonts w:ascii="Calibri" w:hAnsi="Calibri"/>
        </w:rPr>
        <w:t>and</w:t>
      </w:r>
      <w:r w:rsidR="00D2378C">
        <w:rPr>
          <w:rFonts w:ascii="Calibri" w:hAnsi="Calibri"/>
        </w:rPr>
        <w:t xml:space="preserve"> </w:t>
      </w:r>
      <w:r>
        <w:rPr>
          <w:rFonts w:ascii="Calibri" w:hAnsi="Calibri"/>
        </w:rPr>
        <w:t xml:space="preserve">the web has changed communications in most disciplines. A number of factors are important to this evolving environment. </w:t>
      </w:r>
      <w:r w:rsidR="008C7F60">
        <w:rPr>
          <w:rFonts w:ascii="Calibri" w:hAnsi="Calibri"/>
        </w:rPr>
        <w:t>F</w:t>
      </w:r>
      <w:r w:rsidRPr="00E34436">
        <w:rPr>
          <w:rFonts w:ascii="Calibri" w:hAnsi="Calibri"/>
        </w:rPr>
        <w:t>ederal grant requirement</w:t>
      </w:r>
      <w:r w:rsidR="00B80E43">
        <w:rPr>
          <w:rFonts w:ascii="Calibri" w:hAnsi="Calibri"/>
        </w:rPr>
        <w:t xml:space="preserve"> </w:t>
      </w:r>
      <w:r>
        <w:rPr>
          <w:rFonts w:ascii="Calibri" w:hAnsi="Calibri"/>
        </w:rPr>
        <w:t>supporting the o</w:t>
      </w:r>
      <w:r w:rsidRPr="00E34436">
        <w:rPr>
          <w:rFonts w:ascii="Calibri" w:hAnsi="Calibri"/>
        </w:rPr>
        <w:t xml:space="preserve">pen </w:t>
      </w:r>
      <w:r>
        <w:rPr>
          <w:rFonts w:ascii="Calibri" w:hAnsi="Calibri"/>
        </w:rPr>
        <w:t>d</w:t>
      </w:r>
      <w:r w:rsidRPr="00E34436">
        <w:rPr>
          <w:rFonts w:ascii="Calibri" w:hAnsi="Calibri"/>
        </w:rPr>
        <w:t>ata movement</w:t>
      </w:r>
      <w:r w:rsidR="00B80E43">
        <w:rPr>
          <w:rFonts w:ascii="Calibri" w:hAnsi="Calibri"/>
        </w:rPr>
        <w:t xml:space="preserve"> </w:t>
      </w:r>
      <w:r>
        <w:rPr>
          <w:rFonts w:ascii="Calibri" w:hAnsi="Calibri"/>
        </w:rPr>
        <w:t xml:space="preserve">are pushing grantees, including archaeologists, to consider where their data will eventually reside, and how they will be accessible </w:t>
      </w:r>
      <w:r>
        <w:t xml:space="preserve">(National Science Foundation, </w:t>
      </w:r>
      <w:r w:rsidRPr="004F42F6">
        <w:t>2013)</w:t>
      </w:r>
      <w:r>
        <w:rPr>
          <w:rFonts w:ascii="Calibri" w:hAnsi="Calibri"/>
        </w:rPr>
        <w:t xml:space="preserve">. This movement coincides with </w:t>
      </w:r>
      <w:r w:rsidR="008C7F60">
        <w:rPr>
          <w:rFonts w:ascii="Calibri" w:hAnsi="Calibri"/>
        </w:rPr>
        <w:t xml:space="preserve">an increased </w:t>
      </w:r>
      <w:r>
        <w:rPr>
          <w:rFonts w:ascii="Calibri" w:hAnsi="Calibri"/>
        </w:rPr>
        <w:t xml:space="preserve">emphasis on collaboration, data </w:t>
      </w:r>
      <w:r w:rsidR="00301287">
        <w:rPr>
          <w:rFonts w:ascii="Calibri" w:hAnsi="Calibri"/>
        </w:rPr>
        <w:t xml:space="preserve">sharing </w:t>
      </w:r>
      <w:r>
        <w:rPr>
          <w:rFonts w:ascii="Calibri" w:hAnsi="Calibri"/>
        </w:rPr>
        <w:t>and using existing collections</w:t>
      </w:r>
      <w:r w:rsidR="006D2E6D">
        <w:rPr>
          <w:rFonts w:ascii="Calibri" w:hAnsi="Calibri"/>
        </w:rPr>
        <w:t xml:space="preserve">. </w:t>
      </w:r>
      <w:r w:rsidR="006D2E6D" w:rsidRPr="00B26600">
        <w:rPr>
          <w:rFonts w:eastAsia="Times New Roman" w:cs="Times New Roman"/>
        </w:rPr>
        <w:t>Kintigh</w:t>
      </w:r>
      <w:r w:rsidR="006D2E6D">
        <w:rPr>
          <w:rFonts w:eastAsia="Times New Roman" w:cs="Times New Roman"/>
        </w:rPr>
        <w:t xml:space="preserve"> et al. (2014), in “Grand challenges of archaeology</w:t>
      </w:r>
      <w:r w:rsidR="00091617">
        <w:rPr>
          <w:rFonts w:eastAsia="Times New Roman" w:cs="Times New Roman"/>
        </w:rPr>
        <w:t>,</w:t>
      </w:r>
      <w:r w:rsidR="006D2E6D">
        <w:rPr>
          <w:rFonts w:eastAsia="Times New Roman" w:cs="Times New Roman"/>
        </w:rPr>
        <w:t>” noted the need for “</w:t>
      </w:r>
      <w:r w:rsidR="006D2E6D" w:rsidRPr="00923197">
        <w:rPr>
          <w:rFonts w:eastAsia="Times New Roman" w:cs="Times New Roman"/>
        </w:rPr>
        <w:t>far more comprehensive online access to thoroughly documented research data and to unpublished reports detailing the contextual information essential for the comparative analyses</w:t>
      </w:r>
      <w:r w:rsidR="006D2E6D">
        <w:rPr>
          <w:rFonts w:eastAsia="Times New Roman" w:cs="Times New Roman"/>
        </w:rPr>
        <w:t xml:space="preserve">” (p.879). </w:t>
      </w:r>
      <w:r>
        <w:rPr>
          <w:color w:val="000000"/>
        </w:rPr>
        <w:t xml:space="preserve">Finally the </w:t>
      </w:r>
      <w:r>
        <w:rPr>
          <w:rFonts w:ascii="Calibri" w:hAnsi="Calibri"/>
        </w:rPr>
        <w:t>professional and</w:t>
      </w:r>
      <w:r w:rsidRPr="00E34436">
        <w:rPr>
          <w:rFonts w:ascii="Calibri" w:hAnsi="Calibri"/>
        </w:rPr>
        <w:t xml:space="preserve"> ethical standards </w:t>
      </w:r>
      <w:r>
        <w:rPr>
          <w:rFonts w:ascii="Calibri" w:hAnsi="Calibri"/>
        </w:rPr>
        <w:t xml:space="preserve">of archaeologists continue to stress the importance of public outreach; that archaeologists </w:t>
      </w:r>
      <w:r w:rsidRPr="00E34436">
        <w:rPr>
          <w:rFonts w:ascii="Calibri" w:hAnsi="Calibri"/>
        </w:rPr>
        <w:t>“</w:t>
      </w:r>
      <w:r w:rsidRPr="00E34436">
        <w:rPr>
          <w:rFonts w:ascii="Calibri" w:hAnsi="Calibri" w:cs="GoudyOldStyleT-Bold"/>
          <w:bCs/>
        </w:rPr>
        <w:t>strive to engage citizens in the research process and publicly disseminate the major findings</w:t>
      </w:r>
      <w:r>
        <w:rPr>
          <w:rFonts w:ascii="Calibri" w:hAnsi="Calibri" w:cs="GoudyOldStyleT-Bold"/>
          <w:bCs/>
        </w:rPr>
        <w:t xml:space="preserve"> of their research” (SHA 2003, </w:t>
      </w:r>
      <w:r w:rsidR="008D59D4">
        <w:rPr>
          <w:rFonts w:ascii="Calibri" w:hAnsi="Calibri" w:cs="GoudyOldStyleT-Bold"/>
          <w:bCs/>
        </w:rPr>
        <w:t>section:</w:t>
      </w:r>
      <w:r>
        <w:rPr>
          <w:rFonts w:ascii="Calibri" w:hAnsi="Calibri" w:cs="GoudyOldStyleT-Bold"/>
          <w:bCs/>
        </w:rPr>
        <w:t xml:space="preserve"> Principle 7).</w:t>
      </w:r>
    </w:p>
    <w:p w14:paraId="64136EDF" w14:textId="77777777" w:rsidR="00F47580" w:rsidRDefault="00DB0B2D" w:rsidP="00F47580">
      <w:pPr>
        <w:rPr>
          <w:rFonts w:ascii="Calibri" w:hAnsi="Calibri"/>
        </w:rPr>
      </w:pPr>
      <w:r>
        <w:rPr>
          <w:color w:val="000000"/>
        </w:rPr>
        <w:t>Digital technologies have allowed archaeologists to capture more information from archaeological site</w:t>
      </w:r>
      <w:r w:rsidR="000F3354">
        <w:rPr>
          <w:color w:val="000000"/>
        </w:rPr>
        <w:t>s</w:t>
      </w:r>
      <w:r>
        <w:rPr>
          <w:color w:val="000000"/>
        </w:rPr>
        <w:t>.</w:t>
      </w:r>
      <w:r w:rsidR="00BB00D7">
        <w:rPr>
          <w:color w:val="000000"/>
        </w:rPr>
        <w:t xml:space="preserve"> </w:t>
      </w:r>
      <w:r w:rsidR="00772136">
        <w:rPr>
          <w:color w:val="000000"/>
        </w:rPr>
        <w:t xml:space="preserve">This </w:t>
      </w:r>
      <w:r w:rsidR="00091617">
        <w:rPr>
          <w:color w:val="000000"/>
        </w:rPr>
        <w:t xml:space="preserve">information </w:t>
      </w:r>
      <w:r w:rsidR="00772136">
        <w:rPr>
          <w:color w:val="000000"/>
        </w:rPr>
        <w:t>includes</w:t>
      </w:r>
      <w:r w:rsidR="00BB00D7">
        <w:rPr>
          <w:color w:val="000000"/>
        </w:rPr>
        <w:t xml:space="preserve"> digitizing what had been paper records (field notes and </w:t>
      </w:r>
      <w:r w:rsidR="00BB00D7">
        <w:rPr>
          <w:color w:val="000000"/>
        </w:rPr>
        <w:lastRenderedPageBreak/>
        <w:t>artifact catalogs)</w:t>
      </w:r>
      <w:r w:rsidR="00772136">
        <w:rPr>
          <w:color w:val="000000"/>
        </w:rPr>
        <w:t xml:space="preserve">; increased </w:t>
      </w:r>
      <w:r w:rsidR="00BB00D7">
        <w:rPr>
          <w:color w:val="000000"/>
        </w:rPr>
        <w:t xml:space="preserve">photography </w:t>
      </w:r>
      <w:r w:rsidR="00772136">
        <w:rPr>
          <w:color w:val="000000"/>
        </w:rPr>
        <w:t xml:space="preserve">from digital </w:t>
      </w:r>
      <w:r w:rsidR="00BB00D7">
        <w:rPr>
          <w:color w:val="000000"/>
        </w:rPr>
        <w:t>images</w:t>
      </w:r>
      <w:r w:rsidR="00772136">
        <w:rPr>
          <w:color w:val="000000"/>
        </w:rPr>
        <w:t>,</w:t>
      </w:r>
      <w:r w:rsidR="00BB00D7">
        <w:rPr>
          <w:color w:val="000000"/>
        </w:rPr>
        <w:t xml:space="preserve"> supplemented by video data</w:t>
      </w:r>
      <w:r w:rsidR="00772136">
        <w:rPr>
          <w:color w:val="000000"/>
        </w:rPr>
        <w:t xml:space="preserve">; </w:t>
      </w:r>
      <w:r w:rsidR="00BB00D7">
        <w:rPr>
          <w:color w:val="000000"/>
        </w:rPr>
        <w:t>digital spatial data</w:t>
      </w:r>
      <w:r w:rsidR="00772136">
        <w:rPr>
          <w:color w:val="000000"/>
        </w:rPr>
        <w:t xml:space="preserve">; </w:t>
      </w:r>
      <w:r w:rsidR="00BB00D7">
        <w:rPr>
          <w:color w:val="000000"/>
        </w:rPr>
        <w:t xml:space="preserve">and </w:t>
      </w:r>
      <w:r w:rsidR="00772136">
        <w:rPr>
          <w:color w:val="000000"/>
        </w:rPr>
        <w:t>l</w:t>
      </w:r>
      <w:r w:rsidR="00BB00D7">
        <w:rPr>
          <w:color w:val="000000"/>
        </w:rPr>
        <w:t>ab</w:t>
      </w:r>
      <w:r w:rsidR="00772136">
        <w:rPr>
          <w:color w:val="000000"/>
        </w:rPr>
        <w:t>oratory</w:t>
      </w:r>
      <w:r w:rsidR="00BB00D7">
        <w:rPr>
          <w:color w:val="000000"/>
        </w:rPr>
        <w:t xml:space="preserve"> </w:t>
      </w:r>
      <w:r w:rsidR="00772136">
        <w:rPr>
          <w:color w:val="000000"/>
        </w:rPr>
        <w:t>data including databases, images and telemetry</w:t>
      </w:r>
      <w:r w:rsidR="00BB00D7">
        <w:rPr>
          <w:color w:val="000000"/>
        </w:rPr>
        <w:t xml:space="preserve">. </w:t>
      </w:r>
      <w:r>
        <w:rPr>
          <w:color w:val="000000"/>
        </w:rPr>
        <w:t xml:space="preserve"> In addition</w:t>
      </w:r>
      <w:r w:rsidR="00091617">
        <w:rPr>
          <w:color w:val="000000"/>
        </w:rPr>
        <w:t>,</w:t>
      </w:r>
      <w:r>
        <w:rPr>
          <w:color w:val="000000"/>
        </w:rPr>
        <w:t xml:space="preserve"> the </w:t>
      </w:r>
      <w:r>
        <w:t xml:space="preserve">National Historic Preservation Act mandated archaeology for federal projects, leading to </w:t>
      </w:r>
      <w:r w:rsidR="00F47580">
        <w:rPr>
          <w:color w:val="000000"/>
        </w:rPr>
        <w:t>more archaeology being done,</w:t>
      </w:r>
      <w:r>
        <w:rPr>
          <w:color w:val="000000"/>
        </w:rPr>
        <w:t xml:space="preserve"> and </w:t>
      </w:r>
      <w:r w:rsidR="00F47580">
        <w:rPr>
          <w:color w:val="000000"/>
        </w:rPr>
        <w:t>increasing the</w:t>
      </w:r>
      <w:r>
        <w:rPr>
          <w:color w:val="000000"/>
        </w:rPr>
        <w:t xml:space="preserve"> exten</w:t>
      </w:r>
      <w:r w:rsidR="008C34FD">
        <w:rPr>
          <w:color w:val="000000"/>
        </w:rPr>
        <w:t>t,</w:t>
      </w:r>
      <w:r>
        <w:rPr>
          <w:color w:val="000000"/>
        </w:rPr>
        <w:t xml:space="preserve"> and amount of archaeological </w:t>
      </w:r>
      <w:r w:rsidR="00F47580">
        <w:rPr>
          <w:color w:val="000000"/>
        </w:rPr>
        <w:t xml:space="preserve">data. </w:t>
      </w:r>
      <w:r w:rsidR="00F47580">
        <w:t>I</w:t>
      </w:r>
      <w:r w:rsidR="00F47580" w:rsidRPr="00242AAB">
        <w:t>n the United States alone</w:t>
      </w:r>
      <w:r w:rsidR="00F47580">
        <w:t>,</w:t>
      </w:r>
      <w:r w:rsidR="00F47580" w:rsidRPr="00242AAB">
        <w:t xml:space="preserve"> current archaeological projects continue each year with “approximately 50,000 field projects involving archaeological resources” (McManamon, Kintigh, &amp; Brin, 2010, </w:t>
      </w:r>
      <w:r w:rsidR="00F47580">
        <w:t xml:space="preserve">section: </w:t>
      </w:r>
      <w:r w:rsidR="00F47580" w:rsidRPr="00242AAB">
        <w:t>The Need for Digital Archiving</w:t>
      </w:r>
      <w:r w:rsidR="00F47580">
        <w:t>). There are questions regarding the extent to which artifact collections</w:t>
      </w:r>
      <w:r w:rsidR="002111E5">
        <w:t>’</w:t>
      </w:r>
      <w:r w:rsidR="00F47580">
        <w:t xml:space="preserve"> data </w:t>
      </w:r>
      <w:r w:rsidR="005070F6">
        <w:t>are</w:t>
      </w:r>
      <w:r w:rsidR="00F47580">
        <w:t xml:space="preserve"> being archived and, in addition to new data being generated, a significant backlog of non-archived, pre-digital material exists. Like many other professions, </w:t>
      </w:r>
      <w:r w:rsidR="00F1294F">
        <w:t>the</w:t>
      </w:r>
      <w:r w:rsidR="00F47580">
        <w:t xml:space="preserve"> shift to digital data in the last three decades </w:t>
      </w:r>
      <w:r w:rsidR="00F1294F">
        <w:t xml:space="preserve">has made </w:t>
      </w:r>
      <w:r w:rsidR="00F47580">
        <w:t xml:space="preserve">it difficult for repositories to keep up with both physical and digital </w:t>
      </w:r>
      <w:r w:rsidR="000F3354">
        <w:t>collections</w:t>
      </w:r>
      <w:r w:rsidR="00F47580">
        <w:t xml:space="preserve"> (Watts, 2010, p. 1). The situation with physical </w:t>
      </w:r>
      <w:r w:rsidR="000F3354">
        <w:t>material</w:t>
      </w:r>
      <w:r w:rsidR="00F47580">
        <w:t xml:space="preserve"> has meant that some of the archaeological work done in previous decades is now inaccessible to researchers. Missing field notes, artifacts that were never washed or cataloged, paper catalogs that </w:t>
      </w:r>
      <w:r w:rsidR="000F3354">
        <w:t>were n</w:t>
      </w:r>
      <w:r w:rsidR="00F47580">
        <w:t>ot preserved</w:t>
      </w:r>
      <w:r w:rsidR="005070F6">
        <w:t>,</w:t>
      </w:r>
      <w:r w:rsidR="00F47580">
        <w:t xml:space="preserve"> or that are too lengthy to use efficiently, all mean that the evidential value of these</w:t>
      </w:r>
      <w:r w:rsidR="002B5262">
        <w:t xml:space="preserve"> archaeological</w:t>
      </w:r>
      <w:r w:rsidR="00F47580">
        <w:t xml:space="preserve"> sites is limited (Sullivan &amp; Childs</w:t>
      </w:r>
      <w:r w:rsidR="005A524C">
        <w:t>,</w:t>
      </w:r>
      <w:r w:rsidR="00F47580">
        <w:t xml:space="preserve"> 2003). These problems continued with digital data, making aspects of preservation and access ever more crucial in the dissemination of new archaeological digital data.</w:t>
      </w:r>
    </w:p>
    <w:p w14:paraId="58914976" w14:textId="77777777" w:rsidR="00D012FE" w:rsidRPr="00F47580" w:rsidRDefault="00B93D37" w:rsidP="00F47580">
      <w:pPr>
        <w:rPr>
          <w:rFonts w:ascii="Calibri" w:hAnsi="Calibri"/>
        </w:rPr>
      </w:pPr>
      <w:r>
        <w:rPr>
          <w:rFonts w:ascii="Calibri" w:hAnsi="Calibri"/>
        </w:rPr>
        <w:t xml:space="preserve">In examining </w:t>
      </w:r>
      <w:r w:rsidR="00F47580">
        <w:rPr>
          <w:rFonts w:ascii="Calibri" w:hAnsi="Calibri"/>
        </w:rPr>
        <w:t xml:space="preserve">current </w:t>
      </w:r>
      <w:r w:rsidR="00D2378C">
        <w:rPr>
          <w:rFonts w:ascii="Calibri" w:hAnsi="Calibri"/>
        </w:rPr>
        <w:t>practices</w:t>
      </w:r>
      <w:r w:rsidR="002F5E4C">
        <w:rPr>
          <w:rFonts w:ascii="Calibri" w:hAnsi="Calibri"/>
        </w:rPr>
        <w:t>,</w:t>
      </w:r>
      <w:r w:rsidR="00F47580">
        <w:rPr>
          <w:rFonts w:ascii="Calibri" w:hAnsi="Calibri"/>
        </w:rPr>
        <w:t xml:space="preserve"> </w:t>
      </w:r>
      <w:r w:rsidR="006A2421">
        <w:rPr>
          <w:rFonts w:ascii="Calibri" w:hAnsi="Calibri"/>
        </w:rPr>
        <w:t xml:space="preserve">how </w:t>
      </w:r>
      <w:r w:rsidR="009F6B9B">
        <w:rPr>
          <w:rFonts w:ascii="Calibri" w:hAnsi="Calibri"/>
        </w:rPr>
        <w:t>are</w:t>
      </w:r>
      <w:r w:rsidR="00973EFA">
        <w:rPr>
          <w:rFonts w:ascii="Calibri" w:hAnsi="Calibri"/>
        </w:rPr>
        <w:t xml:space="preserve"> archaeological </w:t>
      </w:r>
      <w:r>
        <w:rPr>
          <w:rFonts w:ascii="Calibri" w:hAnsi="Calibri"/>
        </w:rPr>
        <w:t xml:space="preserve">data </w:t>
      </w:r>
      <w:r w:rsidR="00973EFA">
        <w:rPr>
          <w:rFonts w:ascii="Calibri" w:hAnsi="Calibri"/>
        </w:rPr>
        <w:t xml:space="preserve">made </w:t>
      </w:r>
      <w:r>
        <w:rPr>
          <w:rFonts w:ascii="Calibri" w:hAnsi="Calibri"/>
        </w:rPr>
        <w:t>accessible</w:t>
      </w:r>
      <w:r w:rsidR="00D2378C">
        <w:rPr>
          <w:rFonts w:ascii="Calibri" w:hAnsi="Calibri"/>
        </w:rPr>
        <w:t>?</w:t>
      </w:r>
      <w:r w:rsidR="00F47580">
        <w:rPr>
          <w:rFonts w:ascii="Calibri" w:hAnsi="Calibri"/>
        </w:rPr>
        <w:t xml:space="preserve"> </w:t>
      </w:r>
      <w:r w:rsidR="005070F6">
        <w:rPr>
          <w:rFonts w:ascii="Calibri" w:hAnsi="Calibri"/>
        </w:rPr>
        <w:t>If we examine a subset of dissemination, t</w:t>
      </w:r>
      <w:r>
        <w:rPr>
          <w:rFonts w:ascii="Calibri" w:hAnsi="Calibri"/>
        </w:rPr>
        <w:t>o</w:t>
      </w:r>
      <w:r w:rsidR="00973EFA">
        <w:rPr>
          <w:rFonts w:ascii="Calibri" w:hAnsi="Calibri"/>
        </w:rPr>
        <w:t xml:space="preserve"> </w:t>
      </w:r>
      <w:r>
        <w:rPr>
          <w:rFonts w:ascii="Calibri" w:hAnsi="Calibri"/>
        </w:rPr>
        <w:t xml:space="preserve">what </w:t>
      </w:r>
      <w:r w:rsidR="005E6B92">
        <w:t xml:space="preserve">extent </w:t>
      </w:r>
      <w:r>
        <w:t>are</w:t>
      </w:r>
      <w:r w:rsidR="00067C17">
        <w:t xml:space="preserve"> </w:t>
      </w:r>
      <w:r w:rsidR="005E6B92">
        <w:t xml:space="preserve">websites presenting archaeological data </w:t>
      </w:r>
      <w:r w:rsidR="00973EFA">
        <w:t xml:space="preserve">aligning with </w:t>
      </w:r>
      <w:r>
        <w:t xml:space="preserve">the requirements of </w:t>
      </w:r>
      <w:r w:rsidR="005E6B92">
        <w:t>open data</w:t>
      </w:r>
      <w:r w:rsidR="006A2421">
        <w:t xml:space="preserve">? </w:t>
      </w:r>
      <w:r w:rsidR="00973EFA">
        <w:t xml:space="preserve">Are there </w:t>
      </w:r>
      <w:r w:rsidR="00114E82">
        <w:t>characteristics</w:t>
      </w:r>
      <w:r>
        <w:t xml:space="preserve"> support</w:t>
      </w:r>
      <w:r w:rsidR="00973EFA">
        <w:t>ing aspects of</w:t>
      </w:r>
      <w:r>
        <w:t xml:space="preserve"> </w:t>
      </w:r>
      <w:r w:rsidR="005802C4">
        <w:t>scholarly publishing</w:t>
      </w:r>
      <w:r>
        <w:t xml:space="preserve">? </w:t>
      </w:r>
      <w:r w:rsidR="00973EFA">
        <w:t xml:space="preserve">Are there </w:t>
      </w:r>
      <w:r w:rsidR="00114E82">
        <w:t>characteristics</w:t>
      </w:r>
      <w:r>
        <w:t xml:space="preserve"> support</w:t>
      </w:r>
      <w:r w:rsidR="00973EFA">
        <w:t>ing aspects of public outreach?</w:t>
      </w:r>
      <w:r w:rsidR="00480536">
        <w:t xml:space="preserve"> </w:t>
      </w:r>
      <w:r w:rsidR="0015168C">
        <w:t xml:space="preserve">This study will attempt to answer these questions through a content analysis study of the websites of institutions identified as having archaeological </w:t>
      </w:r>
      <w:r w:rsidR="00F1294F">
        <w:t xml:space="preserve">collections or </w:t>
      </w:r>
      <w:r w:rsidR="0015168C">
        <w:t>data</w:t>
      </w:r>
      <w:r w:rsidR="00091617">
        <w:t xml:space="preserve"> in Virginia</w:t>
      </w:r>
      <w:r w:rsidR="0015168C">
        <w:t>. Characteristics of open data, scholarly publishing and public outreach are identified, and the organizations</w:t>
      </w:r>
      <w:r w:rsidR="002111E5">
        <w:t>’</w:t>
      </w:r>
      <w:r w:rsidR="0015168C">
        <w:t xml:space="preserve"> websites systematically analyzed to see whether </w:t>
      </w:r>
      <w:r w:rsidR="0015168C">
        <w:lastRenderedPageBreak/>
        <w:t>these characteristics are present.</w:t>
      </w:r>
      <w:r w:rsidR="00A00FB5">
        <w:t xml:space="preserve"> The intent is not </w:t>
      </w:r>
      <w:r w:rsidR="007451BC">
        <w:t>to provide a</w:t>
      </w:r>
      <w:r w:rsidR="00A00FB5">
        <w:t xml:space="preserve"> critique of individual sites</w:t>
      </w:r>
      <w:r w:rsidR="000A713B">
        <w:t>,</w:t>
      </w:r>
      <w:r w:rsidR="00A00FB5">
        <w:t xml:space="preserve"> but </w:t>
      </w:r>
      <w:r w:rsidR="007451BC">
        <w:t xml:space="preserve">to </w:t>
      </w:r>
      <w:r w:rsidR="00A00FB5">
        <w:t>understand of how archaeological data from Virginia projects is being disseminated</w:t>
      </w:r>
      <w:r w:rsidR="00300E45">
        <w:t xml:space="preserve"> through the web</w:t>
      </w:r>
      <w:r w:rsidR="00A00FB5">
        <w:t>.</w:t>
      </w:r>
    </w:p>
    <w:p w14:paraId="58BC15A6" w14:textId="77777777" w:rsidR="00F3755F" w:rsidRDefault="00F3755F" w:rsidP="00F3755F">
      <w:pPr>
        <w:pStyle w:val="Heading2"/>
      </w:pPr>
      <w:bookmarkStart w:id="8" w:name="_Toc419135393"/>
      <w:r>
        <w:t>Definitions</w:t>
      </w:r>
      <w:r w:rsidR="002622CF">
        <w:t xml:space="preserve"> used in study</w:t>
      </w:r>
      <w:bookmarkEnd w:id="8"/>
    </w:p>
    <w:p w14:paraId="42975CB8" w14:textId="77777777" w:rsidR="00F1294F" w:rsidRDefault="00312C1A" w:rsidP="00F1294F">
      <w:r>
        <w:t xml:space="preserve">For the purpose of this study the following terms and concepts are defined as follows: </w:t>
      </w:r>
    </w:p>
    <w:p w14:paraId="43CCC966" w14:textId="77777777" w:rsidR="006A2421" w:rsidRDefault="006A2421" w:rsidP="00F1294F">
      <w:r w:rsidRPr="006A2421">
        <w:rPr>
          <w:b/>
          <w:i/>
        </w:rPr>
        <w:t>Archaeology</w:t>
      </w:r>
      <w:r>
        <w:t xml:space="preserve"> </w:t>
      </w:r>
      <w:r w:rsidR="00FC74E4">
        <w:t>i</w:t>
      </w:r>
      <w:r>
        <w:t>s</w:t>
      </w:r>
      <w:r w:rsidR="00FC74E4">
        <w:t xml:space="preserve"> the study of human activity in the past. Through excavation and the study of material culture</w:t>
      </w:r>
      <w:r w:rsidR="002111E5">
        <w:t>,</w:t>
      </w:r>
      <w:r w:rsidR="00FC74E4">
        <w:t xml:space="preserve"> archaeologist</w:t>
      </w:r>
      <w:r w:rsidR="002111E5">
        <w:t>s</w:t>
      </w:r>
      <w:r w:rsidR="00FC74E4">
        <w:t xml:space="preserve"> create many forms of data, and it is these data that form the basis of this study.</w:t>
      </w:r>
    </w:p>
    <w:p w14:paraId="22571DA1" w14:textId="77777777" w:rsidR="008537A5" w:rsidRDefault="008537A5" w:rsidP="00D2378C">
      <w:r w:rsidRPr="008537A5">
        <w:rPr>
          <w:b/>
          <w:i/>
        </w:rPr>
        <w:t>Websites</w:t>
      </w:r>
      <w:r>
        <w:t xml:space="preserve">: This study will </w:t>
      </w:r>
      <w:r w:rsidR="001D4542">
        <w:t xml:space="preserve">use the </w:t>
      </w:r>
      <w:r w:rsidR="0043747A">
        <w:t xml:space="preserve">website </w:t>
      </w:r>
      <w:r w:rsidR="001D4542">
        <w:t xml:space="preserve">as the unit of </w:t>
      </w:r>
      <w:r w:rsidR="002111E5">
        <w:t>analysis</w:t>
      </w:r>
      <w:r w:rsidR="00312C1A">
        <w:t xml:space="preserve">. If institutions have multiple websites, </w:t>
      </w:r>
      <w:r w:rsidR="002111E5">
        <w:t xml:space="preserve">identified </w:t>
      </w:r>
      <w:r w:rsidR="00312C1A">
        <w:t>through unique website top-level domains</w:t>
      </w:r>
      <w:r w:rsidR="000F3354">
        <w:t>, they will be treated separately</w:t>
      </w:r>
      <w:r w:rsidR="00312C1A">
        <w:t xml:space="preserve">. In cases where </w:t>
      </w:r>
      <w:r w:rsidR="00336B50">
        <w:t xml:space="preserve">archaeological </w:t>
      </w:r>
      <w:r w:rsidR="00312C1A">
        <w:t xml:space="preserve">data </w:t>
      </w:r>
      <w:r w:rsidR="007451BC">
        <w:t xml:space="preserve">are </w:t>
      </w:r>
      <w:r w:rsidR="00312C1A">
        <w:t xml:space="preserve">provided at another </w:t>
      </w:r>
      <w:r w:rsidR="00EF2F17">
        <w:t>web</w:t>
      </w:r>
      <w:r w:rsidR="00312C1A">
        <w:t>site, the institution will be considered to have disseminated data, provided there is an explicit link. Websites are dynamic</w:t>
      </w:r>
      <w:r w:rsidR="00336B50">
        <w:t>,</w:t>
      </w:r>
      <w:r w:rsidR="00312C1A">
        <w:t xml:space="preserve"> so this study by necessity only analyze</w:t>
      </w:r>
      <w:r w:rsidR="002111E5">
        <w:t>s</w:t>
      </w:r>
      <w:r w:rsidR="00312C1A">
        <w:t xml:space="preserve"> </w:t>
      </w:r>
      <w:r w:rsidR="002111E5">
        <w:t>website data available</w:t>
      </w:r>
      <w:r w:rsidR="00312C1A">
        <w:t xml:space="preserve"> from the limited time frame of the study (December 2014 to January 2015).</w:t>
      </w:r>
    </w:p>
    <w:p w14:paraId="03187F96" w14:textId="77777777" w:rsidR="00D2378C" w:rsidRDefault="008537A5" w:rsidP="00D2378C">
      <w:r>
        <w:rPr>
          <w:b/>
          <w:i/>
        </w:rPr>
        <w:t>D</w:t>
      </w:r>
      <w:r w:rsidR="00F3755F" w:rsidRPr="00067C17">
        <w:rPr>
          <w:b/>
          <w:i/>
        </w:rPr>
        <w:t>igital archaeological data</w:t>
      </w:r>
      <w:r w:rsidR="00F3755F" w:rsidRPr="00067C17">
        <w:rPr>
          <w:rStyle w:val="Heading2Char"/>
          <w:b w:val="0"/>
          <w:i w:val="0"/>
        </w:rPr>
        <w:t>:</w:t>
      </w:r>
      <w:r w:rsidR="00067C17">
        <w:rPr>
          <w:rStyle w:val="Heading2Char"/>
          <w:b w:val="0"/>
          <w:i w:val="0"/>
        </w:rPr>
        <w:t xml:space="preserve"> </w:t>
      </w:r>
      <w:r w:rsidR="00067C17">
        <w:t>T</w:t>
      </w:r>
      <w:r w:rsidR="00D2378C">
        <w:t>he purpose of this study</w:t>
      </w:r>
      <w:r w:rsidR="00067C17">
        <w:t xml:space="preserve"> is to identify websites that include archaeological data</w:t>
      </w:r>
      <w:r w:rsidR="006A2421">
        <w:t xml:space="preserve">, rather than </w:t>
      </w:r>
      <w:r w:rsidR="002111E5">
        <w:t>summary reports</w:t>
      </w:r>
      <w:r w:rsidR="00FA1979">
        <w:t>. To make a more fine-</w:t>
      </w:r>
      <w:r>
        <w:t>grained analysis</w:t>
      </w:r>
      <w:r w:rsidR="007451BC">
        <w:t>,</w:t>
      </w:r>
      <w:r>
        <w:t xml:space="preserve"> </w:t>
      </w:r>
      <w:r w:rsidR="00B4489B">
        <w:t>these</w:t>
      </w:r>
      <w:r>
        <w:t xml:space="preserve"> data will be categorized into:</w:t>
      </w:r>
      <w:r w:rsidR="00B12B81">
        <w:t xml:space="preserve"> </w:t>
      </w:r>
      <w:r w:rsidR="00EF2F17">
        <w:rPr>
          <w:rFonts w:cs="Times New Roman"/>
        </w:rPr>
        <w:t xml:space="preserve">archaeological </w:t>
      </w:r>
      <w:r w:rsidR="00336B50">
        <w:t>site reports;</w:t>
      </w:r>
      <w:r>
        <w:t xml:space="preserve"> field </w:t>
      </w:r>
      <w:r w:rsidR="009E6E9E">
        <w:t>records</w:t>
      </w:r>
      <w:r w:rsidR="00336B50">
        <w:t>;</w:t>
      </w:r>
      <w:r>
        <w:t xml:space="preserve"> artifact collections</w:t>
      </w:r>
      <w:r w:rsidR="00336B50">
        <w:t xml:space="preserve">; spatial data (GIS); </w:t>
      </w:r>
      <w:r>
        <w:t>virtualizations</w:t>
      </w:r>
      <w:r w:rsidR="00336B50">
        <w:t>;</w:t>
      </w:r>
      <w:r>
        <w:t xml:space="preserve"> and 3D models. These categories are more fully explored in the research methods section. A</w:t>
      </w:r>
      <w:r w:rsidR="001269FB">
        <w:t xml:space="preserve"> news </w:t>
      </w:r>
      <w:r w:rsidR="00C70114">
        <w:t>web</w:t>
      </w:r>
      <w:r w:rsidR="001269FB">
        <w:t>site reporting on an archaeology excavation will not be considered</w:t>
      </w:r>
      <w:r w:rsidR="002B0E79">
        <w:t xml:space="preserve"> as having “data</w:t>
      </w:r>
      <w:r w:rsidR="007451BC">
        <w:t>,</w:t>
      </w:r>
      <w:r w:rsidR="002B0E79">
        <w:t>” h</w:t>
      </w:r>
      <w:r w:rsidR="001269FB">
        <w:t>owever a blog post by archaeologists that provides information on</w:t>
      </w:r>
      <w:r w:rsidR="002B0E79">
        <w:t xml:space="preserve"> new findings will be included.</w:t>
      </w:r>
    </w:p>
    <w:p w14:paraId="5DE345A7" w14:textId="77777777" w:rsidR="00772136" w:rsidRPr="00772136" w:rsidRDefault="00772136" w:rsidP="00D2378C">
      <w:r w:rsidRPr="00772136">
        <w:rPr>
          <w:b/>
          <w:i/>
        </w:rPr>
        <w:t>Re-usable data:</w:t>
      </w:r>
      <w:r>
        <w:rPr>
          <w:b/>
          <w:i/>
        </w:rPr>
        <w:t xml:space="preserve"> </w:t>
      </w:r>
      <w:r>
        <w:t>This</w:t>
      </w:r>
      <w:r w:rsidR="00F1294F">
        <w:t xml:space="preserve"> term</w:t>
      </w:r>
      <w:r>
        <w:t xml:space="preserve"> is used in this study to refer to formatted digital data. Interoperable data, which is </w:t>
      </w:r>
      <w:r w:rsidR="007451BC">
        <w:t xml:space="preserve">a term </w:t>
      </w:r>
      <w:r>
        <w:t xml:space="preserve">also used in this study, is a subset of re-usable data since </w:t>
      </w:r>
      <w:r w:rsidR="007451BC">
        <w:t>they</w:t>
      </w:r>
      <w:r>
        <w:t xml:space="preserve"> requires metadata allowing the data to be used with other datasets.</w:t>
      </w:r>
    </w:p>
    <w:p w14:paraId="72F3FF4B" w14:textId="77777777" w:rsidR="002B0E79" w:rsidRDefault="00B2534E" w:rsidP="002C40F5">
      <w:pPr>
        <w:rPr>
          <w:rFonts w:ascii="Calibri" w:hAnsi="Calibri" w:cs="GoudyOldStyleT-Bold"/>
          <w:bCs/>
        </w:rPr>
      </w:pPr>
      <w:r w:rsidRPr="008537A5">
        <w:rPr>
          <w:rFonts w:ascii="Calibri" w:hAnsi="Calibri"/>
          <w:b/>
          <w:i/>
        </w:rPr>
        <w:lastRenderedPageBreak/>
        <w:t>Virginia projects:</w:t>
      </w:r>
      <w:r w:rsidR="008537A5">
        <w:rPr>
          <w:rFonts w:ascii="Calibri" w:hAnsi="Calibri"/>
          <w:b/>
        </w:rPr>
        <w:t xml:space="preserve"> </w:t>
      </w:r>
      <w:r w:rsidR="002C40F5">
        <w:rPr>
          <w:rFonts w:ascii="Calibri" w:hAnsi="Calibri" w:cs="GoudyOldStyleT-Bold"/>
          <w:bCs/>
        </w:rPr>
        <w:t>The focus of the study is on data that originated from archaeological excavations conducted in Virginia.</w:t>
      </w:r>
      <w:r w:rsidR="002B0E79">
        <w:rPr>
          <w:rFonts w:ascii="Calibri" w:hAnsi="Calibri" w:cs="GoudyOldStyleT-Bold"/>
          <w:bCs/>
        </w:rPr>
        <w:t xml:space="preserve"> Some Virginia archaeologists work around the world, however this study is only concerned with archaeological projects </w:t>
      </w:r>
      <w:r w:rsidR="007451BC">
        <w:rPr>
          <w:rFonts w:ascii="Calibri" w:hAnsi="Calibri" w:cs="GoudyOldStyleT-Bold"/>
          <w:bCs/>
        </w:rPr>
        <w:t xml:space="preserve">undertaken </w:t>
      </w:r>
      <w:r w:rsidR="002B0E79">
        <w:rPr>
          <w:rFonts w:ascii="Calibri" w:hAnsi="Calibri" w:cs="GoudyOldStyleT-Bold"/>
          <w:bCs/>
        </w:rPr>
        <w:t>in Virginia</w:t>
      </w:r>
      <w:r w:rsidR="00F1294F">
        <w:rPr>
          <w:rFonts w:ascii="Calibri" w:hAnsi="Calibri" w:cs="GoudyOldStyleT-Bold"/>
          <w:bCs/>
        </w:rPr>
        <w:t>.</w:t>
      </w:r>
    </w:p>
    <w:p w14:paraId="1595D91C" w14:textId="59D174D8" w:rsidR="002C40F5" w:rsidRPr="00CE33C8" w:rsidRDefault="002C40F5" w:rsidP="002C40F5">
      <w:pPr>
        <w:rPr>
          <w:rFonts w:ascii="Calibri" w:hAnsi="Calibri" w:cs="GoudyOldStyleT-Bold"/>
          <w:bCs/>
        </w:rPr>
      </w:pPr>
      <w:r w:rsidRPr="00632B0C">
        <w:rPr>
          <w:rFonts w:ascii="Calibri" w:hAnsi="Calibri" w:cs="GoudyOldStyleT-Bold"/>
          <w:bCs/>
        </w:rPr>
        <w:t>Virginia</w:t>
      </w:r>
      <w:r>
        <w:rPr>
          <w:rFonts w:ascii="Calibri" w:hAnsi="Calibri" w:cs="GoudyOldStyleT-Bold"/>
          <w:bCs/>
        </w:rPr>
        <w:t xml:space="preserve"> was chosen for this study for a number of reasons. A </w:t>
      </w:r>
      <w:r w:rsidRPr="00242AAB">
        <w:t>study</w:t>
      </w:r>
      <w:r>
        <w:t xml:space="preserve"> undertaken by </w:t>
      </w:r>
      <w:r w:rsidRPr="00242AAB">
        <w:t xml:space="preserve">White </w:t>
      </w:r>
      <w:r>
        <w:t xml:space="preserve">and </w:t>
      </w:r>
      <w:r w:rsidRPr="00242AAB">
        <w:t>Breen</w:t>
      </w:r>
      <w:r>
        <w:t xml:space="preserve"> (</w:t>
      </w:r>
      <w:r w:rsidRPr="00242AAB">
        <w:t>2012)</w:t>
      </w:r>
      <w:r>
        <w:t xml:space="preserve"> </w:t>
      </w:r>
      <w:r>
        <w:rPr>
          <w:bCs/>
          <w:iCs/>
        </w:rPr>
        <w:t xml:space="preserve">listed a </w:t>
      </w:r>
      <w:r w:rsidRPr="00242AAB">
        <w:t>wide range of institutional types</w:t>
      </w:r>
      <w:r>
        <w:t xml:space="preserve"> in Virginia</w:t>
      </w:r>
      <w:r w:rsidRPr="00242AAB">
        <w:t xml:space="preserve"> </w:t>
      </w:r>
      <w:r>
        <w:t>holding</w:t>
      </w:r>
      <w:r w:rsidRPr="00242AAB">
        <w:t xml:space="preserve"> </w:t>
      </w:r>
      <w:r>
        <w:t xml:space="preserve">archaeological data. </w:t>
      </w:r>
      <w:r>
        <w:rPr>
          <w:rFonts w:ascii="Calibri" w:hAnsi="Calibri" w:cs="GoudyOldStyleT-Bold"/>
          <w:bCs/>
        </w:rPr>
        <w:t xml:space="preserve">White and Breen focused on physical collections and they provided a comprehensive list of repositories, which was used as a starting point for this </w:t>
      </w:r>
      <w:r w:rsidR="004B0FC6">
        <w:rPr>
          <w:rFonts w:ascii="Calibri" w:hAnsi="Calibri" w:cs="GoudyOldStyleT-Bold"/>
          <w:bCs/>
        </w:rPr>
        <w:t>analysis</w:t>
      </w:r>
      <w:r>
        <w:rPr>
          <w:rFonts w:ascii="Calibri" w:hAnsi="Calibri" w:cs="GoudyOldStyleT-Bold"/>
          <w:bCs/>
        </w:rPr>
        <w:t xml:space="preserve">. </w:t>
      </w:r>
      <w:r>
        <w:t>For historical archaeology, the middle Atlantic, including Vir</w:t>
      </w:r>
      <w:r w:rsidR="004B0FC6">
        <w:t>ginia, is the most studied area</w:t>
      </w:r>
      <w:r w:rsidR="00800EF8">
        <w:t xml:space="preserve"> in America (Society for Historical Archaeology, </w:t>
      </w:r>
      <w:r>
        <w:t>in press). V-CRIS, the state archaeology site database (</w:t>
      </w:r>
      <w:r w:rsidRPr="00BF6893">
        <w:t>http://www.dhr.virginia.gov/archives/archiv_vcrisHome.htm</w:t>
      </w:r>
      <w:r>
        <w:t>) has recently been updated and, beyond a number of university archaeology programs, there is a range of long-term archaeology projects in Virginia including those at Jamestown</w:t>
      </w:r>
      <w:r w:rsidR="0081511C">
        <w:t xml:space="preserve"> Rediscovery</w:t>
      </w:r>
      <w:r>
        <w:t>, Colonial Williamsburg, Monticello, Mount Vernon, Montpelier and Poplar Forest. The Digital Archive of Comparative Slavery (</w:t>
      </w:r>
      <w:r w:rsidRPr="00570F8D">
        <w:t>www.daacs.org</w:t>
      </w:r>
      <w:r>
        <w:t>) is based in Virginia, and A</w:t>
      </w:r>
      <w:r w:rsidRPr="00242AAB">
        <w:t xml:space="preserve"> Comparative Archaeological Study of Colonial Chesapeake Culture</w:t>
      </w:r>
      <w:r>
        <w:t xml:space="preserve"> (</w:t>
      </w:r>
      <w:r w:rsidRPr="00570F8D">
        <w:t>http://www.chesapeakearchaeology.org/</w:t>
      </w:r>
      <w:r>
        <w:t xml:space="preserve">), including many Virginia </w:t>
      </w:r>
      <w:r w:rsidR="002B5262">
        <w:t xml:space="preserve">archaeological </w:t>
      </w:r>
      <w:r w:rsidR="005070F6">
        <w:t xml:space="preserve">sites, is close by in Maryland. </w:t>
      </w:r>
      <w:r w:rsidR="007850F4">
        <w:t>While a</w:t>
      </w:r>
      <w:r>
        <w:t xml:space="preserve">rchaeology in the United States is not a completely homogeneous activity, most archaeology is conducted by cultural resource management companies in response to federal </w:t>
      </w:r>
      <w:r w:rsidR="007451BC">
        <w:t xml:space="preserve">regulations </w:t>
      </w:r>
      <w:r w:rsidR="004B0FC6">
        <w:t>that,</w:t>
      </w:r>
      <w:r>
        <w:t xml:space="preserve"> along with guidelines for federa</w:t>
      </w:r>
      <w:r w:rsidR="00B80E43">
        <w:t>l</w:t>
      </w:r>
      <w:r>
        <w:t xml:space="preserve"> grants, apply equally across the United States</w:t>
      </w:r>
      <w:r w:rsidR="007850F4">
        <w:t>. Additionally</w:t>
      </w:r>
      <w:r w:rsidR="007451BC">
        <w:t xml:space="preserve">, </w:t>
      </w:r>
      <w:r>
        <w:t>national conferences</w:t>
      </w:r>
      <w:r w:rsidR="007451BC">
        <w:t>, memberships in regional, national and international professional societies,</w:t>
      </w:r>
      <w:r>
        <w:t xml:space="preserve"> and professional ethics provide some commonality of practice. </w:t>
      </w:r>
    </w:p>
    <w:p w14:paraId="30B6BA33" w14:textId="77777777" w:rsidR="008C7F60" w:rsidRDefault="008C7F60" w:rsidP="008C7F60">
      <w:pPr>
        <w:pStyle w:val="Heading2"/>
      </w:pPr>
      <w:bookmarkStart w:id="9" w:name="_Toc419135394"/>
      <w:r>
        <w:t>Conceptual Framework</w:t>
      </w:r>
      <w:bookmarkEnd w:id="9"/>
    </w:p>
    <w:p w14:paraId="6D1204C0" w14:textId="77777777" w:rsidR="00C70114" w:rsidRDefault="00C70114" w:rsidP="00C70114">
      <w:r>
        <w:t xml:space="preserve">This study is situated in concepts from the open data movement, </w:t>
      </w:r>
      <w:r w:rsidR="005802C4">
        <w:t>scholarly publishing</w:t>
      </w:r>
      <w:r>
        <w:t xml:space="preserve"> and public outreach.</w:t>
      </w:r>
    </w:p>
    <w:p w14:paraId="674D2BDD" w14:textId="0D8ADC7E" w:rsidR="003A0454" w:rsidRPr="003A0454" w:rsidRDefault="00DD3218" w:rsidP="003A0454">
      <w:pPr>
        <w:ind w:firstLine="0"/>
        <w:rPr>
          <w:rFonts w:ascii="Calibri" w:hAnsi="Calibri"/>
        </w:rPr>
      </w:pPr>
      <w:r>
        <w:rPr>
          <w:noProof/>
        </w:rPr>
        <w:lastRenderedPageBreak/>
        <mc:AlternateContent>
          <mc:Choice Requires="wps">
            <w:drawing>
              <wp:anchor distT="0" distB="0" distL="114300" distR="114300" simplePos="0" relativeHeight="251661312" behindDoc="0" locked="0" layoutInCell="1" allowOverlap="1" wp14:anchorId="77BBC199" wp14:editId="7819B6E8">
                <wp:simplePos x="0" y="0"/>
                <wp:positionH relativeFrom="column">
                  <wp:posOffset>-66675</wp:posOffset>
                </wp:positionH>
                <wp:positionV relativeFrom="paragraph">
                  <wp:posOffset>3535680</wp:posOffset>
                </wp:positionV>
                <wp:extent cx="3724275" cy="266700"/>
                <wp:effectExtent l="0" t="0" r="9525" b="0"/>
                <wp:wrapSquare wrapText="bothSides"/>
                <wp:docPr id="1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4275"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C761C0" w14:textId="77777777" w:rsidR="00CF0DB5" w:rsidRDefault="00CF0DB5" w:rsidP="003A0454">
                            <w:pPr>
                              <w:pStyle w:val="Caption"/>
                            </w:pPr>
                            <w:bookmarkStart w:id="10" w:name="_Toc411342770"/>
                            <w:r>
                              <w:t xml:space="preserve">Figure </w:t>
                            </w:r>
                            <w:r>
                              <w:fldChar w:fldCharType="begin"/>
                            </w:r>
                            <w:r>
                              <w:instrText xml:space="preserve"> SEQ Figure \* ARABIC </w:instrText>
                            </w:r>
                            <w:r>
                              <w:fldChar w:fldCharType="separate"/>
                            </w:r>
                            <w:r w:rsidR="00887438">
                              <w:rPr>
                                <w:noProof/>
                              </w:rPr>
                              <w:t>1</w:t>
                            </w:r>
                            <w:r>
                              <w:rPr>
                                <w:noProof/>
                              </w:rPr>
                              <w:fldChar w:fldCharType="end"/>
                            </w:r>
                            <w:r>
                              <w:t>: Conceptual framework</w:t>
                            </w:r>
                            <w:bookmarkEnd w:id="10"/>
                          </w:p>
                          <w:p w14:paraId="00F0CBFA" w14:textId="77777777" w:rsidR="00893D91" w:rsidRPr="00893D91" w:rsidRDefault="00893D91" w:rsidP="00893D91"/>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7BBC199" id="_x0000_t202" coordsize="21600,21600" o:spt="202" path="m,l,21600r21600,l21600,xe">
                <v:stroke joinstyle="miter"/>
                <v:path gradientshapeok="t" o:connecttype="rect"/>
              </v:shapetype>
              <v:shape id="Text Box 7" o:spid="_x0000_s1026" type="#_x0000_t202" style="position:absolute;margin-left:-5.25pt;margin-top:278.4pt;width:293.25pt;height: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" stroked="f">
                <v:textbox style="mso-fit-shape-to-text:t" inset="0,0,0,0">
                  <w:txbxContent>
                    <w:p w14:paraId="6DC761C0" w14:textId="77777777" w:rsidR="00CF0DB5" w:rsidRDefault="00CF0DB5" w:rsidP="003A0454">
                      <w:pPr>
                        <w:pStyle w:val="Caption"/>
                      </w:pPr>
                      <w:bookmarkStart w:id="11" w:name="_Toc411342770"/>
                      <w:r>
                        <w:t xml:space="preserve">Figure </w:t>
                      </w:r>
                      <w:r>
                        <w:fldChar w:fldCharType="begin"/>
                      </w:r>
                      <w:r>
                        <w:instrText xml:space="preserve"> SEQ Figure \* ARABIC </w:instrText>
                      </w:r>
                      <w:r>
                        <w:fldChar w:fldCharType="separate"/>
                      </w:r>
                      <w:r w:rsidR="00887438">
                        <w:rPr>
                          <w:noProof/>
                        </w:rPr>
                        <w:t>1</w:t>
                      </w:r>
                      <w:r>
                        <w:rPr>
                          <w:noProof/>
                        </w:rPr>
                        <w:fldChar w:fldCharType="end"/>
                      </w:r>
                      <w:r>
                        <w:t>: Conceptual framework</w:t>
                      </w:r>
                      <w:bookmarkEnd w:id="11"/>
                    </w:p>
                    <w:p w14:paraId="00F0CBFA" w14:textId="77777777" w:rsidR="00893D91" w:rsidRPr="00893D91" w:rsidRDefault="00893D91" w:rsidP="00893D91"/>
                  </w:txbxContent>
                </v:textbox>
                <w10:wrap type="square"/>
              </v:shape>
            </w:pict>
          </mc:Fallback>
        </mc:AlternateContent>
      </w:r>
      <w:r w:rsidR="003A0454">
        <w:t>Scholarly access and public outreach are closely intertwined with open data concepts, but each maintains some distinctions in</w:t>
      </w:r>
      <w:r w:rsidR="00F1294F">
        <w:t xml:space="preserve"> focus, and in the </w:t>
      </w:r>
      <w:r w:rsidR="003A0454">
        <w:t xml:space="preserve">supporting literature.  </w:t>
      </w:r>
      <w:r w:rsidR="003A0454">
        <w:rPr>
          <w:noProof/>
        </w:rPr>
        <w:drawing>
          <wp:anchor distT="0" distB="0" distL="114300" distR="114300" simplePos="0" relativeHeight="251660288" behindDoc="0" locked="0" layoutInCell="1" allowOverlap="1" wp14:anchorId="78FF08E8" wp14:editId="6B05B612">
            <wp:simplePos x="0" y="0"/>
            <wp:positionH relativeFrom="column">
              <wp:posOffset>0</wp:posOffset>
            </wp:positionH>
            <wp:positionV relativeFrom="paragraph">
              <wp:posOffset>0</wp:posOffset>
            </wp:positionV>
            <wp:extent cx="3810000" cy="3556000"/>
            <wp:effectExtent l="0" t="0" r="0" b="0"/>
            <wp:wrapSquare wrapText="bothSides"/>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ata-traingle.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10000" cy="3556000"/>
                    </a:xfrm>
                    <a:prstGeom prst="rect">
                      <a:avLst/>
                    </a:prstGeom>
                  </pic:spPr>
                </pic:pic>
              </a:graphicData>
            </a:graphic>
          </wp:anchor>
        </w:drawing>
      </w:r>
      <w:r w:rsidR="003A0454">
        <w:t xml:space="preserve">Figure 1 shows these three concepts laid on top of archaeological data.  It is not suggested that there is a “sweet spot” where these ideas come together. </w:t>
      </w:r>
      <w:r w:rsidR="00800EF8">
        <w:t>For example, a</w:t>
      </w:r>
      <w:r w:rsidR="003A0454">
        <w:t xml:space="preserve"> website intended for other archaeologists might provide little support for public outreach. However websites are likely to be more effective for multiple audiences as they tend to the center.</w:t>
      </w:r>
    </w:p>
    <w:p w14:paraId="1698AFB4" w14:textId="77777777" w:rsidR="009F1F89" w:rsidRDefault="005802C4" w:rsidP="009F1F89">
      <w:pPr>
        <w:rPr>
          <w:rFonts w:ascii="Calibri" w:hAnsi="Calibri"/>
        </w:rPr>
      </w:pPr>
      <w:r>
        <w:rPr>
          <w:rFonts w:ascii="Calibri" w:hAnsi="Calibri"/>
          <w:b/>
          <w:i/>
        </w:rPr>
        <w:t>Scholarly publishing</w:t>
      </w:r>
      <w:r w:rsidR="00123086">
        <w:rPr>
          <w:rFonts w:ascii="Calibri" w:hAnsi="Calibri"/>
        </w:rPr>
        <w:t>: Unquestionably</w:t>
      </w:r>
      <w:r w:rsidR="007451BC">
        <w:rPr>
          <w:rFonts w:ascii="Calibri" w:hAnsi="Calibri"/>
        </w:rPr>
        <w:t>,</w:t>
      </w:r>
      <w:r w:rsidR="00123086">
        <w:rPr>
          <w:rFonts w:ascii="Calibri" w:hAnsi="Calibri"/>
        </w:rPr>
        <w:t xml:space="preserve"> the largest potential audience for archaeological data will be other archaeologists</w:t>
      </w:r>
      <w:r w:rsidR="003F0B70">
        <w:rPr>
          <w:rFonts w:ascii="Calibri" w:hAnsi="Calibri"/>
        </w:rPr>
        <w:t xml:space="preserve">, and issues of </w:t>
      </w:r>
      <w:r>
        <w:rPr>
          <w:rFonts w:ascii="Calibri" w:hAnsi="Calibri"/>
        </w:rPr>
        <w:t>scholarly publishing</w:t>
      </w:r>
      <w:r w:rsidR="003F0B70">
        <w:rPr>
          <w:rFonts w:ascii="Calibri" w:hAnsi="Calibri"/>
        </w:rPr>
        <w:t xml:space="preserve"> are pertinent to this study. </w:t>
      </w:r>
      <w:r w:rsidR="00604B37">
        <w:rPr>
          <w:rFonts w:ascii="Calibri" w:hAnsi="Calibri"/>
        </w:rPr>
        <w:t>Scholarly publishing here is considered a part of scholarly communication, concerned with data accessibility, standards and reuse.</w:t>
      </w:r>
      <w:r w:rsidR="009F1F89">
        <w:rPr>
          <w:rFonts w:ascii="Calibri" w:hAnsi="Calibri"/>
        </w:rPr>
        <w:t xml:space="preserve"> Accordingly this study will examine how these data are described, and whether they can be manipulated and reused. The licensing and citation of data are important factors in using data for scholarly research and these characteristics will be considered. Finally the </w:t>
      </w:r>
      <w:r w:rsidR="00336B50">
        <w:rPr>
          <w:rFonts w:ascii="Calibri" w:hAnsi="Calibri"/>
        </w:rPr>
        <w:t xml:space="preserve">archiving of these </w:t>
      </w:r>
      <w:r w:rsidR="009F1F89">
        <w:rPr>
          <w:rFonts w:ascii="Calibri" w:hAnsi="Calibri"/>
        </w:rPr>
        <w:t xml:space="preserve">data will be considered; does the website provide information, or a provision, for these data to be available in the future. </w:t>
      </w:r>
    </w:p>
    <w:p w14:paraId="7A994DE0" w14:textId="77777777" w:rsidR="009F1F89" w:rsidRDefault="00123086" w:rsidP="009F1F89">
      <w:r>
        <w:rPr>
          <w:rFonts w:ascii="Calibri" w:hAnsi="Calibri"/>
        </w:rPr>
        <w:lastRenderedPageBreak/>
        <w:t>A</w:t>
      </w:r>
      <w:r w:rsidRPr="00E34436">
        <w:rPr>
          <w:rFonts w:ascii="Calibri" w:hAnsi="Calibri" w:cs="GoudyOldStyleT-Bold"/>
          <w:bCs/>
        </w:rPr>
        <w:t>rchaeological research questions are increasingly focused on comparative collections</w:t>
      </w:r>
      <w:r>
        <w:rPr>
          <w:rFonts w:ascii="Calibri" w:hAnsi="Calibri" w:cs="GoudyOldStyleT-Bold"/>
          <w:bCs/>
        </w:rPr>
        <w:t>, with da</w:t>
      </w:r>
      <w:r>
        <w:t xml:space="preserve">ta from multiple sites offering the promise of new areas of research. </w:t>
      </w:r>
      <w:r w:rsidRPr="00242AAB">
        <w:rPr>
          <w:color w:val="000000"/>
        </w:rPr>
        <w:t>As noted by McMillan, Hatch and Heath (201</w:t>
      </w:r>
      <w:r w:rsidR="007850F4">
        <w:rPr>
          <w:color w:val="000000"/>
        </w:rPr>
        <w:t>5</w:t>
      </w:r>
      <w:r w:rsidRPr="00242AAB">
        <w:rPr>
          <w:color w:val="000000"/>
        </w:rPr>
        <w:t xml:space="preserve">) “The continued opportunity to reanalyze old collections and incorporate them into more current historical narratives has become even </w:t>
      </w:r>
      <w:r w:rsidRPr="004F42F6">
        <w:rPr>
          <w:color w:val="000000"/>
        </w:rPr>
        <w:t>more significant in recent years with funding cuts in archaeology</w:t>
      </w:r>
      <w:r w:rsidR="006A25A8">
        <w:rPr>
          <w:color w:val="000000"/>
        </w:rPr>
        <w:t>” (</w:t>
      </w:r>
      <w:r w:rsidR="005B4D83">
        <w:rPr>
          <w:color w:val="000000"/>
        </w:rPr>
        <w:t>in press</w:t>
      </w:r>
      <w:r>
        <w:rPr>
          <w:color w:val="000000"/>
        </w:rPr>
        <w:t xml:space="preserve">). </w:t>
      </w:r>
      <w:r w:rsidRPr="00E34436">
        <w:rPr>
          <w:rFonts w:ascii="Calibri" w:hAnsi="Calibri" w:cs="GoudyOldStyleT-Bold"/>
          <w:bCs/>
        </w:rPr>
        <w:t xml:space="preserve">But The Andrew Mellon Foundation </w:t>
      </w:r>
      <w:r>
        <w:rPr>
          <w:rFonts w:ascii="Calibri" w:hAnsi="Calibri" w:cs="GoudyOldStyleT-Bold"/>
          <w:bCs/>
        </w:rPr>
        <w:t xml:space="preserve">stated in its </w:t>
      </w:r>
      <w:r w:rsidR="002622CF">
        <w:rPr>
          <w:rFonts w:ascii="Calibri" w:hAnsi="Calibri" w:cs="GoudyOldStyleT-Bold"/>
          <w:bCs/>
        </w:rPr>
        <w:t xml:space="preserve">2008 </w:t>
      </w:r>
      <w:r>
        <w:rPr>
          <w:rFonts w:ascii="Calibri" w:hAnsi="Calibri" w:cs="GoudyOldStyleT-Bold"/>
          <w:bCs/>
        </w:rPr>
        <w:t>annual report</w:t>
      </w:r>
      <w:r w:rsidRPr="00E34436">
        <w:rPr>
          <w:rFonts w:ascii="Calibri" w:hAnsi="Calibri" w:cs="GoudyOldStyleT-Bold"/>
          <w:bCs/>
        </w:rPr>
        <w:t xml:space="preserve"> “</w:t>
      </w:r>
      <w:r w:rsidRPr="00E34436">
        <w:rPr>
          <w:rFonts w:ascii="Calibri" w:hAnsi="Calibri" w:cs="Plantin"/>
        </w:rPr>
        <w:t>there are no commonly agreed upon standards and little capacity for preserving and providing access to the databases, electronic field notes, digital images, and other materials that document archaeological findings” (</w:t>
      </w:r>
      <w:r w:rsidR="009066DA" w:rsidRPr="008C0652">
        <w:rPr>
          <w:rFonts w:cs="Calibri"/>
        </w:rPr>
        <w:t>Andrew W. Mellon Foundation</w:t>
      </w:r>
      <w:r w:rsidR="005A524C">
        <w:rPr>
          <w:rFonts w:cs="Calibri"/>
        </w:rPr>
        <w:t>,</w:t>
      </w:r>
      <w:r w:rsidR="009066DA" w:rsidRPr="008C0652">
        <w:rPr>
          <w:rFonts w:cs="Calibri"/>
        </w:rPr>
        <w:t xml:space="preserve"> </w:t>
      </w:r>
      <w:r w:rsidRPr="00E34436">
        <w:rPr>
          <w:rFonts w:ascii="Calibri" w:hAnsi="Calibri" w:cs="Plantin"/>
        </w:rPr>
        <w:t xml:space="preserve">2008, </w:t>
      </w:r>
      <w:r>
        <w:rPr>
          <w:rFonts w:ascii="Calibri" w:hAnsi="Calibri" w:cs="Plantin"/>
        </w:rPr>
        <w:t>p.</w:t>
      </w:r>
      <w:r w:rsidRPr="00E34436">
        <w:rPr>
          <w:rFonts w:ascii="Calibri" w:hAnsi="Calibri" w:cs="Plantin"/>
        </w:rPr>
        <w:t xml:space="preserve"> </w:t>
      </w:r>
      <w:r>
        <w:rPr>
          <w:rFonts w:ascii="Calibri" w:hAnsi="Calibri" w:cs="Plantin"/>
        </w:rPr>
        <w:t>24</w:t>
      </w:r>
      <w:r w:rsidRPr="00E34436">
        <w:rPr>
          <w:rFonts w:ascii="Calibri" w:hAnsi="Calibri" w:cs="Plantin"/>
        </w:rPr>
        <w:t>).</w:t>
      </w:r>
      <w:r>
        <w:rPr>
          <w:rFonts w:ascii="Calibri" w:hAnsi="Calibri" w:cs="Plantin"/>
        </w:rPr>
        <w:t xml:space="preserve"> While the environment has improved since 2008, issues of standards and capacity still exist. For professional use, accessible data means access, preservation, standards, interoperability, permanence and citable source. </w:t>
      </w:r>
      <w:r>
        <w:t>Borgman’s observation that “scholars in all fields are rewarded for publication but rarely for managing their information” (2010</w:t>
      </w:r>
      <w:r w:rsidR="005A524C">
        <w:t>,</w:t>
      </w:r>
      <w:r>
        <w:t xml:space="preserve"> p. 210), suggests the incentives support </w:t>
      </w:r>
      <w:r w:rsidR="006230A2">
        <w:t>using</w:t>
      </w:r>
      <w:r w:rsidR="00336B50">
        <w:t xml:space="preserve"> other people’s data, </w:t>
      </w:r>
      <w:r w:rsidR="006230A2">
        <w:t>rather than making data accessible. T</w:t>
      </w:r>
      <w:r>
        <w:t xml:space="preserve">his point </w:t>
      </w:r>
      <w:r w:rsidR="006230A2">
        <w:t xml:space="preserve">is </w:t>
      </w:r>
      <w:r>
        <w:t>addressed in part by granting agencies</w:t>
      </w:r>
      <w:r w:rsidR="009F7B0F">
        <w:t>’</w:t>
      </w:r>
      <w:r>
        <w:t xml:space="preserve"> </w:t>
      </w:r>
      <w:r w:rsidR="006230A2">
        <w:t xml:space="preserve">recent </w:t>
      </w:r>
      <w:r>
        <w:t xml:space="preserve">requirements for data management plans. Though </w:t>
      </w:r>
      <w:r w:rsidR="009F7B0F">
        <w:t>National Science Foundation (NSF)</w:t>
      </w:r>
      <w:r>
        <w:t xml:space="preserve"> doesn’t require public access to data, it does ask that awardees include information </w:t>
      </w:r>
      <w:r w:rsidR="006230A2">
        <w:t>about</w:t>
      </w:r>
      <w:r>
        <w:t xml:space="preserve"> what will happen to</w:t>
      </w:r>
      <w:r w:rsidR="00336B50">
        <w:t xml:space="preserve"> the</w:t>
      </w:r>
      <w:r>
        <w:t xml:space="preserve"> data generated by their projects.</w:t>
      </w:r>
      <w:r w:rsidR="00604B37">
        <w:t xml:space="preserve"> In Virginia, as noted by White and Breen (2012)</w:t>
      </w:r>
      <w:r w:rsidR="006230A2">
        <w:t xml:space="preserve">, at present </w:t>
      </w:r>
      <w:r w:rsidR="00604B37">
        <w:t xml:space="preserve">there is little capacity </w:t>
      </w:r>
      <w:r w:rsidR="006230A2">
        <w:t>for a</w:t>
      </w:r>
      <w:r w:rsidR="00604B37">
        <w:t xml:space="preserve"> systematic and comprehensive study of archaeological collections</w:t>
      </w:r>
      <w:r w:rsidR="006230A2">
        <w:t>, digital or otherwise</w:t>
      </w:r>
      <w:r w:rsidR="00604B37">
        <w:t>.</w:t>
      </w:r>
      <w:r w:rsidR="009F1F89">
        <w:t xml:space="preserve"> </w:t>
      </w:r>
    </w:p>
    <w:p w14:paraId="664D8122" w14:textId="77777777" w:rsidR="003A64C6" w:rsidRDefault="003A64C6" w:rsidP="007C30B6">
      <w:r w:rsidRPr="00123086">
        <w:rPr>
          <w:b/>
          <w:i/>
        </w:rPr>
        <w:t>Open data movement and archaeology</w:t>
      </w:r>
      <w:r w:rsidRPr="00123086">
        <w:rPr>
          <w:b/>
        </w:rPr>
        <w:t xml:space="preserve">: </w:t>
      </w:r>
      <w:r>
        <w:t>Archaeology, like other disciplines, exi</w:t>
      </w:r>
      <w:r w:rsidRPr="004F42F6">
        <w:t>st</w:t>
      </w:r>
      <w:r>
        <w:t>s</w:t>
      </w:r>
      <w:r w:rsidRPr="004F42F6">
        <w:t xml:space="preserve"> in a changing </w:t>
      </w:r>
      <w:r>
        <w:t xml:space="preserve">data </w:t>
      </w:r>
      <w:r w:rsidRPr="004F42F6">
        <w:t>environment</w:t>
      </w:r>
      <w:r>
        <w:t xml:space="preserve"> with a recent push for open data </w:t>
      </w:r>
      <w:r w:rsidRPr="004F42F6">
        <w:t>(Beck &amp; Stott, 2013</w:t>
      </w:r>
      <w:r>
        <w:t xml:space="preserve">; </w:t>
      </w:r>
      <w:r w:rsidRPr="004F42F6">
        <w:t>Beck, Bevan, &amp; Stott, 2012)</w:t>
      </w:r>
      <w:r>
        <w:t>.</w:t>
      </w:r>
      <w:r w:rsidRPr="004F42F6">
        <w:rPr>
          <w:lang w:val="it-IT"/>
        </w:rPr>
        <w:t xml:space="preserve"> </w:t>
      </w:r>
      <w:r w:rsidR="00800EF8">
        <w:rPr>
          <w:lang w:val="it-IT"/>
        </w:rPr>
        <w:t>Open i</w:t>
      </w:r>
      <w:r w:rsidR="007451BC">
        <w:rPr>
          <w:lang w:val="it-IT"/>
        </w:rPr>
        <w:t>n</w:t>
      </w:r>
      <w:r w:rsidR="00800EF8">
        <w:rPr>
          <w:lang w:val="it-IT"/>
        </w:rPr>
        <w:t xml:space="preserve"> this sense is defined i</w:t>
      </w:r>
      <w:r w:rsidR="00997512">
        <w:rPr>
          <w:lang w:val="it-IT"/>
        </w:rPr>
        <w:t>n a simila</w:t>
      </w:r>
      <w:r w:rsidR="00800EF8">
        <w:rPr>
          <w:lang w:val="it-IT"/>
        </w:rPr>
        <w:t xml:space="preserve">r way to open knowledge: </w:t>
      </w:r>
      <w:r w:rsidRPr="004F42F6">
        <w:rPr>
          <w:rFonts w:eastAsia="Times New Roman" w:cs="Times New Roman"/>
        </w:rPr>
        <w:t>“</w:t>
      </w:r>
      <w:r w:rsidR="00800EF8" w:rsidRPr="00800EF8">
        <w:rPr>
          <w:rStyle w:val="Emphasis"/>
          <w:i w:val="0"/>
        </w:rPr>
        <w:t>Knowledge is open if anyone is free to access, use, modify, and share it — subject, at most, to measures that preserve provenance and openness</w:t>
      </w:r>
      <w:r w:rsidRPr="004F42F6">
        <w:rPr>
          <w:rFonts w:eastAsia="Times New Roman" w:cs="Times New Roman"/>
        </w:rPr>
        <w:t xml:space="preserve">” </w:t>
      </w:r>
      <w:r>
        <w:rPr>
          <w:rFonts w:eastAsia="Times New Roman" w:cs="Times New Roman"/>
        </w:rPr>
        <w:t>(</w:t>
      </w:r>
      <w:r w:rsidRPr="004F42F6">
        <w:rPr>
          <w:rFonts w:eastAsia="Times New Roman" w:cs="Times New Roman"/>
        </w:rPr>
        <w:t>Open</w:t>
      </w:r>
      <w:r>
        <w:rPr>
          <w:rFonts w:eastAsia="Times New Roman" w:cs="Times New Roman"/>
        </w:rPr>
        <w:t xml:space="preserve"> </w:t>
      </w:r>
      <w:r w:rsidRPr="004F42F6">
        <w:rPr>
          <w:rFonts w:eastAsia="Times New Roman" w:cs="Times New Roman"/>
        </w:rPr>
        <w:t>Definition</w:t>
      </w:r>
      <w:r>
        <w:rPr>
          <w:rFonts w:eastAsia="Times New Roman" w:cs="Times New Roman"/>
        </w:rPr>
        <w:t xml:space="preserve">, n.d.). </w:t>
      </w:r>
      <w:r>
        <w:t>Th</w:t>
      </w:r>
      <w:r w:rsidR="00CA7810">
        <w:t>e</w:t>
      </w:r>
      <w:r w:rsidRPr="004F42F6">
        <w:t xml:space="preserve"> shift to</w:t>
      </w:r>
      <w:r>
        <w:t xml:space="preserve"> opening access to data sets is part of the </w:t>
      </w:r>
      <w:r w:rsidRPr="004F42F6">
        <w:t xml:space="preserve">Open </w:t>
      </w:r>
      <w:r>
        <w:t xml:space="preserve">Source and Open </w:t>
      </w:r>
      <w:r w:rsidRPr="004F42F6">
        <w:t xml:space="preserve">Government </w:t>
      </w:r>
      <w:r>
        <w:t>movement</w:t>
      </w:r>
      <w:r w:rsidR="009F7B0F">
        <w:t>s</w:t>
      </w:r>
      <w:r>
        <w:t xml:space="preserve"> </w:t>
      </w:r>
      <w:r w:rsidRPr="004F42F6">
        <w:t>(White House, 2013)</w:t>
      </w:r>
      <w:r>
        <w:t>,</w:t>
      </w:r>
      <w:r w:rsidRPr="004F42F6">
        <w:t xml:space="preserve"> </w:t>
      </w:r>
      <w:r>
        <w:t xml:space="preserve">and </w:t>
      </w:r>
      <w:r w:rsidRPr="004F42F6">
        <w:t xml:space="preserve">has been accompanied by granting agencies such as NSF asking </w:t>
      </w:r>
      <w:r>
        <w:t xml:space="preserve">grantees </w:t>
      </w:r>
      <w:r w:rsidR="002622CF">
        <w:t xml:space="preserve">to identify </w:t>
      </w:r>
      <w:r>
        <w:t xml:space="preserve">where their data will eventually reside and how it will </w:t>
      </w:r>
      <w:r>
        <w:lastRenderedPageBreak/>
        <w:t xml:space="preserve">be </w:t>
      </w:r>
      <w:r w:rsidR="002622CF">
        <w:t xml:space="preserve">made </w:t>
      </w:r>
      <w:r>
        <w:t>accessible</w:t>
      </w:r>
      <w:r w:rsidR="009F7B0F">
        <w:t>, as mentioned in the previous paragraph</w:t>
      </w:r>
      <w:r>
        <w:t xml:space="preserve"> (National Science Foundation, 2013).</w:t>
      </w:r>
      <w:r w:rsidR="007C30B6">
        <w:t xml:space="preserve"> </w:t>
      </w:r>
      <w:r w:rsidR="006863F7">
        <w:t xml:space="preserve">Accordingly this study </w:t>
      </w:r>
      <w:r w:rsidR="009F7B0F">
        <w:t>looks</w:t>
      </w:r>
      <w:r w:rsidR="006863F7" w:rsidRPr="006863F7">
        <w:t xml:space="preserve"> at the type of data on the website: text, structured data, non-proprietary structured data, </w:t>
      </w:r>
      <w:r w:rsidR="009F7B0F">
        <w:t xml:space="preserve">and </w:t>
      </w:r>
      <w:r w:rsidR="006863F7" w:rsidRPr="006863F7">
        <w:t xml:space="preserve">linked open data. </w:t>
      </w:r>
      <w:r w:rsidR="009F7B0F">
        <w:t>Other consideration</w:t>
      </w:r>
      <w:r w:rsidR="007451BC">
        <w:t>s</w:t>
      </w:r>
      <w:r w:rsidR="009F7B0F">
        <w:t xml:space="preserve"> included</w:t>
      </w:r>
      <w:r w:rsidR="006863F7" w:rsidRPr="006863F7">
        <w:t xml:space="preserve"> whether access </w:t>
      </w:r>
      <w:r w:rsidR="009F7B0F">
        <w:t xml:space="preserve">is </w:t>
      </w:r>
      <w:r w:rsidR="006863F7" w:rsidRPr="006863F7">
        <w:t xml:space="preserve">free, and whether there </w:t>
      </w:r>
      <w:r w:rsidR="009F7B0F">
        <w:t>is</w:t>
      </w:r>
      <w:r w:rsidR="006863F7" w:rsidRPr="006863F7">
        <w:t xml:space="preserve"> a need for browser plug-ins or proprietary software to access the data. Finally, d</w:t>
      </w:r>
      <w:r w:rsidR="009F7B0F">
        <w:t>oes</w:t>
      </w:r>
      <w:r w:rsidR="006863F7" w:rsidRPr="006863F7">
        <w:t xml:space="preserve"> the website provide metadata through a data dictionary, thesaurus or other ontological tool?</w:t>
      </w:r>
    </w:p>
    <w:p w14:paraId="465FF1CF" w14:textId="77777777" w:rsidR="00123086" w:rsidRDefault="00123086" w:rsidP="00123086">
      <w:r w:rsidRPr="00DD0605">
        <w:rPr>
          <w:b/>
          <w:i/>
        </w:rPr>
        <w:t>Public outreach:</w:t>
      </w:r>
      <w:r>
        <w:rPr>
          <w:rStyle w:val="Heading2Char"/>
        </w:rPr>
        <w:t xml:space="preserve"> </w:t>
      </w:r>
      <w:r w:rsidR="003F0B70">
        <w:rPr>
          <w:color w:val="000000"/>
        </w:rPr>
        <w:t>Archaeological ethics strongly support communicating research to a broader public. T</w:t>
      </w:r>
      <w:r>
        <w:rPr>
          <w:color w:val="000000"/>
        </w:rPr>
        <w:t>he principles of archaeological ethics of the Society for American Archaeology ask that archaeologists “</w:t>
      </w:r>
      <w:r>
        <w:t xml:space="preserve">communicate archaeological interpretations of the past” (SAA, n.d. para. Public Education and Outreach). They define the audiences for these communications as “students and teachers; Native Americans and other ethnic, religious, and cultural groups who find in the archaeological record important to aspects of their cultural heritage; lawmakers and government officials; reporters, journalists, and others involved in the media; and the general public” (para. Public Education and Outreach). </w:t>
      </w:r>
    </w:p>
    <w:p w14:paraId="69CC60B9" w14:textId="77777777" w:rsidR="00123086" w:rsidRDefault="00123086" w:rsidP="00EB37B1">
      <w:pPr>
        <w:rPr>
          <w:color w:val="000000"/>
        </w:rPr>
      </w:pPr>
      <w:r>
        <w:rPr>
          <w:color w:val="000000"/>
        </w:rPr>
        <w:t>Archaeologists have a long history of public engagement through museum exhibits, public talks, site tours and open houses, field schools, and engagement with the media. However, archaeologists are not the only voice</w:t>
      </w:r>
      <w:r w:rsidR="006C5C50">
        <w:rPr>
          <w:color w:val="000000"/>
        </w:rPr>
        <w:t xml:space="preserve"> in dealing with the past</w:t>
      </w:r>
      <w:r>
        <w:rPr>
          <w:color w:val="000000"/>
        </w:rPr>
        <w:t xml:space="preserve">. There is a popular culture perception of archaeology that has recently been </w:t>
      </w:r>
      <w:r w:rsidR="008230D4">
        <w:rPr>
          <w:color w:val="000000"/>
        </w:rPr>
        <w:t>affected</w:t>
      </w:r>
      <w:r>
        <w:rPr>
          <w:color w:val="000000"/>
        </w:rPr>
        <w:t xml:space="preserve"> by film and cable television programming to include practices that may involve digging, whips, metal detectors and artifacts</w:t>
      </w:r>
      <w:r w:rsidR="006C5C50">
        <w:rPr>
          <w:color w:val="000000"/>
        </w:rPr>
        <w:t>,</w:t>
      </w:r>
      <w:r>
        <w:rPr>
          <w:color w:val="000000"/>
        </w:rPr>
        <w:t xml:space="preserve"> but that are not archaeology. Archaeology outreach becomes, in the face of these subversions of archaeological practice, not just education, but advocacy. Archaeologists, ideally, need to explain not only the results of their excavation but the methods and questions of the discipline. To encourage preser</w:t>
      </w:r>
      <w:r w:rsidR="009F7B0F">
        <w:rPr>
          <w:color w:val="000000"/>
        </w:rPr>
        <w:t>vation and</w:t>
      </w:r>
      <w:r>
        <w:rPr>
          <w:color w:val="000000"/>
        </w:rPr>
        <w:t xml:space="preserve"> to promote good stewardship of archaeological resources, </w:t>
      </w:r>
      <w:r w:rsidR="009F7B0F">
        <w:rPr>
          <w:color w:val="000000"/>
        </w:rPr>
        <w:t xml:space="preserve">archaeologists </w:t>
      </w:r>
      <w:r>
        <w:rPr>
          <w:color w:val="000000"/>
        </w:rPr>
        <w:t>need to show what was learned</w:t>
      </w:r>
      <w:r w:rsidR="0000210B">
        <w:rPr>
          <w:color w:val="000000"/>
        </w:rPr>
        <w:t xml:space="preserve">, </w:t>
      </w:r>
      <w:r w:rsidR="009F7B0F">
        <w:rPr>
          <w:color w:val="000000"/>
        </w:rPr>
        <w:t>and</w:t>
      </w:r>
      <w:r w:rsidR="0000210B">
        <w:rPr>
          <w:color w:val="000000"/>
        </w:rPr>
        <w:t xml:space="preserve"> </w:t>
      </w:r>
      <w:r>
        <w:rPr>
          <w:color w:val="000000"/>
        </w:rPr>
        <w:t xml:space="preserve">also why archaeology, as practiced by professionals, is necessary. As </w:t>
      </w:r>
      <w:r w:rsidRPr="00580F46">
        <w:rPr>
          <w:color w:val="000000"/>
          <w:shd w:val="clear" w:color="auto" w:fill="FFFFFF"/>
        </w:rPr>
        <w:t>Richards and Robinson</w:t>
      </w:r>
      <w:r w:rsidRPr="00580F46">
        <w:rPr>
          <w:rStyle w:val="apple-converted-space"/>
          <w:color w:val="000000"/>
          <w:shd w:val="clear" w:color="auto" w:fill="FFFFFF"/>
        </w:rPr>
        <w:t> </w:t>
      </w:r>
      <w:r>
        <w:rPr>
          <w:rStyle w:val="apple-converted-space"/>
          <w:color w:val="000000"/>
          <w:shd w:val="clear" w:color="auto" w:fill="FFFFFF"/>
        </w:rPr>
        <w:t xml:space="preserve">(2000, section </w:t>
      </w:r>
      <w:r w:rsidRPr="00BC0724">
        <w:rPr>
          <w:rStyle w:val="apple-converted-space"/>
          <w:color w:val="000000"/>
          <w:shd w:val="clear" w:color="auto" w:fill="FFFFFF"/>
        </w:rPr>
        <w:t>1.3 Resource discovery and re-use</w:t>
      </w:r>
      <w:r>
        <w:rPr>
          <w:rStyle w:val="apple-converted-space"/>
          <w:color w:val="000000"/>
          <w:shd w:val="clear" w:color="auto" w:fill="FFFFFF"/>
        </w:rPr>
        <w:t xml:space="preserve">) </w:t>
      </w:r>
      <w:r>
        <w:rPr>
          <w:color w:val="000000"/>
        </w:rPr>
        <w:t xml:space="preserve">state </w:t>
      </w:r>
      <w:r w:rsidRPr="00580F46">
        <w:rPr>
          <w:color w:val="000000"/>
        </w:rPr>
        <w:t>“</w:t>
      </w:r>
      <w:r w:rsidRPr="00580F46">
        <w:rPr>
          <w:rFonts w:cs="Arial"/>
          <w:color w:val="000000"/>
          <w:shd w:val="clear" w:color="auto" w:fill="FFFFFF"/>
        </w:rPr>
        <w:t xml:space="preserve">We no longer operate in a world where archaeological data are created by </w:t>
      </w:r>
      <w:r w:rsidRPr="00580F46">
        <w:rPr>
          <w:rFonts w:cs="Arial"/>
          <w:color w:val="000000"/>
          <w:shd w:val="clear" w:color="auto" w:fill="FFFFFF"/>
        </w:rPr>
        <w:lastRenderedPageBreak/>
        <w:t>archaeologists for archaeologists.</w:t>
      </w:r>
      <w:r>
        <w:rPr>
          <w:rStyle w:val="apple-converted-space"/>
          <w:rFonts w:cs="Arial"/>
          <w:color w:val="000000"/>
          <w:shd w:val="clear" w:color="auto" w:fill="FFFFFF"/>
        </w:rPr>
        <w:t>” A</w:t>
      </w:r>
      <w:r>
        <w:rPr>
          <w:rFonts w:ascii="Calibri" w:hAnsi="Calibri"/>
        </w:rPr>
        <w:t xml:space="preserve">rchaeologists are careful to stress the nature of their excavations as distinct from “pot hunters” of archaeological sites. The Canadian Archaeological Associations position paper (Canadian Archaeological </w:t>
      </w:r>
      <w:r w:rsidRPr="007E4210">
        <w:rPr>
          <w:rFonts w:ascii="Calibri" w:hAnsi="Calibri"/>
        </w:rPr>
        <w:t>Association</w:t>
      </w:r>
      <w:r>
        <w:rPr>
          <w:rFonts w:ascii="Calibri" w:hAnsi="Calibri"/>
        </w:rPr>
        <w:t>,</w:t>
      </w:r>
      <w:r w:rsidRPr="007E4210">
        <w:rPr>
          <w:rFonts w:ascii="Calibri" w:hAnsi="Calibri"/>
        </w:rPr>
        <w:t xml:space="preserve"> </w:t>
      </w:r>
      <w:r>
        <w:rPr>
          <w:rFonts w:ascii="Calibri" w:hAnsi="Calibri"/>
        </w:rPr>
        <w:t>2014) decries the use of broadcast media showing excavations for pleasure or profit, after explaining the detailed process of archaeology. Integral to excavation process, they note, is the publication, formal or informal, of the work undertaken. A statem</w:t>
      </w:r>
      <w:r w:rsidR="005A524C">
        <w:rPr>
          <w:rFonts w:ascii="Calibri" w:hAnsi="Calibri"/>
        </w:rPr>
        <w:t xml:space="preserve">ent in the British PUNS report observes </w:t>
      </w:r>
      <w:r w:rsidRPr="00F27475">
        <w:rPr>
          <w:rFonts w:ascii="Calibri" w:hAnsi="Calibri"/>
          <w:color w:val="000000"/>
          <w:shd w:val="clear" w:color="auto" w:fill="FFFFFF"/>
        </w:rPr>
        <w:t>"the primary purpose of publication to be the provision of information to facilitate research, and the dissemination of knowledge for public benefit" (Jones et al, 2003</w:t>
      </w:r>
      <w:r w:rsidR="005A524C">
        <w:rPr>
          <w:rFonts w:ascii="Calibri" w:hAnsi="Calibri"/>
          <w:color w:val="000000"/>
          <w:shd w:val="clear" w:color="auto" w:fill="FFFFFF"/>
        </w:rPr>
        <w:t>, s</w:t>
      </w:r>
      <w:r w:rsidRPr="00C72B17">
        <w:rPr>
          <w:shd w:val="clear" w:color="auto" w:fill="FFFFFF"/>
        </w:rPr>
        <w:t>ection</w:t>
      </w:r>
      <w:r w:rsidR="005A524C">
        <w:rPr>
          <w:shd w:val="clear" w:color="auto" w:fill="FFFFFF"/>
        </w:rPr>
        <w:t>:</w:t>
      </w:r>
      <w:r w:rsidRPr="00C72B17">
        <w:rPr>
          <w:shd w:val="clear" w:color="auto" w:fill="FFFFFF"/>
        </w:rPr>
        <w:t xml:space="preserve"> </w:t>
      </w:r>
      <w:r w:rsidRPr="00C72B17">
        <w:t>Overall conclusions: The functions of publication</w:t>
      </w:r>
      <w:r w:rsidRPr="00C72B17">
        <w:rPr>
          <w:shd w:val="clear" w:color="auto" w:fill="FFFFFF"/>
        </w:rPr>
        <w:t>)</w:t>
      </w:r>
      <w:r>
        <w:rPr>
          <w:shd w:val="clear" w:color="auto" w:fill="FFFFFF"/>
        </w:rPr>
        <w:t>.</w:t>
      </w:r>
      <w:r w:rsidR="00502FF9">
        <w:rPr>
          <w:shd w:val="clear" w:color="auto" w:fill="FFFFFF"/>
        </w:rPr>
        <w:t xml:space="preserve"> </w:t>
      </w:r>
      <w:r>
        <w:rPr>
          <w:color w:val="000000"/>
        </w:rPr>
        <w:t xml:space="preserve">It would be easy to </w:t>
      </w:r>
      <w:r w:rsidRPr="00143E0B">
        <w:rPr>
          <w:color w:val="000000"/>
        </w:rPr>
        <w:t>assume that syntheses support</w:t>
      </w:r>
      <w:r>
        <w:rPr>
          <w:color w:val="000000"/>
        </w:rPr>
        <w:t xml:space="preserve"> public outreach, and data support the professional community, but much more work is needed to understand the relationship between the public and archaeology data (some of which is referenced in the literature review).</w:t>
      </w:r>
      <w:r w:rsidR="005B4D83">
        <w:rPr>
          <w:color w:val="000000"/>
        </w:rPr>
        <w:t xml:space="preserve"> For the purpose of this study</w:t>
      </w:r>
      <w:r w:rsidR="00287BEA">
        <w:rPr>
          <w:color w:val="000000"/>
        </w:rPr>
        <w:t>,</w:t>
      </w:r>
      <w:r w:rsidR="005B4D83">
        <w:rPr>
          <w:color w:val="000000"/>
        </w:rPr>
        <w:t xml:space="preserve"> </w:t>
      </w:r>
      <w:r w:rsidR="007165B3">
        <w:rPr>
          <w:color w:val="000000"/>
        </w:rPr>
        <w:t>website</w:t>
      </w:r>
      <w:r w:rsidR="0043214D">
        <w:rPr>
          <w:color w:val="000000"/>
        </w:rPr>
        <w:t>s</w:t>
      </w:r>
      <w:r w:rsidR="007165B3">
        <w:rPr>
          <w:color w:val="000000"/>
        </w:rPr>
        <w:t xml:space="preserve"> will be evaluated on </w:t>
      </w:r>
      <w:r w:rsidR="00EB37B1" w:rsidRPr="00502FF9">
        <w:rPr>
          <w:shd w:val="clear" w:color="auto" w:fill="FFFFFF"/>
        </w:rPr>
        <w:t>the availability of archaeological site summaries</w:t>
      </w:r>
      <w:r w:rsidR="00EB37B1">
        <w:rPr>
          <w:shd w:val="clear" w:color="auto" w:fill="FFFFFF"/>
        </w:rPr>
        <w:t xml:space="preserve"> (</w:t>
      </w:r>
      <w:r w:rsidR="005B4D83">
        <w:rPr>
          <w:color w:val="000000"/>
        </w:rPr>
        <w:t>in addition to data)</w:t>
      </w:r>
      <w:r w:rsidR="00EB37B1">
        <w:rPr>
          <w:color w:val="000000"/>
        </w:rPr>
        <w:t>;</w:t>
      </w:r>
      <w:r w:rsidR="005B4D83">
        <w:rPr>
          <w:color w:val="000000"/>
        </w:rPr>
        <w:t xml:space="preserve"> </w:t>
      </w:r>
      <w:r w:rsidR="00EB37B1">
        <w:rPr>
          <w:shd w:val="clear" w:color="auto" w:fill="FFFFFF"/>
        </w:rPr>
        <w:t>t</w:t>
      </w:r>
      <w:r w:rsidR="00EB37B1" w:rsidRPr="00502FF9">
        <w:rPr>
          <w:shd w:val="clear" w:color="auto" w:fill="FFFFFF"/>
        </w:rPr>
        <w:t>he pre</w:t>
      </w:r>
      <w:r w:rsidR="00EB37B1">
        <w:rPr>
          <w:shd w:val="clear" w:color="auto" w:fill="FFFFFF"/>
        </w:rPr>
        <w:t xml:space="preserve">sence of contextual information; the </w:t>
      </w:r>
      <w:r w:rsidR="00EB37B1" w:rsidRPr="00502FF9">
        <w:rPr>
          <w:shd w:val="clear" w:color="auto" w:fill="FFFFFF"/>
        </w:rPr>
        <w:t>use of supporting media</w:t>
      </w:r>
      <w:r w:rsidR="00EB37B1">
        <w:rPr>
          <w:shd w:val="clear" w:color="auto" w:fill="FFFFFF"/>
        </w:rPr>
        <w:t xml:space="preserve">; and the </w:t>
      </w:r>
      <w:r w:rsidR="00EB37B1" w:rsidRPr="00502FF9">
        <w:rPr>
          <w:shd w:val="clear" w:color="auto" w:fill="FFFFFF"/>
        </w:rPr>
        <w:t>use of social media</w:t>
      </w:r>
      <w:r w:rsidR="00EB37B1">
        <w:rPr>
          <w:shd w:val="clear" w:color="auto" w:fill="FFFFFF"/>
        </w:rPr>
        <w:t xml:space="preserve">. Also examined </w:t>
      </w:r>
      <w:r w:rsidR="00287BEA">
        <w:rPr>
          <w:shd w:val="clear" w:color="auto" w:fill="FFFFFF"/>
        </w:rPr>
        <w:t xml:space="preserve">is </w:t>
      </w:r>
      <w:r w:rsidR="00EB37B1">
        <w:rPr>
          <w:shd w:val="clear" w:color="auto" w:fill="FFFFFF"/>
        </w:rPr>
        <w:t xml:space="preserve">whether the website </w:t>
      </w:r>
      <w:r w:rsidR="00287BEA" w:rsidRPr="00502FF9">
        <w:rPr>
          <w:shd w:val="clear" w:color="auto" w:fill="FFFFFF"/>
        </w:rPr>
        <w:t>provide</w:t>
      </w:r>
      <w:r w:rsidR="00287BEA">
        <w:rPr>
          <w:shd w:val="clear" w:color="auto" w:fill="FFFFFF"/>
        </w:rPr>
        <w:t>s</w:t>
      </w:r>
      <w:r w:rsidR="00287BEA" w:rsidRPr="00502FF9">
        <w:rPr>
          <w:shd w:val="clear" w:color="auto" w:fill="FFFFFF"/>
        </w:rPr>
        <w:t xml:space="preserve"> </w:t>
      </w:r>
      <w:r w:rsidR="00EB37B1" w:rsidRPr="00502FF9">
        <w:rPr>
          <w:shd w:val="clear" w:color="auto" w:fill="FFFFFF"/>
        </w:rPr>
        <w:t>information on community outreach, an</w:t>
      </w:r>
      <w:r w:rsidR="00EB37B1">
        <w:rPr>
          <w:shd w:val="clear" w:color="auto" w:fill="FFFFFF"/>
        </w:rPr>
        <w:t xml:space="preserve">d related programming, and </w:t>
      </w:r>
      <w:r w:rsidR="00287BEA">
        <w:rPr>
          <w:shd w:val="clear" w:color="auto" w:fill="FFFFFF"/>
        </w:rPr>
        <w:t xml:space="preserve">does </w:t>
      </w:r>
      <w:r w:rsidR="00EB37B1">
        <w:rPr>
          <w:shd w:val="clear" w:color="auto" w:fill="FFFFFF"/>
        </w:rPr>
        <w:t>it</w:t>
      </w:r>
      <w:r w:rsidR="00EB37B1" w:rsidRPr="00502FF9">
        <w:rPr>
          <w:shd w:val="clear" w:color="auto" w:fill="FFFFFF"/>
        </w:rPr>
        <w:t xml:space="preserve"> include educational content?</w:t>
      </w:r>
      <w:r w:rsidR="00EB37B1">
        <w:rPr>
          <w:shd w:val="clear" w:color="auto" w:fill="FFFFFF"/>
        </w:rPr>
        <w:t xml:space="preserve"> </w:t>
      </w:r>
      <w:r>
        <w:rPr>
          <w:color w:val="000000"/>
        </w:rPr>
        <w:t xml:space="preserve">It is beyond the scope of this study to evaluate the effectiveness of this public communication, though this is an interesting area for further </w:t>
      </w:r>
      <w:r w:rsidR="006C5C50">
        <w:rPr>
          <w:color w:val="000000"/>
        </w:rPr>
        <w:t>investigation</w:t>
      </w:r>
      <w:r>
        <w:rPr>
          <w:color w:val="000000"/>
        </w:rPr>
        <w:t>.</w:t>
      </w:r>
    </w:p>
    <w:p w14:paraId="60A780D5" w14:textId="77777777" w:rsidR="00D012FE" w:rsidRPr="00D012FE" w:rsidRDefault="008C5237" w:rsidP="00D012FE">
      <w:pPr>
        <w:pStyle w:val="Heading2"/>
        <w:rPr>
          <w:rStyle w:val="Heading2Char"/>
          <w:b/>
          <w:i/>
        </w:rPr>
      </w:pPr>
      <w:bookmarkStart w:id="12" w:name="_Toc419135395"/>
      <w:r w:rsidRPr="00D012FE">
        <w:rPr>
          <w:rStyle w:val="Heading2Char"/>
          <w:b/>
          <w:i/>
        </w:rPr>
        <w:t>Significance</w:t>
      </w:r>
      <w:bookmarkEnd w:id="12"/>
    </w:p>
    <w:p w14:paraId="15064D3D" w14:textId="77777777" w:rsidR="008C5237" w:rsidRDefault="00FD2972" w:rsidP="008C5237">
      <w:r>
        <w:t xml:space="preserve">Websites with </w:t>
      </w:r>
      <w:r w:rsidR="00114E82">
        <w:t>characteristics</w:t>
      </w:r>
      <w:r>
        <w:t xml:space="preserve"> supporting </w:t>
      </w:r>
      <w:r w:rsidR="003F0B70">
        <w:t>open data</w:t>
      </w:r>
      <w:r w:rsidR="005E094F">
        <w:t>, scholarly publishing</w:t>
      </w:r>
      <w:r>
        <w:t xml:space="preserve"> and public outreach provide many benefits. </w:t>
      </w:r>
      <w:r w:rsidR="008C5237">
        <w:t>The broader importance of access to digital data, and in particular digital collections, to archaeologists is reflected in a Society of Historical Archaeology survey (S</w:t>
      </w:r>
      <w:r w:rsidR="000F0F51">
        <w:t xml:space="preserve">ociety for </w:t>
      </w:r>
      <w:r w:rsidR="008C5237">
        <w:t>H</w:t>
      </w:r>
      <w:r w:rsidR="000F0F51">
        <w:t xml:space="preserve">istorical </w:t>
      </w:r>
      <w:r w:rsidR="008C5237">
        <w:t>A</w:t>
      </w:r>
      <w:r w:rsidR="000F0F51">
        <w:t>rchaeology,</w:t>
      </w:r>
      <w:r w:rsidR="008C5237">
        <w:t xml:space="preserve"> 201</w:t>
      </w:r>
      <w:r w:rsidR="00502FF9">
        <w:t>5</w:t>
      </w:r>
      <w:r w:rsidR="008C5237">
        <w:t>). Over 50% of respondents rated the importance of digital archaeology collections as very or somewhat important. Similarly a survey of repositories in 2010 asked “</w:t>
      </w:r>
      <w:r w:rsidR="008C5237" w:rsidRPr="00D03A3C">
        <w:t>How important is the collection/curation and access to digital data to your organization?</w:t>
      </w:r>
      <w:r w:rsidR="005E094F">
        <w:t>,</w:t>
      </w:r>
      <w:r w:rsidR="008C5237">
        <w:t xml:space="preserve">” with nearly 50% answering highly important (Watts, 2010, p. 7). Kintigh and Altschul </w:t>
      </w:r>
      <w:r w:rsidR="005E094F">
        <w:t xml:space="preserve">(2010) </w:t>
      </w:r>
      <w:r w:rsidR="008C5237">
        <w:t xml:space="preserve">note in their exploration of </w:t>
      </w:r>
      <w:r w:rsidR="008C5237">
        <w:lastRenderedPageBreak/>
        <w:t>the need for a trusted archival digital repository for archaeology, “</w:t>
      </w:r>
      <w:r w:rsidR="008C5237" w:rsidRPr="009000F6">
        <w:t>As consumers, archaeologists genuinely desire effective, on-line access to the results of others’ work</w:t>
      </w:r>
      <w:r w:rsidR="005E094F">
        <w:t>” (</w:t>
      </w:r>
      <w:r w:rsidR="008C5237">
        <w:t>p. 270). Integrating different datasets, managing diverse vocabularies, and supporting emerging data forms (</w:t>
      </w:r>
      <w:r w:rsidR="005E094F">
        <w:t xml:space="preserve">e.g. </w:t>
      </w:r>
      <w:r w:rsidR="008C5237">
        <w:t>GIS</w:t>
      </w:r>
      <w:r w:rsidR="005E094F">
        <w:t>,</w:t>
      </w:r>
      <w:r w:rsidR="008C5237">
        <w:t xml:space="preserve"> 3</w:t>
      </w:r>
      <w:r w:rsidR="004C2B0D">
        <w:t>-</w:t>
      </w:r>
      <w:r w:rsidR="008C5237">
        <w:t>D scans and models) remains a challenge for the profession.</w:t>
      </w:r>
    </w:p>
    <w:p w14:paraId="2DCDD92E" w14:textId="77777777" w:rsidR="00441B76" w:rsidRDefault="00AC4082" w:rsidP="00557805">
      <w:pPr>
        <w:keepNext/>
      </w:pPr>
      <w:r>
        <w:rPr>
          <w:noProof/>
        </w:rPr>
        <w:drawing>
          <wp:inline distT="0" distB="0" distL="0" distR="0" wp14:anchorId="5526D23D" wp14:editId="5CF08239">
            <wp:extent cx="5305425" cy="484408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ata-trainglebenefits-point.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322604" cy="4859769"/>
                    </a:xfrm>
                    <a:prstGeom prst="rect">
                      <a:avLst/>
                    </a:prstGeom>
                  </pic:spPr>
                </pic:pic>
              </a:graphicData>
            </a:graphic>
          </wp:inline>
        </w:drawing>
      </w:r>
    </w:p>
    <w:p w14:paraId="4D118025" w14:textId="77777777" w:rsidR="00441B76" w:rsidRDefault="00441B76" w:rsidP="00A23810">
      <w:pPr>
        <w:pStyle w:val="Caption"/>
        <w:ind w:firstLine="0"/>
        <w:jc w:val="center"/>
      </w:pPr>
      <w:r>
        <w:t xml:space="preserve">Figure </w:t>
      </w:r>
      <w:r w:rsidR="003F7CC1">
        <w:fldChar w:fldCharType="begin"/>
      </w:r>
      <w:r w:rsidR="00FD499D">
        <w:instrText xml:space="preserve"> SEQ Figure \* ARABIC </w:instrText>
      </w:r>
      <w:r w:rsidR="003F7CC1">
        <w:fldChar w:fldCharType="separate"/>
      </w:r>
      <w:r w:rsidR="00887438">
        <w:rPr>
          <w:noProof/>
        </w:rPr>
        <w:t>2</w:t>
      </w:r>
      <w:r w:rsidR="003F7CC1">
        <w:rPr>
          <w:noProof/>
        </w:rPr>
        <w:fldChar w:fldCharType="end"/>
      </w:r>
      <w:r>
        <w:t xml:space="preserve"> - Benefits of open data</w:t>
      </w:r>
    </w:p>
    <w:p w14:paraId="30CDE94C" w14:textId="77777777" w:rsidR="00893D91" w:rsidRPr="00893D91" w:rsidRDefault="00893D91" w:rsidP="00893D91"/>
    <w:p w14:paraId="336DDB64" w14:textId="77777777" w:rsidR="008C5237" w:rsidRDefault="00441B76" w:rsidP="008C5237">
      <w:r>
        <w:t xml:space="preserve">Figure 2 is </w:t>
      </w:r>
      <w:r w:rsidR="00FA1979">
        <w:t xml:space="preserve">derived </w:t>
      </w:r>
      <w:r>
        <w:t xml:space="preserve">from the </w:t>
      </w:r>
      <w:r w:rsidRPr="00B457A2">
        <w:t>J</w:t>
      </w:r>
      <w:r w:rsidR="00265399">
        <w:t xml:space="preserve">ournal of Open Archaeology Data, illustrating the </w:t>
      </w:r>
      <w:r>
        <w:t>benefits of accessible archaeological data</w:t>
      </w:r>
      <w:r w:rsidR="00265399">
        <w:t xml:space="preserve"> </w:t>
      </w:r>
      <w:r w:rsidR="00A23810">
        <w:t>(</w:t>
      </w:r>
      <w:r w:rsidR="00265399">
        <w:t>and replacing</w:t>
      </w:r>
      <w:r>
        <w:t xml:space="preserve"> the </w:t>
      </w:r>
      <w:r w:rsidR="00265399">
        <w:t>cited image</w:t>
      </w:r>
      <w:r w:rsidR="00287BEA">
        <w:t>’</w:t>
      </w:r>
      <w:r w:rsidR="00265399">
        <w:t xml:space="preserve">s </w:t>
      </w:r>
      <w:r>
        <w:t>central figure of a single white male scientist with an</w:t>
      </w:r>
      <w:r w:rsidR="00B80E43">
        <w:t xml:space="preserve"> </w:t>
      </w:r>
      <w:r w:rsidR="00287BEA">
        <w:t>A</w:t>
      </w:r>
      <w:r>
        <w:t>rchaic point</w:t>
      </w:r>
      <w:r w:rsidR="00265399">
        <w:t xml:space="preserve"> (JOAD, n.d.</w:t>
      </w:r>
      <w:r>
        <w:t>)</w:t>
      </w:r>
      <w:r w:rsidR="00A23810">
        <w:t>)</w:t>
      </w:r>
      <w:r w:rsidR="00265399">
        <w:t xml:space="preserve"> </w:t>
      </w:r>
      <w:r w:rsidR="005227A3">
        <w:t xml:space="preserve">It shows </w:t>
      </w:r>
      <w:r w:rsidR="00265399">
        <w:t>some of the benefits of accessible archaeological data for both scholarship and public interest</w:t>
      </w:r>
      <w:r>
        <w:t>.</w:t>
      </w:r>
      <w:r w:rsidR="00265399">
        <w:t xml:space="preserve"> </w:t>
      </w:r>
      <w:r w:rsidR="008C5237">
        <w:t>For scholars</w:t>
      </w:r>
      <w:r w:rsidR="00EB37B1">
        <w:t>,</w:t>
      </w:r>
      <w:r w:rsidR="008C5237">
        <w:t xml:space="preserve"> making data available can mean more </w:t>
      </w:r>
      <w:r w:rsidR="008C5237">
        <w:lastRenderedPageBreak/>
        <w:t>citations, the ability for new research and collaborations, the reuse of data and the validation of results. For the public there may be economic benefits – archaeological sites feature in development and tourism decisions – as well as the possibility for citizen science, and the need for public trust</w:t>
      </w:r>
      <w:r w:rsidR="006C5C50">
        <w:t>,</w:t>
      </w:r>
      <w:r w:rsidR="008C5237">
        <w:t xml:space="preserve"> since archaeological data are often created with public funds. </w:t>
      </w:r>
      <w:r w:rsidR="006C5C50">
        <w:t>T</w:t>
      </w:r>
      <w:r w:rsidR="008C5237">
        <w:t xml:space="preserve">he presentation of these data </w:t>
      </w:r>
      <w:r w:rsidR="006C5C50">
        <w:t>supports the</w:t>
      </w:r>
      <w:r w:rsidR="008C5237">
        <w:t xml:space="preserve"> practice of archaeology, differentiating it from pot-hunting. There is some justification in saying that even if the public never looks at archaeological data they should know that </w:t>
      </w:r>
      <w:r w:rsidR="005227A3">
        <w:t xml:space="preserve">the data </w:t>
      </w:r>
      <w:r w:rsidR="00F914BF">
        <w:t xml:space="preserve">are available. </w:t>
      </w:r>
      <w:r w:rsidR="008C5237">
        <w:t xml:space="preserve">Preserving data, often excavated at considerable cost, and making </w:t>
      </w:r>
      <w:r w:rsidR="00287BEA">
        <w:t xml:space="preserve">them </w:t>
      </w:r>
      <w:r w:rsidR="007165B3">
        <w:t>accessible</w:t>
      </w:r>
      <w:r w:rsidR="008C5237">
        <w:t xml:space="preserve">, </w:t>
      </w:r>
      <w:r w:rsidR="006C5C50">
        <w:t xml:space="preserve">thus </w:t>
      </w:r>
      <w:r w:rsidR="008C5237">
        <w:t xml:space="preserve">serves many constituents. </w:t>
      </w:r>
    </w:p>
    <w:p w14:paraId="18865DE7" w14:textId="77777777" w:rsidR="008C5237" w:rsidRDefault="008C5237" w:rsidP="000F0F51">
      <w:r>
        <w:t>Th</w:t>
      </w:r>
      <w:r w:rsidR="005F5715">
        <w:t>e</w:t>
      </w:r>
      <w:r>
        <w:t xml:space="preserve"> </w:t>
      </w:r>
      <w:r w:rsidR="007165B3">
        <w:t xml:space="preserve">benefits of this study </w:t>
      </w:r>
      <w:r w:rsidR="005227A3">
        <w:t xml:space="preserve">are two-fold. First, methodologically, it </w:t>
      </w:r>
      <w:r w:rsidR="007165B3">
        <w:t>will be in i</w:t>
      </w:r>
      <w:r w:rsidR="00545128">
        <w:t>dentifying</w:t>
      </w:r>
      <w:r>
        <w:t xml:space="preserve"> a set of criteria through which websites may be evaluated in meeting the overlapping </w:t>
      </w:r>
      <w:r w:rsidR="007165B3">
        <w:t xml:space="preserve">demands </w:t>
      </w:r>
      <w:r>
        <w:t>of openness, scholarship and outreach.</w:t>
      </w:r>
      <w:r w:rsidR="007165B3">
        <w:t xml:space="preserve"> </w:t>
      </w:r>
      <w:r w:rsidR="005227A3">
        <w:t xml:space="preserve">The study design, including coding system, </w:t>
      </w:r>
      <w:r w:rsidR="000F0F51">
        <w:t>may serve as a model for looking at websites in other areas, for new projects</w:t>
      </w:r>
      <w:r w:rsidR="00EB37B1">
        <w:t>,</w:t>
      </w:r>
      <w:r w:rsidR="000F0F51">
        <w:t xml:space="preserve"> and for dealing with previously excavated</w:t>
      </w:r>
      <w:r w:rsidR="00F914BF">
        <w:t>,</w:t>
      </w:r>
      <w:r w:rsidR="000F0F51">
        <w:t xml:space="preserve"> but still inaccessible</w:t>
      </w:r>
      <w:r w:rsidR="00F914BF">
        <w:t>,</w:t>
      </w:r>
      <w:r w:rsidR="000F0F51">
        <w:t xml:space="preserve"> materials. </w:t>
      </w:r>
      <w:r w:rsidR="005227A3">
        <w:t>Second, t</w:t>
      </w:r>
      <w:r w:rsidR="00491C80">
        <w:t>his study</w:t>
      </w:r>
      <w:r w:rsidR="005227A3">
        <w:t xml:space="preserve">’s results </w:t>
      </w:r>
      <w:r w:rsidR="00491C80">
        <w:t xml:space="preserve">provide a reference for where </w:t>
      </w:r>
      <w:r w:rsidR="00143E0B">
        <w:t xml:space="preserve">Virginia </w:t>
      </w:r>
      <w:r w:rsidR="00491C80">
        <w:t>archaeological data</w:t>
      </w:r>
      <w:r>
        <w:t xml:space="preserve"> currently reside</w:t>
      </w:r>
      <w:r w:rsidR="00EB37B1">
        <w:t>s</w:t>
      </w:r>
      <w:r w:rsidR="00491C80">
        <w:t xml:space="preserve">, </w:t>
      </w:r>
      <w:r>
        <w:t>help</w:t>
      </w:r>
      <w:r w:rsidR="00EB37B1">
        <w:t>ing</w:t>
      </w:r>
      <w:r>
        <w:t xml:space="preserve"> archaeologists with data discovery since</w:t>
      </w:r>
      <w:r w:rsidR="005227A3">
        <w:t>,</w:t>
      </w:r>
      <w:r>
        <w:t xml:space="preserve"> at present</w:t>
      </w:r>
      <w:r w:rsidR="005227A3">
        <w:t>,</w:t>
      </w:r>
      <w:r>
        <w:t xml:space="preserve"> these resources are diffuse.</w:t>
      </w:r>
      <w:r w:rsidR="000F0F51">
        <w:t xml:space="preserve"> Finally the results of this study will show </w:t>
      </w:r>
      <w:r w:rsidR="005227A3">
        <w:t xml:space="preserve">the degree to which </w:t>
      </w:r>
      <w:r w:rsidR="000F0F51">
        <w:t>current digital dissemination is serving multiple publics.</w:t>
      </w:r>
    </w:p>
    <w:p w14:paraId="75CD20D6" w14:textId="77777777" w:rsidR="008C5237" w:rsidRDefault="008C5237" w:rsidP="00A23810">
      <w:pPr>
        <w:rPr>
          <w:rFonts w:eastAsia="Times New Roman" w:cs="Times New Roman"/>
          <w:b/>
          <w:bCs/>
          <w:kern w:val="36"/>
          <w:sz w:val="36"/>
          <w:szCs w:val="48"/>
        </w:rPr>
      </w:pPr>
      <w:r>
        <w:t xml:space="preserve">It is unlikely that any one </w:t>
      </w:r>
      <w:r w:rsidR="003A0454">
        <w:t>website</w:t>
      </w:r>
      <w:r>
        <w:t xml:space="preserve"> can meet the </w:t>
      </w:r>
      <w:r w:rsidR="003A0454">
        <w:t>needs of multiple publics</w:t>
      </w:r>
      <w:r>
        <w:t>. Preservation, a major concern</w:t>
      </w:r>
      <w:r w:rsidR="00F914BF">
        <w:t>,</w:t>
      </w:r>
      <w:r>
        <w:t xml:space="preserve"> considering the history </w:t>
      </w:r>
      <w:r w:rsidR="005227A3">
        <w:t xml:space="preserve">and persistence </w:t>
      </w:r>
      <w:r>
        <w:t xml:space="preserve">of collections, suggests an emphasis on developing data format standards and strong metadata </w:t>
      </w:r>
      <w:r w:rsidR="005227A3">
        <w:t xml:space="preserve">for housing archaeological collections </w:t>
      </w:r>
      <w:r>
        <w:t xml:space="preserve">within trusted </w:t>
      </w:r>
      <w:r w:rsidR="005227A3">
        <w:t xml:space="preserve">digital </w:t>
      </w:r>
      <w:r>
        <w:t xml:space="preserve">repositories. For those most concerned with scholarly access, there is a choice between lightweight publication models that expose collections, and the development of multi-site comparable datasets, based on an open data philosophy. For presenting data to archaeology’s many publics, </w:t>
      </w:r>
      <w:r w:rsidR="000F0F51">
        <w:t>there is th</w:t>
      </w:r>
      <w:r>
        <w:t>e need to provide data in a rich contextual environment</w:t>
      </w:r>
      <w:r w:rsidR="0095614E">
        <w:t xml:space="preserve">, </w:t>
      </w:r>
      <w:r w:rsidR="000F0F51">
        <w:t xml:space="preserve">while allowing for multi-vocality and engagement. This </w:t>
      </w:r>
      <w:r w:rsidR="000F0F51">
        <w:lastRenderedPageBreak/>
        <w:t>study is an attempt to see what data are accessible</w:t>
      </w:r>
      <w:r w:rsidR="0095614E">
        <w:t>,</w:t>
      </w:r>
      <w:r w:rsidR="000F0F51">
        <w:t xml:space="preserve"> and how dissemination is balancing </w:t>
      </w:r>
      <w:r w:rsidR="00F914BF">
        <w:t xml:space="preserve">these characteristics of </w:t>
      </w:r>
      <w:r>
        <w:t>openness, scholarship and outreach.</w:t>
      </w:r>
      <w:r>
        <w:br w:type="page"/>
      </w:r>
    </w:p>
    <w:p w14:paraId="59719B3D" w14:textId="77777777" w:rsidR="002E461F" w:rsidRDefault="002E461F" w:rsidP="002E461F">
      <w:pPr>
        <w:pStyle w:val="Heading1"/>
        <w:ind w:firstLine="0"/>
      </w:pPr>
      <w:bookmarkStart w:id="13" w:name="_Toc419135396"/>
      <w:r>
        <w:lastRenderedPageBreak/>
        <w:t>Chapter 2 – Literature Review</w:t>
      </w:r>
      <w:bookmarkEnd w:id="13"/>
    </w:p>
    <w:p w14:paraId="765D69C5" w14:textId="77777777" w:rsidR="00667BC2" w:rsidRPr="00242AAB" w:rsidRDefault="00667BC2" w:rsidP="00667BC2">
      <w:pPr>
        <w:pStyle w:val="Heading2"/>
      </w:pPr>
      <w:bookmarkStart w:id="14" w:name="_Toc419135397"/>
      <w:r w:rsidRPr="00242AAB">
        <w:t xml:space="preserve">Archaeological </w:t>
      </w:r>
      <w:r>
        <w:t>publishing</w:t>
      </w:r>
      <w:r w:rsidRPr="00242AAB">
        <w:t xml:space="preserve"> and the </w:t>
      </w:r>
      <w:r>
        <w:t>c</w:t>
      </w:r>
      <w:r w:rsidRPr="00242AAB">
        <w:t>uration crisis</w:t>
      </w:r>
      <w:bookmarkEnd w:id="14"/>
    </w:p>
    <w:p w14:paraId="78AF9902" w14:textId="77777777" w:rsidR="00667BC2" w:rsidRPr="00242AAB" w:rsidRDefault="00667BC2" w:rsidP="00667BC2">
      <w:r w:rsidRPr="00AB452B">
        <w:rPr>
          <w:rStyle w:val="apple-converted-space"/>
          <w:color w:val="000000"/>
          <w:shd w:val="clear" w:color="auto" w:fill="FFFFFF"/>
        </w:rPr>
        <w:t>Th</w:t>
      </w:r>
      <w:r w:rsidR="004E6933">
        <w:rPr>
          <w:rStyle w:val="apple-converted-space"/>
          <w:color w:val="000000"/>
          <w:shd w:val="clear" w:color="auto" w:fill="FFFFFF"/>
        </w:rPr>
        <w:t>e</w:t>
      </w:r>
      <w:r w:rsidRPr="00AB452B">
        <w:rPr>
          <w:rStyle w:val="apple-converted-space"/>
          <w:color w:val="000000"/>
          <w:shd w:val="clear" w:color="auto" w:fill="FFFFFF"/>
        </w:rPr>
        <w:t xml:space="preserve"> </w:t>
      </w:r>
      <w:r>
        <w:rPr>
          <w:rStyle w:val="apple-converted-space"/>
          <w:color w:val="000000"/>
          <w:shd w:val="clear" w:color="auto" w:fill="FFFFFF"/>
        </w:rPr>
        <w:t xml:space="preserve">nature of archaeology publications </w:t>
      </w:r>
      <w:r w:rsidR="0095614E">
        <w:t>has been</w:t>
      </w:r>
      <w:r>
        <w:t xml:space="preserve"> </w:t>
      </w:r>
      <w:r w:rsidR="00DB3A77">
        <w:t xml:space="preserve">affected </w:t>
      </w:r>
      <w:r w:rsidR="004E6933">
        <w:t>by the increased archaeological excavations</w:t>
      </w:r>
      <w:r>
        <w:t xml:space="preserve"> done since the 1960’s</w:t>
      </w:r>
      <w:r w:rsidR="00EA4B56">
        <w:t xml:space="preserve">, </w:t>
      </w:r>
      <w:r w:rsidR="0095614E">
        <w:t>contribut</w:t>
      </w:r>
      <w:r w:rsidR="00DB3A77">
        <w:t>ing also</w:t>
      </w:r>
      <w:r w:rsidR="0095614E">
        <w:t xml:space="preserve"> to a</w:t>
      </w:r>
      <w:r>
        <w:rPr>
          <w:color w:val="000000"/>
        </w:rPr>
        <w:t xml:space="preserve"> </w:t>
      </w:r>
      <w:r w:rsidRPr="00242AAB">
        <w:t>curation crisis</w:t>
      </w:r>
      <w:r>
        <w:t xml:space="preserve"> </w:t>
      </w:r>
      <w:r w:rsidR="0095614E">
        <w:t>for</w:t>
      </w:r>
      <w:r w:rsidR="00064CF7">
        <w:t xml:space="preserve"> physical </w:t>
      </w:r>
      <w:r w:rsidRPr="00242AAB">
        <w:t>collections</w:t>
      </w:r>
      <w:r>
        <w:t>. Archaeologists (</w:t>
      </w:r>
      <w:r>
        <w:rPr>
          <w:rFonts w:cs="Times New Roman"/>
        </w:rPr>
        <w:t xml:space="preserve">Marquardt, Montet-White </w:t>
      </w:r>
      <w:r w:rsidR="005A524C">
        <w:rPr>
          <w:rFonts w:cs="Times New Roman"/>
        </w:rPr>
        <w:t>&amp;</w:t>
      </w:r>
      <w:r>
        <w:rPr>
          <w:rFonts w:cs="Times New Roman"/>
        </w:rPr>
        <w:t xml:space="preserve"> Scholtz, </w:t>
      </w:r>
      <w:r w:rsidRPr="00242AAB">
        <w:rPr>
          <w:rFonts w:cs="Times New Roman"/>
        </w:rPr>
        <w:t>1982</w:t>
      </w:r>
      <w:r>
        <w:rPr>
          <w:rFonts w:cs="Times New Roman"/>
        </w:rPr>
        <w:t xml:space="preserve">; </w:t>
      </w:r>
      <w:r>
        <w:t xml:space="preserve">Sullivan </w:t>
      </w:r>
      <w:r w:rsidR="005A524C">
        <w:t>&amp;</w:t>
      </w:r>
      <w:r>
        <w:t xml:space="preserve"> Childs </w:t>
      </w:r>
      <w:r w:rsidRPr="00242AAB">
        <w:t>2003) note</w:t>
      </w:r>
      <w:r>
        <w:t>d</w:t>
      </w:r>
      <w:r w:rsidRPr="00242AAB">
        <w:t xml:space="preserve"> </w:t>
      </w:r>
      <w:r w:rsidR="008D2437">
        <w:t xml:space="preserve">over thirty years ago </w:t>
      </w:r>
      <w:r w:rsidRPr="00242AAB">
        <w:t xml:space="preserve">that </w:t>
      </w:r>
      <w:r>
        <w:t xml:space="preserve">some </w:t>
      </w:r>
      <w:r w:rsidRPr="00242AAB">
        <w:t xml:space="preserve">collections </w:t>
      </w:r>
      <w:r>
        <w:t>have remained unprocessed for decades,</w:t>
      </w:r>
      <w:r w:rsidRPr="00242AAB">
        <w:t xml:space="preserve"> </w:t>
      </w:r>
      <w:r>
        <w:t xml:space="preserve">with </w:t>
      </w:r>
      <w:r w:rsidRPr="00242AAB">
        <w:t xml:space="preserve">the impact of legislation in the 1960’s </w:t>
      </w:r>
      <w:r>
        <w:t>leading to an increase in material to process</w:t>
      </w:r>
      <w:r w:rsidRPr="00242AAB">
        <w:t>,</w:t>
      </w:r>
      <w:r>
        <w:t xml:space="preserve"> and</w:t>
      </w:r>
      <w:r w:rsidRPr="00242AAB">
        <w:t xml:space="preserve"> a </w:t>
      </w:r>
      <w:r w:rsidR="007A2E41">
        <w:t>change</w:t>
      </w:r>
      <w:r w:rsidR="00B80E43">
        <w:t xml:space="preserve"> </w:t>
      </w:r>
      <w:r w:rsidR="007A2E41">
        <w:t>in where</w:t>
      </w:r>
      <w:r w:rsidRPr="00242AAB">
        <w:t xml:space="preserve"> </w:t>
      </w:r>
      <w:r w:rsidR="004E6933">
        <w:t>they were</w:t>
      </w:r>
      <w:r w:rsidRPr="00242AAB">
        <w:t xml:space="preserve"> stored. This </w:t>
      </w:r>
      <w:r>
        <w:t>legislation shifted the focus of collections management from university departments and</w:t>
      </w:r>
      <w:r w:rsidRPr="00242AAB">
        <w:t xml:space="preserve"> museum</w:t>
      </w:r>
      <w:r>
        <w:t>s</w:t>
      </w:r>
      <w:r w:rsidRPr="00242AAB">
        <w:t xml:space="preserve"> to state, federal and</w:t>
      </w:r>
      <w:r>
        <w:t xml:space="preserve"> private repositories</w:t>
      </w:r>
      <w:r w:rsidR="004E6933">
        <w:t>,</w:t>
      </w:r>
      <w:r>
        <w:t xml:space="preserve"> and was </w:t>
      </w:r>
      <w:r w:rsidRPr="00242AAB">
        <w:t>part of a trend that saw collections</w:t>
      </w:r>
      <w:r>
        <w:t xml:space="preserve"> b</w:t>
      </w:r>
      <w:r w:rsidRPr="00242AAB">
        <w:t xml:space="preserve">eing used </w:t>
      </w:r>
      <w:r>
        <w:t xml:space="preserve">less </w:t>
      </w:r>
      <w:r w:rsidRPr="00242AAB">
        <w:t>for research and teach</w:t>
      </w:r>
      <w:r>
        <w:t>ing</w:t>
      </w:r>
      <w:r w:rsidR="00585872">
        <w:t xml:space="preserve">. </w:t>
      </w:r>
      <w:r>
        <w:t xml:space="preserve">This </w:t>
      </w:r>
      <w:r w:rsidR="00DB3A77">
        <w:t xml:space="preserve">change </w:t>
      </w:r>
      <w:r>
        <w:t>in curation practices led to a decreasing emphasis on managing collections</w:t>
      </w:r>
      <w:r w:rsidR="00585872">
        <w:t xml:space="preserve"> </w:t>
      </w:r>
      <w:r w:rsidR="008D2437">
        <w:t xml:space="preserve">and many of these problems remain despite more recent attention </w:t>
      </w:r>
      <w:r w:rsidR="00585872" w:rsidRPr="00242AAB">
        <w:t>(</w:t>
      </w:r>
      <w:r w:rsidR="00585872">
        <w:t xml:space="preserve">Sullivan </w:t>
      </w:r>
      <w:r w:rsidR="005A524C">
        <w:t>&amp;</w:t>
      </w:r>
      <w:r w:rsidR="00585872">
        <w:t xml:space="preserve"> Childs 2003, p.</w:t>
      </w:r>
      <w:r w:rsidR="00585872" w:rsidRPr="00242AAB">
        <w:t xml:space="preserve"> 9</w:t>
      </w:r>
      <w:r w:rsidR="00340B39">
        <w:t>; Childs &amp; Kagan, 2008</w:t>
      </w:r>
      <w:r w:rsidR="00585872" w:rsidRPr="00242AAB">
        <w:t>)</w:t>
      </w:r>
      <w:r w:rsidR="00585872">
        <w:t>.</w:t>
      </w:r>
      <w:r w:rsidR="008D2437">
        <w:t xml:space="preserve"> Issues of potential digital dissemination of this material </w:t>
      </w:r>
      <w:r w:rsidR="007A2E41">
        <w:t xml:space="preserve">are </w:t>
      </w:r>
      <w:r w:rsidR="008D2437">
        <w:t>thus ro</w:t>
      </w:r>
      <w:r w:rsidR="00287BEA">
        <w:t>o</w:t>
      </w:r>
      <w:r w:rsidR="008D2437">
        <w:t xml:space="preserve">ted in problems of managing </w:t>
      </w:r>
      <w:r w:rsidR="00A23810">
        <w:t xml:space="preserve">physical </w:t>
      </w:r>
      <w:r w:rsidR="008D2437">
        <w:t>collections that have existed for a long time.</w:t>
      </w:r>
      <w:r>
        <w:t xml:space="preserve"> </w:t>
      </w:r>
    </w:p>
    <w:p w14:paraId="038DD80B" w14:textId="77777777" w:rsidR="00667BC2" w:rsidRDefault="00667BC2" w:rsidP="00667BC2">
      <w:r>
        <w:t xml:space="preserve">For archaeology done on federal land, the Archaeological Resources Protection Act, passed in 1979, stipulates that </w:t>
      </w:r>
      <w:r w:rsidR="002B5262">
        <w:t xml:space="preserve">archaeological </w:t>
      </w:r>
      <w:r>
        <w:t>sites and objects are the property of the United States, and that the objects and</w:t>
      </w:r>
      <w:r w:rsidRPr="00A23810">
        <w:t xml:space="preserve"> associated records</w:t>
      </w:r>
      <w:r>
        <w:t xml:space="preserve"> should </w:t>
      </w:r>
      <w:r w:rsidR="007A2E41">
        <w:t>be curated by</w:t>
      </w:r>
      <w:r>
        <w:t xml:space="preserve"> a suitable repository. The Secretary of the Interior issued regulations about the exchange and disposition of archaeological collections, but it took another eleven years before 36 CFR Part 79 (</w:t>
      </w:r>
      <w:r w:rsidRPr="00A40AF4">
        <w:t>Curation of Federally-Owned and Administered Archeological Collections</w:t>
      </w:r>
      <w:r>
        <w:t xml:space="preserve"> - </w:t>
      </w:r>
      <w:r w:rsidRPr="00A40AF4">
        <w:t>http://www.nps.gov/archeology/TOOLS/36CFR79.HTM</w:t>
      </w:r>
      <w:r>
        <w:t>), regulating the curation of federally owned and administered collections, was passed. These guidelines helped curators manage collections, but did not include language on d</w:t>
      </w:r>
      <w:r w:rsidR="00837229">
        <w:t xml:space="preserve">igital, or electronic material, though </w:t>
      </w:r>
      <w:r>
        <w:t>admittedly this</w:t>
      </w:r>
      <w:r w:rsidR="007A2E41">
        <w:t xml:space="preserve"> law was passed</w:t>
      </w:r>
      <w:r>
        <w:t xml:space="preserve"> early in the digital revolution </w:t>
      </w:r>
      <w:r w:rsidR="00CF5C90">
        <w:t xml:space="preserve">(National Park Service, n.d.). </w:t>
      </w:r>
      <w:r>
        <w:t xml:space="preserve">Addressing the use of collections, the legislation refers to scientific, educational and religious uses, with specific language regarding Indian tribes. The scientific and educational uses are constrained by language limiting access to the materials to </w:t>
      </w:r>
      <w:r>
        <w:lastRenderedPageBreak/>
        <w:t xml:space="preserve">qualified professionals, though this term is broadly defined. It </w:t>
      </w:r>
      <w:r w:rsidR="00383421">
        <w:t>seems</w:t>
      </w:r>
      <w:r>
        <w:t xml:space="preserve"> unclear whether digital dissemination would count under the broader exhibits and publications provision.</w:t>
      </w:r>
    </w:p>
    <w:p w14:paraId="73A5CA47" w14:textId="77777777" w:rsidR="00667BC2" w:rsidRDefault="00667BC2" w:rsidP="00667BC2">
      <w:r>
        <w:t xml:space="preserve">The majority of archaeology projects done outside of federal lands are federally mandated under Section 106 of The National Historic Preservation Act. These projects are carried out by cultural resource management </w:t>
      </w:r>
      <w:r w:rsidR="004E6933">
        <w:t>(CRM) c</w:t>
      </w:r>
      <w:r>
        <w:t xml:space="preserve">ompanies. Combined with federal projects, </w:t>
      </w:r>
      <w:r w:rsidR="00287BEA">
        <w:t xml:space="preserve">they </w:t>
      </w:r>
      <w:r>
        <w:t>accounts for 90% of the archaeology done in the United States</w:t>
      </w:r>
      <w:r w:rsidR="00287BEA">
        <w:t>. The</w:t>
      </w:r>
      <w:r w:rsidR="009E6E9E">
        <w:t xml:space="preserve"> reports </w:t>
      </w:r>
      <w:r w:rsidR="005D199B">
        <w:t xml:space="preserve">and </w:t>
      </w:r>
      <w:r>
        <w:t xml:space="preserve">resulting data </w:t>
      </w:r>
      <w:r w:rsidR="005D199B">
        <w:t xml:space="preserve">from these projects </w:t>
      </w:r>
      <w:r>
        <w:t>are</w:t>
      </w:r>
      <w:r w:rsidR="004E6933">
        <w:t xml:space="preserve"> rarely disseminated directly by the CRM companies, but </w:t>
      </w:r>
      <w:r>
        <w:t xml:space="preserve">managed through State Historic Preservation Offices, who act as the repositories for information on the projects (Advisory Council on Historic Preservation, 2009, p. 2). While most states maintain a database of archaeological sites, data structures, data types, and uses of </w:t>
      </w:r>
      <w:r w:rsidR="00C74798">
        <w:t xml:space="preserve">numeric </w:t>
      </w:r>
      <w:r>
        <w:t>cod</w:t>
      </w:r>
      <w:r w:rsidR="00C74798">
        <w:t>ing</w:t>
      </w:r>
      <w:r>
        <w:t xml:space="preserve"> var</w:t>
      </w:r>
      <w:r w:rsidR="00287BEA">
        <w:t>y</w:t>
      </w:r>
      <w:r>
        <w:t xml:space="preserve">. These </w:t>
      </w:r>
      <w:r w:rsidR="00C74798">
        <w:t xml:space="preserve">differing </w:t>
      </w:r>
      <w:r>
        <w:t>systems have grown over the last fifty years, often from card catalogs, and present very heterogeneous information (Anderson, Yerka &amp; Kansa, 2013, p. 5). The Digital Index of North American Archaeology (DINAA) is an</w:t>
      </w:r>
      <w:r w:rsidR="008D2437">
        <w:t xml:space="preserve"> emerging </w:t>
      </w:r>
      <w:r>
        <w:t>attempt to address these i</w:t>
      </w:r>
      <w:r w:rsidR="00064CF7">
        <w:t xml:space="preserve">ssues by </w:t>
      </w:r>
      <w:r w:rsidR="002622CF">
        <w:t>developing</w:t>
      </w:r>
      <w:r>
        <w:t xml:space="preserve"> a national index of </w:t>
      </w:r>
      <w:r w:rsidR="002B5262">
        <w:t xml:space="preserve">archaeological </w:t>
      </w:r>
      <w:r>
        <w:t xml:space="preserve">sites supported by data cleaning, an ontology tool to map terms, and added metadata. </w:t>
      </w:r>
      <w:r w:rsidR="002622CF">
        <w:t xml:space="preserve">The DINAA </w:t>
      </w:r>
      <w:r>
        <w:t>project is in progress (the archive is published through Open Context), with fifteen states currently participating, but offer</w:t>
      </w:r>
      <w:r w:rsidR="007A2E41">
        <w:t>s</w:t>
      </w:r>
      <w:r>
        <w:t xml:space="preserve"> a strong model for presenting </w:t>
      </w:r>
      <w:r w:rsidR="00EF2F17">
        <w:rPr>
          <w:rFonts w:cs="Times New Roman"/>
        </w:rPr>
        <w:t xml:space="preserve">archaeological </w:t>
      </w:r>
      <w:r>
        <w:t>site level data across site boundaries. However</w:t>
      </w:r>
      <w:r w:rsidR="00866B8D">
        <w:t>,</w:t>
      </w:r>
      <w:r>
        <w:t xml:space="preserve"> the various state repositories do not always manage other types of archaeological data</w:t>
      </w:r>
      <w:r w:rsidR="007A2E41">
        <w:t>.</w:t>
      </w:r>
      <w:r>
        <w:t xml:space="preserve"> </w:t>
      </w:r>
      <w:r w:rsidR="007A2E41">
        <w:t>C</w:t>
      </w:r>
      <w:r>
        <w:t>ollections are often just recorded at a summary level</w:t>
      </w:r>
      <w:r w:rsidR="00866B8D">
        <w:t xml:space="preserve">, </w:t>
      </w:r>
      <w:r w:rsidR="008D2437">
        <w:t xml:space="preserve">and </w:t>
      </w:r>
      <w:r w:rsidR="005D199B">
        <w:t>some</w:t>
      </w:r>
      <w:r w:rsidR="008D2437">
        <w:t xml:space="preserve"> research projects fall outside of </w:t>
      </w:r>
      <w:r w:rsidR="005D199B">
        <w:t xml:space="preserve">the </w:t>
      </w:r>
      <w:r w:rsidR="008D2437">
        <w:t>scope</w:t>
      </w:r>
      <w:r w:rsidR="005D199B">
        <w:t xml:space="preserve"> of the state repositories</w:t>
      </w:r>
      <w:r>
        <w:t xml:space="preserve">. </w:t>
      </w:r>
      <w:r w:rsidR="004E6933">
        <w:t xml:space="preserve">For Virginia, like other states, the </w:t>
      </w:r>
      <w:r w:rsidR="004E6933">
        <w:rPr>
          <w:color w:val="000000"/>
        </w:rPr>
        <w:t>state database</w:t>
      </w:r>
      <w:r w:rsidR="00585872">
        <w:rPr>
          <w:color w:val="000000"/>
        </w:rPr>
        <w:t xml:space="preserve"> </w:t>
      </w:r>
      <w:r w:rsidR="004E6933">
        <w:t xml:space="preserve">is a crucial component </w:t>
      </w:r>
      <w:r w:rsidR="00866B8D">
        <w:t xml:space="preserve">of </w:t>
      </w:r>
      <w:r w:rsidR="004E6933">
        <w:t>digital dissemination</w:t>
      </w:r>
      <w:r w:rsidR="00EA4B56">
        <w:t xml:space="preserve"> and access</w:t>
      </w:r>
      <w:r w:rsidR="004E6933">
        <w:t xml:space="preserve">, though the </w:t>
      </w:r>
      <w:r w:rsidR="004E6933">
        <w:rPr>
          <w:color w:val="000000"/>
        </w:rPr>
        <w:t xml:space="preserve">Virginia </w:t>
      </w:r>
      <w:r w:rsidR="00585872">
        <w:rPr>
          <w:color w:val="000000"/>
        </w:rPr>
        <w:t>website, V-CRIS,</w:t>
      </w:r>
      <w:r w:rsidR="004E6933">
        <w:rPr>
          <w:color w:val="000000"/>
        </w:rPr>
        <w:t xml:space="preserve"> </w:t>
      </w:r>
      <w:r w:rsidR="0095614E">
        <w:rPr>
          <w:color w:val="000000"/>
        </w:rPr>
        <w:t>is currently only accessible through a paid subscription</w:t>
      </w:r>
      <w:r w:rsidR="004E6933">
        <w:rPr>
          <w:color w:val="000000"/>
        </w:rPr>
        <w:t>.</w:t>
      </w:r>
    </w:p>
    <w:p w14:paraId="3A4DED0B" w14:textId="77777777" w:rsidR="00EA4B56" w:rsidRDefault="00667BC2" w:rsidP="0095614E">
      <w:pPr>
        <w:rPr>
          <w:rStyle w:val="apple-converted-space"/>
          <w:color w:val="000000"/>
          <w:shd w:val="clear" w:color="auto" w:fill="FFFFFF"/>
        </w:rPr>
      </w:pPr>
      <w:r>
        <w:t>Successful ways of publishing archaeological data need to consider preservation as well as access</w:t>
      </w:r>
      <w:r w:rsidR="00D50FEF">
        <w:t>; the data from archaeology collections can still be of use decades later</w:t>
      </w:r>
      <w:r>
        <w:t xml:space="preserve">. </w:t>
      </w:r>
      <w:r w:rsidR="005D199B">
        <w:rPr>
          <w:rStyle w:val="apple-converted-space"/>
          <w:color w:val="000000"/>
          <w:shd w:val="clear" w:color="auto" w:fill="FFFFFF"/>
        </w:rPr>
        <w:t>One scholar quoted by Harley et al. (2010) suggested in reference to archaeology “</w:t>
      </w:r>
      <w:r w:rsidR="005D199B" w:rsidRPr="004176E4">
        <w:rPr>
          <w:rStyle w:val="apple-converted-space"/>
          <w:color w:val="000000"/>
          <w:shd w:val="clear" w:color="auto" w:fill="FFFFFF"/>
        </w:rPr>
        <w:t>I’d say, 80 to 90 percent of the data that’s being generated now would be lost</w:t>
      </w:r>
      <w:r w:rsidR="005D199B">
        <w:rPr>
          <w:rStyle w:val="apple-converted-space"/>
          <w:color w:val="000000"/>
          <w:shd w:val="clear" w:color="auto" w:fill="FFFFFF"/>
        </w:rPr>
        <w:t xml:space="preserve">” (p. 87). </w:t>
      </w:r>
      <w:r w:rsidR="0095614E" w:rsidRPr="00AB452B">
        <w:t>Richards (2004) explore</w:t>
      </w:r>
      <w:r w:rsidR="0095614E">
        <w:t>d</w:t>
      </w:r>
      <w:r w:rsidR="0095614E" w:rsidRPr="00AB452B">
        <w:t xml:space="preserve"> this connection noting the </w:t>
      </w:r>
      <w:r w:rsidR="0095614E" w:rsidRPr="00AB452B">
        <w:lastRenderedPageBreak/>
        <w:t xml:space="preserve">tradition attributed to Pitt-Rivers that </w:t>
      </w:r>
      <w:r w:rsidR="0095614E" w:rsidRPr="00AB452B">
        <w:rPr>
          <w:rStyle w:val="apple-converted-space"/>
          <w:color w:val="000000"/>
          <w:shd w:val="clear" w:color="auto" w:fill="FFFFFF"/>
        </w:rPr>
        <w:t xml:space="preserve">the </w:t>
      </w:r>
      <w:r w:rsidR="0095614E">
        <w:rPr>
          <w:rStyle w:val="apple-converted-space"/>
          <w:color w:val="000000"/>
          <w:shd w:val="clear" w:color="auto" w:fill="FFFFFF"/>
        </w:rPr>
        <w:t>published report</w:t>
      </w:r>
      <w:r w:rsidR="0095614E" w:rsidRPr="00AB452B">
        <w:rPr>
          <w:rStyle w:val="apple-converted-space"/>
          <w:color w:val="000000"/>
          <w:shd w:val="clear" w:color="auto" w:fill="FFFFFF"/>
        </w:rPr>
        <w:t xml:space="preserve"> </w:t>
      </w:r>
      <w:r w:rsidR="0095614E">
        <w:rPr>
          <w:rStyle w:val="apple-converted-space"/>
          <w:color w:val="000000"/>
          <w:shd w:val="clear" w:color="auto" w:fill="FFFFFF"/>
        </w:rPr>
        <w:t xml:space="preserve">provided a </w:t>
      </w:r>
      <w:r w:rsidR="0095614E" w:rsidRPr="00AB452B">
        <w:rPr>
          <w:rStyle w:val="apple-converted-space"/>
          <w:color w:val="000000"/>
          <w:shd w:val="clear" w:color="auto" w:fill="FFFFFF"/>
        </w:rPr>
        <w:t xml:space="preserve">complete and factual record, </w:t>
      </w:r>
      <w:r w:rsidR="0095614E">
        <w:rPr>
          <w:rStyle w:val="apple-converted-space"/>
          <w:color w:val="000000"/>
          <w:shd w:val="clear" w:color="auto" w:fill="FFFFFF"/>
        </w:rPr>
        <w:t>becoming an</w:t>
      </w:r>
      <w:r w:rsidR="0095614E" w:rsidRPr="00AB452B">
        <w:rPr>
          <w:rStyle w:val="apple-converted-space"/>
          <w:color w:val="000000"/>
          <w:shd w:val="clear" w:color="auto" w:fill="FFFFFF"/>
        </w:rPr>
        <w:t xml:space="preserve"> indis</w:t>
      </w:r>
      <w:r w:rsidR="0095614E">
        <w:rPr>
          <w:rStyle w:val="apple-converted-space"/>
          <w:color w:val="000000"/>
          <w:shd w:val="clear" w:color="auto" w:fill="FFFFFF"/>
        </w:rPr>
        <w:t xml:space="preserve">pensable part of the excavation; forming </w:t>
      </w:r>
      <w:r w:rsidR="0095614E" w:rsidRPr="00AB452B">
        <w:rPr>
          <w:rStyle w:val="apple-converted-space"/>
          <w:color w:val="000000"/>
          <w:shd w:val="clear" w:color="auto" w:fill="FFFFFF"/>
        </w:rPr>
        <w:t>the idea that it provides “preservation by record</w:t>
      </w:r>
      <w:r w:rsidR="0095614E">
        <w:rPr>
          <w:rStyle w:val="apple-converted-space"/>
          <w:color w:val="000000"/>
          <w:shd w:val="clear" w:color="auto" w:fill="FFFFFF"/>
        </w:rPr>
        <w:t>”</w:t>
      </w:r>
      <w:r w:rsidR="0095614E" w:rsidRPr="00AB452B">
        <w:rPr>
          <w:rStyle w:val="apple-converted-space"/>
          <w:color w:val="000000"/>
          <w:shd w:val="clear" w:color="auto" w:fill="FFFFFF"/>
        </w:rPr>
        <w:t xml:space="preserve"> (section: Publication and Archiving). </w:t>
      </w:r>
      <w:r w:rsidR="0095614E">
        <w:rPr>
          <w:rStyle w:val="apple-converted-space"/>
          <w:color w:val="000000"/>
          <w:shd w:val="clear" w:color="auto" w:fill="FFFFFF"/>
        </w:rPr>
        <w:t>This concept has changed over time, with the acceptance of the value of analysis and synthesis; and the idea that any report is a reflection of its authors</w:t>
      </w:r>
      <w:r w:rsidR="00D50FEF">
        <w:rPr>
          <w:rStyle w:val="apple-converted-space"/>
          <w:color w:val="000000"/>
          <w:shd w:val="clear" w:color="auto" w:fill="FFFFFF"/>
        </w:rPr>
        <w:t>, but the point remains that publication, in its broadest sense, is seen as integral to the process of archaeology</w:t>
      </w:r>
      <w:r w:rsidR="00064CF7">
        <w:rPr>
          <w:rStyle w:val="apple-converted-space"/>
          <w:color w:val="000000"/>
          <w:shd w:val="clear" w:color="auto" w:fill="FFFFFF"/>
        </w:rPr>
        <w:t xml:space="preserve">. </w:t>
      </w:r>
      <w:r w:rsidR="00585872">
        <w:rPr>
          <w:rStyle w:val="apple-converted-space"/>
          <w:color w:val="000000"/>
          <w:shd w:val="clear" w:color="auto" w:fill="FFFFFF"/>
        </w:rPr>
        <w:t>In some ways t</w:t>
      </w:r>
      <w:r w:rsidR="0095614E">
        <w:rPr>
          <w:rStyle w:val="apple-converted-space"/>
          <w:color w:val="000000"/>
          <w:shd w:val="clear" w:color="auto" w:fill="FFFFFF"/>
        </w:rPr>
        <w:t xml:space="preserve">his </w:t>
      </w:r>
      <w:r w:rsidR="00866B8D">
        <w:rPr>
          <w:rStyle w:val="apple-converted-space"/>
          <w:color w:val="000000"/>
          <w:shd w:val="clear" w:color="auto" w:fill="FFFFFF"/>
        </w:rPr>
        <w:t xml:space="preserve">idea </w:t>
      </w:r>
      <w:r w:rsidR="0095614E">
        <w:rPr>
          <w:rStyle w:val="apple-converted-space"/>
          <w:color w:val="000000"/>
          <w:shd w:val="clear" w:color="auto" w:fill="FFFFFF"/>
        </w:rPr>
        <w:t>mirrors the Jenkinson-</w:t>
      </w:r>
      <w:r w:rsidR="0095614E" w:rsidRPr="00E87E13">
        <w:t xml:space="preserve"> </w:t>
      </w:r>
      <w:r w:rsidR="0095614E" w:rsidRPr="00E87E13">
        <w:rPr>
          <w:rStyle w:val="apple-converted-space"/>
          <w:color w:val="000000"/>
          <w:shd w:val="clear" w:color="auto" w:fill="FFFFFF"/>
        </w:rPr>
        <w:t xml:space="preserve">Schellenberg </w:t>
      </w:r>
      <w:r w:rsidR="0095614E">
        <w:rPr>
          <w:rStyle w:val="apple-converted-space"/>
          <w:color w:val="000000"/>
          <w:shd w:val="clear" w:color="auto" w:fill="FFFFFF"/>
        </w:rPr>
        <w:t>debate in archival theory (Tschan, 2002). Jenkinson, a proponent of natural order, keen to keep a complete record without judgment from the archivist, reflects the older archaeological position, while Schellenberg’s more activist approach accepts the role of the archivist (or in this case archaeologist) a</w:t>
      </w:r>
      <w:r w:rsidR="00866B8D">
        <w:rPr>
          <w:rStyle w:val="apple-converted-space"/>
          <w:color w:val="000000"/>
          <w:shd w:val="clear" w:color="auto" w:fill="FFFFFF"/>
        </w:rPr>
        <w:t>s</w:t>
      </w:r>
      <w:r w:rsidR="0095614E">
        <w:rPr>
          <w:rStyle w:val="apple-converted-space"/>
          <w:color w:val="000000"/>
          <w:shd w:val="clear" w:color="auto" w:fill="FFFFFF"/>
        </w:rPr>
        <w:t xml:space="preserve"> shaping the view of the past – a connection</w:t>
      </w:r>
      <w:r w:rsidR="00866B8D">
        <w:rPr>
          <w:rStyle w:val="apple-converted-space"/>
          <w:color w:val="000000"/>
          <w:shd w:val="clear" w:color="auto" w:fill="FFFFFF"/>
        </w:rPr>
        <w:t xml:space="preserve"> that </w:t>
      </w:r>
      <w:r w:rsidR="0095614E">
        <w:rPr>
          <w:rStyle w:val="apple-converted-space"/>
          <w:color w:val="000000"/>
          <w:shd w:val="clear" w:color="auto" w:fill="FFFFFF"/>
        </w:rPr>
        <w:t xml:space="preserve">was made by Mark Warner (2014) in </w:t>
      </w:r>
      <w:r w:rsidR="00970F9B">
        <w:rPr>
          <w:rStyle w:val="apple-converted-space"/>
          <w:color w:val="000000"/>
          <w:shd w:val="clear" w:color="auto" w:fill="FFFFFF"/>
        </w:rPr>
        <w:t xml:space="preserve">a </w:t>
      </w:r>
      <w:r w:rsidR="0095614E">
        <w:rPr>
          <w:rStyle w:val="apple-converted-space"/>
          <w:color w:val="000000"/>
          <w:shd w:val="clear" w:color="auto" w:fill="FFFFFF"/>
        </w:rPr>
        <w:t>paper examining deaccessioning of archaeological collections</w:t>
      </w:r>
      <w:r w:rsidR="00970F9B">
        <w:rPr>
          <w:rStyle w:val="apple-converted-space"/>
          <w:color w:val="000000"/>
          <w:shd w:val="clear" w:color="auto" w:fill="FFFFFF"/>
        </w:rPr>
        <w:t xml:space="preserve"> presented at the annual meeting of the Society for Historical Archaeology</w:t>
      </w:r>
      <w:r w:rsidR="0095614E">
        <w:rPr>
          <w:rStyle w:val="apple-converted-space"/>
          <w:color w:val="000000"/>
          <w:shd w:val="clear" w:color="auto" w:fill="FFFFFF"/>
        </w:rPr>
        <w:t>.</w:t>
      </w:r>
    </w:p>
    <w:p w14:paraId="5A8BA486" w14:textId="77777777" w:rsidR="00667BC2" w:rsidRDefault="00667BC2" w:rsidP="00EA4B56">
      <w:r w:rsidRPr="00771C08">
        <w:t>The American Library A</w:t>
      </w:r>
      <w:r>
        <w:t>ssociation</w:t>
      </w:r>
      <w:r w:rsidR="002622CF">
        <w:t xml:space="preserve"> (ALA)</w:t>
      </w:r>
      <w:r>
        <w:t xml:space="preserve"> prov</w:t>
      </w:r>
      <w:r w:rsidR="002622CF">
        <w:t>id</w:t>
      </w:r>
      <w:r>
        <w:t xml:space="preserve">es several definitions of digital preservation. </w:t>
      </w:r>
      <w:r w:rsidR="002622CF">
        <w:t xml:space="preserve">ALA </w:t>
      </w:r>
      <w:r>
        <w:t>note</w:t>
      </w:r>
      <w:r w:rsidR="002622CF">
        <w:t>s</w:t>
      </w:r>
      <w:r>
        <w:t xml:space="preserve"> that “</w:t>
      </w:r>
      <w:r w:rsidRPr="00771C08">
        <w:t>Digital preservation combines policies, strategies and actions that ensure access to digital content over time”</w:t>
      </w:r>
      <w:r>
        <w:t xml:space="preserve"> (</w:t>
      </w:r>
      <w:r w:rsidRPr="008522A4">
        <w:rPr>
          <w:rFonts w:eastAsia="Times New Roman" w:cs="Times New Roman"/>
        </w:rPr>
        <w:t xml:space="preserve">Association for </w:t>
      </w:r>
      <w:r>
        <w:rPr>
          <w:rFonts w:eastAsia="Times New Roman" w:cs="Times New Roman"/>
        </w:rPr>
        <w:t>L</w:t>
      </w:r>
      <w:r w:rsidRPr="008522A4">
        <w:rPr>
          <w:rFonts w:eastAsia="Times New Roman" w:cs="Times New Roman"/>
        </w:rPr>
        <w:t xml:space="preserve">ibrary </w:t>
      </w:r>
      <w:r>
        <w:rPr>
          <w:rFonts w:eastAsia="Times New Roman" w:cs="Times New Roman"/>
        </w:rPr>
        <w:t>C</w:t>
      </w:r>
      <w:r w:rsidRPr="008522A4">
        <w:rPr>
          <w:rFonts w:eastAsia="Times New Roman" w:cs="Times New Roman"/>
        </w:rPr>
        <w:t xml:space="preserve">ollections and </w:t>
      </w:r>
      <w:r>
        <w:rPr>
          <w:rFonts w:eastAsia="Times New Roman" w:cs="Times New Roman"/>
        </w:rPr>
        <w:t>T</w:t>
      </w:r>
      <w:r w:rsidRPr="008522A4">
        <w:rPr>
          <w:rFonts w:eastAsia="Times New Roman" w:cs="Times New Roman"/>
        </w:rPr>
        <w:t>echnical Services</w:t>
      </w:r>
      <w:r>
        <w:rPr>
          <w:rFonts w:eastAsia="Times New Roman" w:cs="Times New Roman"/>
        </w:rPr>
        <w:t>, 2009 para. Short Definition).</w:t>
      </w:r>
      <w:r>
        <w:t xml:space="preserve"> </w:t>
      </w:r>
      <w:r w:rsidRPr="002741CB">
        <w:t>Digital content is fragile</w:t>
      </w:r>
      <w:r w:rsidR="0095614E" w:rsidRPr="002741CB">
        <w:t xml:space="preserve">, </w:t>
      </w:r>
      <w:r w:rsidRPr="002741CB">
        <w:t>and needs management</w:t>
      </w:r>
      <w:r w:rsidR="0095614E" w:rsidRPr="002741CB">
        <w:t xml:space="preserve"> by </w:t>
      </w:r>
      <w:r w:rsidRPr="002741CB">
        <w:t>adding value to content through metadata</w:t>
      </w:r>
      <w:r w:rsidR="0095614E" w:rsidRPr="002741CB">
        <w:t>,</w:t>
      </w:r>
      <w:r w:rsidRPr="002741CB">
        <w:t xml:space="preserve"> and the “</w:t>
      </w:r>
      <w:r w:rsidRPr="002741CB">
        <w:rPr>
          <w:rFonts w:cs="Arial"/>
          <w:shd w:val="clear" w:color="auto" w:fill="FFFFFF"/>
        </w:rPr>
        <w:t>commitment to preserve digital content for future use; specify file formats to be preserved and the level of preservation to be provided; and ensure compliance with standards and best practices for responsible stewardship of digital information</w:t>
      </w:r>
      <w:r w:rsidRPr="002741CB">
        <w:t>” (</w:t>
      </w:r>
      <w:r w:rsidRPr="002741CB">
        <w:rPr>
          <w:rFonts w:eastAsia="Times New Roman" w:cs="Times New Roman"/>
        </w:rPr>
        <w:t>Association for Library Collections and Technical Services, 2009, section. Long Definition</w:t>
      </w:r>
      <w:r w:rsidRPr="002741CB">
        <w:t>)</w:t>
      </w:r>
      <w:r w:rsidR="000C7C79" w:rsidRPr="002741CB">
        <w:t>.</w:t>
      </w:r>
      <w:r w:rsidRPr="002741CB">
        <w:t xml:space="preserve"> Social science data, and particularly archaeological data, tend to have value over a long period</w:t>
      </w:r>
      <w:r w:rsidR="005D199B">
        <w:t>,</w:t>
      </w:r>
      <w:r w:rsidR="00D10F12">
        <w:t xml:space="preserve"> emphasizing the issues of preservation and access. </w:t>
      </w:r>
      <w:r w:rsidR="00527A72">
        <w:t>It has been suggested that a</w:t>
      </w:r>
      <w:r>
        <w:t>rchaeology as a profession has not been overburdened with standards</w:t>
      </w:r>
      <w:r w:rsidR="00527A72">
        <w:t xml:space="preserve"> (</w:t>
      </w:r>
      <w:r w:rsidR="00EF0FFF" w:rsidRPr="008C0652">
        <w:rPr>
          <w:rFonts w:cs="Calibri"/>
        </w:rPr>
        <w:t>Andrew W. Mellon Foundation</w:t>
      </w:r>
      <w:r w:rsidR="00EF0FFF">
        <w:t xml:space="preserve">, </w:t>
      </w:r>
      <w:r w:rsidR="00527A72">
        <w:t>2008)</w:t>
      </w:r>
      <w:r w:rsidR="00455459">
        <w:t xml:space="preserve">, and the history of physical archaeological collections clearly shows the need for a more active preservation policy than has been the case in the past. </w:t>
      </w:r>
      <w:r w:rsidR="002D1689">
        <w:t>Digital dissemination exacerbates these issues, bringing into sha</w:t>
      </w:r>
      <w:r w:rsidR="00A23810">
        <w:t>r</w:t>
      </w:r>
      <w:r w:rsidR="002D1689">
        <w:t xml:space="preserve">per relief the difficulties of comparing data from different </w:t>
      </w:r>
      <w:r w:rsidR="002D1689">
        <w:lastRenderedPageBreak/>
        <w:t>sites. One reaction to these problems can be seen in the</w:t>
      </w:r>
      <w:r w:rsidR="00064CF7">
        <w:t xml:space="preserve"> </w:t>
      </w:r>
      <w:r w:rsidRPr="00242AAB">
        <w:t>“Best Practice</w:t>
      </w:r>
      <w:r>
        <w:t>s</w:t>
      </w:r>
      <w:r w:rsidRPr="00242AAB">
        <w:t xml:space="preserve">” </w:t>
      </w:r>
      <w:r>
        <w:t xml:space="preserve">for digital data </w:t>
      </w:r>
      <w:r w:rsidR="00064CF7">
        <w:t xml:space="preserve">that </w:t>
      </w:r>
      <w:r w:rsidRPr="00242AAB">
        <w:t>have emerged from Archaeology Data Service and tDAR (</w:t>
      </w:r>
      <w:r w:rsidRPr="00242AAB">
        <w:rPr>
          <w:rFonts w:cs="Tahoma"/>
          <w:color w:val="000000"/>
        </w:rPr>
        <w:t xml:space="preserve">Archaeology Data Service &amp; Center for Digital Antiquity, </w:t>
      </w:r>
      <w:r w:rsidRPr="00242AAB">
        <w:rPr>
          <w:rFonts w:cs="Verdana"/>
          <w:bCs/>
        </w:rPr>
        <w:t>2013)</w:t>
      </w:r>
      <w:r w:rsidRPr="00242AAB">
        <w:t xml:space="preserve">. These </w:t>
      </w:r>
      <w:r w:rsidR="00EA4B56">
        <w:t xml:space="preserve">recommendations </w:t>
      </w:r>
      <w:r>
        <w:t xml:space="preserve">for suggested </w:t>
      </w:r>
      <w:r w:rsidRPr="00242AAB">
        <w:t>m</w:t>
      </w:r>
      <w:r>
        <w:t>eta</w:t>
      </w:r>
      <w:r w:rsidRPr="00242AAB">
        <w:t>data, supported file format standards</w:t>
      </w:r>
      <w:r>
        <w:t>,</w:t>
      </w:r>
      <w:r w:rsidRPr="00242AAB">
        <w:t xml:space="preserve"> and preservation practices </w:t>
      </w:r>
      <w:r>
        <w:t xml:space="preserve">may have </w:t>
      </w:r>
      <w:r w:rsidRPr="00242AAB">
        <w:t>a positi</w:t>
      </w:r>
      <w:r>
        <w:t xml:space="preserve">ve effect across the discipline and, if well disseminated, </w:t>
      </w:r>
      <w:r w:rsidR="00A23810">
        <w:t>could l</w:t>
      </w:r>
      <w:r>
        <w:t xml:space="preserve">ead to better preservation and access. </w:t>
      </w:r>
    </w:p>
    <w:p w14:paraId="3A33873D" w14:textId="77777777" w:rsidR="00CF5C90" w:rsidRDefault="00866B8D" w:rsidP="00CF5C90">
      <w:r>
        <w:t xml:space="preserve">From  1997 to 2008, </w:t>
      </w:r>
      <w:r w:rsidR="00667BC2">
        <w:t>Childs and Kagan</w:t>
      </w:r>
      <w:r w:rsidR="00970F9B">
        <w:t xml:space="preserve"> (2008)</w:t>
      </w:r>
      <w:r w:rsidR="00667BC2">
        <w:t xml:space="preserve"> undertook three studies of repositories having archaeological collections  looking at all fifty states. Their interest was in understanding curation fees as part of a broader concern with maintaining collections</w:t>
      </w:r>
      <w:r w:rsidR="00870A9F">
        <w:t>,</w:t>
      </w:r>
      <w:r w:rsidR="002D1689">
        <w:t xml:space="preserve"> but the survey touches on aspects of digital access</w:t>
      </w:r>
      <w:r w:rsidR="00667BC2">
        <w:t>.</w:t>
      </w:r>
      <w:r w:rsidR="00585872">
        <w:t xml:space="preserve"> While observing that space problem</w:t>
      </w:r>
      <w:r w:rsidR="00EA4B56">
        <w:t>s</w:t>
      </w:r>
      <w:r w:rsidR="00585872">
        <w:t xml:space="preserve"> are increasing (p. 12), </w:t>
      </w:r>
      <w:r w:rsidR="00340B39">
        <w:t>at the time of the survey these repositories were only just beginning to realize the new problems associated with digital data (p. 8)</w:t>
      </w:r>
      <w:r w:rsidR="004E6C4D">
        <w:t xml:space="preserve">, and </w:t>
      </w:r>
      <w:r w:rsidR="00064CF7">
        <w:t>recognizing</w:t>
      </w:r>
      <w:r w:rsidR="004E6C4D">
        <w:t xml:space="preserve"> the costs of archiving the data (p. 10)</w:t>
      </w:r>
      <w:r w:rsidR="00340B39">
        <w:t xml:space="preserve">. </w:t>
      </w:r>
      <w:r w:rsidR="004E6C4D">
        <w:t>A</w:t>
      </w:r>
      <w:r w:rsidR="00585872">
        <w:t xml:space="preserve">ccess to the collections </w:t>
      </w:r>
      <w:r w:rsidR="004E6C4D">
        <w:t>was not included as one of the top reasons for use of the fees</w:t>
      </w:r>
      <w:r w:rsidR="00064CF7">
        <w:t xml:space="preserve"> </w:t>
      </w:r>
      <w:r w:rsidR="00585872">
        <w:t xml:space="preserve">(p. </w:t>
      </w:r>
      <w:r w:rsidR="004E6C4D">
        <w:t>9</w:t>
      </w:r>
      <w:r w:rsidR="00585872">
        <w:t>)</w:t>
      </w:r>
      <w:r w:rsidR="004E6C4D">
        <w:t>; a discouraging note in terms of the potential for digital access</w:t>
      </w:r>
      <w:r w:rsidR="00585872">
        <w:t xml:space="preserve">. </w:t>
      </w:r>
      <w:r w:rsidR="00CF5C90">
        <w:t>Watts (Watts, 201</w:t>
      </w:r>
      <w:r w:rsidR="00356CFC">
        <w:t>1</w:t>
      </w:r>
      <w:r w:rsidR="00CF5C90">
        <w:t xml:space="preserve">) </w:t>
      </w:r>
      <w:r w:rsidR="004E6C4D">
        <w:t xml:space="preserve">addressed this question </w:t>
      </w:r>
      <w:r w:rsidR="00EA4B56">
        <w:t xml:space="preserve">through </w:t>
      </w:r>
      <w:r w:rsidR="00CF5C90">
        <w:t>an online survey and telephone interviews</w:t>
      </w:r>
      <w:r>
        <w:t xml:space="preserve"> with staff</w:t>
      </w:r>
      <w:r w:rsidR="00CF5C90">
        <w:t xml:space="preserve"> of archaeological repositories in the United States to understand how they plan to “</w:t>
      </w:r>
      <w:r w:rsidR="00CF5C90" w:rsidRPr="00416956">
        <w:t>preserve and provide access to digita</w:t>
      </w:r>
      <w:r w:rsidR="00CF5C90">
        <w:t>l archaeological information”</w:t>
      </w:r>
      <w:r w:rsidR="00C74798">
        <w:t xml:space="preserve"> (p. 2)</w:t>
      </w:r>
      <w:r w:rsidR="00CF5C90">
        <w:t>. While collection and curation of digital data w</w:t>
      </w:r>
      <w:r>
        <w:t xml:space="preserve">ere </w:t>
      </w:r>
      <w:r w:rsidR="00CF5C90">
        <w:t xml:space="preserve">as seen as very important (p. 7), </w:t>
      </w:r>
      <w:r w:rsidR="00EA4B56">
        <w:t>Watts found</w:t>
      </w:r>
      <w:r w:rsidR="00CF5C90">
        <w:t xml:space="preserve"> repository managers “</w:t>
      </w:r>
      <w:r w:rsidR="00CF5C90" w:rsidRPr="002A71D0">
        <w:t>uncertain of what standards and procedures to apply</w:t>
      </w:r>
      <w:r w:rsidR="00CF5C90">
        <w:t>” (p. 5) regarding guidelines for submission. Furthermore</w:t>
      </w:r>
      <w:r>
        <w:t>,</w:t>
      </w:r>
      <w:r w:rsidR="00CF5C90">
        <w:t xml:space="preserve"> only 20% of respondents provi</w:t>
      </w:r>
      <w:r w:rsidR="006B4F86">
        <w:t>ded remote access through a web</w:t>
      </w:r>
      <w:r w:rsidR="00CF5C90">
        <w:t xml:space="preserve">site to digital assets (p. 13), with access limited </w:t>
      </w:r>
      <w:r w:rsidR="00A23810">
        <w:t xml:space="preserve">to the collections, </w:t>
      </w:r>
      <w:r w:rsidR="00CF5C90">
        <w:t>in almost 70% of cases</w:t>
      </w:r>
      <w:r w:rsidR="00A23810">
        <w:t>,</w:t>
      </w:r>
      <w:r w:rsidR="00CF5C90">
        <w:t xml:space="preserve"> to those with a professional affiliation or degree.</w:t>
      </w:r>
    </w:p>
    <w:p w14:paraId="65D811D7" w14:textId="77777777" w:rsidR="00667BC2" w:rsidRPr="00242AAB" w:rsidRDefault="00667BC2" w:rsidP="00667BC2">
      <w:r>
        <w:t xml:space="preserve">White and </w:t>
      </w:r>
      <w:r w:rsidRPr="00242AAB">
        <w:t>Breen</w:t>
      </w:r>
      <w:r w:rsidR="00EA4B56">
        <w:t xml:space="preserve"> (2012)</w:t>
      </w:r>
      <w:r>
        <w:t xml:space="preserve"> conducted “A Survey of Archaeological Repositories in Virginia</w:t>
      </w:r>
      <w:r w:rsidR="00866B8D">
        <w:t>,</w:t>
      </w:r>
      <w:r>
        <w:t>”</w:t>
      </w:r>
      <w:r w:rsidR="00B80E43">
        <w:t xml:space="preserve"> </w:t>
      </w:r>
      <w:r>
        <w:t xml:space="preserve">sponsored by the collections committee of the Council of Virginia Archaeologists in 2012. The study </w:t>
      </w:r>
      <w:r w:rsidRPr="00242AAB">
        <w:rPr>
          <w:bCs/>
          <w:iCs/>
        </w:rPr>
        <w:t>arose out of a desire to show the value of archaeological collections</w:t>
      </w:r>
      <w:r>
        <w:rPr>
          <w:bCs/>
          <w:iCs/>
        </w:rPr>
        <w:t>,</w:t>
      </w:r>
      <w:r w:rsidRPr="00242AAB">
        <w:rPr>
          <w:bCs/>
          <w:iCs/>
        </w:rPr>
        <w:t xml:space="preserve"> in response to a perceived threat to f</w:t>
      </w:r>
      <w:r>
        <w:rPr>
          <w:bCs/>
          <w:iCs/>
        </w:rPr>
        <w:t>inancial</w:t>
      </w:r>
      <w:r w:rsidRPr="00242AAB">
        <w:rPr>
          <w:bCs/>
          <w:iCs/>
        </w:rPr>
        <w:t xml:space="preserve"> support</w:t>
      </w:r>
      <w:r>
        <w:rPr>
          <w:bCs/>
          <w:iCs/>
        </w:rPr>
        <w:t xml:space="preserve"> for collections care in the Commonwealth</w:t>
      </w:r>
      <w:r w:rsidRPr="00242AAB">
        <w:rPr>
          <w:bCs/>
          <w:iCs/>
        </w:rPr>
        <w:t xml:space="preserve">. </w:t>
      </w:r>
      <w:r>
        <w:rPr>
          <w:bCs/>
          <w:iCs/>
        </w:rPr>
        <w:t xml:space="preserve">The survey was able to show </w:t>
      </w:r>
      <w:r w:rsidRPr="00242AAB">
        <w:rPr>
          <w:bCs/>
          <w:iCs/>
        </w:rPr>
        <w:t xml:space="preserve">a </w:t>
      </w:r>
      <w:r w:rsidRPr="00242AAB">
        <w:t>wide range of institutional types that held archae</w:t>
      </w:r>
      <w:r>
        <w:t xml:space="preserve">ological </w:t>
      </w:r>
      <w:r w:rsidRPr="00242AAB">
        <w:t>collections</w:t>
      </w:r>
      <w:r>
        <w:t xml:space="preserve">, in addition to the state repository. The survey </w:t>
      </w:r>
      <w:r>
        <w:lastRenderedPageBreak/>
        <w:t xml:space="preserve">found 78 repositories with archaeological collections, 65% of which explicitly responded that their collections were open to use by the public. It is interesting to note that </w:t>
      </w:r>
      <w:r w:rsidRPr="00242AAB">
        <w:t>access</w:t>
      </w:r>
      <w:r>
        <w:t xml:space="preserve"> to these collections was limited</w:t>
      </w:r>
      <w:r w:rsidR="00291E16">
        <w:t>,</w:t>
      </w:r>
      <w:r>
        <w:t xml:space="preserve"> and use rare</w:t>
      </w:r>
      <w:r w:rsidRPr="00242AAB">
        <w:t xml:space="preserve">: </w:t>
      </w:r>
    </w:p>
    <w:p w14:paraId="2D31476A" w14:textId="77777777" w:rsidR="00667BC2" w:rsidRPr="00E659F9" w:rsidRDefault="00667BC2" w:rsidP="002741CB">
      <w:pPr>
        <w:pStyle w:val="Quote"/>
      </w:pPr>
      <w:r w:rsidRPr="00E659F9">
        <w:t>Of those whose collections are available to researchers or the public, an appointment is usually required. In breaking down the frequency with which collections are used, 12 said never, 20 said rarely (1 to 6 times a year), 6 said occasionally (once a month), and 9 said frequently (daily or weekly) (</w:t>
      </w:r>
      <w:r w:rsidR="00EA4B56">
        <w:t xml:space="preserve">White &amp; Breen, </w:t>
      </w:r>
      <w:r w:rsidRPr="00E659F9">
        <w:t xml:space="preserve">p. 9).  </w:t>
      </w:r>
    </w:p>
    <w:p w14:paraId="568D6CF9" w14:textId="77777777" w:rsidR="00667BC2" w:rsidRDefault="00667BC2" w:rsidP="00667BC2">
      <w:r>
        <w:t xml:space="preserve">The limited actual access suggests either that these collections are not valued for research or, more likely, that they are hard to discover remotely. </w:t>
      </w:r>
    </w:p>
    <w:p w14:paraId="0A9A6088" w14:textId="77777777" w:rsidR="00667BC2" w:rsidRPr="00CF0067" w:rsidRDefault="00667BC2" w:rsidP="00667BC2">
      <w:pPr>
        <w:rPr>
          <w:i/>
        </w:rPr>
      </w:pPr>
      <w:r>
        <w:rPr>
          <w:bCs/>
          <w:iCs/>
        </w:rPr>
        <w:t xml:space="preserve">The latter part of the White and Breen survey examined how the Virginia state historic repository recorded the location of archaeological collections. It found that for half of the </w:t>
      </w:r>
      <w:r w:rsidR="002B5262">
        <w:t>archaeological</w:t>
      </w:r>
      <w:r w:rsidR="002B5262">
        <w:rPr>
          <w:bCs/>
          <w:iCs/>
        </w:rPr>
        <w:t xml:space="preserve"> </w:t>
      </w:r>
      <w:r>
        <w:rPr>
          <w:bCs/>
          <w:iCs/>
        </w:rPr>
        <w:t>sites surveyed, there was no information about where the collections were housed (many of these were from sites recorded prior to 1990). Of those that were recorded, over a third indicated that they were held at the cultural resource management company that excavated the</w:t>
      </w:r>
      <w:r w:rsidR="00EF2F17">
        <w:rPr>
          <w:bCs/>
          <w:iCs/>
        </w:rPr>
        <w:t xml:space="preserve"> </w:t>
      </w:r>
      <w:r w:rsidR="00EF2F17">
        <w:rPr>
          <w:rFonts w:cs="Times New Roman"/>
        </w:rPr>
        <w:t>archaeological</w:t>
      </w:r>
      <w:r>
        <w:rPr>
          <w:bCs/>
          <w:iCs/>
        </w:rPr>
        <w:t xml:space="preserve"> site. These findings are problematic given that some of the companies are no longer in business and these companies “</w:t>
      </w:r>
      <w:r w:rsidRPr="00682A61">
        <w:rPr>
          <w:bCs/>
          <w:iCs/>
        </w:rPr>
        <w:t>do not curate artifacts permanently</w:t>
      </w:r>
      <w:r>
        <w:rPr>
          <w:bCs/>
          <w:iCs/>
        </w:rPr>
        <w:t>” (</w:t>
      </w:r>
      <w:r w:rsidRPr="00242AAB">
        <w:t>White &amp; Breen, 2012</w:t>
      </w:r>
      <w:r>
        <w:t>, p. 27</w:t>
      </w:r>
      <w:r w:rsidRPr="00242AAB">
        <w:t>)</w:t>
      </w:r>
      <w:r>
        <w:t>.</w:t>
      </w:r>
      <w:r>
        <w:rPr>
          <w:bCs/>
          <w:iCs/>
        </w:rPr>
        <w:t xml:space="preserve">  Furthermore 61% of field notes—vital contextual documentation—were not collected by the state. </w:t>
      </w:r>
      <w:r w:rsidRPr="00242AAB">
        <w:t xml:space="preserve">The survey notes that many respondents could not generate a simple finds list. </w:t>
      </w:r>
      <w:r>
        <w:t>T</w:t>
      </w:r>
      <w:r w:rsidRPr="00242AAB">
        <w:t xml:space="preserve">hese collections are </w:t>
      </w:r>
      <w:r>
        <w:t>not only digitally inaccessible; they are difficult to access on any level</w:t>
      </w:r>
      <w:r w:rsidR="00CF0067">
        <w:t>. Th</w:t>
      </w:r>
      <w:r w:rsidR="00E83E1E">
        <w:t>e</w:t>
      </w:r>
      <w:r w:rsidR="00CF0067">
        <w:t xml:space="preserve"> </w:t>
      </w:r>
      <w:r w:rsidR="0030205E">
        <w:t>institutions included in the White &amp; Breen study formed the starting</w:t>
      </w:r>
      <w:r w:rsidR="00A23810">
        <w:t xml:space="preserve"> point</w:t>
      </w:r>
      <w:r w:rsidR="0030205E">
        <w:t xml:space="preserve"> for identifying institutional websites </w:t>
      </w:r>
      <w:r w:rsidR="00CF0067">
        <w:t>for this study.</w:t>
      </w:r>
    </w:p>
    <w:p w14:paraId="5F75ED3D" w14:textId="77777777" w:rsidR="00667BC2" w:rsidRDefault="00667BC2" w:rsidP="00667BC2">
      <w:r>
        <w:t>One</w:t>
      </w:r>
      <w:r w:rsidRPr="00242AAB">
        <w:t xml:space="preserve"> source of archaeological collection</w:t>
      </w:r>
      <w:r>
        <w:t>s</w:t>
      </w:r>
      <w:r w:rsidRPr="00242AAB">
        <w:t xml:space="preserve"> mentioned in the Virginia report</w:t>
      </w:r>
      <w:r>
        <w:t>,</w:t>
      </w:r>
      <w:r w:rsidRPr="00242AAB">
        <w:t xml:space="preserve"> and expounded upon by McManamon, Kintigh, and Brin (2010)</w:t>
      </w:r>
      <w:r>
        <w:t>,</w:t>
      </w:r>
      <w:r w:rsidRPr="00242AAB">
        <w:t xml:space="preserve"> are the collections at universities</w:t>
      </w:r>
      <w:r>
        <w:t>,</w:t>
      </w:r>
      <w:r w:rsidRPr="00242AAB">
        <w:t xml:space="preserve"> usually held by professors</w:t>
      </w:r>
      <w:r>
        <w:t xml:space="preserve">. These collections, and associated documentation, often stay with the professor, </w:t>
      </w:r>
      <w:r w:rsidR="0030205E">
        <w:t>though some</w:t>
      </w:r>
      <w:r>
        <w:t xml:space="preserve"> get moved to an institutional repository.</w:t>
      </w:r>
      <w:r w:rsidR="00B80E43">
        <w:t xml:space="preserve"> </w:t>
      </w:r>
      <w:r w:rsidR="00970F9B">
        <w:t>Using</w:t>
      </w:r>
      <w:r>
        <w:t xml:space="preserve"> an illustration from ecologist William K. Michener, the </w:t>
      </w:r>
      <w:r>
        <w:lastRenderedPageBreak/>
        <w:t xml:space="preserve">authors point out that the informational content of data, and metadata, disappear rapidly, and then precipitously, following retirement. Since the funding for these projects is </w:t>
      </w:r>
      <w:r w:rsidR="00970F9B">
        <w:t>has, in many cases, long ago been spent</w:t>
      </w:r>
      <w:r>
        <w:t xml:space="preserve">, as many archaeology professors retire, </w:t>
      </w:r>
      <w:r w:rsidR="00970F9B">
        <w:t xml:space="preserve">many </w:t>
      </w:r>
      <w:r>
        <w:t xml:space="preserve">associated archaeological data </w:t>
      </w:r>
      <w:r w:rsidR="00970F9B">
        <w:t xml:space="preserve">are </w:t>
      </w:r>
      <w:r>
        <w:t xml:space="preserve">in danger of </w:t>
      </w:r>
      <w:r w:rsidR="00E53484">
        <w:t xml:space="preserve">effectively </w:t>
      </w:r>
      <w:r>
        <w:t>disappearing</w:t>
      </w:r>
      <w:r w:rsidR="00C74798">
        <w:t xml:space="preserve"> through lack of active management</w:t>
      </w:r>
      <w:r>
        <w:t xml:space="preserve">, even if the collections themselves have been archived (and this is by no means certain). </w:t>
      </w:r>
      <w:r w:rsidR="003B610F">
        <w:t>White and Breen (2012) suggest that “</w:t>
      </w:r>
      <w:r w:rsidR="003B610F" w:rsidRPr="003B610F">
        <w:t>professor and graduate student excavations have the potential to become “orphaned” with the department upon the retirement or death of the archaeologist</w:t>
      </w:r>
      <w:r w:rsidR="00064CF7">
        <w:t>“ (</w:t>
      </w:r>
      <w:r w:rsidR="003B610F">
        <w:t xml:space="preserve">p. 12). </w:t>
      </w:r>
      <w:r>
        <w:t>The</w:t>
      </w:r>
      <w:r w:rsidR="009F26C9">
        <w:t xml:space="preserve"> recent development of university digital archive</w:t>
      </w:r>
      <w:r w:rsidR="00EA4B56">
        <w:t>s</w:t>
      </w:r>
      <w:r w:rsidR="009F26C9">
        <w:t xml:space="preserve"> and </w:t>
      </w:r>
      <w:r>
        <w:t>repositories</w:t>
      </w:r>
      <w:r w:rsidR="009F26C9">
        <w:t xml:space="preserve">, which </w:t>
      </w:r>
      <w:r>
        <w:t>have the capacity to manage multiple data formats</w:t>
      </w:r>
      <w:r w:rsidR="009F26C9">
        <w:t>, may p</w:t>
      </w:r>
      <w:r w:rsidR="001D5761">
        <w:t>rovide a home for this material.</w:t>
      </w:r>
      <w:r w:rsidR="00664F0C">
        <w:t xml:space="preserve"> Finding this material, however, can be problematic. For </w:t>
      </w:r>
      <w:r w:rsidR="00356CFC">
        <w:t xml:space="preserve">while </w:t>
      </w:r>
      <w:r w:rsidR="00664F0C">
        <w:t xml:space="preserve">active projects are sometimes linked from departmental faculty pages, finding </w:t>
      </w:r>
      <w:r w:rsidR="00EF0FFF">
        <w:t xml:space="preserve">the </w:t>
      </w:r>
      <w:r w:rsidR="00664F0C">
        <w:t xml:space="preserve">archaeological projects </w:t>
      </w:r>
      <w:r w:rsidR="00EF0FFF">
        <w:t xml:space="preserve">of retired faculty </w:t>
      </w:r>
      <w:r w:rsidR="00664F0C">
        <w:t>can depend on knowing that the content exists.</w:t>
      </w:r>
    </w:p>
    <w:p w14:paraId="4A1B20F7" w14:textId="77777777" w:rsidR="00667BC2" w:rsidRDefault="000C7095" w:rsidP="00667BC2">
      <w:r>
        <w:t>Social media plays a role in dissemination, but m</w:t>
      </w:r>
      <w:r w:rsidR="00667BC2" w:rsidRPr="00242AAB">
        <w:t>ore recently there</w:t>
      </w:r>
      <w:r w:rsidR="00667BC2">
        <w:t xml:space="preserve"> has been</w:t>
      </w:r>
      <w:r w:rsidR="00667BC2" w:rsidRPr="00242AAB">
        <w:t xml:space="preserve"> some discussion about the extent to which emerging social media extends th</w:t>
      </w:r>
      <w:r w:rsidR="00667BC2">
        <w:t>e</w:t>
      </w:r>
      <w:r w:rsidR="00667BC2" w:rsidRPr="00242AAB">
        <w:t xml:space="preserve"> </w:t>
      </w:r>
      <w:r w:rsidR="00667BC2">
        <w:t xml:space="preserve">archaeological record. Jeffery </w:t>
      </w:r>
      <w:r w:rsidR="00EA4B56">
        <w:t xml:space="preserve">(2012) </w:t>
      </w:r>
      <w:r w:rsidR="00667BC2">
        <w:t>was</w:t>
      </w:r>
      <w:r w:rsidR="00667BC2" w:rsidRPr="00242AAB">
        <w:t xml:space="preserve"> perhaps o</w:t>
      </w:r>
      <w:r w:rsidR="00667BC2">
        <w:t>ver-reaching when he categorized</w:t>
      </w:r>
      <w:r w:rsidR="00667BC2" w:rsidRPr="00242AAB">
        <w:t xml:space="preserve"> the potential loss of social media data as “a new digital dark</w:t>
      </w:r>
      <w:r w:rsidR="00B80E43">
        <w:t xml:space="preserve"> age</w:t>
      </w:r>
      <w:r w:rsidR="00667BC2" w:rsidRPr="00242AAB">
        <w:t>” (</w:t>
      </w:r>
      <w:r w:rsidR="00667BC2">
        <w:t>p.</w:t>
      </w:r>
      <w:r w:rsidR="00667BC2" w:rsidRPr="00242AAB">
        <w:t xml:space="preserve">  567)</w:t>
      </w:r>
      <w:r w:rsidR="00EF0FFF">
        <w:t>, suggesting that digital content will be unavailable in the future</w:t>
      </w:r>
      <w:r w:rsidR="00667BC2" w:rsidRPr="00242AAB">
        <w:t>. Nevertheless</w:t>
      </w:r>
      <w:r w:rsidR="00667BC2">
        <w:t>, he mad</w:t>
      </w:r>
      <w:r w:rsidR="00667BC2" w:rsidRPr="00242AAB">
        <w:t>e the point that whether this content needs to be preserved should be a conscious decision</w:t>
      </w:r>
      <w:r w:rsidR="00667BC2">
        <w:t>. Social media</w:t>
      </w:r>
      <w:r w:rsidR="00667BC2" w:rsidRPr="00242AAB">
        <w:t xml:space="preserve"> has become a common mechanism for communicating with non-archaeological audiences. </w:t>
      </w:r>
      <w:r w:rsidR="00667BC2">
        <w:t>T</w:t>
      </w:r>
      <w:r w:rsidR="00667BC2" w:rsidRPr="00242AAB">
        <w:t>he Day of Archaeology project (</w:t>
      </w:r>
      <w:r w:rsidR="00667BC2">
        <w:t>Jeffrey</w:t>
      </w:r>
      <w:r w:rsidR="005A524C">
        <w:t>,</w:t>
      </w:r>
      <w:r w:rsidR="00667BC2">
        <w:t xml:space="preserve"> 2012, p.</w:t>
      </w:r>
      <w:r w:rsidR="00667BC2" w:rsidRPr="00242AAB">
        <w:t xml:space="preserve"> 566) is a good example of secondary data becoming primary data. The project asks for blog entries from around the world, detailing the activities of archaeo</w:t>
      </w:r>
      <w:r w:rsidR="00667BC2">
        <w:t xml:space="preserve">logists </w:t>
      </w:r>
      <w:r w:rsidR="00B80E43">
        <w:t xml:space="preserve">on </w:t>
      </w:r>
      <w:r w:rsidR="00866B8D">
        <w:t>one day</w:t>
      </w:r>
      <w:r w:rsidR="00B80E43">
        <w:t xml:space="preserve"> of the </w:t>
      </w:r>
      <w:r w:rsidR="00866B8D">
        <w:t>each year</w:t>
      </w:r>
      <w:r w:rsidR="00667BC2">
        <w:t xml:space="preserve">. Thankfully in this case the content is archived through the Archaeology Data Service (ADS), a data repository in the United Kingdom. </w:t>
      </w:r>
    </w:p>
    <w:p w14:paraId="0DCC7B7A" w14:textId="77777777" w:rsidR="001B5277" w:rsidRDefault="001B5277" w:rsidP="00667BC2">
      <w:r>
        <w:t xml:space="preserve">Blogging generally has become a means of public discourse for archaeologists and is included in considering public outreach characteristics. An informal review of Virginia archaeological blogs shows </w:t>
      </w:r>
      <w:r w:rsidR="00E83E1E">
        <w:t xml:space="preserve">they are </w:t>
      </w:r>
      <w:r>
        <w:t xml:space="preserve">written and illustrated in a way suggesting they are trying to reach a broad audience. </w:t>
      </w:r>
      <w:r>
        <w:lastRenderedPageBreak/>
        <w:t>Nevertheless they are also used for reporting recent discoveries and include data in the broadest sense (</w:t>
      </w:r>
      <w:r w:rsidR="0062683B">
        <w:t>William and Mary 2015; Montpelier 2015</w:t>
      </w:r>
      <w:r>
        <w:t>), data that sometimes take a long while to come into the formal publishing arena.</w:t>
      </w:r>
      <w:r w:rsidR="0062683B">
        <w:t xml:space="preserve"> Hank</w:t>
      </w:r>
      <w:r w:rsidR="00EF0FFF">
        <w:t>’s</w:t>
      </w:r>
      <w:r w:rsidR="0062683B">
        <w:t xml:space="preserve"> (2013) discussion of the extent to which blogs are “scholarship” is relevant here</w:t>
      </w:r>
      <w:r w:rsidR="00EF0FFF">
        <w:t xml:space="preserve"> to the extent that archaeological blogs be considered data, rather than public outreach (Hank would suggest they can be both)</w:t>
      </w:r>
      <w:r w:rsidR="0062683B">
        <w:t xml:space="preserve">. Archaeological blogs are </w:t>
      </w:r>
      <w:r w:rsidR="00745E76">
        <w:t xml:space="preserve">potentially </w:t>
      </w:r>
      <w:r w:rsidR="0062683B">
        <w:t>serving multiple publics, including their professional peers.</w:t>
      </w:r>
    </w:p>
    <w:p w14:paraId="78A99F54" w14:textId="77777777" w:rsidR="00667BC2" w:rsidRDefault="00667BC2" w:rsidP="00667BC2">
      <w:r>
        <w:t>Crowdsourcing can be seen as another form of social media, utilizing the “crowd</w:t>
      </w:r>
      <w:r w:rsidR="00CF6E25">
        <w:t>,</w:t>
      </w:r>
      <w:r>
        <w:t>” or an external group, to add meta-data to existing content. Dunn and Hedges</w:t>
      </w:r>
      <w:r w:rsidR="00E07FBC">
        <w:t xml:space="preserve"> (2012)</w:t>
      </w:r>
      <w:r>
        <w:t xml:space="preserve"> presented a typology of crowdsourcing in their report for the English Arts and Humanities Research Council. Their classifications include different process types, and output types, and several archaeological projects are using crowdsourcing to generate primary content. The ACCORD project (Accord, 2014) uses different local groups to gather 3</w:t>
      </w:r>
      <w:r w:rsidR="004C2B0D">
        <w:t>-</w:t>
      </w:r>
      <w:r>
        <w:t>D</w:t>
      </w:r>
      <w:r w:rsidR="004C2B0D">
        <w:t xml:space="preserve"> </w:t>
      </w:r>
      <w:r>
        <w:t>modeling data of monuments and places of memory</w:t>
      </w:r>
      <w:r w:rsidRPr="00064CF7">
        <w:t>.</w:t>
      </w:r>
      <w:r w:rsidR="009F26C9" w:rsidRPr="00064CF7">
        <w:t xml:space="preserve"> A Virginia</w:t>
      </w:r>
      <w:r w:rsidR="00CF6E25">
        <w:t>-</w:t>
      </w:r>
      <w:r w:rsidR="009F26C9" w:rsidRPr="00064CF7">
        <w:t>based project,</w:t>
      </w:r>
      <w:r w:rsidRPr="00064CF7">
        <w:t xml:space="preserve"> Culture Embossed, </w:t>
      </w:r>
      <w:r w:rsidR="009F26C9" w:rsidRPr="00064CF7">
        <w:t xml:space="preserve">is </w:t>
      </w:r>
      <w:r w:rsidR="00064CF7" w:rsidRPr="00064CF7">
        <w:t>a database of wine bottle seals</w:t>
      </w:r>
      <w:hyperlink w:history="1"/>
      <w:r w:rsidR="007B7568" w:rsidRPr="00064CF7">
        <w:t>, along with its partners Culture Impressed (pipes) and Culture in Stone (points). “</w:t>
      </w:r>
      <w:r w:rsidR="007B7568" w:rsidRPr="00064CF7">
        <w:rPr>
          <w:shd w:val="clear" w:color="auto" w:fill="FFFFFF"/>
        </w:rPr>
        <w:t>Culture Embossed,</w:t>
      </w:r>
      <w:r w:rsidR="007B7568" w:rsidRPr="00064CF7">
        <w:rPr>
          <w:rStyle w:val="apple-converted-space"/>
          <w:shd w:val="clear" w:color="auto" w:fill="FFFFFF"/>
        </w:rPr>
        <w:t> </w:t>
      </w:r>
      <w:r w:rsidR="007B7568" w:rsidRPr="00064CF7">
        <w:rPr>
          <w:shd w:val="clear" w:color="auto" w:fill="FFFFFF"/>
        </w:rPr>
        <w:t>Culture Impressed, and</w:t>
      </w:r>
      <w:r w:rsidR="007B7568" w:rsidRPr="00064CF7">
        <w:rPr>
          <w:rStyle w:val="apple-converted-space"/>
          <w:shd w:val="clear" w:color="auto" w:fill="FFFFFF"/>
        </w:rPr>
        <w:t> </w:t>
      </w:r>
      <w:r w:rsidR="007B7568" w:rsidRPr="00064CF7">
        <w:rPr>
          <w:shd w:val="clear" w:color="auto" w:fill="FFFFFF"/>
        </w:rPr>
        <w:t>Culture in Stone</w:t>
      </w:r>
      <w:r w:rsidR="007B7568" w:rsidRPr="00064CF7">
        <w:rPr>
          <w:rStyle w:val="apple-converted-space"/>
          <w:shd w:val="clear" w:color="auto" w:fill="FFFFFF"/>
        </w:rPr>
        <w:t> </w:t>
      </w:r>
      <w:r w:rsidR="007B7568" w:rsidRPr="00064CF7">
        <w:rPr>
          <w:shd w:val="clear" w:color="auto" w:fill="FFFFFF"/>
        </w:rPr>
        <w:t>are crowdsourced databases of material culture from a wide array of time periods and locations” (Culture Embossed, 2012).</w:t>
      </w:r>
      <w:r w:rsidR="009F26C9" w:rsidRPr="00064CF7">
        <w:t xml:space="preserve"> </w:t>
      </w:r>
      <w:r w:rsidR="00CF6E25">
        <w:t>They</w:t>
      </w:r>
      <w:r w:rsidR="00CF6E25" w:rsidRPr="00064CF7">
        <w:t xml:space="preserve"> </w:t>
      </w:r>
      <w:r w:rsidRPr="00064CF7">
        <w:t>use a crowdsourcing technique, allowing anyone to contribute images and locations of wine bottle seals</w:t>
      </w:r>
      <w:r w:rsidR="00CF6E25">
        <w:t>, pipes or points</w:t>
      </w:r>
      <w:r w:rsidRPr="00064CF7">
        <w:t xml:space="preserve"> to the </w:t>
      </w:r>
      <w:r w:rsidR="006B4F86" w:rsidRPr="00064CF7">
        <w:t>web</w:t>
      </w:r>
      <w:r w:rsidRPr="00064CF7">
        <w:t xml:space="preserve">site in order to study broad cultural trends. The </w:t>
      </w:r>
      <w:r w:rsidR="006B4F86" w:rsidRPr="00064CF7">
        <w:t>web</w:t>
      </w:r>
      <w:r w:rsidRPr="00064CF7">
        <w:t>site collects and presents primary data, though in a way that is outside of the traditional norms</w:t>
      </w:r>
      <w:r w:rsidR="009F26C9" w:rsidRPr="00064CF7">
        <w:t>,</w:t>
      </w:r>
      <w:r w:rsidRPr="00064CF7">
        <w:t xml:space="preserve"> and these projects blur the distinction between public outreach and </w:t>
      </w:r>
      <w:r w:rsidR="005802C4" w:rsidRPr="00064CF7">
        <w:t>scholarly publishing</w:t>
      </w:r>
      <w:r w:rsidR="00956C80" w:rsidRPr="00064CF7">
        <w:t>.</w:t>
      </w:r>
      <w:r w:rsidRPr="00064CF7">
        <w:t xml:space="preserve"> </w:t>
      </w:r>
    </w:p>
    <w:p w14:paraId="1E525992" w14:textId="77777777" w:rsidR="008537A5" w:rsidRDefault="008537A5" w:rsidP="008537A5">
      <w:pPr>
        <w:pStyle w:val="Heading2"/>
      </w:pPr>
      <w:bookmarkStart w:id="15" w:name="_Toc419135398"/>
      <w:r>
        <w:t>Archaeological Data</w:t>
      </w:r>
      <w:bookmarkEnd w:id="15"/>
    </w:p>
    <w:p w14:paraId="5842F9D9" w14:textId="77777777" w:rsidR="008537A5" w:rsidRDefault="000C7095" w:rsidP="008537A5">
      <w:r>
        <w:t xml:space="preserve">Archaeological data </w:t>
      </w:r>
      <w:r w:rsidR="004E41BB">
        <w:t>are</w:t>
      </w:r>
      <w:r>
        <w:t xml:space="preserve"> tremendously varied and </w:t>
      </w:r>
      <w:r w:rsidR="004E41BB">
        <w:t xml:space="preserve">have </w:t>
      </w:r>
      <w:r>
        <w:t xml:space="preserve">been strongly impacted and expanded by the digital age. </w:t>
      </w:r>
      <w:r w:rsidR="008537A5" w:rsidRPr="00242AAB">
        <w:t>Archaeologists were early innovators in using computers in the humanities</w:t>
      </w:r>
      <w:r w:rsidR="00E07FBC">
        <w:t>;</w:t>
      </w:r>
      <w:r w:rsidR="008537A5">
        <w:t xml:space="preserve"> for example see Chenall (1971)</w:t>
      </w:r>
      <w:r w:rsidR="007C30B6">
        <w:t xml:space="preserve"> showcasing archaeologists’ early use of databases</w:t>
      </w:r>
      <w:r w:rsidR="008537A5">
        <w:t xml:space="preserve">. </w:t>
      </w:r>
      <w:r>
        <w:t xml:space="preserve">Digitization </w:t>
      </w:r>
      <w:r w:rsidR="008537A5" w:rsidRPr="00242AAB">
        <w:t>has opened up new methods of data collection</w:t>
      </w:r>
      <w:r w:rsidR="008537A5">
        <w:t xml:space="preserve"> and increased the amounts of data collected</w:t>
      </w:r>
      <w:r w:rsidR="008537A5" w:rsidRPr="00242AAB">
        <w:t>.</w:t>
      </w:r>
      <w:r w:rsidR="008537A5">
        <w:t xml:space="preserve"> Digital data</w:t>
      </w:r>
      <w:r w:rsidR="008537A5" w:rsidRPr="00242AAB">
        <w:t xml:space="preserve"> include</w:t>
      </w:r>
      <w:r w:rsidR="008537A5">
        <w:t xml:space="preserve"> reports, </w:t>
      </w:r>
      <w:r w:rsidR="008537A5" w:rsidRPr="00242AAB">
        <w:t xml:space="preserve">GIS </w:t>
      </w:r>
      <w:r w:rsidR="008537A5">
        <w:lastRenderedPageBreak/>
        <w:t>and</w:t>
      </w:r>
      <w:r w:rsidR="008537A5" w:rsidRPr="00242AAB">
        <w:t xml:space="preserve"> remote sensing</w:t>
      </w:r>
      <w:r w:rsidR="008537A5">
        <w:t xml:space="preserve"> data (for example LIDAR, satellite imagery, </w:t>
      </w:r>
      <w:r w:rsidR="004E41BB">
        <w:t>ground penetrating radar (</w:t>
      </w:r>
      <w:r w:rsidR="008537A5">
        <w:t>GPR</w:t>
      </w:r>
      <w:r w:rsidR="004E41BB">
        <w:t>)</w:t>
      </w:r>
      <w:r w:rsidR="008537A5">
        <w:t>, magnetometry)</w:t>
      </w:r>
      <w:r w:rsidR="008537A5" w:rsidRPr="00242AAB">
        <w:t>, 3</w:t>
      </w:r>
      <w:r w:rsidR="004C2B0D">
        <w:t>-</w:t>
      </w:r>
      <w:r w:rsidR="008537A5" w:rsidRPr="00242AAB">
        <w:t xml:space="preserve">D models, </w:t>
      </w:r>
      <w:r w:rsidR="008537A5">
        <w:t>archaeometric</w:t>
      </w:r>
      <w:r w:rsidR="008537A5" w:rsidRPr="00242AAB">
        <w:t xml:space="preserve"> data (</w:t>
      </w:r>
      <w:r w:rsidR="008537A5">
        <w:t xml:space="preserve">such as the results of </w:t>
      </w:r>
      <w:r w:rsidR="008537A5" w:rsidRPr="00242AAB">
        <w:t xml:space="preserve">carbon 14, </w:t>
      </w:r>
      <w:r w:rsidR="004E41BB">
        <w:t xml:space="preserve">x-ray </w:t>
      </w:r>
      <w:r w:rsidR="00745E76" w:rsidRPr="00745E76">
        <w:t xml:space="preserve">fluorescence </w:t>
      </w:r>
      <w:r w:rsidR="004E41BB">
        <w:t>(</w:t>
      </w:r>
      <w:r w:rsidR="008537A5" w:rsidRPr="00242AAB">
        <w:t>XRF</w:t>
      </w:r>
      <w:r w:rsidR="004E41BB">
        <w:t>)</w:t>
      </w:r>
      <w:r w:rsidR="008537A5">
        <w:t xml:space="preserve"> and</w:t>
      </w:r>
      <w:r w:rsidR="008537A5" w:rsidRPr="00242AAB">
        <w:t xml:space="preserve"> soil chemistry</w:t>
      </w:r>
      <w:r w:rsidR="008537A5">
        <w:t xml:space="preserve"> testing</w:t>
      </w:r>
      <w:r w:rsidR="008537A5" w:rsidRPr="00242AAB">
        <w:t xml:space="preserve">), artifact </w:t>
      </w:r>
      <w:r w:rsidR="008537A5">
        <w:t>and field record databases</w:t>
      </w:r>
      <w:r w:rsidR="008537A5" w:rsidRPr="00242AAB">
        <w:t xml:space="preserve">, </w:t>
      </w:r>
      <w:r w:rsidR="008537A5">
        <w:t xml:space="preserve">environmental data, </w:t>
      </w:r>
      <w:r w:rsidR="008537A5" w:rsidRPr="00242AAB">
        <w:t xml:space="preserve">field notes, digitized maps, </w:t>
      </w:r>
      <w:r w:rsidR="008537A5">
        <w:t>images</w:t>
      </w:r>
      <w:r w:rsidR="008537A5" w:rsidRPr="00242AAB">
        <w:t xml:space="preserve">, historical </w:t>
      </w:r>
      <w:r w:rsidR="008537A5">
        <w:t>documents and photographs,</w:t>
      </w:r>
      <w:r w:rsidR="008537A5" w:rsidRPr="00242AAB">
        <w:t xml:space="preserve"> oral history,</w:t>
      </w:r>
      <w:r w:rsidR="008537A5">
        <w:t xml:space="preserve"> and</w:t>
      </w:r>
      <w:r w:rsidR="008537A5" w:rsidRPr="00242AAB">
        <w:t xml:space="preserve"> historic maps</w:t>
      </w:r>
      <w:r w:rsidR="008537A5">
        <w:t xml:space="preserve"> (Watts, 2010, p. 10)</w:t>
      </w:r>
      <w:r w:rsidR="008537A5" w:rsidRPr="00242AAB">
        <w:t xml:space="preserve">. </w:t>
      </w:r>
      <w:r w:rsidR="008537A5">
        <w:t>Since most</w:t>
      </w:r>
      <w:r w:rsidR="008537A5" w:rsidRPr="00242AAB">
        <w:t xml:space="preserve"> archaeology is a destructive process</w:t>
      </w:r>
      <w:r w:rsidR="008537A5">
        <w:t xml:space="preserve">, many of these data cannot be recreated, making digital curation—preservation and access—of vital importance to the discipline. While some of these data are born digital—images, spatial and some scientific data—some are digital surrogates, for example collection records describing artifacts. Access can mean remote analysis of these data, or simply sufficient metadata and tools to be able to identify specific artifacts for further physical analysis at the holding repository. </w:t>
      </w:r>
    </w:p>
    <w:p w14:paraId="1C77E26F" w14:textId="77777777" w:rsidR="00667BC2" w:rsidRPr="00242AAB" w:rsidRDefault="00667BC2" w:rsidP="00667BC2">
      <w:r>
        <w:t>Archaeological data</w:t>
      </w:r>
      <w:r w:rsidR="00CF6E25">
        <w:t xml:space="preserve"> are</w:t>
      </w:r>
      <w:r>
        <w:t xml:space="preserve"> highly contextual, so these data sets </w:t>
      </w:r>
      <w:r w:rsidR="006C6C1F">
        <w:t>are most meaningful when integrated</w:t>
      </w:r>
      <w:r>
        <w:t xml:space="preserve">. </w:t>
      </w:r>
      <w:r w:rsidRPr="00242AAB">
        <w:t xml:space="preserve">An artifact’s meaning is </w:t>
      </w:r>
      <w:r>
        <w:t xml:space="preserve">tied </w:t>
      </w:r>
      <w:r w:rsidRPr="00242AAB">
        <w:t>to</w:t>
      </w:r>
      <w:r>
        <w:t xml:space="preserve"> many </w:t>
      </w:r>
      <w:r w:rsidR="006C6C1F">
        <w:t xml:space="preserve">factors </w:t>
      </w:r>
      <w:r>
        <w:t xml:space="preserve">including </w:t>
      </w:r>
      <w:r w:rsidRPr="00242AAB">
        <w:t xml:space="preserve">the other artifacts found with it; the </w:t>
      </w:r>
      <w:r w:rsidR="00CF6E25">
        <w:t>quadrat</w:t>
      </w:r>
      <w:r w:rsidR="00CF6E25" w:rsidRPr="00242AAB">
        <w:t xml:space="preserve"> </w:t>
      </w:r>
      <w:r w:rsidRPr="00242AAB">
        <w:t>from which it was excavated</w:t>
      </w:r>
      <w:r>
        <w:t xml:space="preserve">; </w:t>
      </w:r>
      <w:r w:rsidRPr="00242AAB">
        <w:t xml:space="preserve">the features and broader </w:t>
      </w:r>
      <w:r w:rsidR="00EF2F17">
        <w:rPr>
          <w:rFonts w:cs="Times New Roman"/>
        </w:rPr>
        <w:t xml:space="preserve">archaeological </w:t>
      </w:r>
      <w:r w:rsidRPr="00242AAB">
        <w:t xml:space="preserve">site in which this </w:t>
      </w:r>
      <w:r w:rsidR="00CF6E25">
        <w:t>quadrat</w:t>
      </w:r>
      <w:r w:rsidR="00CF6E25" w:rsidRPr="00242AAB">
        <w:t xml:space="preserve"> </w:t>
      </w:r>
      <w:r w:rsidRPr="00242AAB">
        <w:t xml:space="preserve">exists; </w:t>
      </w:r>
      <w:r>
        <w:t xml:space="preserve">and </w:t>
      </w:r>
      <w:r w:rsidR="009C3CDD">
        <w:t>t</w:t>
      </w:r>
      <w:r>
        <w:t>he methods used in excavation.</w:t>
      </w:r>
      <w:r w:rsidRPr="00242AAB">
        <w:t xml:space="preserve"> White and Breen</w:t>
      </w:r>
      <w:r>
        <w:t xml:space="preserve"> (2102)</w:t>
      </w:r>
      <w:r w:rsidR="0044366C">
        <w:t>, whose report was a conscious effort to deal with archaeological data as a connected whole</w:t>
      </w:r>
      <w:r w:rsidR="00CF6E25">
        <w:t>,</w:t>
      </w:r>
      <w:r w:rsidR="0044366C">
        <w:t xml:space="preserve"> </w:t>
      </w:r>
      <w:r w:rsidRPr="00242AAB">
        <w:t>note</w:t>
      </w:r>
      <w:r w:rsidR="0044366C">
        <w:t>d</w:t>
      </w:r>
      <w:r w:rsidRPr="00242AAB">
        <w:t xml:space="preserve"> a problem with how existing collections </w:t>
      </w:r>
      <w:r>
        <w:t xml:space="preserve">in Virginia </w:t>
      </w:r>
      <w:r w:rsidRPr="00242AAB">
        <w:t>are sometimes maintained:</w:t>
      </w:r>
    </w:p>
    <w:p w14:paraId="3E3685AE" w14:textId="77777777" w:rsidR="00667BC2" w:rsidRPr="00E659F9" w:rsidRDefault="00667BC2" w:rsidP="002741CB">
      <w:pPr>
        <w:pStyle w:val="Quote"/>
      </w:pPr>
      <w:r w:rsidRPr="00E659F9">
        <w:t>Virginia’s archaeological collections, and with this we refer not only to artifacts, but also to ecofacts, field notes, photographs, maps, reports, special samples –everything that provides data about an archaeological site – are thought of as individual, isolated entities which are dealt with in a variety of ways (p. 3) .</w:t>
      </w:r>
    </w:p>
    <w:p w14:paraId="4CB33762" w14:textId="77777777" w:rsidR="00667BC2" w:rsidRDefault="00667BC2" w:rsidP="00667BC2">
      <w:r>
        <w:t>From a user’s perspective, meaningful access to these data means maintaining, at least in part, how they relate to each other, so that potential users of the data can contextualize as much of the total dataset</w:t>
      </w:r>
      <w:r w:rsidRPr="002220FD">
        <w:t xml:space="preserve"> </w:t>
      </w:r>
      <w:r>
        <w:t>as pos</w:t>
      </w:r>
      <w:r w:rsidR="00BF18D9">
        <w:t xml:space="preserve">sible. Otherwise, users have to </w:t>
      </w:r>
      <w:r>
        <w:t>re-establish these relationships</w:t>
      </w:r>
      <w:r w:rsidR="00BF18D9">
        <w:t xml:space="preserve"> themselves</w:t>
      </w:r>
      <w:r>
        <w:t xml:space="preserve">, cross-referencing field notes with artifacts and other data.  Moreover, the different forms of archaeological </w:t>
      </w:r>
      <w:r>
        <w:lastRenderedPageBreak/>
        <w:t>data can</w:t>
      </w:r>
      <w:r w:rsidR="007C30B6">
        <w:t xml:space="preserve"> range from </w:t>
      </w:r>
      <w:r>
        <w:t xml:space="preserve">simple </w:t>
      </w:r>
      <w:r w:rsidR="007C30B6">
        <w:t xml:space="preserve">to </w:t>
      </w:r>
      <w:r>
        <w:t>complex digital objects, including relational databases, media files, text and PDF documents, GIS and shape files, and other scientific data</w:t>
      </w:r>
      <w:r w:rsidR="00437A21">
        <w:t xml:space="preserve"> forms</w:t>
      </w:r>
      <w:r>
        <w:t>. The contextual, complex nature of digital archaeological data can provide challenges for digital archival repositories, and therefore approaches need to consider the long</w:t>
      </w:r>
      <w:r w:rsidR="00CF6E25">
        <w:t>-</w:t>
      </w:r>
      <w:r>
        <w:t>term archival preservation of all of these data to ensure that they are available for future research. Archaeology data, with some exceptions</w:t>
      </w:r>
      <w:r w:rsidR="00E07FBC">
        <w:t>,</w:t>
      </w:r>
      <w:r>
        <w:t xml:space="preserve"> </w:t>
      </w:r>
      <w:r w:rsidR="00CF6E25">
        <w:t xml:space="preserve">are </w:t>
      </w:r>
      <w:r>
        <w:t>about the many, not the one. Though there are some artifacts that provide unique or particular information</w:t>
      </w:r>
      <w:r w:rsidR="00FB7334">
        <w:t>,</w:t>
      </w:r>
      <w:r>
        <w:t xml:space="preserve"> archaeological data</w:t>
      </w:r>
      <w:r w:rsidR="0069191A">
        <w:t xml:space="preserve"> </w:t>
      </w:r>
      <w:r w:rsidR="00CF6E25">
        <w:t>are</w:t>
      </w:r>
      <w:r>
        <w:t xml:space="preserve"> usually quantitative </w:t>
      </w:r>
      <w:r w:rsidR="00FB7334">
        <w:t xml:space="preserve">with </w:t>
      </w:r>
      <w:r>
        <w:t>research</w:t>
      </w:r>
      <w:r w:rsidR="00FB7334">
        <w:t>ers</w:t>
      </w:r>
      <w:r>
        <w:t xml:space="preserve"> looking at assemblages and the totality of the collections from a</w:t>
      </w:r>
      <w:r w:rsidR="00EF2F17">
        <w:t xml:space="preserve">n </w:t>
      </w:r>
      <w:r w:rsidR="00EF2F17">
        <w:rPr>
          <w:rFonts w:cs="Times New Roman"/>
        </w:rPr>
        <w:t xml:space="preserve">archaeological </w:t>
      </w:r>
      <w:r>
        <w:t>site.</w:t>
      </w:r>
    </w:p>
    <w:p w14:paraId="126075E8" w14:textId="77777777" w:rsidR="009F26C9" w:rsidRDefault="009F26C9" w:rsidP="009F26C9">
      <w:r w:rsidRPr="00242AAB">
        <w:t>Sullivan and Childs (</w:t>
      </w:r>
      <w:r>
        <w:t>p.</w:t>
      </w:r>
      <w:r w:rsidRPr="00242AAB">
        <w:t xml:space="preserve"> 103) pose the question “If we don’t know what is in a collection, and therefore cannot use it effectively or efficiently, why keep it at all?” Despite the progress made in recent years</w:t>
      </w:r>
      <w:r>
        <w:t xml:space="preserve">, </w:t>
      </w:r>
      <w:r w:rsidRPr="00242AAB">
        <w:t xml:space="preserve">large parts of the archaeological record remain </w:t>
      </w:r>
      <w:r w:rsidR="004E41BB">
        <w:t xml:space="preserve">effectively </w:t>
      </w:r>
      <w:r w:rsidRPr="00242AAB">
        <w:t>inaccessible.</w:t>
      </w:r>
      <w:r>
        <w:t xml:space="preserve"> Archaeological excavations are not repeatable experiments. If the data from these excavations </w:t>
      </w:r>
      <w:r w:rsidR="00CF6E25">
        <w:t>are</w:t>
      </w:r>
      <w:r>
        <w:t xml:space="preserve"> lost</w:t>
      </w:r>
      <w:r w:rsidR="00CF6E25">
        <w:t>,</w:t>
      </w:r>
      <w:r>
        <w:t xml:space="preserve"> </w:t>
      </w:r>
      <w:r w:rsidR="00CF6E25">
        <w:t>they are</w:t>
      </w:r>
      <w:r>
        <w:t xml:space="preserve"> not recoverable. The problems with the curation of existing collections – </w:t>
      </w:r>
      <w:r w:rsidR="006C6C1F">
        <w:t xml:space="preserve">such as </w:t>
      </w:r>
      <w:r>
        <w:t>storage concerns</w:t>
      </w:r>
      <w:r w:rsidR="006C6C1F">
        <w:t xml:space="preserve"> and</w:t>
      </w:r>
      <w:r>
        <w:t xml:space="preserve"> incomplete documentation – potentially foreshadow problems with digital data. </w:t>
      </w:r>
      <w:r w:rsidR="00E83E1E">
        <w:t xml:space="preserve"> The increasing amount of digital data being collected will not be preserved unless </w:t>
      </w:r>
      <w:r w:rsidR="00CF6E25">
        <w:t>they are</w:t>
      </w:r>
      <w:r w:rsidR="00E83E1E">
        <w:t xml:space="preserve"> stored in archival formats and maintained with appropriate descriptive metadata.</w:t>
      </w:r>
    </w:p>
    <w:p w14:paraId="19980DD1" w14:textId="77777777" w:rsidR="00667BC2" w:rsidRPr="00242AAB" w:rsidRDefault="00667BC2" w:rsidP="00667BC2">
      <w:pPr>
        <w:pStyle w:val="Heading2"/>
      </w:pPr>
      <w:bookmarkStart w:id="16" w:name="_Toc419135399"/>
      <w:r>
        <w:t xml:space="preserve">Archaeological </w:t>
      </w:r>
      <w:r w:rsidR="00B16502">
        <w:t>r</w:t>
      </w:r>
      <w:r>
        <w:t xml:space="preserve">epositories and </w:t>
      </w:r>
      <w:r w:rsidR="00B16502">
        <w:t>d</w:t>
      </w:r>
      <w:r>
        <w:t xml:space="preserve">ata </w:t>
      </w:r>
      <w:r w:rsidR="00B16502">
        <w:t>p</w:t>
      </w:r>
      <w:r>
        <w:t xml:space="preserve">ublishing </w:t>
      </w:r>
      <w:r w:rsidR="00B16502">
        <w:t>o</w:t>
      </w:r>
      <w:r>
        <w:t>ptions</w:t>
      </w:r>
      <w:bookmarkEnd w:id="16"/>
    </w:p>
    <w:p w14:paraId="7956B7CE" w14:textId="77777777" w:rsidR="00667BC2" w:rsidRPr="002741CB" w:rsidRDefault="00667BC2" w:rsidP="00667BC2">
      <w:r>
        <w:rPr>
          <w:color w:val="000000"/>
        </w:rPr>
        <w:t>Aware of the limited options for</w:t>
      </w:r>
      <w:r w:rsidR="00F46768">
        <w:rPr>
          <w:color w:val="000000"/>
        </w:rPr>
        <w:t xml:space="preserve"> the access and preservation of</w:t>
      </w:r>
      <w:r>
        <w:rPr>
          <w:color w:val="000000"/>
        </w:rPr>
        <w:t xml:space="preserve"> archaeological data, Kintigh (2006) called </w:t>
      </w:r>
      <w:r w:rsidRPr="00242AAB">
        <w:rPr>
          <w:color w:val="000000"/>
        </w:rPr>
        <w:t>for a new infrastructure</w:t>
      </w:r>
      <w:r>
        <w:rPr>
          <w:color w:val="000000"/>
        </w:rPr>
        <w:t xml:space="preserve"> to </w:t>
      </w:r>
      <w:r w:rsidRPr="00242AAB">
        <w:rPr>
          <w:color w:val="000000"/>
        </w:rPr>
        <w:t>“foster the development of a new paradigm of int</w:t>
      </w:r>
      <w:r>
        <w:rPr>
          <w:color w:val="000000"/>
        </w:rPr>
        <w:t xml:space="preserve">egrative and synthetic research.” He further </w:t>
      </w:r>
      <w:r w:rsidRPr="002741CB">
        <w:t>presented the tools that this new infrastructure should support.</w:t>
      </w:r>
    </w:p>
    <w:p w14:paraId="0ED65279" w14:textId="77777777" w:rsidR="00667BC2" w:rsidRPr="002741CB" w:rsidRDefault="00667BC2" w:rsidP="002741CB">
      <w:pPr>
        <w:pStyle w:val="Quote"/>
      </w:pPr>
      <w:r w:rsidRPr="002741CB">
        <w:t xml:space="preserve">(1) work at scales not currently possible to answer pressing questions that cannot </w:t>
      </w:r>
      <w:r w:rsidR="002741CB">
        <w:t>n</w:t>
      </w:r>
      <w:r w:rsidRPr="002741CB">
        <w:t xml:space="preserve">ow be addressed because of a lack of effective access to existing data; (2) foster the development of a new paradigm of integrative and synthetic research; (3) scale and integrate archaeological data so that they can be used to address compelling questions in other disciplines; and (4) </w:t>
      </w:r>
      <w:r w:rsidRPr="002741CB">
        <w:lastRenderedPageBreak/>
        <w:t xml:space="preserve">sustain the scientific utility of existing digital data that are critically endangered by media degradation, software obsolescence, and inadequate data documentation (meta-data) (2006, p. 567).  </w:t>
      </w:r>
    </w:p>
    <w:p w14:paraId="4F26B084" w14:textId="77777777" w:rsidR="00667BC2" w:rsidRDefault="00FB7334" w:rsidP="00667BC2">
      <w:r w:rsidRPr="002741CB">
        <w:t>Kintigh provided a clear</w:t>
      </w:r>
      <w:r w:rsidR="00667BC2" w:rsidRPr="002741CB">
        <w:t xml:space="preserve"> rationale for needed improv</w:t>
      </w:r>
      <w:r w:rsidR="00667BC2">
        <w:t>ements:</w:t>
      </w:r>
      <w:r w:rsidR="00667BC2" w:rsidRPr="00242AAB">
        <w:t xml:space="preserve"> </w:t>
      </w:r>
      <w:r w:rsidR="00E83E1E">
        <w:t>(1)</w:t>
      </w:r>
      <w:r w:rsidR="006261BA">
        <w:t xml:space="preserve"> </w:t>
      </w:r>
      <w:r w:rsidR="00667BC2" w:rsidRPr="00242AAB">
        <w:t xml:space="preserve">make data available; </w:t>
      </w:r>
      <w:r w:rsidR="00E83E1E">
        <w:t>(2)</w:t>
      </w:r>
      <w:r w:rsidR="006261BA">
        <w:t xml:space="preserve"> </w:t>
      </w:r>
      <w:r w:rsidR="00667BC2" w:rsidRPr="00242AAB">
        <w:t xml:space="preserve">make </w:t>
      </w:r>
      <w:r w:rsidR="006C6C1F">
        <w:t xml:space="preserve">them </w:t>
      </w:r>
      <w:r w:rsidR="00667BC2" w:rsidRPr="00242AAB">
        <w:t>available for archaeo</w:t>
      </w:r>
      <w:r w:rsidR="00667BC2">
        <w:t xml:space="preserve">logical research questions, </w:t>
      </w:r>
      <w:r w:rsidR="00E83E1E">
        <w:t>(3)</w:t>
      </w:r>
      <w:r w:rsidR="006261BA">
        <w:t xml:space="preserve"> </w:t>
      </w:r>
      <w:r w:rsidR="00667BC2" w:rsidRPr="00242AAB">
        <w:t>for other dis</w:t>
      </w:r>
      <w:r w:rsidR="00667BC2">
        <w:t>ciplines’ research questions,</w:t>
      </w:r>
      <w:r w:rsidR="00667BC2" w:rsidRPr="00242AAB">
        <w:t xml:space="preserve"> and</w:t>
      </w:r>
      <w:r w:rsidR="00E83E1E">
        <w:t xml:space="preserve"> (4)</w:t>
      </w:r>
      <w:r w:rsidR="00667BC2" w:rsidRPr="00242AAB">
        <w:t xml:space="preserve"> for preservation. </w:t>
      </w:r>
      <w:r w:rsidR="00A32B29">
        <w:t>His</w:t>
      </w:r>
      <w:r w:rsidR="00667BC2">
        <w:t xml:space="preserve"> </w:t>
      </w:r>
      <w:r w:rsidR="00E07FBC">
        <w:t>call to action</w:t>
      </w:r>
      <w:r w:rsidR="00E07FBC" w:rsidRPr="00242AAB">
        <w:t xml:space="preserve"> </w:t>
      </w:r>
      <w:r w:rsidR="00667BC2">
        <w:t xml:space="preserve">helped </w:t>
      </w:r>
      <w:r w:rsidR="00667BC2" w:rsidRPr="00242AAB">
        <w:t>le</w:t>
      </w:r>
      <w:r w:rsidR="00667BC2">
        <w:t>a</w:t>
      </w:r>
      <w:r w:rsidR="00667BC2" w:rsidRPr="00242AAB">
        <w:t>d to a significant change to the digital curation landscape with the development in 200</w:t>
      </w:r>
      <w:r w:rsidR="00667BC2">
        <w:t>8</w:t>
      </w:r>
      <w:r w:rsidR="00667BC2" w:rsidRPr="00242AAB">
        <w:t>,</w:t>
      </w:r>
      <w:r w:rsidR="00667BC2">
        <w:t xml:space="preserve"> </w:t>
      </w:r>
      <w:r w:rsidR="00667BC2" w:rsidRPr="00242AAB">
        <w:t xml:space="preserve">of </w:t>
      </w:r>
      <w:r w:rsidR="00667BC2">
        <w:t>an archaeological domain-specific digital repository, the Digital Archival Record (tDAR),</w:t>
      </w:r>
      <w:r w:rsidR="00667BC2" w:rsidRPr="00242AAB">
        <w:t xml:space="preserve"> </w:t>
      </w:r>
      <w:r w:rsidR="00667BC2">
        <w:t>open</w:t>
      </w:r>
      <w:r w:rsidR="00667BC2" w:rsidRPr="00242AAB">
        <w:t>ed in 2009 by Digital Antiquity</w:t>
      </w:r>
      <w:r w:rsidR="00667BC2">
        <w:t>.</w:t>
      </w:r>
      <w:r w:rsidR="00667BC2" w:rsidRPr="00242AAB">
        <w:t xml:space="preserve"> </w:t>
      </w:r>
      <w:r w:rsidR="00A24CE2">
        <w:t xml:space="preserve">Preservation is clearly a major concern for future access to archaeological data, and one that has </w:t>
      </w:r>
      <w:r w:rsidR="00BF18D9">
        <w:t>be well discussed in the literature</w:t>
      </w:r>
      <w:r w:rsidR="00A24CE2">
        <w:t xml:space="preserve"> (</w:t>
      </w:r>
      <w:r w:rsidR="00CD4351">
        <w:t>Childs &amp; Kagan, 2008; Kintigh 2006;</w:t>
      </w:r>
      <w:r w:rsidR="00CD4351" w:rsidRPr="00CD4351">
        <w:t xml:space="preserve"> </w:t>
      </w:r>
      <w:r w:rsidR="00A24CE2">
        <w:t xml:space="preserve">Kintigh &amp; Altschul 2010; </w:t>
      </w:r>
      <w:r w:rsidR="00CD4351" w:rsidRPr="00B6110D">
        <w:t>McManamon, Kintigh</w:t>
      </w:r>
      <w:r w:rsidR="00CD4351">
        <w:t xml:space="preserve"> </w:t>
      </w:r>
      <w:r w:rsidR="00CD4351" w:rsidRPr="00B6110D">
        <w:t>&amp; Brin</w:t>
      </w:r>
      <w:r w:rsidR="00CD4351">
        <w:t>, 2010; Sullivan &amp; Childs 2003; Watts, 2010;</w:t>
      </w:r>
      <w:r w:rsidR="00A24CE2">
        <w:t xml:space="preserve">). </w:t>
      </w:r>
      <w:r w:rsidR="00667BC2" w:rsidRPr="00242AAB">
        <w:t>The goals</w:t>
      </w:r>
      <w:r w:rsidR="00667BC2">
        <w:t xml:space="preserve"> of tDAR </w:t>
      </w:r>
      <w:r w:rsidR="0051531C">
        <w:t>a</w:t>
      </w:r>
      <w:r w:rsidR="0051531C" w:rsidRPr="00242AAB">
        <w:t xml:space="preserve">re </w:t>
      </w:r>
      <w:r w:rsidR="00667BC2" w:rsidRPr="00242AAB">
        <w:t>to increase access and preservation. tDAR “encompasses digital documents and data derived from ongoing archaeological research, as well as legacy data and documents collected through more than a century of archaeological research</w:t>
      </w:r>
      <w:r w:rsidR="00667BC2">
        <w:t xml:space="preserve">” </w:t>
      </w:r>
      <w:r w:rsidR="00667BC2" w:rsidRPr="00242AAB">
        <w:t>(McManamon, Kintigh, &amp; Brin, 2010</w:t>
      </w:r>
      <w:r w:rsidR="00667BC2">
        <w:t>, para. The Digital Archaeological Record</w:t>
      </w:r>
      <w:r w:rsidR="00667BC2" w:rsidRPr="00242AAB">
        <w:t xml:space="preserve">). tDAR </w:t>
      </w:r>
      <w:r w:rsidR="0051531C" w:rsidRPr="00242AAB">
        <w:t>fulfill</w:t>
      </w:r>
      <w:r w:rsidR="0051531C">
        <w:t>s</w:t>
      </w:r>
      <w:r w:rsidR="0051531C" w:rsidRPr="00242AAB">
        <w:t xml:space="preserve"> </w:t>
      </w:r>
      <w:r w:rsidR="00667BC2" w:rsidRPr="00242AAB">
        <w:t>a crucial need</w:t>
      </w:r>
      <w:r w:rsidR="00667BC2">
        <w:t xml:space="preserve">, magnified by the noted </w:t>
      </w:r>
      <w:r w:rsidR="00667BC2" w:rsidRPr="00242AAB">
        <w:t xml:space="preserve">shift by </w:t>
      </w:r>
      <w:r w:rsidR="00667BC2">
        <w:t>f</w:t>
      </w:r>
      <w:r w:rsidR="00667BC2" w:rsidRPr="00242AAB">
        <w:t xml:space="preserve">ederal granting agencies towards </w:t>
      </w:r>
      <w:r w:rsidR="00667BC2">
        <w:t xml:space="preserve">data accountability, and answered some of the </w:t>
      </w:r>
      <w:r w:rsidR="00667BC2" w:rsidRPr="00242AAB">
        <w:t>“intertwined problems of data access,</w:t>
      </w:r>
      <w:r w:rsidR="00667BC2">
        <w:t xml:space="preserve"> and</w:t>
      </w:r>
      <w:r w:rsidR="00667BC2" w:rsidRPr="00242AAB">
        <w:t xml:space="preserve"> preservation”</w:t>
      </w:r>
      <w:r w:rsidR="00667BC2">
        <w:t xml:space="preserve"> (McManamon, Kintigh, &amp; Brin, </w:t>
      </w:r>
      <w:r w:rsidR="00667BC2" w:rsidRPr="00242AAB">
        <w:t>2010</w:t>
      </w:r>
      <w:r w:rsidR="00667BC2">
        <w:t>, para. The Need for Digital Archiving</w:t>
      </w:r>
      <w:r w:rsidR="00667BC2" w:rsidRPr="00242AAB">
        <w:t>)</w:t>
      </w:r>
      <w:r w:rsidR="00667BC2">
        <w:t xml:space="preserve">. The repository is based on </w:t>
      </w:r>
      <w:r w:rsidR="00E07FBC">
        <w:t xml:space="preserve">the </w:t>
      </w:r>
      <w:r w:rsidR="00667BC2">
        <w:t xml:space="preserve">Open Archival Information System (OAIS) </w:t>
      </w:r>
      <w:r w:rsidR="0008645A">
        <w:t>Reference M</w:t>
      </w:r>
      <w:r w:rsidR="00667BC2">
        <w:t xml:space="preserve">odel, and is moving towards trusted repository status. As a relatively new addition to the data landscape, the reach of tDAR is growing, but the expectations for funding digital curation are new to archaeologists and </w:t>
      </w:r>
      <w:r w:rsidR="00F46768">
        <w:t xml:space="preserve">perhaps </w:t>
      </w:r>
      <w:r w:rsidR="00667BC2">
        <w:t xml:space="preserve">slow to develop. </w:t>
      </w:r>
    </w:p>
    <w:p w14:paraId="1A4E9983" w14:textId="77777777" w:rsidR="00667BC2" w:rsidRDefault="00667BC2" w:rsidP="00667BC2">
      <w:r>
        <w:t xml:space="preserve">While access is a primary goal of tDAR, its main audience is other archaeologists. The </w:t>
      </w:r>
      <w:r w:rsidR="006B4F86">
        <w:t>web</w:t>
      </w:r>
      <w:r>
        <w:t xml:space="preserve">site serves as an index to a huge number of archaeological reports, as well as a smaller number of collections datasets, images, and related data. In this way it is helping to address the legacy of grey </w:t>
      </w:r>
      <w:r w:rsidR="000D6009">
        <w:t>literature</w:t>
      </w:r>
      <w:r w:rsidR="0051531C">
        <w:t>,</w:t>
      </w:r>
      <w:r>
        <w:t xml:space="preserve">informally published reports that had been difficult to access. As a research tool, the </w:t>
      </w:r>
      <w:r w:rsidR="006B4F86">
        <w:t xml:space="preserve">website’s </w:t>
      </w:r>
      <w:r>
        <w:lastRenderedPageBreak/>
        <w:t xml:space="preserve">digital objects have been enhanced with metadata to improve discovery, and there is a map interface that allows query by area, and faceted search queries through resource, collection, institution and person. While the </w:t>
      </w:r>
      <w:r w:rsidR="006B4F86">
        <w:t xml:space="preserve">website </w:t>
      </w:r>
      <w:r>
        <w:t>is likely to develop, at present it offers limited options for the non-professional; for tDAR’s outreach the “emphasis at this time is on the college and graduate students” (tDAR, 2014).</w:t>
      </w:r>
      <w:r w:rsidR="00EB1735">
        <w:t xml:space="preserve"> </w:t>
      </w:r>
      <w:r w:rsidR="00585563">
        <w:rPr>
          <w:color w:val="000000"/>
        </w:rPr>
        <w:t xml:space="preserve">While growing, at the time of </w:t>
      </w:r>
      <w:r w:rsidR="0008645A">
        <w:rPr>
          <w:color w:val="000000"/>
        </w:rPr>
        <w:t xml:space="preserve">this </w:t>
      </w:r>
      <w:r w:rsidR="00585563">
        <w:rPr>
          <w:color w:val="000000"/>
        </w:rPr>
        <w:t>writing</w:t>
      </w:r>
      <w:r w:rsidR="002C2DBF">
        <w:rPr>
          <w:color w:val="000000"/>
        </w:rPr>
        <w:t>,</w:t>
      </w:r>
      <w:r w:rsidR="00585563">
        <w:rPr>
          <w:color w:val="000000"/>
        </w:rPr>
        <w:t xml:space="preserve"> tDAR </w:t>
      </w:r>
      <w:r w:rsidR="00EB1735">
        <w:rPr>
          <w:color w:val="000000"/>
        </w:rPr>
        <w:t>holds only a fraction of Virginia</w:t>
      </w:r>
      <w:r w:rsidR="00585563">
        <w:rPr>
          <w:color w:val="000000"/>
        </w:rPr>
        <w:t xml:space="preserve"> archaeological sites</w:t>
      </w:r>
      <w:r w:rsidR="00EB1735">
        <w:rPr>
          <w:color w:val="000000"/>
        </w:rPr>
        <w:t>.</w:t>
      </w:r>
    </w:p>
    <w:p w14:paraId="5463FD19" w14:textId="77777777" w:rsidR="00667BC2" w:rsidRDefault="00667BC2" w:rsidP="00667BC2">
      <w:r>
        <w:t xml:space="preserve">For archaeology, there </w:t>
      </w:r>
      <w:r w:rsidRPr="00242AAB">
        <w:t xml:space="preserve">are only two repositories currently directly referenced by </w:t>
      </w:r>
      <w:r w:rsidR="0051531C">
        <w:t>the</w:t>
      </w:r>
      <w:r w:rsidR="0069191A">
        <w:t xml:space="preserve"> </w:t>
      </w:r>
      <w:r w:rsidRPr="00242AAB">
        <w:t>National Science Foundation</w:t>
      </w:r>
      <w:r w:rsidR="0008645A">
        <w:t xml:space="preserve"> (</w:t>
      </w:r>
      <w:r w:rsidR="0008645A" w:rsidRPr="00242AAB">
        <w:t>NSF</w:t>
      </w:r>
      <w:r w:rsidR="0008645A">
        <w:t>) (National Science Foundation</w:t>
      </w:r>
      <w:r w:rsidRPr="00242AAB">
        <w:t>, n.d</w:t>
      </w:r>
      <w:r w:rsidR="00D72D4A">
        <w:t>.</w:t>
      </w:r>
      <w:r w:rsidRPr="00242AAB">
        <w:t>)</w:t>
      </w:r>
      <w:r>
        <w:t xml:space="preserve">. One is tDAR and the other is Open Context </w:t>
      </w:r>
      <w:r w:rsidR="008B4066">
        <w:t xml:space="preserve">(opencontext.org) </w:t>
      </w:r>
      <w:r>
        <w:t xml:space="preserve">which provides access tools and archive options through a cooperative agreement with the University of California, California Digital Library. Open Context is strongly tied to open data standards and publishes its data within a Linked Open Data environment. Its ingestion process aligns data to broad standards, enabling searching across </w:t>
      </w:r>
      <w:r w:rsidR="002B5262">
        <w:t xml:space="preserve">archaeological </w:t>
      </w:r>
      <w:r>
        <w:t>sites, and it is developing ontologies to manage archaeology’s varied descriptive language. Open Context offers researcher the chance to look at archaeological data across national and international boundaries, rather than in the varied silos of specific</w:t>
      </w:r>
      <w:r w:rsidR="002B5262">
        <w:t xml:space="preserve"> archaeological</w:t>
      </w:r>
      <w:r>
        <w:t xml:space="preserve"> sites. </w:t>
      </w:r>
      <w:r w:rsidR="008B4066">
        <w:t>I</w:t>
      </w:r>
      <w:r>
        <w:t xml:space="preserve">ts North American collections are </w:t>
      </w:r>
      <w:r w:rsidR="008B4066">
        <w:t xml:space="preserve">focused in the </w:t>
      </w:r>
      <w:r w:rsidR="0051531C">
        <w:t>South</w:t>
      </w:r>
      <w:r w:rsidR="008B4066">
        <w:t xml:space="preserve">east and include </w:t>
      </w:r>
      <w:r w:rsidR="00EB1735">
        <w:t xml:space="preserve">Virginia data, </w:t>
      </w:r>
      <w:r>
        <w:t>th</w:t>
      </w:r>
      <w:r w:rsidR="0051531C">
        <w:t>r</w:t>
      </w:r>
      <w:r>
        <w:t>ough the aforementioned DINAA project</w:t>
      </w:r>
      <w:r w:rsidR="00EB1735">
        <w:t xml:space="preserve"> </w:t>
      </w:r>
      <w:r w:rsidR="00EB1735">
        <w:rPr>
          <w:color w:val="000000"/>
        </w:rPr>
        <w:t>(Heritage Bytes, 2012)</w:t>
      </w:r>
      <w:r>
        <w:t>.</w:t>
      </w:r>
      <w:r w:rsidR="008B4066">
        <w:t xml:space="preserve"> At present it includes very little collections data.</w:t>
      </w:r>
    </w:p>
    <w:p w14:paraId="1AF17F00" w14:textId="77777777" w:rsidR="00667BC2" w:rsidRDefault="00667BC2" w:rsidP="00667BC2">
      <w:r>
        <w:t xml:space="preserve">Both tDAR and Open Context are looking at a number of funding </w:t>
      </w:r>
      <w:r w:rsidR="0051531C">
        <w:t xml:space="preserve">models </w:t>
      </w:r>
      <w:r>
        <w:t xml:space="preserve">that include charging for the archiving of data. Though current grants are more likely to </w:t>
      </w:r>
      <w:r w:rsidR="007C30B6">
        <w:t xml:space="preserve">encourage </w:t>
      </w:r>
      <w:r>
        <w:t xml:space="preserve">funding for digital preservation, archaeology has been slow to move to support funding for digital preservation. Funding options for all projects, but particularly for existing collections, many not digitized, seem </w:t>
      </w:r>
      <w:r w:rsidR="0069191A">
        <w:t xml:space="preserve">to be </w:t>
      </w:r>
      <w:r>
        <w:t>a future challenge and a further impediment to resource sharing.</w:t>
      </w:r>
    </w:p>
    <w:p w14:paraId="3DA1F173" w14:textId="77777777" w:rsidR="00667BC2" w:rsidRDefault="00667BC2" w:rsidP="00667BC2">
      <w:r w:rsidRPr="00242AAB">
        <w:t>Kansa and</w:t>
      </w:r>
      <w:r>
        <w:t xml:space="preserve"> Kansa (2011) conducted a survey of </w:t>
      </w:r>
      <w:r w:rsidR="002B5262">
        <w:t>web</w:t>
      </w:r>
      <w:r>
        <w:t xml:space="preserve">sites as part of their white paper on “Enhancing Humanities Research Productivity.” The scope of their study was worldwide, and included </w:t>
      </w:r>
      <w:r>
        <w:lastRenderedPageBreak/>
        <w:t xml:space="preserve">few specific American references, but they included 25 </w:t>
      </w:r>
      <w:r w:rsidR="002B5262">
        <w:t>web</w:t>
      </w:r>
      <w:r>
        <w:t>sites sharing culturally</w:t>
      </w:r>
      <w:r w:rsidR="0051531C">
        <w:t>-</w:t>
      </w:r>
      <w:r>
        <w:t>related digital heritage collections. Their critique, perhaps reflecting their advocacy for open data, noted a need for better web architecture, machine interaction and data aggregation (p. 30), while minimizing issues of “</w:t>
      </w:r>
      <w:r w:rsidRPr="00571474">
        <w:t>appearance and front-end design</w:t>
      </w:r>
      <w:r>
        <w:t xml:space="preserve">” (p. 2). </w:t>
      </w:r>
    </w:p>
    <w:p w14:paraId="08B8A970" w14:textId="77777777" w:rsidR="00667BC2" w:rsidRDefault="00667BC2" w:rsidP="00247CEB">
      <w:pPr>
        <w:rPr>
          <w:rFonts w:ascii="Calibri" w:hAnsi="Calibri"/>
          <w:shd w:val="clear" w:color="auto" w:fill="FFFFFF"/>
        </w:rPr>
      </w:pPr>
      <w:r>
        <w:t xml:space="preserve">Several </w:t>
      </w:r>
      <w:r w:rsidR="009F26C9">
        <w:t>web</w:t>
      </w:r>
      <w:r>
        <w:t>sites provide potential models for future projects</w:t>
      </w:r>
      <w:r w:rsidR="00295DA7">
        <w:t xml:space="preserve"> and evolving data models</w:t>
      </w:r>
      <w:r>
        <w:t xml:space="preserve">. </w:t>
      </w:r>
      <w:r w:rsidRPr="000F61F4">
        <w:rPr>
          <w:rFonts w:ascii="Calibri" w:hAnsi="Calibri"/>
        </w:rPr>
        <w:t>Gabii Goes Digital</w:t>
      </w:r>
      <w:r w:rsidR="005A524C">
        <w:rPr>
          <w:rFonts w:ascii="Calibri" w:hAnsi="Calibri"/>
        </w:rPr>
        <w:t xml:space="preserve"> (</w:t>
      </w:r>
      <w:r w:rsidR="00247CEB" w:rsidRPr="000F61F4">
        <w:rPr>
          <w:rFonts w:ascii="Calibri" w:hAnsi="Calibri"/>
          <w:shd w:val="clear" w:color="auto" w:fill="FFFFFF"/>
        </w:rPr>
        <w:t>http://gabiiserver.adsroot.itcs.umich.edu/gabiigoesdigital</w:t>
      </w:r>
      <w:r w:rsidR="00247CEB" w:rsidRPr="000F61F4">
        <w:rPr>
          <w:rFonts w:ascii="Calibri" w:hAnsi="Calibri"/>
        </w:rPr>
        <w:t>)</w:t>
      </w:r>
      <w:r w:rsidRPr="000F61F4">
        <w:rPr>
          <w:rFonts w:ascii="Calibri" w:hAnsi="Calibri"/>
        </w:rPr>
        <w:t xml:space="preserve"> </w:t>
      </w:r>
      <w:r w:rsidR="00247CEB">
        <w:rPr>
          <w:rFonts w:ascii="Calibri" w:hAnsi="Calibri"/>
        </w:rPr>
        <w:t xml:space="preserve">is a </w:t>
      </w:r>
      <w:r w:rsidRPr="000F61F4">
        <w:rPr>
          <w:rFonts w:ascii="Calibri" w:hAnsi="Calibri"/>
        </w:rPr>
        <w:t xml:space="preserve">website </w:t>
      </w:r>
      <w:r w:rsidR="00247CEB">
        <w:rPr>
          <w:rFonts w:ascii="Calibri" w:hAnsi="Calibri"/>
        </w:rPr>
        <w:t xml:space="preserve">based on archaeological excavations in central Italy. The </w:t>
      </w:r>
      <w:r w:rsidR="006B4F86">
        <w:t xml:space="preserve">website </w:t>
      </w:r>
      <w:r w:rsidR="00247CEB">
        <w:rPr>
          <w:rFonts w:ascii="Calibri" w:hAnsi="Calibri"/>
        </w:rPr>
        <w:t>features peer reviewed publication of digital 3</w:t>
      </w:r>
      <w:r w:rsidR="004C2B0D">
        <w:rPr>
          <w:rFonts w:ascii="Calibri" w:hAnsi="Calibri"/>
        </w:rPr>
        <w:t>-</w:t>
      </w:r>
      <w:r w:rsidR="00247CEB">
        <w:rPr>
          <w:rFonts w:ascii="Calibri" w:hAnsi="Calibri"/>
        </w:rPr>
        <w:t>D models and complex, interactive datasets. In a review</w:t>
      </w:r>
      <w:r w:rsidR="0051531C">
        <w:rPr>
          <w:rFonts w:ascii="Calibri" w:hAnsi="Calibri"/>
        </w:rPr>
        <w:t xml:space="preserve"> of the site, </w:t>
      </w:r>
      <w:r w:rsidR="00247CEB">
        <w:rPr>
          <w:rFonts w:ascii="Calibri" w:hAnsi="Calibri"/>
        </w:rPr>
        <w:t xml:space="preserve">Nebbia (2014) notes that </w:t>
      </w:r>
      <w:r w:rsidR="00E83E1E">
        <w:rPr>
          <w:rFonts w:ascii="Calibri" w:hAnsi="Calibri"/>
        </w:rPr>
        <w:t xml:space="preserve">Gabii </w:t>
      </w:r>
      <w:r w:rsidR="00247CEB">
        <w:rPr>
          <w:rFonts w:ascii="Calibri" w:hAnsi="Calibri"/>
        </w:rPr>
        <w:t>tries to reach both a scholarly and public audience featuring a “peer-reviewed framework for 3</w:t>
      </w:r>
      <w:r w:rsidR="004C2B0D">
        <w:rPr>
          <w:rFonts w:ascii="Calibri" w:hAnsi="Calibri"/>
        </w:rPr>
        <w:t>-</w:t>
      </w:r>
      <w:r w:rsidR="00247CEB">
        <w:rPr>
          <w:rFonts w:ascii="Calibri" w:hAnsi="Calibri"/>
        </w:rPr>
        <w:t>D data and general greater use of digital data in archaeology</w:t>
      </w:r>
      <w:r w:rsidR="0008645A">
        <w:rPr>
          <w:rFonts w:ascii="Calibri" w:hAnsi="Calibri"/>
        </w:rPr>
        <w:t>”</w:t>
      </w:r>
      <w:r w:rsidR="00467CD6">
        <w:rPr>
          <w:rFonts w:ascii="Calibri" w:hAnsi="Calibri"/>
        </w:rPr>
        <w:t xml:space="preserve"> (section: A new standard for archaeological publications).</w:t>
      </w:r>
      <w:r w:rsidR="00247CEB">
        <w:rPr>
          <w:rFonts w:ascii="Calibri" w:hAnsi="Calibri"/>
        </w:rPr>
        <w:t xml:space="preserve"> </w:t>
      </w:r>
      <w:r w:rsidRPr="000F61F4">
        <w:rPr>
          <w:rFonts w:ascii="Calibri" w:hAnsi="Calibri"/>
          <w:shd w:val="clear" w:color="auto" w:fill="FFFFFF"/>
        </w:rPr>
        <w:t>In trying to engage (and help train) a community of peer reviewers</w:t>
      </w:r>
      <w:r w:rsidR="0051531C">
        <w:rPr>
          <w:rFonts w:ascii="Calibri" w:hAnsi="Calibri"/>
          <w:shd w:val="clear" w:color="auto" w:fill="FFFFFF"/>
        </w:rPr>
        <w:t>,</w:t>
      </w:r>
      <w:r w:rsidRPr="000F61F4">
        <w:rPr>
          <w:rFonts w:ascii="Calibri" w:hAnsi="Calibri"/>
          <w:shd w:val="clear" w:color="auto" w:fill="FFFFFF"/>
        </w:rPr>
        <w:t xml:space="preserve"> the </w:t>
      </w:r>
      <w:r w:rsidR="006B4F86">
        <w:t xml:space="preserve">website </w:t>
      </w:r>
      <w:r w:rsidRPr="000F61F4">
        <w:rPr>
          <w:rFonts w:ascii="Calibri" w:hAnsi="Calibri"/>
          <w:shd w:val="clear" w:color="auto" w:fill="FFFFFF"/>
        </w:rPr>
        <w:t xml:space="preserve">is </w:t>
      </w:r>
      <w:r>
        <w:rPr>
          <w:rFonts w:ascii="Calibri" w:hAnsi="Calibri"/>
          <w:shd w:val="clear" w:color="auto" w:fill="FFFFFF"/>
        </w:rPr>
        <w:t>seeking</w:t>
      </w:r>
      <w:r w:rsidRPr="000F61F4">
        <w:rPr>
          <w:rFonts w:ascii="Calibri" w:hAnsi="Calibri"/>
          <w:shd w:val="clear" w:color="auto" w:fill="FFFFFF"/>
        </w:rPr>
        <w:t xml:space="preserve"> to allow critical review of its findings</w:t>
      </w:r>
      <w:r w:rsidR="00CD4351">
        <w:rPr>
          <w:rFonts w:ascii="Calibri" w:hAnsi="Calibri"/>
          <w:shd w:val="clear" w:color="auto" w:fill="FFFFFF"/>
        </w:rPr>
        <w:t>. T</w:t>
      </w:r>
      <w:r w:rsidRPr="000F61F4">
        <w:rPr>
          <w:rFonts w:ascii="Calibri" w:hAnsi="Calibri"/>
          <w:shd w:val="clear" w:color="auto" w:fill="FFFFFF"/>
        </w:rPr>
        <w:t>he project itself implicitly presents the difficulties of challenging the presented narrative</w:t>
      </w:r>
      <w:r w:rsidR="00CD4351">
        <w:rPr>
          <w:rFonts w:ascii="Calibri" w:hAnsi="Calibri"/>
          <w:shd w:val="clear" w:color="auto" w:fill="FFFFFF"/>
        </w:rPr>
        <w:t>,</w:t>
      </w:r>
      <w:r w:rsidRPr="000F61F4">
        <w:rPr>
          <w:rFonts w:ascii="Calibri" w:hAnsi="Calibri"/>
          <w:shd w:val="clear" w:color="auto" w:fill="FFFFFF"/>
        </w:rPr>
        <w:t xml:space="preserve"> </w:t>
      </w:r>
      <w:r w:rsidR="00A36670">
        <w:rPr>
          <w:rFonts w:ascii="Calibri" w:hAnsi="Calibri"/>
          <w:shd w:val="clear" w:color="auto" w:fill="FFFFFF"/>
        </w:rPr>
        <w:t xml:space="preserve">at this and other </w:t>
      </w:r>
      <w:r w:rsidR="002B5262">
        <w:rPr>
          <w:rFonts w:ascii="Calibri" w:hAnsi="Calibri"/>
          <w:shd w:val="clear" w:color="auto" w:fill="FFFFFF"/>
        </w:rPr>
        <w:t>web</w:t>
      </w:r>
      <w:r w:rsidR="00A36670">
        <w:rPr>
          <w:rFonts w:ascii="Calibri" w:hAnsi="Calibri"/>
          <w:shd w:val="clear" w:color="auto" w:fill="FFFFFF"/>
        </w:rPr>
        <w:t xml:space="preserve">sites, </w:t>
      </w:r>
      <w:r w:rsidR="00CD4351">
        <w:rPr>
          <w:rFonts w:ascii="Calibri" w:hAnsi="Calibri"/>
          <w:shd w:val="clear" w:color="auto" w:fill="FFFFFF"/>
        </w:rPr>
        <w:t xml:space="preserve">since it is has felt the need to create </w:t>
      </w:r>
      <w:r w:rsidR="00A36670">
        <w:rPr>
          <w:rFonts w:ascii="Calibri" w:hAnsi="Calibri"/>
          <w:shd w:val="clear" w:color="auto" w:fill="FFFFFF"/>
        </w:rPr>
        <w:t xml:space="preserve">training and education </w:t>
      </w:r>
      <w:r w:rsidR="00CD4351">
        <w:rPr>
          <w:rFonts w:ascii="Calibri" w:hAnsi="Calibri"/>
          <w:shd w:val="clear" w:color="auto" w:fill="FFFFFF"/>
        </w:rPr>
        <w:t xml:space="preserve">content for </w:t>
      </w:r>
      <w:r w:rsidR="00A36670">
        <w:rPr>
          <w:rFonts w:ascii="Calibri" w:hAnsi="Calibri"/>
          <w:shd w:val="clear" w:color="auto" w:fill="FFFFFF"/>
        </w:rPr>
        <w:t>potential revi</w:t>
      </w:r>
      <w:r w:rsidR="00B16502">
        <w:rPr>
          <w:rFonts w:ascii="Calibri" w:hAnsi="Calibri"/>
          <w:shd w:val="clear" w:color="auto" w:fill="FFFFFF"/>
        </w:rPr>
        <w:t>e</w:t>
      </w:r>
      <w:r w:rsidR="00A36670">
        <w:rPr>
          <w:rFonts w:ascii="Calibri" w:hAnsi="Calibri"/>
          <w:shd w:val="clear" w:color="auto" w:fill="FFFFFF"/>
        </w:rPr>
        <w:t>wers.</w:t>
      </w:r>
      <w:r w:rsidR="00247CEB">
        <w:rPr>
          <w:rFonts w:ascii="Calibri" w:hAnsi="Calibri"/>
          <w:shd w:val="clear" w:color="auto" w:fill="FFFFFF"/>
        </w:rPr>
        <w:t xml:space="preserve"> Archaeologists will increasingly have to deal with these, and other, </w:t>
      </w:r>
      <w:r w:rsidR="0051531C">
        <w:rPr>
          <w:rFonts w:ascii="Calibri" w:hAnsi="Calibri"/>
          <w:shd w:val="clear" w:color="auto" w:fill="FFFFFF"/>
        </w:rPr>
        <w:t xml:space="preserve">forms of </w:t>
      </w:r>
      <w:r w:rsidR="00247CEB">
        <w:rPr>
          <w:rFonts w:ascii="Calibri" w:hAnsi="Calibri"/>
          <w:shd w:val="clear" w:color="auto" w:fill="FFFFFF"/>
        </w:rPr>
        <w:t>born-digital data content, with related issues of data-sharing and preservation.</w:t>
      </w:r>
    </w:p>
    <w:p w14:paraId="2F48ED4E" w14:textId="77777777" w:rsidR="00667BC2" w:rsidRDefault="00667BC2" w:rsidP="00667BC2">
      <w:r>
        <w:t>The regional solution provided by T</w:t>
      </w:r>
      <w:r w:rsidRPr="00242AAB">
        <w:t>he Digital Archaeological Archive of Comparative Slavery (DAACS)</w:t>
      </w:r>
      <w:r>
        <w:t xml:space="preserve"> shows the value of a project website. DAACS </w:t>
      </w:r>
      <w:r w:rsidRPr="00242AAB">
        <w:t xml:space="preserve">has become a </w:t>
      </w:r>
      <w:r>
        <w:t xml:space="preserve">gold standard </w:t>
      </w:r>
      <w:r w:rsidRPr="00242AAB">
        <w:t>for data sharing in historical archaeology</w:t>
      </w:r>
      <w:r w:rsidR="00A36670">
        <w:t>,</w:t>
      </w:r>
      <w:r>
        <w:t xml:space="preserve"> and received the Society for Historical Archaeology Award of Merit in 2007</w:t>
      </w:r>
      <w:r w:rsidRPr="00242AAB">
        <w:t xml:space="preserve">. </w:t>
      </w:r>
      <w:r w:rsidR="00E83E1E">
        <w:t xml:space="preserve">The website </w:t>
      </w:r>
      <w:r>
        <w:t xml:space="preserve">(daacs.org) </w:t>
      </w:r>
      <w:r w:rsidR="00E83E1E">
        <w:t xml:space="preserve">went live in </w:t>
      </w:r>
      <w:r w:rsidRPr="00242AAB">
        <w:t>2004</w:t>
      </w:r>
      <w:r w:rsidR="00E83E1E">
        <w:t xml:space="preserve"> and </w:t>
      </w:r>
      <w:r w:rsidRPr="00242AAB">
        <w:t xml:space="preserve">offers access to the collections of </w:t>
      </w:r>
      <w:r w:rsidR="002B5262">
        <w:t>archaeological</w:t>
      </w:r>
      <w:r w:rsidR="002B5262" w:rsidRPr="00242AAB">
        <w:t xml:space="preserve"> </w:t>
      </w:r>
      <w:r w:rsidRPr="00242AAB">
        <w:t>sites from the Chesapeake</w:t>
      </w:r>
      <w:r>
        <w:t xml:space="preserve"> (Virginia, Maryland), the Southeast (</w:t>
      </w:r>
      <w:r w:rsidRPr="00242AAB">
        <w:t>South Carolina, Tennessee</w:t>
      </w:r>
      <w:r>
        <w:t>)</w:t>
      </w:r>
      <w:r w:rsidRPr="00242AAB">
        <w:t xml:space="preserve">, and </w:t>
      </w:r>
      <w:r>
        <w:t xml:space="preserve">the </w:t>
      </w:r>
      <w:r w:rsidRPr="00242AAB">
        <w:t>Caribbean</w:t>
      </w:r>
      <w:r>
        <w:t xml:space="preserve"> (Jamaica, Nevis, St. Kitts)</w:t>
      </w:r>
      <w:r w:rsidRPr="00242AAB">
        <w:t xml:space="preserve">. </w:t>
      </w:r>
      <w:r>
        <w:t>It has received major support from</w:t>
      </w:r>
      <w:r w:rsidR="0008645A">
        <w:t xml:space="preserve"> the</w:t>
      </w:r>
      <w:r>
        <w:t xml:space="preserve"> Mellon </w:t>
      </w:r>
      <w:r w:rsidR="0008645A">
        <w:t xml:space="preserve">Foundation </w:t>
      </w:r>
      <w:r>
        <w:t xml:space="preserve">and the National Endowment for the Humanities (NEH), as well as other funding agencies. </w:t>
      </w:r>
      <w:r w:rsidRPr="00242AAB">
        <w:t>Compatibility is achieved through rigorous cataloging protocols and controlled vocabularies</w:t>
      </w:r>
      <w:r>
        <w:t>,</w:t>
      </w:r>
      <w:r w:rsidRPr="00242AAB">
        <w:t xml:space="preserve"> with </w:t>
      </w:r>
      <w:r>
        <w:t>all</w:t>
      </w:r>
      <w:r w:rsidRPr="00242AAB">
        <w:t xml:space="preserve"> of the </w:t>
      </w:r>
      <w:r w:rsidR="002B5262">
        <w:t>archaeological</w:t>
      </w:r>
      <w:r w:rsidR="0051531C">
        <w:t xml:space="preserve"> collections</w:t>
      </w:r>
      <w:r w:rsidRPr="00242AAB">
        <w:t xml:space="preserve"> cataloged, or</w:t>
      </w:r>
      <w:r>
        <w:t xml:space="preserve"> partially</w:t>
      </w:r>
      <w:r w:rsidRPr="00242AAB">
        <w:t xml:space="preserve"> re-cataloged</w:t>
      </w:r>
      <w:r>
        <w:t>,</w:t>
      </w:r>
      <w:r w:rsidRPr="00242AAB">
        <w:t xml:space="preserve"> at the DAACS curation lab. Some issues of </w:t>
      </w:r>
      <w:r w:rsidR="00EF2F17">
        <w:rPr>
          <w:rFonts w:cs="Times New Roman"/>
        </w:rPr>
        <w:t xml:space="preserve">archaeological </w:t>
      </w:r>
      <w:r w:rsidRPr="00242AAB">
        <w:lastRenderedPageBreak/>
        <w:t>site compar</w:t>
      </w:r>
      <w:r>
        <w:t>ability</w:t>
      </w:r>
      <w:r w:rsidRPr="00242AAB">
        <w:t xml:space="preserve"> remain</w:t>
      </w:r>
      <w:r w:rsidR="00EF2F17">
        <w:t>,</w:t>
      </w:r>
      <w:r w:rsidRPr="00242AAB">
        <w:t xml:space="preserve"> due to </w:t>
      </w:r>
      <w:r>
        <w:t>diverse</w:t>
      </w:r>
      <w:r w:rsidRPr="00242AAB">
        <w:t xml:space="preserve"> ex</w:t>
      </w:r>
      <w:r>
        <w:t xml:space="preserve">cavation methodologies, but this </w:t>
      </w:r>
      <w:r w:rsidR="004C6685">
        <w:t>“site metadata”</w:t>
      </w:r>
      <w:r>
        <w:t xml:space="preserve"> is</w:t>
      </w:r>
      <w:r w:rsidRPr="00242AAB">
        <w:t xml:space="preserve"> available to researchers </w:t>
      </w:r>
      <w:r>
        <w:t>when visiting</w:t>
      </w:r>
      <w:r w:rsidRPr="00242AAB">
        <w:t xml:space="preserve"> the </w:t>
      </w:r>
      <w:r>
        <w:t>web</w:t>
      </w:r>
      <w:r w:rsidRPr="00242AAB">
        <w:t>site. For archaeologists</w:t>
      </w:r>
      <w:r>
        <w:t>,</w:t>
      </w:r>
      <w:r w:rsidRPr="00242AAB">
        <w:t xml:space="preserve"> the </w:t>
      </w:r>
      <w:r>
        <w:t>web</w:t>
      </w:r>
      <w:r w:rsidRPr="00242AAB">
        <w:t>site offers an unparalleled set of data for studying issues of slavery</w:t>
      </w:r>
      <w:r>
        <w:t>.</w:t>
      </w:r>
      <w:r w:rsidRPr="00242AAB">
        <w:t xml:space="preserve"> </w:t>
      </w:r>
      <w:r>
        <w:t xml:space="preserve">The impetus behind </w:t>
      </w:r>
      <w:r w:rsidRPr="00242AAB">
        <w:t xml:space="preserve">DAACS </w:t>
      </w:r>
      <w:r>
        <w:t>was to enable sophisticated</w:t>
      </w:r>
      <w:r w:rsidRPr="00242AAB">
        <w:t xml:space="preserve"> quantitative analysis of site assemblages </w:t>
      </w:r>
      <w:r>
        <w:t xml:space="preserve">– something </w:t>
      </w:r>
      <w:r w:rsidRPr="00242AAB">
        <w:t>that</w:t>
      </w:r>
      <w:r>
        <w:t xml:space="preserve"> can be challenging even to other archaeologists</w:t>
      </w:r>
      <w:r w:rsidRPr="00242AAB">
        <w:t xml:space="preserve">. </w:t>
      </w:r>
      <w:r w:rsidR="004C6685">
        <w:t>R</w:t>
      </w:r>
      <w:r>
        <w:t>ecently,</w:t>
      </w:r>
      <w:r w:rsidRPr="00242AAB">
        <w:t xml:space="preserve"> </w:t>
      </w:r>
      <w:r w:rsidR="004C6685">
        <w:t xml:space="preserve">however, </w:t>
      </w:r>
      <w:r w:rsidRPr="00242AAB">
        <w:t xml:space="preserve">object galleries </w:t>
      </w:r>
      <w:r>
        <w:t xml:space="preserve">have been added with </w:t>
      </w:r>
      <w:r w:rsidRPr="00242AAB">
        <w:t>more visual data</w:t>
      </w:r>
      <w:r>
        <w:t xml:space="preserve"> - images and summary reports – and a</w:t>
      </w:r>
      <w:r w:rsidRPr="00242AAB">
        <w:t xml:space="preserve"> revamped </w:t>
      </w:r>
      <w:r w:rsidR="006B4F86">
        <w:t xml:space="preserve">website </w:t>
      </w:r>
      <w:r w:rsidRPr="00242AAB">
        <w:t xml:space="preserve">design </w:t>
      </w:r>
      <w:r>
        <w:t xml:space="preserve">that </w:t>
      </w:r>
      <w:r w:rsidRPr="00242AAB">
        <w:t>makes the content accessible</w:t>
      </w:r>
      <w:r w:rsidR="008909E4">
        <w:t xml:space="preserve"> to a wider audience</w:t>
      </w:r>
      <w:r w:rsidRPr="00242AAB">
        <w:t>.</w:t>
      </w:r>
      <w:r>
        <w:t xml:space="preserve"> To understand colonoware (a form of locally made coarse earthenware)</w:t>
      </w:r>
      <w:r w:rsidR="00467CD6">
        <w:t>,</w:t>
      </w:r>
      <w:r>
        <w:t xml:space="preserve"> a visitor can now look at </w:t>
      </w:r>
      <w:r w:rsidRPr="00C81CF1">
        <w:t>http://www.daacs.org/galleries/colonoware/</w:t>
      </w:r>
      <w:r>
        <w:t xml:space="preserve"> which provides examples, images, and a summary statement on this type </w:t>
      </w:r>
      <w:r w:rsidR="0051531C">
        <w:t>artifact</w:t>
      </w:r>
      <w:r>
        <w:t xml:space="preserve">. In this way the </w:t>
      </w:r>
      <w:r w:rsidR="006B4F86">
        <w:t xml:space="preserve">website </w:t>
      </w:r>
      <w:r>
        <w:t xml:space="preserve">has broadened its reach, acting as both a repository and a gatekeeper, offering </w:t>
      </w:r>
      <w:r w:rsidR="00CD4351">
        <w:t>multiple</w:t>
      </w:r>
      <w:r>
        <w:t xml:space="preserve"> views of the primary material.</w:t>
      </w:r>
    </w:p>
    <w:p w14:paraId="1BC484FB" w14:textId="77777777" w:rsidR="00667BC2" w:rsidRDefault="00667BC2" w:rsidP="00667BC2">
      <w:r>
        <w:t>DAACS is now launching the DAACS Research Consortium (DRC). This</w:t>
      </w:r>
      <w:r w:rsidR="0051531C">
        <w:t xml:space="preserve"> initiative</w:t>
      </w:r>
      <w:r>
        <w:t xml:space="preserve"> will allow institutions to catalog their own data, using DAACS protocols, into a new cloud-based web interface. The first training sessions were undertaken in May 2014. While </w:t>
      </w:r>
      <w:r w:rsidR="0051531C">
        <w:t xml:space="preserve">the initiative </w:t>
      </w:r>
      <w:r>
        <w:t xml:space="preserve">is currently limited to invited partners, the possibility exists that </w:t>
      </w:r>
      <w:r w:rsidR="0051531C">
        <w:t xml:space="preserve">the results of the DRC pilot project </w:t>
      </w:r>
      <w:r>
        <w:t xml:space="preserve">could </w:t>
      </w:r>
      <w:r w:rsidR="0051531C">
        <w:t>provide</w:t>
      </w:r>
      <w:r w:rsidR="0069191A">
        <w:t xml:space="preserve"> </w:t>
      </w:r>
      <w:r>
        <w:t xml:space="preserve">a significant new option for historical </w:t>
      </w:r>
      <w:r w:rsidR="002B5262">
        <w:t xml:space="preserve">archaeology </w:t>
      </w:r>
      <w:r>
        <w:t>sites.</w:t>
      </w:r>
    </w:p>
    <w:p w14:paraId="5D2E5B23" w14:textId="77777777" w:rsidR="00667BC2" w:rsidRPr="00242AAB" w:rsidRDefault="00667BC2" w:rsidP="00667BC2">
      <w:r w:rsidRPr="00242AAB">
        <w:t>The Comparative Archaeological Study of Colonial Chesapeake Culture</w:t>
      </w:r>
      <w:r>
        <w:t xml:space="preserve"> (</w:t>
      </w:r>
      <w:r w:rsidRPr="00242AAB">
        <w:t>chesapeakearchaeology.org/</w:t>
      </w:r>
      <w:r w:rsidRPr="00242AAB">
        <w:rPr>
          <w:rFonts w:ascii="Arial" w:hAnsi="Arial" w:cs="Arial"/>
        </w:rPr>
        <w:t>‎</w:t>
      </w:r>
      <w:r w:rsidRPr="00242AAB">
        <w:rPr>
          <w:rFonts w:cs="Arial"/>
        </w:rPr>
        <w:t>)</w:t>
      </w:r>
      <w:r>
        <w:t xml:space="preserve"> has provided a similar approach with</w:t>
      </w:r>
      <w:r w:rsidR="00E2256C">
        <w:t xml:space="preserve"> providing data pertaining to</w:t>
      </w:r>
      <w:r>
        <w:t xml:space="preserve"> </w:t>
      </w:r>
      <w:r w:rsidR="0092500A">
        <w:t xml:space="preserve">a number of </w:t>
      </w:r>
      <w:r w:rsidR="002B5262">
        <w:t xml:space="preserve">archaeological </w:t>
      </w:r>
      <w:r>
        <w:t xml:space="preserve">sites within a tight regional cluster. Comparable collections information is provided at a more basic level than DAACS, but the datasets (artifacts and field records) can be queried across all </w:t>
      </w:r>
      <w:r w:rsidR="002B5262">
        <w:t xml:space="preserve">archaeological </w:t>
      </w:r>
      <w:r>
        <w:t>sites, and are also available for individual download. Like DAACS, the primary audience is other archaeologists, though</w:t>
      </w:r>
      <w:r w:rsidR="00EF2F17">
        <w:t xml:space="preserve"> </w:t>
      </w:r>
      <w:r w:rsidR="00EF2F17">
        <w:rPr>
          <w:rFonts w:cs="Times New Roman"/>
        </w:rPr>
        <w:t>archaeological</w:t>
      </w:r>
      <w:r>
        <w:t xml:space="preserve"> site summaries and artifact galleries provide visual examples of the material culture found, with site maps also available in number of downloadable formats. A current initiative funded by NEH will result in the </w:t>
      </w:r>
      <w:r w:rsidR="00F57FDE">
        <w:t xml:space="preserve">doubling of the included </w:t>
      </w:r>
      <w:r w:rsidR="002B5262">
        <w:t xml:space="preserve">archaeological </w:t>
      </w:r>
      <w:r w:rsidR="00F57FDE">
        <w:t>sites</w:t>
      </w:r>
      <w:r>
        <w:t xml:space="preserve">. </w:t>
      </w:r>
    </w:p>
    <w:p w14:paraId="566B3244" w14:textId="77777777" w:rsidR="00EB1735" w:rsidRDefault="00EB1735" w:rsidP="00EB1735">
      <w:r>
        <w:lastRenderedPageBreak/>
        <w:t>The National Park Service supports its parks through a web catalog</w:t>
      </w:r>
      <w:r w:rsidR="0008645A">
        <w:t xml:space="preserve"> (museum.nps.gov)</w:t>
      </w:r>
      <w:r>
        <w:t>, where parks can share their collections (and of which archaeological material is a substantial part). Currently</w:t>
      </w:r>
      <w:r w:rsidR="002B4F3A">
        <w:t xml:space="preserve"> </w:t>
      </w:r>
      <w:r>
        <w:t xml:space="preserve">there are six </w:t>
      </w:r>
      <w:r w:rsidR="000C7095">
        <w:t xml:space="preserve">Virginia </w:t>
      </w:r>
      <w:r>
        <w:t>parks represented</w:t>
      </w:r>
      <w:r w:rsidR="00535BC8">
        <w:t>,</w:t>
      </w:r>
      <w:r>
        <w:t xml:space="preserve"> including </w:t>
      </w:r>
      <w:r w:rsidR="00535BC8">
        <w:t>over 2</w:t>
      </w:r>
      <w:r w:rsidR="00E2256C">
        <w:t>,</w:t>
      </w:r>
      <w:r w:rsidR="00535BC8">
        <w:t>000</w:t>
      </w:r>
      <w:r>
        <w:t xml:space="preserve"> archaeological objects.</w:t>
      </w:r>
      <w:r w:rsidR="00F57FDE">
        <w:t xml:space="preserve"> The approach here has been at the object, rather than </w:t>
      </w:r>
      <w:r w:rsidR="00EF2F17">
        <w:rPr>
          <w:rFonts w:cs="Times New Roman"/>
        </w:rPr>
        <w:t>archaeological site</w:t>
      </w:r>
      <w:r w:rsidR="00F57FDE">
        <w:t xml:space="preserve"> level</w:t>
      </w:r>
      <w:r w:rsidR="0092500A">
        <w:t>, so unusually artifacts are accessible, but not the related site files</w:t>
      </w:r>
      <w:r w:rsidR="00E2256C">
        <w:t>.</w:t>
      </w:r>
    </w:p>
    <w:p w14:paraId="697451C3" w14:textId="77777777" w:rsidR="00667BC2" w:rsidRDefault="0008645A" w:rsidP="00667BC2">
      <w:pPr>
        <w:rPr>
          <w:color w:val="000000"/>
          <w:shd w:val="clear" w:color="auto" w:fill="FFFFFF"/>
        </w:rPr>
      </w:pPr>
      <w:r>
        <w:t xml:space="preserve">In Virginia the </w:t>
      </w:r>
      <w:r w:rsidR="00EB1735">
        <w:t>largest single repository is the Virginia state file system managed by the Department of Historic Resources</w:t>
      </w:r>
      <w:r w:rsidR="00E2256C">
        <w:t xml:space="preserve">. </w:t>
      </w:r>
      <w:r w:rsidR="00EB1735">
        <w:t xml:space="preserve"> </w:t>
      </w:r>
      <w:r w:rsidR="00E2256C">
        <w:t xml:space="preserve">The </w:t>
      </w:r>
      <w:r w:rsidR="00EB1735">
        <w:rPr>
          <w:rStyle w:val="style30"/>
        </w:rPr>
        <w:t>Virginia Cultural Resource Information System (</w:t>
      </w:r>
      <w:r w:rsidR="00EB1735">
        <w:t>V-CRIS) allows submission (and access) to site level files on a subscription basis. In addition, there are university programs, with some material in university digital archives, and a number of historic house museums with active archaeology programs, as well as museums and other non-profits like Jamestown Rediscovery and Colonial Williamsburg that have extensive archaeological collections, and that provide varying forms of web access to their archaeological material.</w:t>
      </w:r>
      <w:r w:rsidR="00362F40">
        <w:t xml:space="preserve"> </w:t>
      </w:r>
      <w:r w:rsidR="00667BC2">
        <w:t>Some</w:t>
      </w:r>
      <w:r w:rsidR="00FF5B93">
        <w:t xml:space="preserve"> web projects have taken a data, rather than </w:t>
      </w:r>
      <w:r w:rsidR="00EF2F17">
        <w:rPr>
          <w:rFonts w:cs="Times New Roman"/>
        </w:rPr>
        <w:t xml:space="preserve">archaeological </w:t>
      </w:r>
      <w:r w:rsidR="00FF5B93">
        <w:t>site-</w:t>
      </w:r>
      <w:r w:rsidR="00667BC2">
        <w:t>centric approach.</w:t>
      </w:r>
      <w:r w:rsidR="00FF5B93">
        <w:t xml:space="preserve"> </w:t>
      </w:r>
      <w:r>
        <w:t xml:space="preserve">For example, </w:t>
      </w:r>
      <w:r w:rsidR="00FF5B93">
        <w:t>3</w:t>
      </w:r>
      <w:r w:rsidR="004C2B0D">
        <w:t>-</w:t>
      </w:r>
      <w:r w:rsidR="00FF5B93">
        <w:t xml:space="preserve">D scans of artifacts create new data </w:t>
      </w:r>
      <w:r w:rsidR="00870A9F">
        <w:t xml:space="preserve">formats </w:t>
      </w:r>
      <w:r w:rsidR="00FF5B93">
        <w:t>and The Virtual Curation Museum (</w:t>
      </w:r>
      <w:r w:rsidR="00FF5B93" w:rsidRPr="00FF5B93">
        <w:t>http://virt</w:t>
      </w:r>
      <w:r w:rsidR="002B4F3A">
        <w:t>ualcurationmuseum.wordpress.com</w:t>
      </w:r>
      <w:r w:rsidR="00FF5B93">
        <w:t xml:space="preserve">), at Virginia Commonwealth University uses a blog to showcase its scans created by the Virtual </w:t>
      </w:r>
      <w:r w:rsidR="00E2256C">
        <w:t xml:space="preserve">Curation </w:t>
      </w:r>
      <w:r w:rsidR="00FF5B93">
        <w:t>Laboratory (</w:t>
      </w:r>
      <w:r w:rsidR="002B4F3A" w:rsidRPr="00F57FDE">
        <w:t>http://vcuarchaeology3d.wordpress.com</w:t>
      </w:r>
      <w:r w:rsidR="00FF5B93">
        <w:t>)</w:t>
      </w:r>
      <w:r w:rsidR="002B4F3A">
        <w:t>. It s</w:t>
      </w:r>
      <w:r w:rsidR="00FF5B93">
        <w:t>eek</w:t>
      </w:r>
      <w:r w:rsidR="002B4F3A">
        <w:t>s</w:t>
      </w:r>
      <w:r w:rsidR="00FF5B93">
        <w:t xml:space="preserve"> to </w:t>
      </w:r>
      <w:r w:rsidR="00FF5B93" w:rsidRPr="00FF5B93">
        <w:t>create an “</w:t>
      </w:r>
      <w:r w:rsidR="00FF5B93" w:rsidRPr="00FF5B93">
        <w:rPr>
          <w:rFonts w:cs="Helvetica"/>
          <w:color w:val="333333"/>
          <w:shd w:val="clear" w:color="auto" w:fill="FFFFFF"/>
        </w:rPr>
        <w:t>extensive virtual catalog of American Indian and historic artifacts”</w:t>
      </w:r>
      <w:r w:rsidR="00FF5B93">
        <w:rPr>
          <w:rFonts w:cs="Helvetica"/>
          <w:color w:val="333333"/>
          <w:shd w:val="clear" w:color="auto" w:fill="FFFFFF"/>
        </w:rPr>
        <w:t xml:space="preserve"> (</w:t>
      </w:r>
      <w:r w:rsidR="00FF5B93">
        <w:t>the Virtual Creation Laboratory</w:t>
      </w:r>
      <w:r w:rsidR="00FF5B93">
        <w:rPr>
          <w:rFonts w:cs="Helvetica"/>
          <w:color w:val="333333"/>
          <w:shd w:val="clear" w:color="auto" w:fill="FFFFFF"/>
        </w:rPr>
        <w:t>, n.d.)</w:t>
      </w:r>
      <w:r w:rsidR="00FF5B93" w:rsidRPr="00FF5B93">
        <w:t xml:space="preserve">. </w:t>
      </w:r>
      <w:r w:rsidR="00E2256C">
        <w:t>Project participants</w:t>
      </w:r>
      <w:r w:rsidR="00FF5B93">
        <w:t xml:space="preserve"> are also active in pushing these blogs out to other social media platforms like Facebook. </w:t>
      </w:r>
      <w:r w:rsidR="00667BC2">
        <w:t xml:space="preserve"> </w:t>
      </w:r>
      <w:r w:rsidR="00667BC2" w:rsidRPr="0047670C">
        <w:t>Limp et al</w:t>
      </w:r>
      <w:r w:rsidR="00E2256C">
        <w:t>.</w:t>
      </w:r>
      <w:r w:rsidR="00667BC2">
        <w:t xml:space="preserve"> </w:t>
      </w:r>
      <w:r w:rsidR="00467CD6">
        <w:t xml:space="preserve">(2011) </w:t>
      </w:r>
      <w:r w:rsidR="00667BC2" w:rsidRPr="0047670C">
        <w:t>discuss th</w:t>
      </w:r>
      <w:r w:rsidR="00667BC2">
        <w:t>e issues with 3-D objects</w:t>
      </w:r>
      <w:r w:rsidR="00E2256C">
        <w:t>,</w:t>
      </w:r>
      <w:r w:rsidR="00667BC2">
        <w:t xml:space="preserve"> placing</w:t>
      </w:r>
      <w:r w:rsidR="00667BC2" w:rsidRPr="0047670C">
        <w:t xml:space="preserve"> the data in what they describe as a digital ecosystem. Their comprehensive paper discusses </w:t>
      </w:r>
      <w:r w:rsidR="00667BC2">
        <w:t xml:space="preserve">the </w:t>
      </w:r>
      <w:r w:rsidR="00667BC2" w:rsidRPr="0047670C">
        <w:t>recording, re-use and citation</w:t>
      </w:r>
      <w:r w:rsidR="00667BC2">
        <w:t xml:space="preserve"> of 3</w:t>
      </w:r>
      <w:r w:rsidR="004C2B0D">
        <w:t>-</w:t>
      </w:r>
      <w:r w:rsidR="00667BC2">
        <w:t>D models</w:t>
      </w:r>
      <w:r w:rsidR="00667BC2" w:rsidRPr="0047670C">
        <w:t>. While the technical specifications for 3-D scanning and viewing are likely to change</w:t>
      </w:r>
      <w:r w:rsidR="00E2256C">
        <w:t>,</w:t>
      </w:r>
      <w:r w:rsidR="00667BC2" w:rsidRPr="0047670C">
        <w:t xml:space="preserve"> the paper outlines how application of standards</w:t>
      </w:r>
      <w:r w:rsidR="00667BC2">
        <w:t>,</w:t>
      </w:r>
      <w:r w:rsidR="00667BC2" w:rsidRPr="0047670C">
        <w:t xml:space="preserve"> and the use of accessible digital archives</w:t>
      </w:r>
      <w:r w:rsidR="00667BC2">
        <w:t>,</w:t>
      </w:r>
      <w:r w:rsidR="00667BC2" w:rsidRPr="0047670C">
        <w:t xml:space="preserve"> can lead to “</w:t>
      </w:r>
      <w:r w:rsidR="00667BC2" w:rsidRPr="0047670C">
        <w:rPr>
          <w:color w:val="000000"/>
          <w:shd w:val="clear" w:color="auto" w:fill="FFFFFF"/>
        </w:rPr>
        <w:t xml:space="preserve">digital objects </w:t>
      </w:r>
      <w:r w:rsidR="00667BC2">
        <w:rPr>
          <w:color w:val="000000"/>
          <w:shd w:val="clear" w:color="auto" w:fill="FFFFFF"/>
        </w:rPr>
        <w:t xml:space="preserve">[that] </w:t>
      </w:r>
      <w:r w:rsidR="00667BC2" w:rsidRPr="0047670C">
        <w:rPr>
          <w:color w:val="000000"/>
          <w:shd w:val="clear" w:color="auto" w:fill="FFFFFF"/>
        </w:rPr>
        <w:t>are well documented, readily accessible, and available for use and reuse by others</w:t>
      </w:r>
      <w:r w:rsidR="00667BC2">
        <w:rPr>
          <w:color w:val="000000"/>
          <w:shd w:val="clear" w:color="auto" w:fill="FFFFFF"/>
        </w:rPr>
        <w:t>” (</w:t>
      </w:r>
      <w:r w:rsidR="005A524C">
        <w:rPr>
          <w:color w:val="000000"/>
          <w:shd w:val="clear" w:color="auto" w:fill="FFFFFF"/>
        </w:rPr>
        <w:t>s</w:t>
      </w:r>
      <w:r w:rsidR="00667BC2" w:rsidRPr="0047670C">
        <w:rPr>
          <w:color w:val="000000"/>
          <w:shd w:val="clear" w:color="auto" w:fill="FFFFFF"/>
        </w:rPr>
        <w:t xml:space="preserve">ection: Archive and Dissemination). While the paper applies to </w:t>
      </w:r>
      <w:r w:rsidR="00362F40">
        <w:rPr>
          <w:color w:val="000000"/>
          <w:shd w:val="clear" w:color="auto" w:fill="FFFFFF"/>
        </w:rPr>
        <w:t>3-D</w:t>
      </w:r>
      <w:r w:rsidR="00362F40" w:rsidRPr="0047670C">
        <w:rPr>
          <w:color w:val="000000"/>
          <w:shd w:val="clear" w:color="auto" w:fill="FFFFFF"/>
        </w:rPr>
        <w:t xml:space="preserve"> </w:t>
      </w:r>
      <w:r w:rsidR="00667BC2" w:rsidRPr="0047670C">
        <w:rPr>
          <w:color w:val="000000"/>
          <w:shd w:val="clear" w:color="auto" w:fill="FFFFFF"/>
        </w:rPr>
        <w:t>models</w:t>
      </w:r>
      <w:r w:rsidR="00E2256C">
        <w:rPr>
          <w:color w:val="000000"/>
          <w:shd w:val="clear" w:color="auto" w:fill="FFFFFF"/>
        </w:rPr>
        <w:t>,</w:t>
      </w:r>
      <w:r w:rsidR="00667BC2" w:rsidRPr="0047670C">
        <w:rPr>
          <w:color w:val="000000"/>
          <w:shd w:val="clear" w:color="auto" w:fill="FFFFFF"/>
        </w:rPr>
        <w:t xml:space="preserve"> this statement surely applies to all forms of </w:t>
      </w:r>
      <w:r w:rsidR="00667BC2" w:rsidRPr="0047670C">
        <w:rPr>
          <w:color w:val="000000"/>
          <w:shd w:val="clear" w:color="auto" w:fill="FFFFFF"/>
        </w:rPr>
        <w:lastRenderedPageBreak/>
        <w:t xml:space="preserve">digital data. The paper references Kansa (2005) sharing his quote </w:t>
      </w:r>
      <w:r w:rsidR="00667BC2">
        <w:rPr>
          <w:color w:val="000000"/>
          <w:shd w:val="clear" w:color="auto" w:fill="FFFFFF"/>
        </w:rPr>
        <w:t>that “</w:t>
      </w:r>
      <w:r w:rsidR="00667BC2" w:rsidRPr="0047670C">
        <w:rPr>
          <w:color w:val="000000"/>
          <w:shd w:val="clear" w:color="auto" w:fill="FFFFFF"/>
        </w:rPr>
        <w:t>Without effective dissemination, claims and counter claims become much less meaningful, since all refer to essentially hidden, inaccessible, and controlled evidence</w:t>
      </w:r>
      <w:r w:rsidR="00667BC2">
        <w:rPr>
          <w:color w:val="000000"/>
          <w:shd w:val="clear" w:color="auto" w:fill="FFFFFF"/>
        </w:rPr>
        <w:t>”</w:t>
      </w:r>
      <w:r w:rsidR="00667BC2" w:rsidRPr="0047670C">
        <w:rPr>
          <w:color w:val="000000"/>
          <w:shd w:val="clear" w:color="auto" w:fill="FFFFFF"/>
        </w:rPr>
        <w:t xml:space="preserve"> (</w:t>
      </w:r>
      <w:r w:rsidR="00D41FD9">
        <w:rPr>
          <w:color w:val="000000"/>
          <w:shd w:val="clear" w:color="auto" w:fill="FFFFFF"/>
        </w:rPr>
        <w:t xml:space="preserve">Kansa, 2005, </w:t>
      </w:r>
      <w:r w:rsidR="00667BC2" w:rsidRPr="0047670C">
        <w:rPr>
          <w:color w:val="000000"/>
          <w:shd w:val="clear" w:color="auto" w:fill="FFFFFF"/>
        </w:rPr>
        <w:t>p. 100).</w:t>
      </w:r>
    </w:p>
    <w:p w14:paraId="2E7197BB" w14:textId="77777777" w:rsidR="00667BC2" w:rsidRDefault="00667BC2" w:rsidP="00667BC2">
      <w:pPr>
        <w:rPr>
          <w:color w:val="000000"/>
          <w:shd w:val="clear" w:color="auto" w:fill="FFFFFF"/>
        </w:rPr>
      </w:pPr>
      <w:r w:rsidRPr="0047670C">
        <w:t>Morrison, Thomas and Gosden (2014)</w:t>
      </w:r>
      <w:r w:rsidRPr="0047670C">
        <w:rPr>
          <w:color w:val="000000"/>
          <w:shd w:val="clear" w:color="auto" w:fill="FFFFFF"/>
        </w:rPr>
        <w:t>examine the use of GIS aggregate data from</w:t>
      </w:r>
      <w:r w:rsidR="009C298D">
        <w:rPr>
          <w:color w:val="000000"/>
          <w:shd w:val="clear" w:color="auto" w:fill="FFFFFF"/>
        </w:rPr>
        <w:t xml:space="preserve"> </w:t>
      </w:r>
      <w:r w:rsidRPr="0047670C">
        <w:rPr>
          <w:color w:val="000000"/>
          <w:shd w:val="clear" w:color="auto" w:fill="FFFFFF"/>
        </w:rPr>
        <w:t xml:space="preserve">many projects in looking at a region in England. </w:t>
      </w:r>
      <w:r w:rsidR="00E2256C">
        <w:rPr>
          <w:color w:val="000000"/>
          <w:shd w:val="clear" w:color="auto" w:fill="FFFFFF"/>
        </w:rPr>
        <w:t>They</w:t>
      </w:r>
      <w:r w:rsidRPr="0047670C">
        <w:rPr>
          <w:color w:val="000000"/>
          <w:shd w:val="clear" w:color="auto" w:fill="FFFFFF"/>
        </w:rPr>
        <w:t xml:space="preserve"> </w:t>
      </w:r>
      <w:r>
        <w:rPr>
          <w:color w:val="000000"/>
          <w:shd w:val="clear" w:color="auto" w:fill="FFFFFF"/>
        </w:rPr>
        <w:t>suggest g</w:t>
      </w:r>
      <w:r w:rsidRPr="0047670C">
        <w:rPr>
          <w:color w:val="000000"/>
          <w:shd w:val="clear" w:color="auto" w:fill="FFFFFF"/>
        </w:rPr>
        <w:t>oing beyond the use of shape files to delineate site boundaries</w:t>
      </w:r>
      <w:r>
        <w:rPr>
          <w:color w:val="000000"/>
          <w:shd w:val="clear" w:color="auto" w:fill="FFFFFF"/>
        </w:rPr>
        <w:t xml:space="preserve"> (</w:t>
      </w:r>
      <w:r w:rsidRPr="0047670C">
        <w:rPr>
          <w:rFonts w:eastAsia="Times New Roman" w:cs="Times New Roman"/>
          <w:color w:val="000000"/>
        </w:rPr>
        <w:t xml:space="preserve">required </w:t>
      </w:r>
      <w:r w:rsidRPr="0047670C">
        <w:rPr>
          <w:color w:val="000000"/>
          <w:shd w:val="clear" w:color="auto" w:fill="FFFFFF"/>
        </w:rPr>
        <w:t>in Virginia</w:t>
      </w:r>
      <w:r>
        <w:rPr>
          <w:color w:val="000000"/>
          <w:shd w:val="clear" w:color="auto" w:fill="FFFFFF"/>
        </w:rPr>
        <w:t xml:space="preserve">’s </w:t>
      </w:r>
      <w:r w:rsidRPr="0047670C">
        <w:rPr>
          <w:color w:val="000000"/>
          <w:shd w:val="clear" w:color="auto" w:fill="FFFFFF"/>
        </w:rPr>
        <w:t>state database V-CRIS</w:t>
      </w:r>
      <w:r>
        <w:rPr>
          <w:color w:val="000000"/>
          <w:shd w:val="clear" w:color="auto" w:fill="FFFFFF"/>
        </w:rPr>
        <w:t xml:space="preserve">) to include </w:t>
      </w:r>
      <w:r w:rsidRPr="0047670C">
        <w:rPr>
          <w:color w:val="000000"/>
          <w:shd w:val="clear" w:color="auto" w:fill="FFFFFF"/>
        </w:rPr>
        <w:t>georefer</w:t>
      </w:r>
      <w:r>
        <w:rPr>
          <w:color w:val="000000"/>
          <w:shd w:val="clear" w:color="auto" w:fill="FFFFFF"/>
        </w:rPr>
        <w:t>e</w:t>
      </w:r>
      <w:r w:rsidRPr="0047670C">
        <w:rPr>
          <w:color w:val="000000"/>
          <w:shd w:val="clear" w:color="auto" w:fill="FFFFFF"/>
        </w:rPr>
        <w:t xml:space="preserve">ncing of all </w:t>
      </w:r>
      <w:r w:rsidR="00EF2F17">
        <w:rPr>
          <w:rFonts w:cs="Times New Roman"/>
        </w:rPr>
        <w:t xml:space="preserve">archaeological </w:t>
      </w:r>
      <w:r w:rsidRPr="0047670C">
        <w:rPr>
          <w:color w:val="000000"/>
          <w:shd w:val="clear" w:color="auto" w:fill="FFFFFF"/>
        </w:rPr>
        <w:t>site plans, and plans of site boundaries and features along with dating information (section: Methodology).</w:t>
      </w:r>
      <w:r>
        <w:rPr>
          <w:color w:val="000000"/>
          <w:shd w:val="clear" w:color="auto" w:fill="FFFFFF"/>
        </w:rPr>
        <w:t xml:space="preserve"> The resulting </w:t>
      </w:r>
      <w:r w:rsidR="00EF2F17">
        <w:rPr>
          <w:color w:val="000000"/>
          <w:shd w:val="clear" w:color="auto" w:fill="FFFFFF"/>
        </w:rPr>
        <w:t>web</w:t>
      </w:r>
      <w:r>
        <w:rPr>
          <w:color w:val="000000"/>
          <w:shd w:val="clear" w:color="auto" w:fill="FFFFFF"/>
        </w:rPr>
        <w:t>site becomes a tool for planning and research</w:t>
      </w:r>
      <w:r w:rsidR="00E2256C">
        <w:rPr>
          <w:color w:val="000000"/>
          <w:shd w:val="clear" w:color="auto" w:fill="FFFFFF"/>
        </w:rPr>
        <w:t>,</w:t>
      </w:r>
      <w:r>
        <w:rPr>
          <w:color w:val="000000"/>
          <w:shd w:val="clear" w:color="auto" w:fill="FFFFFF"/>
        </w:rPr>
        <w:t xml:space="preserve"> highlighting areas of inactivity in the landscape. Presenting the absence of evidence</w:t>
      </w:r>
      <w:r w:rsidR="00E2256C">
        <w:rPr>
          <w:color w:val="000000"/>
          <w:shd w:val="clear" w:color="auto" w:fill="FFFFFF"/>
        </w:rPr>
        <w:t>, which is</w:t>
      </w:r>
      <w:r w:rsidR="00A36670">
        <w:rPr>
          <w:color w:val="000000"/>
          <w:shd w:val="clear" w:color="auto" w:fill="FFFFFF"/>
        </w:rPr>
        <w:t xml:space="preserve"> part of archaeological understanding</w:t>
      </w:r>
      <w:r>
        <w:rPr>
          <w:color w:val="000000"/>
          <w:shd w:val="clear" w:color="auto" w:fill="FFFFFF"/>
        </w:rPr>
        <w:t>, is a</w:t>
      </w:r>
      <w:r w:rsidR="00A36670">
        <w:rPr>
          <w:color w:val="000000"/>
          <w:shd w:val="clear" w:color="auto" w:fill="FFFFFF"/>
        </w:rPr>
        <w:t xml:space="preserve">lways a </w:t>
      </w:r>
      <w:r>
        <w:rPr>
          <w:color w:val="000000"/>
          <w:shd w:val="clear" w:color="auto" w:fill="FFFFFF"/>
        </w:rPr>
        <w:t>difficult task.</w:t>
      </w:r>
      <w:r w:rsidRPr="0047670C">
        <w:rPr>
          <w:color w:val="000000"/>
          <w:shd w:val="clear" w:color="auto" w:fill="FFFFFF"/>
        </w:rPr>
        <w:t xml:space="preserve"> </w:t>
      </w:r>
      <w:r>
        <w:rPr>
          <w:color w:val="000000"/>
          <w:shd w:val="clear" w:color="auto" w:fill="FFFFFF"/>
        </w:rPr>
        <w:t xml:space="preserve"> </w:t>
      </w:r>
    </w:p>
    <w:p w14:paraId="56D6BE5E" w14:textId="77777777" w:rsidR="00667BC2" w:rsidRDefault="00667BC2" w:rsidP="00667BC2">
      <w:r>
        <w:t xml:space="preserve">Another type of non-site specific dissemination is through </w:t>
      </w:r>
      <w:r w:rsidR="00E2256C">
        <w:t xml:space="preserve">websites that focus on defining and illustrating </w:t>
      </w:r>
      <w:r w:rsidR="007C30B6">
        <w:t>different types of artifacts (typ</w:t>
      </w:r>
      <w:r w:rsidR="00E2256C">
        <w:t>es</w:t>
      </w:r>
      <w:r w:rsidR="007C30B6">
        <w:t>)</w:t>
      </w:r>
      <w:r>
        <w:t>. Examples include:</w:t>
      </w:r>
    </w:p>
    <w:p w14:paraId="07520966" w14:textId="77777777" w:rsidR="00667BC2" w:rsidRDefault="00667BC2" w:rsidP="00667BC2">
      <w:pPr>
        <w:pStyle w:val="ListParagraph"/>
        <w:numPr>
          <w:ilvl w:val="0"/>
          <w:numId w:val="5"/>
        </w:numPr>
      </w:pPr>
      <w:r>
        <w:t>Jefferson Patterson Park and Museum: Diagnostic Artifacts in Maryland (</w:t>
      </w:r>
      <w:r w:rsidRPr="003845B0">
        <w:t>http://www.jefpat.org/diagnostic/index.htm</w:t>
      </w:r>
      <w:r>
        <w:t>)</w:t>
      </w:r>
    </w:p>
    <w:p w14:paraId="713F3B15" w14:textId="77777777" w:rsidR="00667BC2" w:rsidRDefault="00667BC2" w:rsidP="00667BC2">
      <w:pPr>
        <w:pStyle w:val="ListParagraph"/>
        <w:numPr>
          <w:ilvl w:val="0"/>
          <w:numId w:val="5"/>
        </w:numPr>
      </w:pPr>
      <w:r>
        <w:t>The Florida Museum of Natural history  (</w:t>
      </w:r>
      <w:r w:rsidRPr="00F6288D">
        <w:t>http://www.flmnh.ufl.edu/histarch/gallery_types/</w:t>
      </w:r>
      <w:r>
        <w:t>)</w:t>
      </w:r>
    </w:p>
    <w:p w14:paraId="21CA9B34" w14:textId="77777777" w:rsidR="00667BC2" w:rsidRDefault="00667BC2" w:rsidP="00667BC2">
      <w:pPr>
        <w:pStyle w:val="ListParagraph"/>
        <w:numPr>
          <w:ilvl w:val="0"/>
          <w:numId w:val="5"/>
        </w:numPr>
      </w:pPr>
      <w:r>
        <w:t>The Virginia Department of Historic Resources: Native American Comparative Collections (</w:t>
      </w:r>
      <w:r w:rsidRPr="003845B0">
        <w:t>http://www.dhr.virginia.gov/arch_DHR/archaeo_lpc.htm</w:t>
      </w:r>
      <w:r>
        <w:t>)</w:t>
      </w:r>
    </w:p>
    <w:p w14:paraId="74B0D60E" w14:textId="77777777" w:rsidR="00667BC2" w:rsidRPr="0044428C" w:rsidRDefault="00667BC2" w:rsidP="00667BC2">
      <w:r>
        <w:t xml:space="preserve">While these </w:t>
      </w:r>
      <w:r w:rsidR="006B4F86">
        <w:t xml:space="preserve">websites </w:t>
      </w:r>
      <w:r>
        <w:t xml:space="preserve">show examples of artifact types, rather than the entire primary record, they are still evidentiary. The emphasis on object images makes the </w:t>
      </w:r>
      <w:r w:rsidR="002B5262">
        <w:t>web</w:t>
      </w:r>
      <w:r>
        <w:t xml:space="preserve">sites helpful for archaeologists, </w:t>
      </w:r>
      <w:r w:rsidR="00707CE7">
        <w:t xml:space="preserve">as </w:t>
      </w:r>
      <w:r>
        <w:t xml:space="preserve">well as other groups interested in material culture. However the data in these </w:t>
      </w:r>
      <w:r w:rsidR="002B5262">
        <w:t>web</w:t>
      </w:r>
      <w:r>
        <w:t xml:space="preserve">sites </w:t>
      </w:r>
      <w:r w:rsidR="00E2256C">
        <w:t xml:space="preserve">are </w:t>
      </w:r>
      <w:r>
        <w:t>not easily re-usable</w:t>
      </w:r>
      <w:r w:rsidR="00707CE7">
        <w:t>. T</w:t>
      </w:r>
      <w:r>
        <w:t>he examples listed are not “open</w:t>
      </w:r>
      <w:r w:rsidR="00E2256C">
        <w:t>,</w:t>
      </w:r>
      <w:r>
        <w:t>”</w:t>
      </w:r>
      <w:r w:rsidR="0069191A">
        <w:t xml:space="preserve"> </w:t>
      </w:r>
      <w:r>
        <w:t>so their potential for data reuse is currently limited. U</w:t>
      </w:r>
      <w:r w:rsidR="002B5262">
        <w:t>sing linked open data</w:t>
      </w:r>
      <w:r w:rsidR="00CD4351">
        <w:t xml:space="preserve"> principles</w:t>
      </w:r>
      <w:r w:rsidR="002B5262">
        <w:t xml:space="preserve"> </w:t>
      </w:r>
      <w:r w:rsidR="00CD4351">
        <w:t xml:space="preserve">at </w:t>
      </w:r>
      <w:r w:rsidR="002B5262">
        <w:t>these</w:t>
      </w:r>
      <w:r w:rsidR="00E2256C">
        <w:t xml:space="preserve"> </w:t>
      </w:r>
      <w:r w:rsidR="00CD4351">
        <w:t>web</w:t>
      </w:r>
      <w:r w:rsidR="00E2256C">
        <w:t>sites</w:t>
      </w:r>
      <w:r>
        <w:t xml:space="preserve"> would enable other </w:t>
      </w:r>
      <w:r w:rsidR="00CD4351">
        <w:t>creators of digital materials</w:t>
      </w:r>
      <w:r w:rsidRPr="0044428C">
        <w:t xml:space="preserve"> to </w:t>
      </w:r>
      <w:r w:rsidR="00CD4351">
        <w:t xml:space="preserve">use the content as </w:t>
      </w:r>
      <w:r w:rsidRPr="0044428C">
        <w:t>reference</w:t>
      </w:r>
      <w:r w:rsidR="00CD4351">
        <w:t>s</w:t>
      </w:r>
      <w:r w:rsidRPr="0044428C">
        <w:t>.</w:t>
      </w:r>
    </w:p>
    <w:p w14:paraId="3F10D1D2" w14:textId="77777777" w:rsidR="00667BC2" w:rsidRDefault="00667BC2" w:rsidP="00667BC2">
      <w:r>
        <w:lastRenderedPageBreak/>
        <w:t xml:space="preserve">The aforementioned Culture Embossed database uses crowdsourcing for contributions to create a database of seals across </w:t>
      </w:r>
      <w:r w:rsidR="002B5262">
        <w:t xml:space="preserve">archaeological </w:t>
      </w:r>
      <w:r>
        <w:t>sites. The collection, focusing on a specific artifact type, allows people to contribute data with defined metadata and builds a dynamic typology. However, while an accessible resource, the reuse of the data (</w:t>
      </w:r>
      <w:r w:rsidR="00E2256C">
        <w:t>both from a legal perspective and</w:t>
      </w:r>
      <w:r>
        <w:t xml:space="preserve"> through open data standards) still seems under development.</w:t>
      </w:r>
    </w:p>
    <w:p w14:paraId="034E2D26" w14:textId="77777777" w:rsidR="00667BC2" w:rsidRDefault="00667BC2" w:rsidP="00667BC2">
      <w:r>
        <w:t xml:space="preserve">In part, the methods for data presentation and for access depend upon the audience and questions that these designated communities ask of the data. </w:t>
      </w:r>
      <w:r w:rsidR="00F57FDE">
        <w:t>M</w:t>
      </w:r>
      <w:r w:rsidRPr="006A53FB">
        <w:t xml:space="preserve">ultiple </w:t>
      </w:r>
      <w:r w:rsidR="00F57FDE">
        <w:t>methods might well be need</w:t>
      </w:r>
      <w:r w:rsidR="00E2256C">
        <w:t>ed</w:t>
      </w:r>
      <w:r w:rsidR="00F57FDE">
        <w:t xml:space="preserve"> to support multiple publics, though there are </w:t>
      </w:r>
      <w:r>
        <w:t xml:space="preserve">strong arguments for </w:t>
      </w:r>
      <w:r w:rsidRPr="006A53FB">
        <w:t>open data</w:t>
      </w:r>
      <w:r>
        <w:t xml:space="preserve"> allowing data reuse</w:t>
      </w:r>
      <w:r w:rsidR="00F57FDE">
        <w:t xml:space="preserve"> for all constituents</w:t>
      </w:r>
      <w:r>
        <w:t>. N</w:t>
      </w:r>
      <w:r w:rsidRPr="006A53FB">
        <w:t>on-archaeologists</w:t>
      </w:r>
      <w:r>
        <w:t xml:space="preserve"> might be better served by archaeological </w:t>
      </w:r>
      <w:r w:rsidRPr="006A53FB">
        <w:t>gatekeepers</w:t>
      </w:r>
      <w:r>
        <w:t xml:space="preserve"> helping </w:t>
      </w:r>
      <w:r w:rsidRPr="006A53FB">
        <w:t>to provide local, heavily contextualized data</w:t>
      </w:r>
      <w:r>
        <w:t xml:space="preserve">, rather than the broader aggregated </w:t>
      </w:r>
      <w:r w:rsidR="002B5262">
        <w:t>web</w:t>
      </w:r>
      <w:r>
        <w:t>sites that can answer sweeping archaeological and anthropological questions. Scholars may require richer, open datasets with comparable metadata.</w:t>
      </w:r>
    </w:p>
    <w:p w14:paraId="6926C5B2" w14:textId="77777777" w:rsidR="00667BC2" w:rsidRDefault="002A1273" w:rsidP="00667BC2">
      <w:r>
        <w:t>To move towards understanding the varying requirements of different publics</w:t>
      </w:r>
      <w:r w:rsidR="00707CE7">
        <w:t>,</w:t>
      </w:r>
      <w:r>
        <w:t xml:space="preserve"> the websites of organization supplying archaeological data may be examined. While there is overlap</w:t>
      </w:r>
      <w:r w:rsidR="00707CE7">
        <w:t>,</w:t>
      </w:r>
      <w:r>
        <w:t xml:space="preserve"> open data, scholarly publishing, and public outreach can be defined, in part, by certain characteristics that may, or may not be present on a website.</w:t>
      </w:r>
    </w:p>
    <w:p w14:paraId="0F7B3508" w14:textId="77777777" w:rsidR="00667BC2" w:rsidRDefault="005802C4" w:rsidP="00F26EF9">
      <w:pPr>
        <w:pStyle w:val="Heading2"/>
      </w:pPr>
      <w:bookmarkStart w:id="17" w:name="_Toc419135400"/>
      <w:r>
        <w:t>Scholarly publishing</w:t>
      </w:r>
      <w:bookmarkEnd w:id="17"/>
    </w:p>
    <w:p w14:paraId="04AE2596" w14:textId="77777777" w:rsidR="000B3D57" w:rsidRDefault="000B3D57" w:rsidP="00667BC2">
      <w:r>
        <w:t>Scholarly publishing here is seen as a subset of scholarly communication. This study is interested in those aspects of scholarship relating to licensing, citation, accessibility and re-use.</w:t>
      </w:r>
    </w:p>
    <w:p w14:paraId="27E4AF61" w14:textId="77777777" w:rsidR="00667BC2" w:rsidRDefault="00667BC2" w:rsidP="00667BC2">
      <w:r>
        <w:t>The primary audience for archaeological data is obviously other archaeologists. While research</w:t>
      </w:r>
      <w:r w:rsidR="00362F40">
        <w:t>ers are</w:t>
      </w:r>
      <w:r>
        <w:t xml:space="preserve"> increasingly </w:t>
      </w:r>
      <w:r w:rsidR="00262DD1">
        <w:t>interested in</w:t>
      </w:r>
      <w:r>
        <w:t xml:space="preserve"> using data from other projects</w:t>
      </w:r>
      <w:r w:rsidR="00262DD1">
        <w:t>,</w:t>
      </w:r>
      <w:r>
        <w:t xml:space="preserve"> there are disincentives to sharing data. In looking at scholarly communication, </w:t>
      </w:r>
      <w:r w:rsidRPr="00D917FD">
        <w:t xml:space="preserve">Borgman </w:t>
      </w:r>
      <w:r w:rsidR="00AA0BEA">
        <w:t>(2010</w:t>
      </w:r>
      <w:r w:rsidR="00262DD1">
        <w:t>, p. 193</w:t>
      </w:r>
      <w:r w:rsidR="00AA0BEA">
        <w:t xml:space="preserve">) </w:t>
      </w:r>
      <w:r w:rsidRPr="00D917FD">
        <w:t>observed</w:t>
      </w:r>
      <w:r>
        <w:t xml:space="preserve"> that the incentives are more in data use than in data sharing </w:t>
      </w:r>
      <w:r w:rsidR="00262DD1">
        <w:t>, noting that</w:t>
      </w:r>
      <w:r w:rsidR="0069191A">
        <w:t xml:space="preserve"> </w:t>
      </w:r>
      <w:r>
        <w:t xml:space="preserve">“those whose data collections and analysis were the least automated and most labor intensive were most likely to guard their data” (p. </w:t>
      </w:r>
      <w:r>
        <w:lastRenderedPageBreak/>
        <w:t xml:space="preserve">189). Archaeologists can wish to hold onto hard earned data until they feel they have gained all the benefits of their labor. </w:t>
      </w:r>
      <w:r w:rsidRPr="00D917FD">
        <w:t>Richards (2014) discussed</w:t>
      </w:r>
      <w:r>
        <w:t xml:space="preserve"> the “carrot and sticks” of data publishing concluding that sticks – in the form of legislative requirements through grants – were the most effective tool for</w:t>
      </w:r>
      <w:r w:rsidR="00262DD1">
        <w:t xml:space="preserve"> encouraging</w:t>
      </w:r>
      <w:r>
        <w:t xml:space="preserve"> data sharing. </w:t>
      </w:r>
      <w:r w:rsidR="00184EE4">
        <w:t>The creation of digital resources is not valued in the academic environment, in comparison to other scholarly works, as noted by Harley et al (2010, p. 40) who say that “</w:t>
      </w:r>
      <w:r w:rsidR="00184EE4" w:rsidRPr="00184EE4">
        <w:t>Developing and maintaining databases or resource websites is considered a “research technique” or</w:t>
      </w:r>
      <w:r w:rsidR="00184EE4">
        <w:t xml:space="preserve"> “services to scholarship.” So there are disincentives to the creation and sharing of such resources.</w:t>
      </w:r>
    </w:p>
    <w:p w14:paraId="0B28E572" w14:textId="77777777" w:rsidR="00667BC2" w:rsidRDefault="00667BC2" w:rsidP="00667BC2">
      <w:r>
        <w:t xml:space="preserve">Standards and interoperability are crucial for data re-use and comparative study, but, as has been noted, these are still limited within the profession. Even </w:t>
      </w:r>
      <w:r w:rsidRPr="006F208D">
        <w:t>within a tight</w:t>
      </w:r>
      <w:r w:rsidR="00262DD1">
        <w:t>-</w:t>
      </w:r>
      <w:r w:rsidRPr="006F208D">
        <w:t>knit group</w:t>
      </w:r>
      <w:r>
        <w:t>,</w:t>
      </w:r>
      <w:r w:rsidRPr="006F208D">
        <w:t xml:space="preserve"> working on the same sub-discipline in the same area</w:t>
      </w:r>
      <w:r>
        <w:t>,</w:t>
      </w:r>
      <w:r w:rsidRPr="006F208D">
        <w:t xml:space="preserve"> issues of </w:t>
      </w:r>
      <w:r>
        <w:t>data integration remain complex (Kansa &amp; Kansa, 2011). Looking at zoo</w:t>
      </w:r>
      <w:r w:rsidR="00CD4351">
        <w:t xml:space="preserve">archaeological </w:t>
      </w:r>
      <w:r>
        <w:t>collections within Turkey, Kansa, Kansa and Arbuckle (2014) tried to aggregate data from fourteen researchers. The use of codes, different data capture</w:t>
      </w:r>
      <w:r w:rsidR="00AA0BEA">
        <w:t xml:space="preserve"> techniques</w:t>
      </w:r>
      <w:r>
        <w:t>,</w:t>
      </w:r>
      <w:r w:rsidR="00AA0BEA">
        <w:t xml:space="preserve"> and </w:t>
      </w:r>
      <w:r>
        <w:t>language (even with</w:t>
      </w:r>
      <w:r w:rsidR="00262DD1">
        <w:t>in</w:t>
      </w:r>
      <w:r>
        <w:t xml:space="preserve"> a well-defined sub-discipline), resulted in multiple challenges in developing synthetic research from the aggregated collections. </w:t>
      </w:r>
    </w:p>
    <w:p w14:paraId="3AF70BA6" w14:textId="77777777" w:rsidR="00667BC2" w:rsidRDefault="00667BC2" w:rsidP="00667BC2">
      <w:r>
        <w:t>When forming interpretations based on the use of comparative datasets, archaeologists</w:t>
      </w:r>
      <w:r w:rsidRPr="006F208D">
        <w:t xml:space="preserve"> have to take into consideration </w:t>
      </w:r>
      <w:r>
        <w:t xml:space="preserve">many issues, including </w:t>
      </w:r>
      <w:r w:rsidR="00EF2F17">
        <w:rPr>
          <w:rFonts w:cs="Times New Roman"/>
        </w:rPr>
        <w:t xml:space="preserve">archaeological </w:t>
      </w:r>
      <w:r w:rsidRPr="006F208D">
        <w:t xml:space="preserve">site excavation methodologies, which are </w:t>
      </w:r>
      <w:r>
        <w:t xml:space="preserve">rarely </w:t>
      </w:r>
      <w:r w:rsidRPr="006F208D">
        <w:t>transparent</w:t>
      </w:r>
      <w:r>
        <w:t xml:space="preserve"> in the data. </w:t>
      </w:r>
      <w:r w:rsidR="00CF66CA">
        <w:t xml:space="preserve">The inclusion of how the data </w:t>
      </w:r>
      <w:r w:rsidR="00262DD1">
        <w:t xml:space="preserve">were </w:t>
      </w:r>
      <w:r w:rsidR="00CF66CA">
        <w:t xml:space="preserve">captured is part of the data provenance showing the transformations that the data take in arriving in </w:t>
      </w:r>
      <w:r w:rsidR="00262DD1">
        <w:t xml:space="preserve">their </w:t>
      </w:r>
      <w:r w:rsidR="00CF66CA">
        <w:t xml:space="preserve">accessible state, </w:t>
      </w:r>
      <w:r w:rsidR="00262DD1">
        <w:t xml:space="preserve">their </w:t>
      </w:r>
      <w:r w:rsidR="00CF66CA">
        <w:t xml:space="preserve">linage and derivation (Simmhan, Plale &amp; Gannon, 2005). </w:t>
      </w:r>
      <w:r>
        <w:t xml:space="preserve">The issue of understanding </w:t>
      </w:r>
      <w:r w:rsidR="00EF2F17">
        <w:rPr>
          <w:rFonts w:cs="Times New Roman"/>
        </w:rPr>
        <w:t xml:space="preserve">archaeological </w:t>
      </w:r>
      <w:r>
        <w:t xml:space="preserve">site metadata is perhaps </w:t>
      </w:r>
      <w:r w:rsidR="00262DD1">
        <w:t xml:space="preserve">best </w:t>
      </w:r>
      <w:r>
        <w:t xml:space="preserve">reflected in the finding of </w:t>
      </w:r>
      <w:r w:rsidRPr="006F208D">
        <w:t>Faniel</w:t>
      </w:r>
      <w:r>
        <w:t>, Kansa, Kansa, Barrera-Gomez, and Yakel (</w:t>
      </w:r>
      <w:r w:rsidRPr="006F208D">
        <w:t>2013</w:t>
      </w:r>
      <w:r>
        <w:t xml:space="preserve">). </w:t>
      </w:r>
      <w:r w:rsidRPr="00D917FD">
        <w:t>Their survey showed</w:t>
      </w:r>
      <w:r>
        <w:t xml:space="preserve"> that </w:t>
      </w:r>
      <w:r w:rsidRPr="006F208D">
        <w:t>knowledge of who created the data</w:t>
      </w:r>
      <w:r>
        <w:t>,</w:t>
      </w:r>
      <w:r w:rsidRPr="006F208D">
        <w:t xml:space="preserve"> and the reputation and scholarly affiliation</w:t>
      </w:r>
      <w:r>
        <w:t xml:space="preserve"> of the creators, was important in the decision to use, or not use, particular archaeology datasets</w:t>
      </w:r>
      <w:r w:rsidRPr="006F208D">
        <w:t>.</w:t>
      </w:r>
      <w:r>
        <w:t xml:space="preserve"> These factors likely reflect not just trust in their work, but possibly a previous understanding of their methods. This difficulty in judging fieldwork can be referred to as “differentiating” (Meho &amp; Tibbo, </w:t>
      </w:r>
      <w:r>
        <w:lastRenderedPageBreak/>
        <w:t xml:space="preserve">2003, p. 581). Meho and Tibbo’s </w:t>
      </w:r>
      <w:r w:rsidRPr="00D917FD">
        <w:t>study looked</w:t>
      </w:r>
      <w:r>
        <w:t xml:space="preserve"> at the information seeking of social scientists, building on the work of Ellis, and </w:t>
      </w:r>
      <w:r w:rsidRPr="00D917FD">
        <w:t>helped frame</w:t>
      </w:r>
      <w:r>
        <w:t xml:space="preserve"> how potential data models might be used. As well as differentiating, </w:t>
      </w:r>
      <w:r w:rsidRPr="00D917FD">
        <w:t>they note</w:t>
      </w:r>
      <w:r>
        <w:t xml:space="preserve">d the importance of networking in research (p. 582). For archaeologists, where many </w:t>
      </w:r>
      <w:r w:rsidR="002B5262">
        <w:t xml:space="preserve">archaeological </w:t>
      </w:r>
      <w:r>
        <w:t>sites are only informally published as grey literature, potential datasets are only known through professional contacts created through conferences and other professional gatherings. In Virginia this means membership in the Council of Virginia Archaeologists, and attendance at local conferences such as the annual meeting of the Archeological Society of Virginia, the Middle Atlantic Archaeology Conference, and national conferences including the annual meetings of the Society for Historical Archaeology and the Society for American Archaeology.</w:t>
      </w:r>
    </w:p>
    <w:p w14:paraId="3286B2DA" w14:textId="77777777" w:rsidR="00667BC2" w:rsidRDefault="00667BC2" w:rsidP="00667BC2">
      <w:r>
        <w:t xml:space="preserve">Falkingham (2005) provides an extensive review of grey literature proposing a model using XML markup to aid discovery. He </w:t>
      </w:r>
      <w:r w:rsidR="00262DD1">
        <w:t xml:space="preserve">argues </w:t>
      </w:r>
      <w:r>
        <w:t xml:space="preserve">the issues with this type of material including interoperability (section 2.5), noting a lack of common vocabulary as well as a lack of a common structure or style (section 1.5). These </w:t>
      </w:r>
      <w:r w:rsidR="00D41FD9">
        <w:t xml:space="preserve">grey literature </w:t>
      </w:r>
      <w:r>
        <w:t>reports are written in-house and therefore are not up to the standard of published, reviewed documents. They are also written for other archaeologists, limiting their value for broader audience</w:t>
      </w:r>
      <w:r w:rsidR="00262DD1">
        <w:t>s</w:t>
      </w:r>
      <w:r>
        <w:t>. The National Park Service archaeology program created an on-line index of grey literature reports, but this no longer seems to be supported (</w:t>
      </w:r>
      <w:r w:rsidRPr="00B12E0B">
        <w:t>http://www.cast.uark.edu/other/nps/nadb</w:t>
      </w:r>
      <w:r>
        <w:t>)</w:t>
      </w:r>
      <w:r w:rsidR="008E352F">
        <w:t>,</w:t>
      </w:r>
      <w:r>
        <w:t xml:space="preserve"> though many of the reports are available at tDAR. These reports, it should be noted, often contain collections data in the form of tables which could be translated into more open data formats, as well as field notes, drawing</w:t>
      </w:r>
      <w:r w:rsidR="00AA0BEA">
        <w:t>s</w:t>
      </w:r>
      <w:r>
        <w:t xml:space="preserve"> and photographs.</w:t>
      </w:r>
    </w:p>
    <w:p w14:paraId="74881CF9" w14:textId="77777777" w:rsidR="00A36670" w:rsidRPr="00A417EA" w:rsidRDefault="00A36670" w:rsidP="00A36670">
      <w:pPr>
        <w:rPr>
          <w:rFonts w:ascii="Calibri" w:hAnsi="Calibri"/>
          <w:shd w:val="clear" w:color="auto" w:fill="FFFFFF"/>
        </w:rPr>
      </w:pPr>
      <w:r>
        <w:t xml:space="preserve">The </w:t>
      </w:r>
      <w:r w:rsidRPr="0044428C">
        <w:t>Internet Archaeology magazine (</w:t>
      </w:r>
      <w:r w:rsidRPr="00A36670">
        <w:rPr>
          <w:rFonts w:cs="BCDOAC+TimesNewRoman,Italic"/>
        </w:rPr>
        <w:t>http://intarch.ac.uk/</w:t>
      </w:r>
      <w:r>
        <w:t>), has</w:t>
      </w:r>
      <w:r w:rsidRPr="0044428C">
        <w:t xml:space="preserve"> completed two ‘LEAP’ projects that allow readers the “</w:t>
      </w:r>
      <w:r w:rsidRPr="0044428C">
        <w:rPr>
          <w:color w:val="000000"/>
          <w:shd w:val="clear" w:color="auto" w:fill="FFFFFF"/>
        </w:rPr>
        <w:t>opportunity to 'drill down' seamlessly from the publication into the archive to test interpretations and develop their own conclusions” (</w:t>
      </w:r>
      <w:r w:rsidR="008E352F">
        <w:rPr>
          <w:color w:val="000000"/>
          <w:shd w:val="clear" w:color="auto" w:fill="FFFFFF"/>
        </w:rPr>
        <w:t xml:space="preserve">Winters, 2006). </w:t>
      </w:r>
      <w:r w:rsidRPr="0044428C">
        <w:t xml:space="preserve">Internet Archaeology is peer-reviewed and now mostly open access. It has continued </w:t>
      </w:r>
      <w:r>
        <w:t>the LEAP</w:t>
      </w:r>
      <w:r w:rsidRPr="0044428C">
        <w:t xml:space="preserve"> approach to data and synthesis with data papers</w:t>
      </w:r>
      <w:r>
        <w:t xml:space="preserve"> in the most recent issues featuring</w:t>
      </w:r>
      <w:r w:rsidRPr="0044428C">
        <w:t xml:space="preserve"> “</w:t>
      </w:r>
      <w:r w:rsidRPr="0044428C">
        <w:rPr>
          <w:color w:val="000000"/>
          <w:shd w:val="clear" w:color="auto" w:fill="FFFFFF"/>
        </w:rPr>
        <w:t xml:space="preserve">open access, short, peer-reviewed publications </w:t>
      </w:r>
      <w:r w:rsidRPr="0044428C">
        <w:rPr>
          <w:color w:val="000000"/>
          <w:shd w:val="clear" w:color="auto" w:fill="FFFFFF"/>
        </w:rPr>
        <w:lastRenderedPageBreak/>
        <w:t xml:space="preserve">designed to make other researchers aware of a dataset” </w:t>
      </w:r>
      <w:r w:rsidR="00AA0BEA">
        <w:rPr>
          <w:color w:val="000000"/>
          <w:shd w:val="clear" w:color="auto" w:fill="FFFFFF"/>
        </w:rPr>
        <w:t>(</w:t>
      </w:r>
      <w:r w:rsidRPr="0044428C">
        <w:rPr>
          <w:color w:val="000000"/>
          <w:shd w:val="clear" w:color="auto" w:fill="FFFFFF"/>
        </w:rPr>
        <w:t>Winters 2013 section: Editorial).</w:t>
      </w:r>
      <w:r>
        <w:rPr>
          <w:color w:val="000000"/>
          <w:shd w:val="clear" w:color="auto" w:fill="FFFFFF"/>
        </w:rPr>
        <w:t xml:space="preserve"> These hybrid publications provide both synthesis and data.</w:t>
      </w:r>
    </w:p>
    <w:p w14:paraId="24CC7D1C" w14:textId="77777777" w:rsidR="00667BC2" w:rsidRDefault="00667BC2" w:rsidP="00667BC2">
      <w:pPr>
        <w:rPr>
          <w:rStyle w:val="Hyperlink"/>
          <w:rFonts w:ascii="Calibri" w:hAnsi="Calibri"/>
          <w:color w:val="auto"/>
          <w:u w:val="none"/>
          <w:shd w:val="clear" w:color="auto" w:fill="FFFFFF"/>
        </w:rPr>
      </w:pPr>
      <w:r w:rsidRPr="000D6009">
        <w:rPr>
          <w:rFonts w:ascii="Calibri" w:hAnsi="Calibri"/>
          <w:shd w:val="clear" w:color="auto" w:fill="FFFFFF"/>
        </w:rPr>
        <w:t>The Journal of Open Archaeology Data</w:t>
      </w:r>
      <w:r w:rsidRPr="000D6009">
        <w:rPr>
          <w:rStyle w:val="Hyperlink"/>
          <w:rFonts w:ascii="Calibri" w:hAnsi="Calibri"/>
          <w:color w:val="auto"/>
          <w:u w:val="none"/>
          <w:shd w:val="clear" w:color="auto" w:fill="FFFFFF"/>
        </w:rPr>
        <w:t xml:space="preserve"> provides another outlet f</w:t>
      </w:r>
      <w:r w:rsidR="00A36670">
        <w:rPr>
          <w:rStyle w:val="Hyperlink"/>
          <w:rFonts w:ascii="Calibri" w:hAnsi="Calibri"/>
          <w:color w:val="auto"/>
          <w:u w:val="none"/>
          <w:shd w:val="clear" w:color="auto" w:fill="FFFFFF"/>
        </w:rPr>
        <w:t xml:space="preserve">or archaeology, though one that </w:t>
      </w:r>
      <w:r w:rsidRPr="000D6009">
        <w:rPr>
          <w:rStyle w:val="Hyperlink"/>
          <w:rFonts w:ascii="Calibri" w:hAnsi="Calibri"/>
          <w:color w:val="auto"/>
          <w:u w:val="none"/>
          <w:shd w:val="clear" w:color="auto" w:fill="FFFFFF"/>
        </w:rPr>
        <w:t xml:space="preserve">is not currently utilized in Virginia. The website presents peer-reviewed data papers with archived open data, citable and </w:t>
      </w:r>
      <w:r w:rsidR="00BC3DD1" w:rsidRPr="000D6009">
        <w:rPr>
          <w:rStyle w:val="Hyperlink"/>
          <w:rFonts w:ascii="Calibri" w:hAnsi="Calibri"/>
          <w:color w:val="auto"/>
          <w:u w:val="none"/>
          <w:shd w:val="clear" w:color="auto" w:fill="FFFFFF"/>
        </w:rPr>
        <w:t>tractable</w:t>
      </w:r>
      <w:r w:rsidRPr="000D6009">
        <w:rPr>
          <w:rStyle w:val="Hyperlink"/>
          <w:rFonts w:ascii="Calibri" w:hAnsi="Calibri"/>
          <w:color w:val="auto"/>
          <w:u w:val="none"/>
          <w:shd w:val="clear" w:color="auto" w:fill="FFFFFF"/>
        </w:rPr>
        <w:t xml:space="preserve"> (http://openarchaeologydata.metajnl.com/about). While touting the benefits of open data</w:t>
      </w:r>
      <w:r w:rsidR="00262DD1">
        <w:rPr>
          <w:rStyle w:val="Hyperlink"/>
          <w:rFonts w:ascii="Calibri" w:hAnsi="Calibri"/>
          <w:color w:val="auto"/>
          <w:u w:val="none"/>
          <w:shd w:val="clear" w:color="auto" w:fill="FFFFFF"/>
        </w:rPr>
        <w:t>,</w:t>
      </w:r>
      <w:r w:rsidRPr="000D6009">
        <w:rPr>
          <w:rStyle w:val="Hyperlink"/>
          <w:rFonts w:ascii="Calibri" w:hAnsi="Calibri"/>
          <w:color w:val="auto"/>
          <w:u w:val="none"/>
          <w:shd w:val="clear" w:color="auto" w:fill="FFFFFF"/>
        </w:rPr>
        <w:t xml:space="preserve"> the </w:t>
      </w:r>
      <w:r w:rsidR="006B4F86">
        <w:t xml:space="preserve">website </w:t>
      </w:r>
      <w:r w:rsidRPr="000D6009">
        <w:rPr>
          <w:rStyle w:val="Hyperlink"/>
          <w:rFonts w:ascii="Calibri" w:hAnsi="Calibri"/>
          <w:color w:val="auto"/>
          <w:u w:val="none"/>
          <w:shd w:val="clear" w:color="auto" w:fill="FFFFFF"/>
        </w:rPr>
        <w:t>appears geared to scholarship and, though a useful outlet for data, lacks the structure to allow analysis across data sets.</w:t>
      </w:r>
    </w:p>
    <w:p w14:paraId="53E8705D" w14:textId="77777777" w:rsidR="003A64C6" w:rsidRDefault="003A64C6" w:rsidP="003A64C6">
      <w:pPr>
        <w:pStyle w:val="Heading2"/>
      </w:pPr>
      <w:bookmarkStart w:id="18" w:name="_Toc419135401"/>
      <w:r>
        <w:t>Open data</w:t>
      </w:r>
      <w:bookmarkEnd w:id="18"/>
    </w:p>
    <w:p w14:paraId="17FAFF4C" w14:textId="4818F43D" w:rsidR="001027AD" w:rsidRDefault="003A64C6" w:rsidP="003A64C6">
      <w:r w:rsidRPr="002B4F3A">
        <w:t xml:space="preserve">“Open means </w:t>
      </w:r>
      <w:r w:rsidRPr="002B4F3A">
        <w:rPr>
          <w:rStyle w:val="Strong"/>
        </w:rPr>
        <w:t>anyone</w:t>
      </w:r>
      <w:r w:rsidRPr="002B4F3A">
        <w:t xml:space="preserve"> can </w:t>
      </w:r>
      <w:r w:rsidRPr="002B4F3A">
        <w:rPr>
          <w:rStyle w:val="Strong"/>
        </w:rPr>
        <w:t>freely access, use, modify, and share</w:t>
      </w:r>
      <w:r w:rsidRPr="002B4F3A">
        <w:t xml:space="preserve"> for </w:t>
      </w:r>
      <w:r w:rsidRPr="002B4F3A">
        <w:rPr>
          <w:rStyle w:val="Strong"/>
        </w:rPr>
        <w:t>any purpose</w:t>
      </w:r>
      <w:r w:rsidRPr="002B4F3A">
        <w:t xml:space="preserve"> (subject, at most, to requirements that preserve provenance and openness).” (Open Definition, n.d.) Tim Berners –Lee’s call for “raw data now” (Berners-Lee, 2010) speaks to the promise of shared merged data sets opening up new avenues of understanding across and within disciplinary boundaries.</w:t>
      </w:r>
      <w:r w:rsidR="007C30B6">
        <w:t xml:space="preserve"> Berners-Lee’s (2010) five</w:t>
      </w:r>
      <w:r w:rsidR="00262DD1">
        <w:t>-</w:t>
      </w:r>
      <w:r w:rsidR="007C30B6">
        <w:t>star rating schema provides a way of evaluating the degree of openness of website data</w:t>
      </w:r>
      <w:r w:rsidR="001027AD">
        <w:t xml:space="preserve"> (LATC, 2012, para: By Example)</w:t>
      </w:r>
      <w:r w:rsidR="007C30B6">
        <w:t xml:space="preserve">. </w:t>
      </w:r>
    </w:p>
    <w:p w14:paraId="6D558435" w14:textId="00C9F89F" w:rsidR="001027AD" w:rsidRDefault="003A64C6" w:rsidP="001027AD">
      <w:pPr>
        <w:pStyle w:val="ListParagraph"/>
        <w:numPr>
          <w:ilvl w:val="0"/>
          <w:numId w:val="22"/>
        </w:numPr>
      </w:pPr>
      <w:r>
        <w:t xml:space="preserve">One star means </w:t>
      </w:r>
      <w:r w:rsidR="001027AD">
        <w:t xml:space="preserve">the </w:t>
      </w:r>
      <w:r>
        <w:t xml:space="preserve">content </w:t>
      </w:r>
      <w:r w:rsidR="001027AD">
        <w:t xml:space="preserve">is </w:t>
      </w:r>
      <w:r>
        <w:t xml:space="preserve">available on an open license. </w:t>
      </w:r>
    </w:p>
    <w:p w14:paraId="037D523D" w14:textId="5F538C34" w:rsidR="001027AD" w:rsidRDefault="003A64C6" w:rsidP="001027AD">
      <w:pPr>
        <w:pStyle w:val="ListParagraph"/>
        <w:numPr>
          <w:ilvl w:val="0"/>
          <w:numId w:val="22"/>
        </w:numPr>
      </w:pPr>
      <w:r>
        <w:t xml:space="preserve">Two stars means </w:t>
      </w:r>
      <w:r w:rsidR="001027AD">
        <w:t xml:space="preserve">the content is provided as </w:t>
      </w:r>
      <w:r>
        <w:t>structured data</w:t>
      </w:r>
      <w:r w:rsidR="001027AD">
        <w:t>.</w:t>
      </w:r>
    </w:p>
    <w:p w14:paraId="41D7D637" w14:textId="233699AF" w:rsidR="001027AD" w:rsidRDefault="001027AD" w:rsidP="001027AD">
      <w:pPr>
        <w:pStyle w:val="ListParagraph"/>
        <w:numPr>
          <w:ilvl w:val="0"/>
          <w:numId w:val="22"/>
        </w:numPr>
      </w:pPr>
      <w:r>
        <w:t>T</w:t>
      </w:r>
      <w:r w:rsidR="003A64C6">
        <w:t xml:space="preserve">hree </w:t>
      </w:r>
      <w:r>
        <w:t xml:space="preserve">stars </w:t>
      </w:r>
      <w:r w:rsidR="003A64C6">
        <w:t xml:space="preserve">means </w:t>
      </w:r>
      <w:r>
        <w:t xml:space="preserve">the content is provided as </w:t>
      </w:r>
      <w:r w:rsidR="003A64C6">
        <w:t>structured data in a non-propriety format</w:t>
      </w:r>
      <w:r>
        <w:t>.</w:t>
      </w:r>
    </w:p>
    <w:p w14:paraId="26A5D0A6" w14:textId="133DB905" w:rsidR="001027AD" w:rsidRDefault="001027AD" w:rsidP="001027AD">
      <w:pPr>
        <w:pStyle w:val="ListParagraph"/>
        <w:numPr>
          <w:ilvl w:val="0"/>
          <w:numId w:val="22"/>
        </w:numPr>
      </w:pPr>
      <w:r>
        <w:t>F</w:t>
      </w:r>
      <w:r w:rsidR="003A64C6">
        <w:t xml:space="preserve">our </w:t>
      </w:r>
      <w:r>
        <w:t xml:space="preserve">stars </w:t>
      </w:r>
      <w:r w:rsidR="003A64C6">
        <w:t>mean</w:t>
      </w:r>
      <w:r>
        <w:t>s the website uses</w:t>
      </w:r>
      <w:r w:rsidR="003A64C6">
        <w:t xml:space="preserve"> </w:t>
      </w:r>
      <w:r w:rsidR="002A1273">
        <w:t>URIs</w:t>
      </w:r>
      <w:r w:rsidR="003A64C6">
        <w:t xml:space="preserve"> </w:t>
      </w:r>
      <w:r w:rsidR="00F342BA">
        <w:t>(</w:t>
      </w:r>
      <w:r w:rsidR="00F342BA" w:rsidRPr="002D4B84">
        <w:t>Uniform Resource Identifiers</w:t>
      </w:r>
      <w:r w:rsidR="00F342BA">
        <w:t>)</w:t>
      </w:r>
      <w:r>
        <w:t>.</w:t>
      </w:r>
    </w:p>
    <w:p w14:paraId="10699175" w14:textId="1918C0BE" w:rsidR="001027AD" w:rsidRDefault="001027AD" w:rsidP="001027AD">
      <w:pPr>
        <w:pStyle w:val="ListParagraph"/>
        <w:numPr>
          <w:ilvl w:val="0"/>
          <w:numId w:val="22"/>
        </w:numPr>
      </w:pPr>
      <w:r>
        <w:t>F</w:t>
      </w:r>
      <w:r w:rsidR="003A64C6">
        <w:t>ive</w:t>
      </w:r>
      <w:r w:rsidR="00262DD1">
        <w:t>-</w:t>
      </w:r>
      <w:r w:rsidR="003A64C6">
        <w:t xml:space="preserve">star </w:t>
      </w:r>
      <w:r>
        <w:t xml:space="preserve">means the site uses </w:t>
      </w:r>
      <w:r w:rsidR="00D06737">
        <w:t>other linked open data</w:t>
      </w:r>
      <w:r w:rsidR="003A64C6">
        <w:t xml:space="preserve">. </w:t>
      </w:r>
    </w:p>
    <w:p w14:paraId="172B8DC8" w14:textId="0EF947D5" w:rsidR="003A64C6" w:rsidRDefault="003A64C6" w:rsidP="003A64C6">
      <w:r>
        <w:t>For archaeology, a four</w:t>
      </w:r>
      <w:r w:rsidR="00262DD1">
        <w:t>-</w:t>
      </w:r>
      <w:r>
        <w:t>star rating would mean that data can be more easily shared</w:t>
      </w:r>
      <w:r w:rsidR="001027AD">
        <w:t>,</w:t>
      </w:r>
      <w:r>
        <w:t xml:space="preserve"> and </w:t>
      </w:r>
      <w:r w:rsidR="001027AD">
        <w:t xml:space="preserve">be </w:t>
      </w:r>
      <w:r>
        <w:t>used on comparative research projects</w:t>
      </w:r>
      <w:r w:rsidR="001027AD">
        <w:t>, with the expectation of persistent availability</w:t>
      </w:r>
      <w:r>
        <w:t>.</w:t>
      </w:r>
    </w:p>
    <w:p w14:paraId="7CEAFE01" w14:textId="77777777" w:rsidR="003A64C6" w:rsidRPr="008D6394" w:rsidRDefault="003A64C6" w:rsidP="003A64C6">
      <w:r w:rsidRPr="002B4F3A">
        <w:t>The impact o</w:t>
      </w:r>
      <w:r w:rsidR="008B61E4">
        <w:t>f</w:t>
      </w:r>
      <w:r w:rsidRPr="002B4F3A">
        <w:t xml:space="preserve"> this</w:t>
      </w:r>
      <w:r w:rsidR="00262DD1">
        <w:t xml:space="preserve"> movement</w:t>
      </w:r>
      <w:r w:rsidRPr="002B4F3A">
        <w:t xml:space="preserve"> for archaeologists can be seen in new </w:t>
      </w:r>
      <w:r w:rsidR="004B2040">
        <w:t>f</w:t>
      </w:r>
      <w:r w:rsidRPr="002B4F3A">
        <w:t xml:space="preserve">ederal requirements stressing preservation and access for projects involving </w:t>
      </w:r>
      <w:r w:rsidR="004B2040">
        <w:t>f</w:t>
      </w:r>
      <w:r w:rsidRPr="002B4F3A">
        <w:t>ederal funds</w:t>
      </w:r>
      <w:r w:rsidR="004B2040">
        <w:t>. A memo from the Office of Science and Technology Policy (OSTP) notes</w:t>
      </w:r>
      <w:r w:rsidRPr="002B4F3A">
        <w:t xml:space="preserve">, “digitally formatted scientific data… should be stored and </w:t>
      </w:r>
      <w:r w:rsidRPr="002B4F3A">
        <w:lastRenderedPageBreak/>
        <w:t>publicly accessible to search, retrieve, and analyze.”</w:t>
      </w:r>
      <w:r w:rsidR="004B2040">
        <w:t xml:space="preserve"> And more directly for the goals of this research</w:t>
      </w:r>
      <w:r w:rsidR="00262DD1">
        <w:t>, it adds</w:t>
      </w:r>
      <w:r w:rsidR="004B2040">
        <w:t xml:space="preserve"> that agencies should formulate plans for “a strategy for improving the public’s ability to locate and access digital data resulting from federally funded scientific research;” </w:t>
      </w:r>
      <w:r w:rsidRPr="002B4F3A">
        <w:t xml:space="preserve">(White House 2013a). The requirements have taken the form of </w:t>
      </w:r>
      <w:r w:rsidR="004B2040">
        <w:t>required d</w:t>
      </w:r>
      <w:r w:rsidRPr="002B4F3A">
        <w:t xml:space="preserve">ata management </w:t>
      </w:r>
      <w:r w:rsidR="004B2040">
        <w:t>p</w:t>
      </w:r>
      <w:r w:rsidRPr="002B4F3A">
        <w:t>lans, seen in both the requirements f</w:t>
      </w:r>
      <w:r w:rsidR="002B4F3A" w:rsidRPr="002B4F3A">
        <w:t xml:space="preserve">or </w:t>
      </w:r>
      <w:r w:rsidR="00262DD1">
        <w:t xml:space="preserve">the </w:t>
      </w:r>
      <w:r w:rsidR="002B4F3A" w:rsidRPr="002B4F3A">
        <w:t>National Science Foundation (</w:t>
      </w:r>
      <w:r w:rsidRPr="002B4F3A">
        <w:t>Na</w:t>
      </w:r>
      <w:r w:rsidRPr="008D6394">
        <w:t xml:space="preserve">tional Science Foundation, 2013) and </w:t>
      </w:r>
      <w:r w:rsidR="00262DD1">
        <w:t xml:space="preserve">the </w:t>
      </w:r>
      <w:r w:rsidRPr="008D6394">
        <w:t>National Endowment for the Humanities (National Endowment for the Humanities, 2011). Grant recipients are asked how they will manage, preserve and provide access to their data, with allowance for the norms in their discipline.</w:t>
      </w:r>
    </w:p>
    <w:p w14:paraId="5E1F7016" w14:textId="77777777" w:rsidR="003A64C6" w:rsidRPr="008D6394" w:rsidRDefault="003A64C6" w:rsidP="003A64C6">
      <w:r w:rsidRPr="008D6394">
        <w:t>While referring to Open Government data</w:t>
      </w:r>
      <w:r w:rsidR="00340905">
        <w:t>,</w:t>
      </w:r>
      <w:r w:rsidRPr="008D6394">
        <w:t xml:space="preserve"> the Open Government Data group (Open Government Data, n.d.) provides more specific </w:t>
      </w:r>
      <w:r w:rsidR="00262DD1">
        <w:t xml:space="preserve">guidelines </w:t>
      </w:r>
      <w:r w:rsidR="00D41FD9">
        <w:t xml:space="preserve">of what it means to be open, listing </w:t>
      </w:r>
      <w:r w:rsidRPr="008D6394">
        <w:t>eight major and seven minor traits. The principles are</w:t>
      </w:r>
      <w:r w:rsidR="005D7118">
        <w:t>:</w:t>
      </w:r>
      <w:r w:rsidRPr="008D6394">
        <w:t xml:space="preserve"> complete, primary, timely, accessible, machine-processable, non-discriminatory, non-propriety, </w:t>
      </w:r>
      <w:r w:rsidR="00262DD1">
        <w:t xml:space="preserve">and </w:t>
      </w:r>
      <w:r w:rsidRPr="008D6394">
        <w:t>license free. Seven additional principles are included: online and free, permanent, trusted, a presumption of openness, documented, safe to open and designed with public input.</w:t>
      </w:r>
    </w:p>
    <w:p w14:paraId="771BE26B" w14:textId="77777777" w:rsidR="003A64C6" w:rsidRPr="008D6394" w:rsidRDefault="003A64C6" w:rsidP="003A64C6">
      <w:r w:rsidRPr="008D6394">
        <w:t xml:space="preserve">Some of these have more resonance than others within the context of archaeological data. </w:t>
      </w:r>
      <w:r w:rsidR="008B61E4">
        <w:t>“</w:t>
      </w:r>
      <w:r w:rsidRPr="008D6394">
        <w:t>Complete</w:t>
      </w:r>
      <w:r w:rsidR="008B61E4">
        <w:t>”</w:t>
      </w:r>
      <w:r w:rsidRPr="008D6394">
        <w:t xml:space="preserve"> refers in a governmental sense to all data be made available – not selections. In an archaeological domain</w:t>
      </w:r>
      <w:r w:rsidR="0052689C">
        <w:t>,</w:t>
      </w:r>
      <w:r w:rsidRPr="008D6394">
        <w:t xml:space="preserve"> the importance of complete can be seen in reference to context. The meaning of archaeological data </w:t>
      </w:r>
      <w:r w:rsidR="008D6394">
        <w:t>l</w:t>
      </w:r>
      <w:r w:rsidRPr="008D6394">
        <w:t>i</w:t>
      </w:r>
      <w:r w:rsidR="008D6394">
        <w:t>e</w:t>
      </w:r>
      <w:r w:rsidRPr="008D6394">
        <w:t xml:space="preserve">s </w:t>
      </w:r>
      <w:r w:rsidR="008D6394">
        <w:t>i</w:t>
      </w:r>
      <w:r w:rsidRPr="008D6394">
        <w:t xml:space="preserve">n the information context </w:t>
      </w:r>
      <w:r w:rsidR="008D6394">
        <w:t xml:space="preserve">within which </w:t>
      </w:r>
      <w:r w:rsidR="00B4489B">
        <w:t>these</w:t>
      </w:r>
      <w:r w:rsidRPr="008D6394">
        <w:t xml:space="preserve"> data exist. It seems a good guid</w:t>
      </w:r>
      <w:r w:rsidR="00340905">
        <w:t>ing</w:t>
      </w:r>
      <w:r w:rsidRPr="008D6394">
        <w:t xml:space="preserve"> principle that all data sets be provided for openness – artifacts, ecofacts, field records and maps. Of the other </w:t>
      </w:r>
      <w:r w:rsidR="00340905">
        <w:t>principles</w:t>
      </w:r>
      <w:r w:rsidRPr="008D6394">
        <w:t>, primary asks that the data be provided at the highest level of granularity, rather than</w:t>
      </w:r>
      <w:r w:rsidR="0052689C">
        <w:t xml:space="preserve"> in</w:t>
      </w:r>
      <w:r w:rsidRPr="008D6394">
        <w:t xml:space="preserve"> summary reports. Timely reflects on scholarly communication and </w:t>
      </w:r>
      <w:r w:rsidR="0052689C" w:rsidRPr="008D6394">
        <w:t>disciplin</w:t>
      </w:r>
      <w:r w:rsidR="0052689C">
        <w:t>ary</w:t>
      </w:r>
      <w:r w:rsidR="0052689C" w:rsidRPr="008D6394">
        <w:t xml:space="preserve"> </w:t>
      </w:r>
      <w:r w:rsidRPr="008D6394">
        <w:t>norm between discovery and data publishing. Machine-processable is included in this study through looking for open formats and associated documentation (</w:t>
      </w:r>
      <w:r w:rsidR="007657A6">
        <w:t xml:space="preserve">database metadata, or even a supporting </w:t>
      </w:r>
      <w:r w:rsidRPr="008D6394">
        <w:t xml:space="preserve">ontology). The requirement for non-discriminatory, non-propriety, </w:t>
      </w:r>
      <w:r w:rsidR="00340905">
        <w:t xml:space="preserve">and </w:t>
      </w:r>
      <w:r w:rsidRPr="008D6394">
        <w:t>license</w:t>
      </w:r>
      <w:r w:rsidR="0052689C">
        <w:t>-</w:t>
      </w:r>
      <w:r w:rsidRPr="008D6394">
        <w:t xml:space="preserve">free all pertain to licensing statements regarding how </w:t>
      </w:r>
      <w:r w:rsidRPr="008D6394">
        <w:lastRenderedPageBreak/>
        <w:t xml:space="preserve">data can be re-used. These principles were used as guides to identifying characteristics of openness in the websites </w:t>
      </w:r>
      <w:r w:rsidR="00340905">
        <w:t xml:space="preserve">reported </w:t>
      </w:r>
      <w:r w:rsidRPr="008D6394">
        <w:t xml:space="preserve">in this </w:t>
      </w:r>
      <w:r w:rsidR="009C298D">
        <w:t>study</w:t>
      </w:r>
      <w:r w:rsidRPr="008D6394">
        <w:t xml:space="preserve">. </w:t>
      </w:r>
    </w:p>
    <w:p w14:paraId="03CA0854" w14:textId="77777777" w:rsidR="001516EF" w:rsidRDefault="003A64C6" w:rsidP="003A64C6">
      <w:r w:rsidRPr="008D6394">
        <w:t xml:space="preserve">Accessible is </w:t>
      </w:r>
      <w:r w:rsidR="00340905">
        <w:t xml:space="preserve">a </w:t>
      </w:r>
      <w:r w:rsidRPr="008D6394">
        <w:t>more complicated characteristic. Content may be technically accessible</w:t>
      </w:r>
      <w:r w:rsidR="004B2040">
        <w:t>,</w:t>
      </w:r>
      <w:r w:rsidRPr="008D6394">
        <w:t xml:space="preserve"> but </w:t>
      </w:r>
      <w:r w:rsidR="00201713">
        <w:t xml:space="preserve">unmanageable because of the sheer quantity </w:t>
      </w:r>
      <w:r w:rsidRPr="008D6394">
        <w:t>of the data</w:t>
      </w:r>
      <w:r w:rsidR="00201713">
        <w:t xml:space="preserve">; or because of </w:t>
      </w:r>
      <w:r w:rsidRPr="008D6394">
        <w:t xml:space="preserve">the knowledge needed to process </w:t>
      </w:r>
      <w:r w:rsidR="0052689C">
        <w:t>the</w:t>
      </w:r>
      <w:r w:rsidR="00201713">
        <w:t xml:space="preserve"> datasets</w:t>
      </w:r>
      <w:r w:rsidRPr="008D6394">
        <w:t xml:space="preserve">. Anne Trefethen, in a video interview speaks to the general issues and promise of open data. She sees value in allowing the public “to engage with science", though noting </w:t>
      </w:r>
      <w:r w:rsidR="001516EF">
        <w:t xml:space="preserve">the need for </w:t>
      </w:r>
      <w:r w:rsidRPr="008D6394">
        <w:t xml:space="preserve">“tools and facilities to access the data in ways that are understandable" (Bland, 2011). </w:t>
      </w:r>
      <w:r w:rsidR="001516EF">
        <w:t>Simply providing data does not make it accessible</w:t>
      </w:r>
      <w:r w:rsidR="00201713">
        <w:t>.</w:t>
      </w:r>
    </w:p>
    <w:p w14:paraId="78AE2FE4" w14:textId="77777777" w:rsidR="003A64C6" w:rsidRPr="008D6394" w:rsidRDefault="003A64C6" w:rsidP="003A64C6">
      <w:r w:rsidRPr="008D6394">
        <w:rPr>
          <w:rFonts w:cs="Plantin"/>
        </w:rPr>
        <w:t xml:space="preserve">For some professionals, </w:t>
      </w:r>
      <w:r w:rsidR="0052689C">
        <w:rPr>
          <w:rFonts w:cs="Plantin"/>
        </w:rPr>
        <w:t xml:space="preserve">the principle of </w:t>
      </w:r>
      <w:r w:rsidRPr="008D6394">
        <w:rPr>
          <w:rFonts w:cs="Plantin"/>
        </w:rPr>
        <w:t xml:space="preserve">open data is seen as part of professional ethics. </w:t>
      </w:r>
      <w:r w:rsidRPr="008D6394">
        <w:t>Kansa (2012</w:t>
      </w:r>
      <w:r w:rsidR="009A45D6">
        <w:t>)</w:t>
      </w:r>
      <w:r w:rsidRPr="008D6394">
        <w:t xml:space="preserve"> states that since “technologies make </w:t>
      </w:r>
      <w:r w:rsidR="00C848DE">
        <w:t>open data</w:t>
      </w:r>
      <w:r w:rsidRPr="008D6394">
        <w:t xml:space="preserve"> feasible, the discipline should not continue to tolerate the personal, self-aggrandizing appropriation of cultural heritage that comes with data hoarding”</w:t>
      </w:r>
      <w:r w:rsidR="00340905">
        <w:t xml:space="preserve"> (</w:t>
      </w:r>
      <w:r w:rsidR="00340905" w:rsidRPr="008D6394">
        <w:t>p. 507)</w:t>
      </w:r>
      <w:r w:rsidR="00340905">
        <w:t>.</w:t>
      </w:r>
      <w:r w:rsidRPr="008D6394">
        <w:t xml:space="preserve"> For Kansa, it is not that data can technically be shared, but that professional ethics require that they should be shared, and that “data withholding represents a clear threat to preserving the archaeological record” (p. 507).</w:t>
      </w:r>
      <w:r w:rsidR="00B46557">
        <w:t xml:space="preserve"> </w:t>
      </w:r>
      <w:r w:rsidR="004176E4">
        <w:t>It is a point mirrored by Harley et al (2010, p. 88) regarding some scholars engaging in “radical data sharing</w:t>
      </w:r>
      <w:r w:rsidR="0052689C">
        <w:t>.</w:t>
      </w:r>
      <w:r w:rsidR="004176E4">
        <w:t xml:space="preserve">” </w:t>
      </w:r>
      <w:r w:rsidR="00B46557">
        <w:t>Open data here, and in other aspects</w:t>
      </w:r>
      <w:r w:rsidR="00340905">
        <w:t>,</w:t>
      </w:r>
      <w:r w:rsidR="00B46557">
        <w:t xml:space="preserve"> connects</w:t>
      </w:r>
      <w:r w:rsidR="002667CA">
        <w:t>,</w:t>
      </w:r>
      <w:r w:rsidR="00B46557">
        <w:t xml:space="preserve"> directly to scholarly publishing and public outreach.</w:t>
      </w:r>
    </w:p>
    <w:p w14:paraId="4D703291" w14:textId="77777777" w:rsidR="007C0825" w:rsidRPr="00B84A05" w:rsidRDefault="007C0825" w:rsidP="007C0825">
      <w:pPr>
        <w:pStyle w:val="Heading2"/>
      </w:pPr>
      <w:bookmarkStart w:id="19" w:name="_Toc419135402"/>
      <w:r>
        <w:t>Public outreach and a</w:t>
      </w:r>
      <w:r w:rsidRPr="00B84A05">
        <w:t>udience</w:t>
      </w:r>
      <w:bookmarkEnd w:id="19"/>
    </w:p>
    <w:p w14:paraId="6450BE83" w14:textId="77777777" w:rsidR="007C0825" w:rsidRDefault="007C0825" w:rsidP="007C0825">
      <w:r>
        <w:t>Potential and existing publication types, formal and informal, for archaeological data cannot be understood without reference to designated communities. So who are the audiences for these data, and what are their needs?</w:t>
      </w:r>
    </w:p>
    <w:p w14:paraId="08A99FA1" w14:textId="77777777" w:rsidR="007C0825" w:rsidRPr="00242AAB" w:rsidRDefault="007C0825" w:rsidP="007C0825">
      <w:pPr>
        <w:autoSpaceDE w:val="0"/>
        <w:autoSpaceDN w:val="0"/>
        <w:adjustRightInd w:val="0"/>
        <w:rPr>
          <w:rFonts w:cs="Times New Roman"/>
        </w:rPr>
      </w:pPr>
      <w:r w:rsidRPr="00D917FD">
        <w:rPr>
          <w:rFonts w:cs="Times New Roman"/>
        </w:rPr>
        <w:t>Moyer (2006) was discussing</w:t>
      </w:r>
      <w:r w:rsidRPr="00242AAB">
        <w:rPr>
          <w:rFonts w:cs="Times New Roman"/>
        </w:rPr>
        <w:t xml:space="preserve"> physical collections when she</w:t>
      </w:r>
      <w:r>
        <w:rPr>
          <w:rFonts w:cs="Times New Roman"/>
        </w:rPr>
        <w:t xml:space="preserve"> suggested</w:t>
      </w:r>
      <w:r w:rsidRPr="00242AAB">
        <w:rPr>
          <w:rFonts w:cs="Times New Roman"/>
        </w:rPr>
        <w:t xml:space="preserve"> breaking the audience into two groups</w:t>
      </w:r>
      <w:r>
        <w:rPr>
          <w:rFonts w:cs="Times New Roman"/>
        </w:rPr>
        <w:t>. T</w:t>
      </w:r>
      <w:r w:rsidRPr="00242AAB">
        <w:rPr>
          <w:rFonts w:cs="Times New Roman"/>
        </w:rPr>
        <w:t>hose familiar with the value of collections</w:t>
      </w:r>
      <w:r w:rsidR="0052689C">
        <w:rPr>
          <w:rFonts w:cs="Times New Roman"/>
        </w:rPr>
        <w:t>―</w:t>
      </w:r>
      <w:r w:rsidRPr="00242AAB">
        <w:rPr>
          <w:rFonts w:cs="Times New Roman"/>
        </w:rPr>
        <w:t xml:space="preserve"> such as archaeologist</w:t>
      </w:r>
      <w:r>
        <w:rPr>
          <w:rFonts w:cs="Times New Roman"/>
        </w:rPr>
        <w:t>s</w:t>
      </w:r>
      <w:r w:rsidRPr="00242AAB">
        <w:rPr>
          <w:rFonts w:cs="Times New Roman"/>
        </w:rPr>
        <w:t xml:space="preserve"> </w:t>
      </w:r>
      <w:r>
        <w:rPr>
          <w:rFonts w:cs="Times New Roman"/>
        </w:rPr>
        <w:t>and</w:t>
      </w:r>
      <w:r w:rsidRPr="00242AAB">
        <w:rPr>
          <w:rFonts w:cs="Times New Roman"/>
        </w:rPr>
        <w:t xml:space="preserve"> “employees and volunteers of historical societies and museums, collections managers, and administrators” (</w:t>
      </w:r>
      <w:r>
        <w:rPr>
          <w:rFonts w:cs="Times New Roman"/>
        </w:rPr>
        <w:t>p.</w:t>
      </w:r>
      <w:r w:rsidRPr="00242AAB">
        <w:rPr>
          <w:rFonts w:cs="Times New Roman"/>
        </w:rPr>
        <w:t xml:space="preserve"> 3</w:t>
      </w:r>
      <w:r>
        <w:rPr>
          <w:rFonts w:cs="Times New Roman"/>
        </w:rPr>
        <w:t>)</w:t>
      </w:r>
      <w:r w:rsidR="0052689C">
        <w:rPr>
          <w:rFonts w:cs="Times New Roman"/>
        </w:rPr>
        <w:t>―</w:t>
      </w:r>
      <w:r>
        <w:rPr>
          <w:rFonts w:cs="Times New Roman"/>
        </w:rPr>
        <w:t xml:space="preserve"> form the first group.  Her</w:t>
      </w:r>
      <w:r w:rsidRPr="00242AAB">
        <w:rPr>
          <w:rFonts w:cs="Times New Roman"/>
        </w:rPr>
        <w:t xml:space="preserve"> second group include</w:t>
      </w:r>
      <w:r>
        <w:rPr>
          <w:rFonts w:cs="Times New Roman"/>
        </w:rPr>
        <w:t>d</w:t>
      </w:r>
      <w:r w:rsidRPr="00242AAB">
        <w:rPr>
          <w:rFonts w:cs="Times New Roman"/>
        </w:rPr>
        <w:t xml:space="preserve"> “educators, college and un</w:t>
      </w:r>
      <w:r>
        <w:rPr>
          <w:rFonts w:cs="Times New Roman"/>
        </w:rPr>
        <w:t xml:space="preserve">iversity professors, </w:t>
      </w:r>
      <w:r>
        <w:rPr>
          <w:rFonts w:cs="Times New Roman"/>
        </w:rPr>
        <w:lastRenderedPageBreak/>
        <w:t>researcher</w:t>
      </w:r>
      <w:r w:rsidRPr="00242AAB">
        <w:rPr>
          <w:rFonts w:cs="Times New Roman"/>
        </w:rPr>
        <w:t>s from various fields, interpreters, artists, local communities and descendant groups” (</w:t>
      </w:r>
      <w:r>
        <w:rPr>
          <w:rFonts w:cs="Times New Roman"/>
        </w:rPr>
        <w:t>p.</w:t>
      </w:r>
      <w:r w:rsidRPr="00242AAB">
        <w:rPr>
          <w:rFonts w:cs="Times New Roman"/>
        </w:rPr>
        <w:t xml:space="preserve"> 3)</w:t>
      </w:r>
      <w:r>
        <w:rPr>
          <w:rFonts w:cs="Times New Roman"/>
        </w:rPr>
        <w:t>. Moyer</w:t>
      </w:r>
      <w:r w:rsidRPr="00242AAB">
        <w:rPr>
          <w:rFonts w:cs="Times New Roman"/>
        </w:rPr>
        <w:t xml:space="preserve"> d</w:t>
      </w:r>
      <w:r>
        <w:rPr>
          <w:rFonts w:cs="Times New Roman"/>
        </w:rPr>
        <w:t xml:space="preserve">id not </w:t>
      </w:r>
      <w:r w:rsidRPr="00242AAB">
        <w:rPr>
          <w:rFonts w:cs="Times New Roman"/>
        </w:rPr>
        <w:t>address the virtual r</w:t>
      </w:r>
      <w:r>
        <w:rPr>
          <w:rFonts w:cs="Times New Roman"/>
        </w:rPr>
        <w:t xml:space="preserve">epresentation of artifacts, nor did she make </w:t>
      </w:r>
      <w:r w:rsidRPr="00242AAB">
        <w:rPr>
          <w:rFonts w:cs="Times New Roman"/>
        </w:rPr>
        <w:t>any comment on the issues</w:t>
      </w:r>
      <w:r>
        <w:rPr>
          <w:rFonts w:cs="Times New Roman"/>
        </w:rPr>
        <w:t xml:space="preserve"> related to</w:t>
      </w:r>
      <w:r w:rsidRPr="00242AAB">
        <w:rPr>
          <w:rFonts w:cs="Times New Roman"/>
        </w:rPr>
        <w:t xml:space="preserve"> using archaeological data</w:t>
      </w:r>
      <w:r>
        <w:rPr>
          <w:rFonts w:cs="Times New Roman"/>
        </w:rPr>
        <w:t>,</w:t>
      </w:r>
      <w:r w:rsidRPr="00242AAB">
        <w:rPr>
          <w:rFonts w:cs="Times New Roman"/>
        </w:rPr>
        <w:t xml:space="preserve"> but </w:t>
      </w:r>
      <w:r>
        <w:rPr>
          <w:rFonts w:cs="Times New Roman"/>
        </w:rPr>
        <w:t>her study included</w:t>
      </w:r>
      <w:r w:rsidRPr="00242AAB">
        <w:rPr>
          <w:rFonts w:cs="Times New Roman"/>
        </w:rPr>
        <w:t xml:space="preserve"> several case studies showing how archaeological collections are used at five different institutions</w:t>
      </w:r>
      <w:r w:rsidR="00B65E5B">
        <w:rPr>
          <w:rFonts w:cs="Times New Roman"/>
        </w:rPr>
        <w:t xml:space="preserve"> by different groups</w:t>
      </w:r>
      <w:r w:rsidRPr="00242AAB">
        <w:rPr>
          <w:rFonts w:cs="Times New Roman"/>
        </w:rPr>
        <w:t xml:space="preserve">, noting </w:t>
      </w:r>
      <w:r>
        <w:rPr>
          <w:rFonts w:cs="Times New Roman"/>
        </w:rPr>
        <w:t xml:space="preserve">that </w:t>
      </w:r>
      <w:r w:rsidRPr="00242AAB">
        <w:rPr>
          <w:rFonts w:cs="Times New Roman"/>
        </w:rPr>
        <w:t>the value of collections is “frequently underestimated</w:t>
      </w:r>
      <w:r>
        <w:rPr>
          <w:rFonts w:cs="Times New Roman"/>
        </w:rPr>
        <w:t>.</w:t>
      </w:r>
      <w:r w:rsidRPr="00242AAB">
        <w:rPr>
          <w:rFonts w:cs="Times New Roman"/>
        </w:rPr>
        <w:t xml:space="preserve">” While there are differences in the use of physical and virtual collections, her strong support of the educational value, and </w:t>
      </w:r>
      <w:r w:rsidR="00340905">
        <w:rPr>
          <w:rFonts w:cs="Times New Roman"/>
        </w:rPr>
        <w:t xml:space="preserve">her </w:t>
      </w:r>
      <w:r w:rsidRPr="00242AAB">
        <w:rPr>
          <w:rFonts w:cs="Times New Roman"/>
        </w:rPr>
        <w:t>illustrative case studies, clearly show how archaeology can reach not just other archaeologists, but the many publics she describe</w:t>
      </w:r>
      <w:r>
        <w:rPr>
          <w:rFonts w:cs="Times New Roman"/>
        </w:rPr>
        <w:t>d</w:t>
      </w:r>
      <w:r w:rsidRPr="00242AAB">
        <w:rPr>
          <w:rFonts w:cs="Times New Roman"/>
        </w:rPr>
        <w:t>.</w:t>
      </w:r>
    </w:p>
    <w:p w14:paraId="6E5D9683" w14:textId="77777777" w:rsidR="007C0825" w:rsidRDefault="007C0825" w:rsidP="007C0825">
      <w:r>
        <w:t xml:space="preserve"> Between archaeologists and a “lay” audience are professionals in related fields. Curators, historians, and digital humanities researchers, for example, may have an interest and understanding of the material culture of archaeology without necessarily being experts in the field. Haley (2007) has made the call for more user studies to understand the how and why of using digital humanities data, as well as a need</w:t>
      </w:r>
      <w:r w:rsidRPr="00F06FB2">
        <w:t xml:space="preserve"> to “to measure its impact and its outcomes”</w:t>
      </w:r>
      <w:r>
        <w:t xml:space="preserve"> (section: </w:t>
      </w:r>
      <w:r w:rsidRPr="009C45EC">
        <w:rPr>
          <w:bCs/>
        </w:rPr>
        <w:t>Value and sustain</w:t>
      </w:r>
      <w:r>
        <w:rPr>
          <w:bCs/>
        </w:rPr>
        <w:t xml:space="preserve"> </w:t>
      </w:r>
      <w:r w:rsidRPr="009C45EC">
        <w:rPr>
          <w:bCs/>
        </w:rPr>
        <w:t>ability</w:t>
      </w:r>
      <w:r>
        <w:t>)</w:t>
      </w:r>
      <w:r w:rsidRPr="00F06FB2">
        <w:t>.</w:t>
      </w:r>
      <w:r>
        <w:t xml:space="preserve"> Her research on professors and undergraduate</w:t>
      </w:r>
      <w:r w:rsidR="008B61E4">
        <w:t>s</w:t>
      </w:r>
      <w:r>
        <w:t xml:space="preserve"> showed that the resources have to “mesh with faculty members’ pedagogies” (section: conclusions). It is difficult for complex datasets to be assimilated with other materials.</w:t>
      </w:r>
    </w:p>
    <w:p w14:paraId="1764142E" w14:textId="77777777" w:rsidR="007C0825" w:rsidRDefault="007C0825" w:rsidP="007C0825">
      <w:r>
        <w:t xml:space="preserve">There is some literature in museum studies and archaeology that </w:t>
      </w:r>
      <w:r w:rsidR="00644DEB">
        <w:t>tr</w:t>
      </w:r>
      <w:r w:rsidR="0052689C">
        <w:t>ies</w:t>
      </w:r>
      <w:r w:rsidR="00644DEB">
        <w:t xml:space="preserve"> </w:t>
      </w:r>
      <w:r>
        <w:t>to understand the extent of the audience for archaeological data. Specifically referencing digital archaeological objects, Breen talks of an audience of</w:t>
      </w:r>
      <w:r>
        <w:rPr>
          <w:color w:val="000000"/>
        </w:rPr>
        <w:t xml:space="preserve"> “</w:t>
      </w:r>
      <w:r w:rsidRPr="000E55AA">
        <w:rPr>
          <w:color w:val="000000"/>
          <w:shd w:val="clear" w:color="auto" w:fill="FFFFFF"/>
        </w:rPr>
        <w:t>everyone from my mom to academic researchers</w:t>
      </w:r>
      <w:r>
        <w:rPr>
          <w:color w:val="000000"/>
        </w:rPr>
        <w:t>” (Breen 2011, para</w:t>
      </w:r>
      <w:r w:rsidR="005A524C">
        <w:rPr>
          <w:color w:val="000000"/>
        </w:rPr>
        <w:t>:</w:t>
      </w:r>
      <w:r>
        <w:rPr>
          <w:color w:val="000000"/>
        </w:rPr>
        <w:t xml:space="preserve"> From Dig Diaries to Digitized Databases). I</w:t>
      </w:r>
      <w:r>
        <w:t xml:space="preserve">t would be useful to explore the evidence that this non-archaeological audience exists. </w:t>
      </w:r>
      <w:r w:rsidR="0052689C">
        <w:t>Are there users</w:t>
      </w:r>
      <w:r>
        <w:t xml:space="preserve"> of archaeological data outside of the profession? </w:t>
      </w:r>
      <w:r w:rsidR="00EA7AA7">
        <w:t xml:space="preserve">One insight into the public’s general interest in archaeology: </w:t>
      </w:r>
      <w:r w:rsidRPr="00375A2E">
        <w:t>“We may need point no further than the television set to confirm that an archaeological engagement with things and everyday heritage has captured public imagination” (Mullins, 2013)</w:t>
      </w:r>
      <w:r>
        <w:t>. Archaeologists hold field schools and public archaeology events</w:t>
      </w:r>
      <w:r w:rsidR="00644DEB">
        <w:t>;</w:t>
      </w:r>
      <w:r>
        <w:t xml:space="preserve"> they publish in a variety of formats including popular magazines; they create blogs and websites. But is there </w:t>
      </w:r>
      <w:r>
        <w:lastRenderedPageBreak/>
        <w:t>any evidence that the public’s interest in archaeology extends to archaeological data? How important is it that potential data reach these broader publics?</w:t>
      </w:r>
    </w:p>
    <w:p w14:paraId="7566F476" w14:textId="77777777" w:rsidR="007C0825" w:rsidRPr="00372DB2" w:rsidRDefault="007C0825" w:rsidP="007C0825">
      <w:pPr>
        <w:rPr>
          <w:rFonts w:ascii="Calibri" w:hAnsi="Calibri"/>
          <w:color w:val="000000"/>
          <w:shd w:val="clear" w:color="auto" w:fill="FFFFFF"/>
        </w:rPr>
      </w:pPr>
      <w:r w:rsidRPr="00080B3A">
        <w:rPr>
          <w:rFonts w:ascii="Calibri" w:hAnsi="Calibri"/>
        </w:rPr>
        <w:t xml:space="preserve">A </w:t>
      </w:r>
      <w:r w:rsidR="00707BFC">
        <w:rPr>
          <w:rFonts w:ascii="Calibri" w:hAnsi="Calibri"/>
        </w:rPr>
        <w:t xml:space="preserve">2003 </w:t>
      </w:r>
      <w:r w:rsidRPr="00080B3A">
        <w:rPr>
          <w:rFonts w:ascii="Calibri" w:hAnsi="Calibri"/>
        </w:rPr>
        <w:t xml:space="preserve">paper reporting on </w:t>
      </w:r>
      <w:r w:rsidRPr="00080B3A">
        <w:rPr>
          <w:rStyle w:val="Emphasis"/>
          <w:rFonts w:ascii="Calibri" w:hAnsi="Calibri"/>
          <w:szCs w:val="23"/>
          <w:shd w:val="clear" w:color="auto" w:fill="FFFFFF"/>
        </w:rPr>
        <w:t xml:space="preserve">The Publication of Archaeological Projects: </w:t>
      </w:r>
      <w:r w:rsidR="00707BFC">
        <w:rPr>
          <w:rStyle w:val="Emphasis"/>
          <w:rFonts w:ascii="Calibri" w:hAnsi="Calibri"/>
          <w:szCs w:val="23"/>
          <w:shd w:val="clear" w:color="auto" w:fill="FFFFFF"/>
        </w:rPr>
        <w:t>A</w:t>
      </w:r>
      <w:r w:rsidRPr="00080B3A">
        <w:rPr>
          <w:rStyle w:val="Emphasis"/>
          <w:rFonts w:ascii="Calibri" w:hAnsi="Calibri"/>
          <w:szCs w:val="23"/>
          <w:shd w:val="clear" w:color="auto" w:fill="FFFFFF"/>
        </w:rPr>
        <w:t xml:space="preserve"> </w:t>
      </w:r>
      <w:r w:rsidR="00707BFC">
        <w:rPr>
          <w:rStyle w:val="Emphasis"/>
          <w:rFonts w:ascii="Calibri" w:hAnsi="Calibri"/>
          <w:szCs w:val="23"/>
          <w:shd w:val="clear" w:color="auto" w:fill="FFFFFF"/>
        </w:rPr>
        <w:t>U</w:t>
      </w:r>
      <w:r w:rsidRPr="00080B3A">
        <w:rPr>
          <w:rStyle w:val="Emphasis"/>
          <w:rFonts w:ascii="Calibri" w:hAnsi="Calibri"/>
          <w:szCs w:val="23"/>
          <w:shd w:val="clear" w:color="auto" w:fill="FFFFFF"/>
        </w:rPr>
        <w:t xml:space="preserve">ser </w:t>
      </w:r>
      <w:r w:rsidR="00707BFC">
        <w:rPr>
          <w:rStyle w:val="Emphasis"/>
          <w:rFonts w:ascii="Calibri" w:hAnsi="Calibri"/>
          <w:szCs w:val="23"/>
          <w:shd w:val="clear" w:color="auto" w:fill="FFFFFF"/>
        </w:rPr>
        <w:t>N</w:t>
      </w:r>
      <w:r w:rsidRPr="00080B3A">
        <w:rPr>
          <w:rStyle w:val="Emphasis"/>
          <w:rFonts w:ascii="Calibri" w:hAnsi="Calibri"/>
          <w:szCs w:val="23"/>
          <w:shd w:val="clear" w:color="auto" w:fill="FFFFFF"/>
        </w:rPr>
        <w:t xml:space="preserve">eeds </w:t>
      </w:r>
      <w:r w:rsidR="00707BFC">
        <w:rPr>
          <w:rStyle w:val="Emphasis"/>
          <w:rFonts w:ascii="Calibri" w:hAnsi="Calibri"/>
          <w:szCs w:val="23"/>
          <w:shd w:val="clear" w:color="auto" w:fill="FFFFFF"/>
        </w:rPr>
        <w:t>S</w:t>
      </w:r>
      <w:r w:rsidRPr="00080B3A">
        <w:rPr>
          <w:rStyle w:val="Emphasis"/>
          <w:rFonts w:ascii="Calibri" w:hAnsi="Calibri"/>
          <w:szCs w:val="23"/>
          <w:shd w:val="clear" w:color="auto" w:fill="FFFFFF"/>
        </w:rPr>
        <w:t>urvey</w:t>
      </w:r>
      <w:r w:rsidRPr="00080B3A">
        <w:rPr>
          <w:rStyle w:val="apple-converted-space"/>
          <w:rFonts w:ascii="Calibri" w:hAnsi="Calibri"/>
          <w:szCs w:val="23"/>
          <w:shd w:val="clear" w:color="auto" w:fill="FFFFFF"/>
        </w:rPr>
        <w:t> </w:t>
      </w:r>
      <w:r w:rsidRPr="00080B3A">
        <w:rPr>
          <w:rFonts w:ascii="Calibri" w:hAnsi="Calibri"/>
          <w:szCs w:val="23"/>
          <w:shd w:val="clear" w:color="auto" w:fill="FFFFFF"/>
        </w:rPr>
        <w:t>(PUNS)</w:t>
      </w:r>
      <w:r w:rsidRPr="00080B3A">
        <w:rPr>
          <w:rFonts w:ascii="Calibri" w:hAnsi="Calibri"/>
        </w:rPr>
        <w:t>, while dated in terms of the type of digital material now available, is still informative in terms of attitudes to archaeology</w:t>
      </w:r>
      <w:r w:rsidR="00707BFC">
        <w:rPr>
          <w:rFonts w:ascii="Calibri" w:hAnsi="Calibri"/>
        </w:rPr>
        <w:t xml:space="preserve"> </w:t>
      </w:r>
      <w:r w:rsidR="00707BFC" w:rsidRPr="00080B3A">
        <w:rPr>
          <w:rFonts w:ascii="Calibri" w:hAnsi="Calibri"/>
        </w:rPr>
        <w:t>(Jones et al. 2003)</w:t>
      </w:r>
      <w:r w:rsidRPr="00080B3A">
        <w:rPr>
          <w:rFonts w:ascii="Calibri" w:hAnsi="Calibri"/>
        </w:rPr>
        <w:t xml:space="preserve">. </w:t>
      </w:r>
      <w:r>
        <w:rPr>
          <w:rFonts w:ascii="Calibri" w:hAnsi="Calibri"/>
        </w:rPr>
        <w:t>The PUNS survey was broad</w:t>
      </w:r>
      <w:r w:rsidR="0052689C">
        <w:rPr>
          <w:rFonts w:ascii="Calibri" w:hAnsi="Calibri"/>
        </w:rPr>
        <w:t xml:space="preserve"> </w:t>
      </w:r>
      <w:r w:rsidRPr="00080B3A">
        <w:rPr>
          <w:rFonts w:ascii="Calibri" w:hAnsi="Calibri"/>
        </w:rPr>
        <w:t xml:space="preserve">based including </w:t>
      </w:r>
      <w:r w:rsidRPr="00080B3A">
        <w:rPr>
          <w:rFonts w:ascii="Calibri" w:hAnsi="Calibri"/>
          <w:szCs w:val="23"/>
          <w:shd w:val="clear" w:color="auto" w:fill="FFFFFF"/>
        </w:rPr>
        <w:t xml:space="preserve">museum curators, researchers in cognate disciplines, </w:t>
      </w:r>
      <w:r w:rsidRPr="00080B3A">
        <w:rPr>
          <w:rFonts w:ascii="Calibri" w:eastAsia="Times New Roman" w:hAnsi="Calibri" w:cs="Times New Roman"/>
          <w:szCs w:val="23"/>
        </w:rPr>
        <w:t xml:space="preserve">conservators, </w:t>
      </w:r>
      <w:r w:rsidRPr="00080B3A">
        <w:rPr>
          <w:rFonts w:ascii="Calibri" w:hAnsi="Calibri"/>
          <w:szCs w:val="23"/>
          <w:shd w:val="clear" w:color="auto" w:fill="FFFFFF"/>
        </w:rPr>
        <w:t>teachers and students</w:t>
      </w:r>
      <w:r w:rsidR="005A524C">
        <w:rPr>
          <w:rFonts w:ascii="Calibri" w:hAnsi="Calibri"/>
          <w:szCs w:val="23"/>
          <w:shd w:val="clear" w:color="auto" w:fill="FFFFFF"/>
        </w:rPr>
        <w:t xml:space="preserve"> (s</w:t>
      </w:r>
      <w:r>
        <w:rPr>
          <w:rFonts w:ascii="Calibri" w:hAnsi="Calibri"/>
          <w:szCs w:val="23"/>
          <w:shd w:val="clear" w:color="auto" w:fill="FFFFFF"/>
        </w:rPr>
        <w:t>ection: The Survey Methodology)</w:t>
      </w:r>
      <w:r w:rsidRPr="00080B3A">
        <w:rPr>
          <w:rFonts w:ascii="Calibri" w:hAnsi="Calibri"/>
        </w:rPr>
        <w:t xml:space="preserve">. </w:t>
      </w:r>
      <w:r>
        <w:rPr>
          <w:rFonts w:ascii="Calibri" w:hAnsi="Calibri"/>
        </w:rPr>
        <w:t>The report looked at existing publication models, at this time still heavily print</w:t>
      </w:r>
      <w:r w:rsidR="00707BFC">
        <w:rPr>
          <w:rFonts w:ascii="Calibri" w:hAnsi="Calibri"/>
        </w:rPr>
        <w:t>-based</w:t>
      </w:r>
      <w:r>
        <w:rPr>
          <w:rFonts w:ascii="Calibri" w:hAnsi="Calibri"/>
        </w:rPr>
        <w:t xml:space="preserve">, and broadly </w:t>
      </w:r>
      <w:r w:rsidR="0052689C">
        <w:rPr>
          <w:rFonts w:ascii="Calibri" w:hAnsi="Calibri"/>
        </w:rPr>
        <w:t xml:space="preserve">contrasted </w:t>
      </w:r>
      <w:r>
        <w:rPr>
          <w:rFonts w:ascii="Calibri" w:hAnsi="Calibri"/>
        </w:rPr>
        <w:t xml:space="preserve">field reports with more synthetic material. Perhaps unsurprisingly it found that </w:t>
      </w:r>
      <w:r w:rsidRPr="00080B3A">
        <w:rPr>
          <w:rFonts w:ascii="Calibri" w:hAnsi="Calibri"/>
        </w:rPr>
        <w:t>“</w:t>
      </w:r>
      <w:r w:rsidRPr="00080B3A">
        <w:rPr>
          <w:rFonts w:ascii="Calibri" w:hAnsi="Calibri"/>
          <w:szCs w:val="23"/>
          <w:shd w:val="clear" w:color="auto" w:fill="FFFFFF"/>
        </w:rPr>
        <w:t xml:space="preserve">40% </w:t>
      </w:r>
      <w:r w:rsidRPr="00372DB2">
        <w:rPr>
          <w:rFonts w:ascii="Calibri" w:hAnsi="Calibri"/>
          <w:shd w:val="clear" w:color="auto" w:fill="FFFFFF"/>
        </w:rPr>
        <w:t xml:space="preserve">of respondents also favored greater integration of description and interpretation and more synthesis” </w:t>
      </w:r>
      <w:r w:rsidRPr="00372DB2">
        <w:rPr>
          <w:rFonts w:ascii="Calibri" w:hAnsi="Calibri"/>
        </w:rPr>
        <w:t>(</w:t>
      </w:r>
      <w:r w:rsidR="005A524C">
        <w:rPr>
          <w:rFonts w:ascii="Calibri" w:hAnsi="Calibri"/>
        </w:rPr>
        <w:t>s</w:t>
      </w:r>
      <w:r w:rsidRPr="00372DB2">
        <w:rPr>
          <w:rFonts w:ascii="Calibri" w:hAnsi="Calibri"/>
        </w:rPr>
        <w:t>ection: The structure of fieldwork publications). However in examining “</w:t>
      </w:r>
      <w:r w:rsidRPr="00372DB2">
        <w:rPr>
          <w:rFonts w:ascii="Calibri" w:hAnsi="Calibri"/>
          <w:color w:val="000000"/>
          <w:shd w:val="clear" w:color="auto" w:fill="FFFFFF"/>
        </w:rPr>
        <w:t>specific categories of data</w:t>
      </w:r>
      <w:r w:rsidR="00707BFC">
        <w:rPr>
          <w:rFonts w:ascii="Calibri" w:hAnsi="Calibri"/>
          <w:color w:val="000000"/>
          <w:shd w:val="clear" w:color="auto" w:fill="FFFFFF"/>
        </w:rPr>
        <w:t>, m</w:t>
      </w:r>
      <w:r w:rsidRPr="00372DB2">
        <w:rPr>
          <w:rFonts w:ascii="Calibri" w:hAnsi="Calibri"/>
          <w:color w:val="000000"/>
          <w:shd w:val="clear" w:color="auto" w:fill="FFFFFF"/>
        </w:rPr>
        <w:t>useum archaeologists, postgraduates, artefact/ecofact specialists, and university staff make the most such use, with over 70% (over 90% in the case of specialists) 'always' or 'usually' using them for the purpose</w:t>
      </w:r>
      <w:r w:rsidR="00AF3C1D">
        <w:rPr>
          <w:rFonts w:ascii="Calibri" w:hAnsi="Calibri"/>
          <w:color w:val="000000"/>
          <w:shd w:val="clear" w:color="auto" w:fill="FFFFFF"/>
        </w:rPr>
        <w:t xml:space="preserve">” (section: </w:t>
      </w:r>
      <w:r w:rsidR="00AF3C1D" w:rsidRPr="00AF3C1D">
        <w:rPr>
          <w:rFonts w:ascii="Calibri" w:hAnsi="Calibri"/>
          <w:color w:val="000000"/>
          <w:shd w:val="clear" w:color="auto" w:fill="FFFFFF"/>
        </w:rPr>
        <w:t>The Survey: Use of the components of fieldwork reports</w:t>
      </w:r>
      <w:r w:rsidR="00AF3C1D">
        <w:rPr>
          <w:rFonts w:ascii="Calibri" w:hAnsi="Calibri"/>
          <w:color w:val="000000"/>
          <w:shd w:val="clear" w:color="auto" w:fill="FFFFFF"/>
        </w:rPr>
        <w:t>)</w:t>
      </w:r>
      <w:r w:rsidRPr="00372DB2">
        <w:rPr>
          <w:rFonts w:ascii="Calibri" w:hAnsi="Calibri"/>
          <w:color w:val="000000"/>
          <w:shd w:val="clear" w:color="auto" w:fill="FFFFFF"/>
        </w:rPr>
        <w:t>. It may be hypothesized that a layered approach providing synthesis with supporting linked data would have been very appealing to these audiences</w:t>
      </w:r>
      <w:r w:rsidR="00AF3C1D">
        <w:rPr>
          <w:rFonts w:ascii="Calibri" w:hAnsi="Calibri"/>
          <w:color w:val="000000"/>
          <w:shd w:val="clear" w:color="auto" w:fill="FFFFFF"/>
        </w:rPr>
        <w:t>.</w:t>
      </w:r>
      <w:r w:rsidRPr="00372DB2">
        <w:rPr>
          <w:rFonts w:ascii="Calibri" w:hAnsi="Calibri"/>
          <w:color w:val="000000"/>
          <w:shd w:val="clear" w:color="auto" w:fill="FFFFFF"/>
        </w:rPr>
        <w:t xml:space="preserve"> </w:t>
      </w:r>
    </w:p>
    <w:p w14:paraId="09BD4536" w14:textId="77777777" w:rsidR="007C0825" w:rsidRDefault="007C0825" w:rsidP="007C0825">
      <w:r w:rsidRPr="00242AAB">
        <w:t>A survey of the U</w:t>
      </w:r>
      <w:r>
        <w:t>nited Kingdom’s</w:t>
      </w:r>
      <w:r w:rsidRPr="00242AAB">
        <w:t xml:space="preserve"> Archaeological Data Service (ADS) (Beagrie &amp; Houghton</w:t>
      </w:r>
      <w:r>
        <w:t>,</w:t>
      </w:r>
      <w:r w:rsidRPr="00242AAB">
        <w:t xml:space="preserve"> 2013)</w:t>
      </w:r>
      <w:r w:rsidR="0052689C">
        <w:t>,</w:t>
      </w:r>
      <w:r w:rsidRPr="00242AAB">
        <w:t xml:space="preserve"> which archives a wide range of </w:t>
      </w:r>
      <w:r>
        <w:t>archaeological data</w:t>
      </w:r>
      <w:r w:rsidRPr="00242AAB">
        <w:t>, including site reports</w:t>
      </w:r>
      <w:r w:rsidR="0052689C">
        <w:t>,</w:t>
      </w:r>
      <w:r w:rsidRPr="00242AAB">
        <w:t xml:space="preserve">  provide</w:t>
      </w:r>
      <w:r>
        <w:t>d</w:t>
      </w:r>
      <w:r w:rsidRPr="00242AAB">
        <w:t xml:space="preserve"> a limited comparison, but does suggest some potential</w:t>
      </w:r>
      <w:r w:rsidR="00B65E5B">
        <w:t xml:space="preserve"> for broad-based access</w:t>
      </w:r>
      <w:r w:rsidRPr="00242AAB">
        <w:t xml:space="preserve">. </w:t>
      </w:r>
      <w:r>
        <w:t>Seven percent</w:t>
      </w:r>
      <w:r w:rsidRPr="00242AAB">
        <w:t xml:space="preserve"> of respondents from the non-educational sector fell into the curator category, though just 4% came from related disciplines, w</w:t>
      </w:r>
      <w:r>
        <w:t xml:space="preserve">hile 3% described themselves as </w:t>
      </w:r>
      <w:r w:rsidRPr="00242AAB">
        <w:t>metal</w:t>
      </w:r>
      <w:r>
        <w:t xml:space="preserve"> </w:t>
      </w:r>
      <w:r w:rsidRPr="00242AAB">
        <w:t>detectorists</w:t>
      </w:r>
      <w:r>
        <w:t xml:space="preserve">. </w:t>
      </w:r>
      <w:r w:rsidRPr="00242AAB">
        <w:t>From the educational sector</w:t>
      </w:r>
      <w:r w:rsidR="0052689C">
        <w:t>,</w:t>
      </w:r>
      <w:r>
        <w:t xml:space="preserve"> </w:t>
      </w:r>
      <w:r w:rsidRPr="00242AAB">
        <w:t>a scant 1% was from non</w:t>
      </w:r>
      <w:r>
        <w:t>-</w:t>
      </w:r>
      <w:r w:rsidRPr="00242AAB">
        <w:t>higher education</w:t>
      </w:r>
      <w:r>
        <w:t xml:space="preserve">. </w:t>
      </w:r>
      <w:r w:rsidRPr="00242AAB">
        <w:t>However</w:t>
      </w:r>
      <w:r>
        <w:t xml:space="preserve">, </w:t>
      </w:r>
      <w:r w:rsidRPr="00242AAB">
        <w:t>when asked what the research was being used for</w:t>
      </w:r>
      <w:r>
        <w:t xml:space="preserve">, </w:t>
      </w:r>
      <w:r w:rsidRPr="00242AAB">
        <w:t>25% said general inte</w:t>
      </w:r>
      <w:r>
        <w:t xml:space="preserve">rest, 20% heritage management, </w:t>
      </w:r>
      <w:r w:rsidRPr="00242AAB">
        <w:t>19% learning and skill</w:t>
      </w:r>
      <w:r>
        <w:t xml:space="preserve">s development, and 15% teaching, </w:t>
      </w:r>
      <w:r w:rsidRPr="00242AAB">
        <w:t xml:space="preserve">suggesting </w:t>
      </w:r>
      <w:r>
        <w:t xml:space="preserve">that </w:t>
      </w:r>
      <w:r w:rsidR="009E6E9E">
        <w:t xml:space="preserve">a </w:t>
      </w:r>
      <w:r w:rsidR="0052689C">
        <w:t>broader</w:t>
      </w:r>
      <w:r>
        <w:t xml:space="preserve"> audience for these data exists</w:t>
      </w:r>
      <w:r w:rsidRPr="00242AAB">
        <w:t>.</w:t>
      </w:r>
    </w:p>
    <w:p w14:paraId="3D14E349" w14:textId="77777777" w:rsidR="007C0825" w:rsidRDefault="007C0825" w:rsidP="007C0825">
      <w:pPr>
        <w:rPr>
          <w:b/>
        </w:rPr>
      </w:pPr>
      <w:r>
        <w:lastRenderedPageBreak/>
        <w:t>There have been a number of museum studies that have looked at audience segmentation (</w:t>
      </w:r>
      <w:r>
        <w:rPr>
          <w:rFonts w:ascii="Calibri" w:hAnsi="Calibri" w:cs="Calibri"/>
        </w:rPr>
        <w:t xml:space="preserve">Sarraf, 1999; Peacock &amp; Brownhill, 2007; Fantoni, Stein &amp; Bowman, 2012). </w:t>
      </w:r>
      <w:r w:rsidR="00707BFC">
        <w:t>This author’s</w:t>
      </w:r>
      <w:r w:rsidR="00707BFC" w:rsidRPr="00242AAB">
        <w:t xml:space="preserve"> </w:t>
      </w:r>
      <w:r w:rsidRPr="00242AAB">
        <w:t>study of users of the National Park Service web catalog (Freeman</w:t>
      </w:r>
      <w:r w:rsidR="005A524C">
        <w:t>,</w:t>
      </w:r>
      <w:r w:rsidRPr="00242AAB">
        <w:t xml:space="preserve"> 2013)</w:t>
      </w:r>
      <w:r>
        <w:t xml:space="preserve"> attempted a more detailed breakdown</w:t>
      </w:r>
      <w:r w:rsidR="00707BFC">
        <w:t xml:space="preserve">, </w:t>
      </w:r>
      <w:r>
        <w:t xml:space="preserve">asking visitors to </w:t>
      </w:r>
      <w:r w:rsidRPr="00242AAB">
        <w:t xml:space="preserve">self-identify according to their interest in the </w:t>
      </w:r>
      <w:r w:rsidR="006B4F86">
        <w:t xml:space="preserve">website </w:t>
      </w:r>
      <w:r>
        <w:t>and, for researchers, the nature of their research. The web catalog is an online catalog showcasing some of the objects (of which 84% are archaeological) maintained by the National Park Service. Sixty-two percent</w:t>
      </w:r>
      <w:r w:rsidRPr="00242AAB">
        <w:t xml:space="preserve"> </w:t>
      </w:r>
      <w:r>
        <w:t xml:space="preserve">of website visitors </w:t>
      </w:r>
      <w:r w:rsidRPr="00242AAB">
        <w:t>class</w:t>
      </w:r>
      <w:r>
        <w:t>ified themselves as researchers;</w:t>
      </w:r>
      <w:r w:rsidRPr="00242AAB">
        <w:t xml:space="preserve"> of this group 50% were historians/archivists, while 21% were archaeologists. Interestingly, when the objects examined by the survey recipients w</w:t>
      </w:r>
      <w:r>
        <w:t>ere</w:t>
      </w:r>
      <w:r w:rsidRPr="00242AAB">
        <w:t xml:space="preserve"> analyzed</w:t>
      </w:r>
      <w:r>
        <w:t xml:space="preserve">, </w:t>
      </w:r>
      <w:r w:rsidRPr="00242AAB">
        <w:t>archaeology made up a similar 19% of the record</w:t>
      </w:r>
      <w:r w:rsidR="00EA7AA7">
        <w:t xml:space="preserve">s examined. Looking more closely at the results showed </w:t>
      </w:r>
      <w:r w:rsidRPr="00242AAB">
        <w:t>that the archaeology material was not being looked at by archaeologists, but by historians, with the archaeologists looking at historical objects</w:t>
      </w:r>
      <w:r w:rsidR="008B61E4">
        <w:t>; supporting the idea of other researchers being interested in archaeological data</w:t>
      </w:r>
      <w:r w:rsidR="00EA7AA7">
        <w:t xml:space="preserve">. </w:t>
      </w:r>
      <w:r>
        <w:t xml:space="preserve">There is clearly a strong public interest in archaeology. The question seems to be </w:t>
      </w:r>
      <w:r w:rsidR="008B61E4">
        <w:t xml:space="preserve">determining the </w:t>
      </w:r>
      <w:r>
        <w:t xml:space="preserve">level of granularity </w:t>
      </w:r>
      <w:r w:rsidR="0052689C">
        <w:t xml:space="preserve">at which </w:t>
      </w:r>
      <w:r w:rsidR="008B61E4">
        <w:t xml:space="preserve">archaeological data </w:t>
      </w:r>
      <w:r>
        <w:t xml:space="preserve">should be presented, </w:t>
      </w:r>
      <w:r w:rsidR="00707BFC">
        <w:t xml:space="preserve">such as </w:t>
      </w:r>
      <w:r>
        <w:t xml:space="preserve">whether summary </w:t>
      </w:r>
      <w:r w:rsidR="00EF2F17">
        <w:rPr>
          <w:rFonts w:cs="Times New Roman"/>
        </w:rPr>
        <w:t xml:space="preserve">archaeological </w:t>
      </w:r>
      <w:r>
        <w:t>site information with illustrative artifacts is sufficient. More studies are needed, but there is some evidence that there is a utility for archaeological data outside of the profession.</w:t>
      </w:r>
      <w:r w:rsidRPr="00242AAB">
        <w:rPr>
          <w:b/>
        </w:rPr>
        <w:t xml:space="preserve"> </w:t>
      </w:r>
    </w:p>
    <w:p w14:paraId="656049F9" w14:textId="77777777" w:rsidR="007C0825" w:rsidRDefault="007C0825" w:rsidP="007C0825">
      <w:pPr>
        <w:autoSpaceDE w:val="0"/>
        <w:autoSpaceDN w:val="0"/>
        <w:adjustRightInd w:val="0"/>
      </w:pPr>
      <w:r>
        <w:t xml:space="preserve">To understand the needs of potential audiences of non-archaeologists, it seems useful to start with the observations of Kenneth Hamma (2004). </w:t>
      </w:r>
      <w:r w:rsidRPr="00242AAB">
        <w:t>“There is no such thing as a general visitor, no such thing as someone just browsing through the on-line collections” (Hamma</w:t>
      </w:r>
      <w:r w:rsidR="005A524C">
        <w:t>,</w:t>
      </w:r>
      <w:r w:rsidRPr="00242AAB">
        <w:t xml:space="preserve"> 2004, </w:t>
      </w:r>
      <w:r>
        <w:t xml:space="preserve">section: </w:t>
      </w:r>
      <w:r w:rsidRPr="00242AAB">
        <w:t>Introduction). While Hamma was referencing museum collections</w:t>
      </w:r>
      <w:r>
        <w:t>,</w:t>
      </w:r>
      <w:r w:rsidRPr="00242AAB">
        <w:t xml:space="preserve"> the point is equally </w:t>
      </w:r>
      <w:r>
        <w:t>true</w:t>
      </w:r>
      <w:r w:rsidRPr="00242AAB">
        <w:t xml:space="preserve"> for archaeology. </w:t>
      </w:r>
      <w:r>
        <w:t xml:space="preserve">In examining collections accessibility, there needs to be a clear understanding of the designated communities and their </w:t>
      </w:r>
      <w:r w:rsidR="00674B87">
        <w:t>required use</w:t>
      </w:r>
      <w:r>
        <w:t>, and capacity for use, of primary data. From the earlier references to audience, students and teachers in K12 are likely to have different needs than historians, planners, community, and Native American groups.</w:t>
      </w:r>
    </w:p>
    <w:p w14:paraId="3A02C939" w14:textId="77777777" w:rsidR="007C0825" w:rsidRDefault="007C0825" w:rsidP="007C0825">
      <w:pPr>
        <w:rPr>
          <w:rFonts w:ascii="Calibri" w:hAnsi="Calibri"/>
        </w:rPr>
      </w:pPr>
      <w:r w:rsidRPr="00BE1552">
        <w:rPr>
          <w:rFonts w:ascii="Calibri" w:hAnsi="Calibri"/>
          <w:shd w:val="clear" w:color="auto" w:fill="FFFFFF"/>
        </w:rPr>
        <w:lastRenderedPageBreak/>
        <w:t xml:space="preserve">McDavid’s early paper (1999) on the Levi Jordan website noted </w:t>
      </w:r>
      <w:r>
        <w:rPr>
          <w:rFonts w:ascii="Calibri" w:hAnsi="Calibri"/>
          <w:shd w:val="clear" w:color="auto" w:fill="FFFFFF"/>
        </w:rPr>
        <w:t xml:space="preserve">how the web changed the nature of archaeological publication and identified some of the web elements that could serve a wider audience. The goals for this website included the </w:t>
      </w:r>
      <w:r w:rsidRPr="00BE1552">
        <w:rPr>
          <w:rFonts w:ascii="Calibri" w:hAnsi="Calibri"/>
          <w:shd w:val="clear" w:color="auto" w:fill="FFFFFF"/>
        </w:rPr>
        <w:t>desire to “incorporate elements of</w:t>
      </w:r>
      <w:r w:rsidRPr="00BE1552">
        <w:rPr>
          <w:rStyle w:val="apple-converted-space"/>
          <w:rFonts w:ascii="Calibri" w:hAnsi="Calibri"/>
          <w:shd w:val="clear" w:color="auto" w:fill="FFFFFF"/>
        </w:rPr>
        <w:t> </w:t>
      </w:r>
      <w:r w:rsidRPr="000D6009">
        <w:rPr>
          <w:rFonts w:ascii="Calibri" w:hAnsi="Calibri"/>
          <w:shd w:val="clear" w:color="auto" w:fill="FFFFFF"/>
        </w:rPr>
        <w:t>reflexivity</w:t>
      </w:r>
      <w:r w:rsidRPr="00BE1552">
        <w:rPr>
          <w:rFonts w:ascii="Calibri" w:hAnsi="Calibri"/>
          <w:shd w:val="clear" w:color="auto" w:fill="FFFFFF"/>
        </w:rPr>
        <w:t>,</w:t>
      </w:r>
      <w:r w:rsidRPr="00BE1552">
        <w:rPr>
          <w:rStyle w:val="apple-converted-space"/>
          <w:rFonts w:ascii="Calibri" w:hAnsi="Calibri"/>
          <w:shd w:val="clear" w:color="auto" w:fill="FFFFFF"/>
        </w:rPr>
        <w:t> </w:t>
      </w:r>
      <w:r w:rsidRPr="000D6009">
        <w:rPr>
          <w:rFonts w:ascii="Calibri" w:hAnsi="Calibri"/>
          <w:shd w:val="clear" w:color="auto" w:fill="FFFFFF"/>
        </w:rPr>
        <w:t>multivocality</w:t>
      </w:r>
      <w:r w:rsidRPr="00BE1552">
        <w:rPr>
          <w:rFonts w:ascii="Calibri" w:hAnsi="Calibri"/>
          <w:shd w:val="clear" w:color="auto" w:fill="FFFFFF"/>
        </w:rPr>
        <w:t xml:space="preserve">, </w:t>
      </w:r>
      <w:r w:rsidRPr="000D6009">
        <w:rPr>
          <w:rFonts w:ascii="Calibri" w:hAnsi="Calibri"/>
          <w:shd w:val="clear" w:color="auto" w:fill="FFFFFF"/>
        </w:rPr>
        <w:t>interactivity</w:t>
      </w:r>
      <w:r w:rsidRPr="00BE1552">
        <w:rPr>
          <w:rStyle w:val="apple-converted-space"/>
          <w:rFonts w:ascii="Calibri" w:hAnsi="Calibri"/>
          <w:shd w:val="clear" w:color="auto" w:fill="FFFFFF"/>
        </w:rPr>
        <w:t> </w:t>
      </w:r>
      <w:r w:rsidRPr="00BE1552">
        <w:rPr>
          <w:rFonts w:ascii="Calibri" w:hAnsi="Calibri"/>
          <w:shd w:val="clear" w:color="auto" w:fill="FFFFFF"/>
        </w:rPr>
        <w:t>and</w:t>
      </w:r>
      <w:r w:rsidRPr="00BE1552">
        <w:rPr>
          <w:rStyle w:val="apple-converted-space"/>
          <w:rFonts w:ascii="Calibri" w:hAnsi="Calibri"/>
          <w:shd w:val="clear" w:color="auto" w:fill="FFFFFF"/>
        </w:rPr>
        <w:t> </w:t>
      </w:r>
      <w:r w:rsidRPr="000D6009">
        <w:rPr>
          <w:rFonts w:ascii="Calibri" w:hAnsi="Calibri"/>
          <w:shd w:val="clear" w:color="auto" w:fill="FFFFFF"/>
        </w:rPr>
        <w:t>contextuality</w:t>
      </w:r>
      <w:r w:rsidRPr="00BE1552">
        <w:rPr>
          <w:rFonts w:ascii="Calibri" w:hAnsi="Calibri"/>
        </w:rPr>
        <w:t>”</w:t>
      </w:r>
      <w:r>
        <w:rPr>
          <w:rFonts w:ascii="Calibri" w:hAnsi="Calibri"/>
        </w:rPr>
        <w:t xml:space="preserve"> (</w:t>
      </w:r>
      <w:r w:rsidR="006B4F86">
        <w:rPr>
          <w:rFonts w:ascii="Calibri" w:hAnsi="Calibri"/>
          <w:shd w:val="clear" w:color="auto" w:fill="FFFFFF"/>
        </w:rPr>
        <w:t>section: Overview of the web</w:t>
      </w:r>
      <w:r w:rsidRPr="00BE1552">
        <w:rPr>
          <w:rFonts w:ascii="Calibri" w:hAnsi="Calibri"/>
          <w:shd w:val="clear" w:color="auto" w:fill="FFFFFF"/>
        </w:rPr>
        <w:t>s</w:t>
      </w:r>
      <w:r>
        <w:rPr>
          <w:rFonts w:ascii="Calibri" w:hAnsi="Calibri"/>
          <w:shd w:val="clear" w:color="auto" w:fill="FFFFFF"/>
        </w:rPr>
        <w:t>i</w:t>
      </w:r>
      <w:r w:rsidRPr="00BE1552">
        <w:rPr>
          <w:rFonts w:ascii="Calibri" w:hAnsi="Calibri"/>
          <w:shd w:val="clear" w:color="auto" w:fill="FFFFFF"/>
        </w:rPr>
        <w:t>te</w:t>
      </w:r>
      <w:r>
        <w:rPr>
          <w:rFonts w:ascii="Calibri" w:hAnsi="Calibri"/>
        </w:rPr>
        <w:t xml:space="preserve">). The web’s support for readers to engage in a conversation – </w:t>
      </w:r>
      <w:r w:rsidR="00707BFC">
        <w:rPr>
          <w:rFonts w:ascii="Calibri" w:hAnsi="Calibri"/>
        </w:rPr>
        <w:t xml:space="preserve">now </w:t>
      </w:r>
      <w:r w:rsidR="009C298D">
        <w:rPr>
          <w:rFonts w:ascii="Calibri" w:hAnsi="Calibri"/>
        </w:rPr>
        <w:t>referred</w:t>
      </w:r>
      <w:r w:rsidR="00707BFC">
        <w:rPr>
          <w:rFonts w:ascii="Calibri" w:hAnsi="Calibri"/>
        </w:rPr>
        <w:t xml:space="preserve"> to</w:t>
      </w:r>
      <w:r>
        <w:rPr>
          <w:rFonts w:ascii="Calibri" w:hAnsi="Calibri"/>
        </w:rPr>
        <w:t xml:space="preserve"> as web 2.0 – allows for the possibility of a democratization of knowledge, allowing other voices (though the website text may be seen to have a louder voice than a contributed comment). The web isn’t the transfer of text to the internet, but a new medium that opens new opportunities. Social media has expanded the ways to provide engagement on the web. Blogs provide the possibility of directed dialogue, while use of social media such as Facebook, Twitter, and Tumblr provide mechanism</w:t>
      </w:r>
      <w:r w:rsidR="00707BFC">
        <w:rPr>
          <w:rFonts w:ascii="Calibri" w:hAnsi="Calibri"/>
        </w:rPr>
        <w:t>s</w:t>
      </w:r>
      <w:r>
        <w:rPr>
          <w:rFonts w:ascii="Calibri" w:hAnsi="Calibri"/>
        </w:rPr>
        <w:t xml:space="preserve"> for exposure to materials, as well as allowing for users to comment, and even provide additional</w:t>
      </w:r>
      <w:r w:rsidR="00B65E5B">
        <w:rPr>
          <w:rFonts w:ascii="Calibri" w:hAnsi="Calibri"/>
        </w:rPr>
        <w:t xml:space="preserve"> user-generated</w:t>
      </w:r>
      <w:r>
        <w:rPr>
          <w:rFonts w:ascii="Calibri" w:hAnsi="Calibri"/>
        </w:rPr>
        <w:t xml:space="preserve"> metadata for resources</w:t>
      </w:r>
      <w:r w:rsidR="00B65E5B">
        <w:rPr>
          <w:rFonts w:ascii="Calibri" w:hAnsi="Calibri"/>
        </w:rPr>
        <w:t xml:space="preserve"> through the implementation of a folksonomy</w:t>
      </w:r>
      <w:r>
        <w:rPr>
          <w:rFonts w:ascii="Calibri" w:hAnsi="Calibri"/>
        </w:rPr>
        <w:t>.</w:t>
      </w:r>
    </w:p>
    <w:p w14:paraId="17EE5B8A" w14:textId="77777777" w:rsidR="007C0825" w:rsidRDefault="007C0825" w:rsidP="007C0825">
      <w:r>
        <w:rPr>
          <w:rFonts w:ascii="Calibri" w:hAnsi="Calibri"/>
        </w:rPr>
        <w:t xml:space="preserve">Another aspect </w:t>
      </w:r>
      <w:r w:rsidR="008B61E4">
        <w:rPr>
          <w:rFonts w:ascii="Calibri" w:hAnsi="Calibri"/>
        </w:rPr>
        <w:t xml:space="preserve">of </w:t>
      </w:r>
      <w:r>
        <w:rPr>
          <w:rFonts w:ascii="Calibri" w:hAnsi="Calibri"/>
        </w:rPr>
        <w:t xml:space="preserve">effective </w:t>
      </w:r>
      <w:r w:rsidR="00201713">
        <w:rPr>
          <w:rFonts w:ascii="Calibri" w:hAnsi="Calibri"/>
        </w:rPr>
        <w:t xml:space="preserve">public </w:t>
      </w:r>
      <w:r>
        <w:rPr>
          <w:rFonts w:ascii="Calibri" w:hAnsi="Calibri"/>
        </w:rPr>
        <w:t xml:space="preserve">engagement </w:t>
      </w:r>
      <w:r w:rsidR="00201713">
        <w:rPr>
          <w:rFonts w:ascii="Calibri" w:hAnsi="Calibri"/>
        </w:rPr>
        <w:t xml:space="preserve">is in providing </w:t>
      </w:r>
      <w:r>
        <w:rPr>
          <w:rFonts w:ascii="Calibri" w:hAnsi="Calibri"/>
        </w:rPr>
        <w:t>surroundi</w:t>
      </w:r>
      <w:r w:rsidR="00201713">
        <w:rPr>
          <w:rFonts w:ascii="Calibri" w:hAnsi="Calibri"/>
        </w:rPr>
        <w:t xml:space="preserve">ng contextual material </w:t>
      </w:r>
      <w:r>
        <w:rPr>
          <w:rFonts w:ascii="Calibri" w:hAnsi="Calibri"/>
        </w:rPr>
        <w:t xml:space="preserve">with the archaeological data. </w:t>
      </w:r>
      <w:r>
        <w:t xml:space="preserve">An object focus is shown in an emerging new framework at the </w:t>
      </w:r>
      <w:r w:rsidRPr="00C0623F">
        <w:t xml:space="preserve">Midden website at Mount </w:t>
      </w:r>
      <w:r>
        <w:t>Vernon. This website explicitly sets out to create “</w:t>
      </w:r>
      <w:r w:rsidRPr="00C0623F">
        <w:t xml:space="preserve">nuanced and holistic archaeological collections information [that] is presented to the general public” (Breen, 2011). Breen explains </w:t>
      </w:r>
      <w:r>
        <w:t xml:space="preserve">that </w:t>
      </w:r>
      <w:r w:rsidRPr="00C0623F">
        <w:t xml:space="preserve">the new Midden website </w:t>
      </w:r>
      <w:r>
        <w:t xml:space="preserve">uses </w:t>
      </w:r>
      <w:r w:rsidRPr="00C0623F">
        <w:t>an “</w:t>
      </w:r>
      <w:r w:rsidRPr="00C0623F">
        <w:rPr>
          <w:shd w:val="clear" w:color="auto" w:fill="FFFFFF"/>
        </w:rPr>
        <w:t>anthropologically-informed approach to digitizing [archaeological] collections</w:t>
      </w:r>
      <w:r w:rsidR="00674B87">
        <w:rPr>
          <w:shd w:val="clear" w:color="auto" w:fill="FFFFFF"/>
        </w:rPr>
        <w:t>,</w:t>
      </w:r>
      <w:r>
        <w:rPr>
          <w:shd w:val="clear" w:color="auto" w:fill="FFFFFF"/>
        </w:rPr>
        <w:t>”</w:t>
      </w:r>
      <w:r w:rsidRPr="00C0623F">
        <w:t xml:space="preserve"> part of a</w:t>
      </w:r>
      <w:r>
        <w:t xml:space="preserve"> “</w:t>
      </w:r>
      <w:r w:rsidRPr="00C0623F">
        <w:t xml:space="preserve"> ‘</w:t>
      </w:r>
      <w:r w:rsidRPr="00C0623F">
        <w:rPr>
          <w:shd w:val="clear" w:color="auto" w:fill="FFFFFF"/>
        </w:rPr>
        <w:t>comprehensive information framework for the objects (Freeman, 2011)’ that will include strat</w:t>
      </w:r>
      <w:r>
        <w:rPr>
          <w:shd w:val="clear" w:color="auto" w:fill="FFFFFF"/>
        </w:rPr>
        <w:t>i</w:t>
      </w:r>
      <w:r w:rsidRPr="00C0623F">
        <w:rPr>
          <w:shd w:val="clear" w:color="auto" w:fill="FFFFFF"/>
        </w:rPr>
        <w:t>graphic, temporal, documentary, and theoretical context</w:t>
      </w:r>
      <w:r>
        <w:t xml:space="preserve">“ </w:t>
      </w:r>
      <w:r w:rsidRPr="00C0623F">
        <w:t>(Breen</w:t>
      </w:r>
      <w:r w:rsidR="005A524C">
        <w:t>,</w:t>
      </w:r>
      <w:r w:rsidRPr="00C0623F">
        <w:t xml:space="preserve"> 2011</w:t>
      </w:r>
      <w:r w:rsidR="00B65E5B">
        <w:t>, section: Mount Vernon’s Archaeological Collections Online Project</w:t>
      </w:r>
      <w:r w:rsidRPr="00C0623F">
        <w:t>).</w:t>
      </w:r>
      <w:r>
        <w:t xml:space="preserve"> The </w:t>
      </w:r>
      <w:r w:rsidR="006B4F86">
        <w:t>website</w:t>
      </w:r>
      <w:r>
        <w:t xml:space="preserve">’s intention to explicitly engage audiences in primary data is unusual, as is its </w:t>
      </w:r>
      <w:r w:rsidR="00900059">
        <w:t xml:space="preserve">ability </w:t>
      </w:r>
      <w:r>
        <w:t xml:space="preserve">to marry historical, museum collections and archaeological data together. It also challenges the assumptions of aggregated collections, at least in terms of access, suggesting that these data need a tight thematic and regional context to be useful to non-archaeological audiences. </w:t>
      </w:r>
    </w:p>
    <w:p w14:paraId="2E3A69B7" w14:textId="77777777" w:rsidR="007C0825" w:rsidRPr="005C230B" w:rsidRDefault="007C0825" w:rsidP="007C0825">
      <w:r>
        <w:lastRenderedPageBreak/>
        <w:t xml:space="preserve">The extent to which open data </w:t>
      </w:r>
      <w:r w:rsidR="00201713">
        <w:t>are</w:t>
      </w:r>
      <w:r>
        <w:t xml:space="preserve"> valuable to broader publics is explored by </w:t>
      </w:r>
      <w:r w:rsidRPr="00EC0D0E">
        <w:t>Beale (2012)</w:t>
      </w:r>
      <w:r>
        <w:t xml:space="preserve"> who </w:t>
      </w:r>
      <w:r w:rsidRPr="00EC0D0E">
        <w:t>makes</w:t>
      </w:r>
      <w:r>
        <w:t xml:space="preserve"> extensive reference to the open data movement in an examination of its effect on community archaeology. She stated “</w:t>
      </w:r>
      <w:r w:rsidRPr="005F5A56">
        <w:t>Open data can act as a conduit for reflexive approaches</w:t>
      </w:r>
      <w:r>
        <w:t xml:space="preserve">” and suggested that open data actually challenges the current practice of community archaeology (Beale, </w:t>
      </w:r>
      <w:r w:rsidR="005A524C">
        <w:t xml:space="preserve">2012, </w:t>
      </w:r>
      <w:r>
        <w:t xml:space="preserve">p. 626). Open data, Beale stated, </w:t>
      </w:r>
      <w:r w:rsidR="00201713">
        <w:t xml:space="preserve">are </w:t>
      </w:r>
      <w:r>
        <w:t xml:space="preserve">more than informational: because the data extend beyond the scope of projects; because they can be commented on and added to outside the boundaries of the traditional </w:t>
      </w:r>
      <w:r w:rsidRPr="005C230B">
        <w:t>authority structure</w:t>
      </w:r>
      <w:r>
        <w:t>, they</w:t>
      </w:r>
      <w:r w:rsidRPr="005C230B">
        <w:t xml:space="preserve"> actually change the notion of community archaeology. </w:t>
      </w:r>
      <w:r>
        <w:t>As a contrary notion Beale also observes that</w:t>
      </w:r>
      <w:r w:rsidR="00707BFC">
        <w:t>,</w:t>
      </w:r>
      <w:r>
        <w:t xml:space="preserve"> </w:t>
      </w:r>
      <w:r w:rsidRPr="005C230B">
        <w:t>when involved in community projects</w:t>
      </w:r>
      <w:r>
        <w:t>, archaeologists should be aware</w:t>
      </w:r>
      <w:r w:rsidRPr="005C230B">
        <w:t xml:space="preserve"> that communit</w:t>
      </w:r>
      <w:r>
        <w:t>ies may not share open d</w:t>
      </w:r>
      <w:r w:rsidRPr="005C230B">
        <w:t>ata ideals</w:t>
      </w:r>
      <w:r w:rsidR="00707BFC">
        <w:t>,</w:t>
      </w:r>
      <w:r w:rsidR="009C298D">
        <w:t xml:space="preserve"> </w:t>
      </w:r>
      <w:r w:rsidRPr="005B5468">
        <w:t>partial community control in a project setting could actually be a barrier to releasing open data</w:t>
      </w:r>
      <w:r>
        <w:t>” (p.622)</w:t>
      </w:r>
      <w:r w:rsidRPr="005C230B">
        <w:t xml:space="preserve">. </w:t>
      </w:r>
      <w:r w:rsidR="00B77EC6">
        <w:t xml:space="preserve">Similarly </w:t>
      </w:r>
      <w:r w:rsidRPr="005C230B">
        <w:t xml:space="preserve">Kansa </w:t>
      </w:r>
      <w:r>
        <w:t xml:space="preserve">(2012, p. 509) </w:t>
      </w:r>
      <w:r w:rsidRPr="005C230B">
        <w:t xml:space="preserve">quotes Christen in saying “Indigenous stakeholders in archaeology, many of whom have had difficult histories and conflicts with archaeology, may regard </w:t>
      </w:r>
      <w:r>
        <w:t>open data</w:t>
      </w:r>
      <w:r w:rsidRPr="005C230B">
        <w:t xml:space="preserve"> as a form of cultural appropriation.”</w:t>
      </w:r>
      <w:r>
        <w:t xml:space="preserve"> It is possible open data can serve, subvert, or even be in conflict with the goals of its audience.</w:t>
      </w:r>
    </w:p>
    <w:p w14:paraId="11F66E3F" w14:textId="77777777" w:rsidR="007C0825" w:rsidRPr="00A36670" w:rsidRDefault="00B77EC6" w:rsidP="007C0825">
      <w:pPr>
        <w:rPr>
          <w:rStyle w:val="Strong"/>
          <w:b w:val="0"/>
        </w:rPr>
      </w:pPr>
      <w:r>
        <w:t xml:space="preserve">Examining the overlap between open data and public outreach </w:t>
      </w:r>
      <w:r w:rsidR="009C298D">
        <w:t>raises</w:t>
      </w:r>
      <w:r>
        <w:t xml:space="preserve"> the </w:t>
      </w:r>
      <w:r w:rsidR="009C298D">
        <w:t>question</w:t>
      </w:r>
      <w:r w:rsidR="007C0825">
        <w:t xml:space="preserve"> of who benefits from open data</w:t>
      </w:r>
      <w:r>
        <w:t xml:space="preserve">. These issues </w:t>
      </w:r>
      <w:r w:rsidR="007C0825">
        <w:t xml:space="preserve">are explored by </w:t>
      </w:r>
      <w:r w:rsidR="007C0825" w:rsidRPr="00F96BDC">
        <w:t>Gurstein</w:t>
      </w:r>
      <w:r w:rsidR="007C0825">
        <w:t xml:space="preserve"> (</w:t>
      </w:r>
      <w:r w:rsidR="007C0825" w:rsidRPr="00F96BDC">
        <w:t>2011)</w:t>
      </w:r>
      <w:r w:rsidR="007C0825">
        <w:t xml:space="preserve">, who considered access as it relates to the broader issues of open data for poor and marginalized communities. He outlined seven parts of a successful model in response to an anticipated data divide that helps people make “effective use” of open data. Two of his points seem particularly relevant to the potential audience for open archaeological data: </w:t>
      </w:r>
      <w:r w:rsidR="007C0825" w:rsidRPr="00661D71">
        <w:rPr>
          <w:rStyle w:val="Emphasis"/>
        </w:rPr>
        <w:t>Interpretation/Sense making</w:t>
      </w:r>
      <w:r w:rsidR="007C0825">
        <w:rPr>
          <w:rStyle w:val="Emphasis"/>
        </w:rPr>
        <w:t>,</w:t>
      </w:r>
      <w:r w:rsidR="007C0825" w:rsidRPr="00661D71">
        <w:rPr>
          <w:rStyle w:val="Emphasis"/>
        </w:rPr>
        <w:t xml:space="preserve"> </w:t>
      </w:r>
      <w:r w:rsidR="007C0825" w:rsidRPr="00D917FD">
        <w:rPr>
          <w:rStyle w:val="Emphasis"/>
        </w:rPr>
        <w:t>which he define</w:t>
      </w:r>
      <w:r w:rsidR="007C0825">
        <w:rPr>
          <w:rStyle w:val="Emphasis"/>
        </w:rPr>
        <w:t>d</w:t>
      </w:r>
      <w:r w:rsidR="007C0825" w:rsidRPr="00D917FD">
        <w:rPr>
          <w:rStyle w:val="Emphasis"/>
        </w:rPr>
        <w:t xml:space="preserve"> as</w:t>
      </w:r>
      <w:r w:rsidR="007C0825">
        <w:rPr>
          <w:rStyle w:val="Emphasis"/>
        </w:rPr>
        <w:t xml:space="preserve"> “</w:t>
      </w:r>
      <w:r w:rsidR="007C0825">
        <w:t xml:space="preserve">sufficient knowledge and skill to see what data uses make sense”; </w:t>
      </w:r>
      <w:r w:rsidR="007C0825" w:rsidRPr="00D917FD">
        <w:rPr>
          <w:rStyle w:val="Emphasis"/>
        </w:rPr>
        <w:t>and</w:t>
      </w:r>
      <w:r w:rsidR="007C0825" w:rsidRPr="00661D71">
        <w:rPr>
          <w:rStyle w:val="Emphasis"/>
        </w:rPr>
        <w:t xml:space="preserve"> Advoca</w:t>
      </w:r>
      <w:r w:rsidR="007C0825">
        <w:rPr>
          <w:rStyle w:val="Emphasis"/>
        </w:rPr>
        <w:t>c</w:t>
      </w:r>
      <w:r w:rsidR="007C0825" w:rsidRPr="00661D71">
        <w:rPr>
          <w:rStyle w:val="Emphasis"/>
        </w:rPr>
        <w:t>y</w:t>
      </w:r>
      <w:r w:rsidR="007C0825" w:rsidRPr="00D917FD">
        <w:rPr>
          <w:rStyle w:val="Emphasis"/>
        </w:rPr>
        <w:t>, by which he mean</w:t>
      </w:r>
      <w:r w:rsidR="007C0825">
        <w:rPr>
          <w:rStyle w:val="Emphasis"/>
        </w:rPr>
        <w:t>t “</w:t>
      </w:r>
      <w:r w:rsidR="007C0825">
        <w:t xml:space="preserve">supportive individual or community resources sufficient for translating data </w:t>
      </w:r>
      <w:r w:rsidR="007C0825" w:rsidRPr="00661D71">
        <w:t>into activities</w:t>
      </w:r>
      <w:r w:rsidR="007C0825">
        <w:t>”</w:t>
      </w:r>
      <w:r w:rsidR="007C0825" w:rsidRPr="00661D71">
        <w:t xml:space="preserve"> </w:t>
      </w:r>
      <w:r w:rsidR="007C0825">
        <w:t>(</w:t>
      </w:r>
      <w:r w:rsidR="007C0825" w:rsidRPr="00661D71">
        <w:t>Gurstein</w:t>
      </w:r>
      <w:r w:rsidR="005A524C">
        <w:t>,</w:t>
      </w:r>
      <w:r w:rsidR="007C0825" w:rsidRPr="00661D71">
        <w:t xml:space="preserve"> 2011, section:</w:t>
      </w:r>
      <w:r w:rsidR="007C0825" w:rsidRPr="006420C0">
        <w:t xml:space="preserve"> </w:t>
      </w:r>
      <w:r w:rsidR="007C0825" w:rsidRPr="00A36670">
        <w:rPr>
          <w:rStyle w:val="Strong"/>
          <w:b w:val="0"/>
        </w:rPr>
        <w:t xml:space="preserve">A model for effective data use). If open data are to be effective, and in this case if archaeological data are to be meaningful, then the audience needs the tools to understand the data, and a means of translating them into “use” at </w:t>
      </w:r>
      <w:r w:rsidR="007C0825" w:rsidRPr="00A36670">
        <w:rPr>
          <w:rStyle w:val="Strong"/>
          <w:b w:val="0"/>
        </w:rPr>
        <w:lastRenderedPageBreak/>
        <w:t>the local level: perhaps data to support action to preserve a battlefield, or to be applied to local, or national, education standards.</w:t>
      </w:r>
    </w:p>
    <w:p w14:paraId="35F0156B" w14:textId="77777777" w:rsidR="007C0825" w:rsidRDefault="007C0825" w:rsidP="007C0825">
      <w:r w:rsidRPr="00A36670">
        <w:rPr>
          <w:rStyle w:val="Strong"/>
          <w:b w:val="0"/>
        </w:rPr>
        <w:t>These points were further explored by Cole</w:t>
      </w:r>
      <w:r w:rsidR="00707BFC">
        <w:rPr>
          <w:rStyle w:val="Strong"/>
          <w:b w:val="0"/>
        </w:rPr>
        <w:t xml:space="preserve"> (2012)</w:t>
      </w:r>
      <w:r w:rsidRPr="00A36670">
        <w:rPr>
          <w:rStyle w:val="Strong"/>
          <w:b w:val="0"/>
        </w:rPr>
        <w:t xml:space="preserve">, who also </w:t>
      </w:r>
      <w:r w:rsidR="008A23CC" w:rsidRPr="00A36670">
        <w:rPr>
          <w:rStyle w:val="Strong"/>
          <w:b w:val="0"/>
        </w:rPr>
        <w:t>e</w:t>
      </w:r>
      <w:r w:rsidR="008A23CC">
        <w:rPr>
          <w:rStyle w:val="Strong"/>
          <w:b w:val="0"/>
        </w:rPr>
        <w:t>xamined</w:t>
      </w:r>
      <w:r w:rsidR="008A23CC" w:rsidRPr="00A36670">
        <w:rPr>
          <w:rStyle w:val="Strong"/>
          <w:b w:val="0"/>
        </w:rPr>
        <w:t xml:space="preserve"> </w:t>
      </w:r>
      <w:r w:rsidRPr="00A36670">
        <w:rPr>
          <w:rStyle w:val="Strong"/>
          <w:b w:val="0"/>
        </w:rPr>
        <w:t>problems with open data</w:t>
      </w:r>
      <w:r w:rsidR="009C298D">
        <w:rPr>
          <w:rStyle w:val="Strong"/>
          <w:b w:val="0"/>
        </w:rPr>
        <w:t xml:space="preserve">. </w:t>
      </w:r>
      <w:r w:rsidRPr="00A36670">
        <w:rPr>
          <w:rStyle w:val="Strong"/>
          <w:b w:val="0"/>
        </w:rPr>
        <w:t>His reference to “sources of error” seems to reflect the difficulty of understanding the problems inherent in any data set, which include domain level assumptions. All professional archaeologists have an understanding of the strengths and limitations of their data – accuracy, sample sizes, comparative analysis, and absence of data - that comes from their professional training. For those outside of archaeology who lack formal training, these data can be misunderstood, or hard to analyze. Cole’s point about the “Resources Divide” can be seen at a basic level – lack of access to computers, or the internet – or at a more complicated level, with users of the data lacking the mental “tool set” to interpret datasets.</w:t>
      </w:r>
      <w:r w:rsidR="008E2CC5">
        <w:rPr>
          <w:rStyle w:val="Strong"/>
          <w:b w:val="0"/>
        </w:rPr>
        <w:t xml:space="preserve"> For public and scholarly use</w:t>
      </w:r>
      <w:r w:rsidR="008A23CC">
        <w:rPr>
          <w:rStyle w:val="Strong"/>
          <w:b w:val="0"/>
        </w:rPr>
        <w:t>,</w:t>
      </w:r>
      <w:r w:rsidR="008E2CC5">
        <w:rPr>
          <w:rStyle w:val="Strong"/>
          <w:b w:val="0"/>
        </w:rPr>
        <w:t xml:space="preserve"> t</w:t>
      </w:r>
      <w:r w:rsidR="008E2CC5">
        <w:t>he work of Purdue University Libraries Data Curation Profiles may be helpful (</w:t>
      </w:r>
      <w:r w:rsidR="00B77EC6" w:rsidRPr="009C298D">
        <w:t>http://datacurationprofiles.org/</w:t>
      </w:r>
      <w:r w:rsidR="008E2CC5">
        <w:t>).</w:t>
      </w:r>
      <w:r w:rsidR="00B65E5B">
        <w:t xml:space="preserve"> The profiles provide </w:t>
      </w:r>
      <w:r w:rsidR="00201713">
        <w:t xml:space="preserve">extensive </w:t>
      </w:r>
      <w:r w:rsidR="00B65E5B">
        <w:t xml:space="preserve">descriptive metadata </w:t>
      </w:r>
      <w:r w:rsidR="00201713">
        <w:t xml:space="preserve">including </w:t>
      </w:r>
      <w:r w:rsidR="00B65E5B">
        <w:t>descr</w:t>
      </w:r>
      <w:r w:rsidR="00201713">
        <w:t xml:space="preserve">ibing the </w:t>
      </w:r>
      <w:r w:rsidR="00B65E5B">
        <w:t>research goals</w:t>
      </w:r>
      <w:r w:rsidR="00201713">
        <w:t xml:space="preserve"> of projects</w:t>
      </w:r>
      <w:r w:rsidR="00B65E5B">
        <w:t>.</w:t>
      </w:r>
    </w:p>
    <w:p w14:paraId="56727BFE" w14:textId="77777777" w:rsidR="00B77EC6" w:rsidRDefault="00B77EC6" w:rsidP="00B77EC6">
      <w:r>
        <w:t>More work is required to understand the needs of this “professionally-related” community regarding archaeological data, but a white paper conducted by Kansa and Kansa as part of an NEH study is very helpful start (Kansa &amp; Kansa, 2011). They looked at how their target group worked through their professional goals, and the problem they had using humanities datasets. They concluded that multiple solutions were needed, but that this audience had similar needs to archaeologists: better standards and data interoperability. Archaeologists’ lack of a standard vocabulary presents strong semantic difficulties</w:t>
      </w:r>
      <w:r w:rsidR="008A23CC">
        <w:t>,</w:t>
      </w:r>
      <w:r w:rsidR="00201713">
        <w:t xml:space="preserve"> </w:t>
      </w:r>
      <w:r>
        <w:t>making comparative data difficult to process</w:t>
      </w:r>
      <w:r w:rsidR="008A23CC">
        <w:t xml:space="preserve"> as a result of different datasets using different terminology</w:t>
      </w:r>
      <w:r>
        <w:t>. Since this</w:t>
      </w:r>
      <w:r w:rsidR="008A23CC">
        <w:t xml:space="preserve"> problem</w:t>
      </w:r>
      <w:r>
        <w:t xml:space="preserve"> is unlikely to be resolved quickly, they suggest instead that data publishers focus on “data portability” (p. 11), publishing data in simple open formats, as a way of making data accessible</w:t>
      </w:r>
      <w:r w:rsidR="00201713">
        <w:t>, rather than waiting on a solution that addresses all issues</w:t>
      </w:r>
      <w:r>
        <w:t>. This</w:t>
      </w:r>
      <w:r w:rsidR="008A23CC">
        <w:t xml:space="preserve"> solution</w:t>
      </w:r>
      <w:r>
        <w:t xml:space="preserve"> is likely to also help with issues </w:t>
      </w:r>
      <w:r>
        <w:lastRenderedPageBreak/>
        <w:t>of cost, though it shifts the burden of understanding the data onto the researcher, rather than the data publisher.</w:t>
      </w:r>
    </w:p>
    <w:p w14:paraId="010B9C1D" w14:textId="77777777" w:rsidR="007C0825" w:rsidRPr="002A38A8" w:rsidRDefault="007C0825" w:rsidP="007C0825">
      <w:pPr>
        <w:rPr>
          <w:b/>
        </w:rPr>
      </w:pPr>
      <w:r>
        <w:t>Pro</w:t>
      </w:r>
      <w:r w:rsidRPr="005E381F">
        <w:t>fessional archaeologist</w:t>
      </w:r>
      <w:r w:rsidR="008B61E4">
        <w:t>s</w:t>
      </w:r>
      <w:r w:rsidRPr="005E381F">
        <w:t xml:space="preserve"> in teaching roles are </w:t>
      </w:r>
      <w:r>
        <w:t xml:space="preserve">aware of the need for </w:t>
      </w:r>
      <w:r w:rsidR="002A1273">
        <w:t>better data</w:t>
      </w:r>
      <w:r w:rsidR="002A38A8">
        <w:t xml:space="preserve"> literacy in</w:t>
      </w:r>
      <w:r w:rsidR="00EA7AA7">
        <w:t xml:space="preserve"> access and </w:t>
      </w:r>
      <w:r w:rsidRPr="005E381F">
        <w:t>using data for research. Agbe-Davis et al. (201</w:t>
      </w:r>
      <w:r w:rsidR="00D1713F">
        <w:t>4</w:t>
      </w:r>
      <w:r w:rsidRPr="005E381F">
        <w:t>) discusses digital data being an under-utilized resource, in a paper explaining how the Digital Archaeological Archive of Comparative Slavery provides material for graduate and undergraduate studies</w:t>
      </w:r>
      <w:r w:rsidR="00707BFC">
        <w:t>’ to</w:t>
      </w:r>
      <w:r>
        <w:t xml:space="preserve"> </w:t>
      </w:r>
      <w:r w:rsidR="00FE6CB1">
        <w:t>”</w:t>
      </w:r>
      <w:r w:rsidRPr="00DC75A7">
        <w:t>teach the qua</w:t>
      </w:r>
      <w:r>
        <w:t>n</w:t>
      </w:r>
      <w:r w:rsidRPr="00DC75A7">
        <w:t>titative methods and archaeological theory that are essential for deciphering the</w:t>
      </w:r>
      <w:r w:rsidR="007D2583">
        <w:t xml:space="preserve"> archaeological record” (p. 838</w:t>
      </w:r>
      <w:r>
        <w:t>)</w:t>
      </w:r>
      <w:r w:rsidRPr="005E381F">
        <w:t>. The degree of literacy needed to understand the data is a concern voiced by Galle</w:t>
      </w:r>
      <w:r w:rsidR="009C298D">
        <w:t xml:space="preserve">. </w:t>
      </w:r>
      <w:r w:rsidR="00C9352E">
        <w:t>W</w:t>
      </w:r>
      <w:r w:rsidRPr="002A38A8">
        <w:t>hile the “</w:t>
      </w:r>
      <w:r w:rsidRPr="002A38A8">
        <w:rPr>
          <w:rFonts w:cs="Helvetica"/>
          <w:shd w:val="clear" w:color="auto" w:fill="FFFFFF"/>
        </w:rPr>
        <w:t xml:space="preserve">demand for data has risen” </w:t>
      </w:r>
      <w:r w:rsidRPr="002A38A8">
        <w:t>there is a concern that there is a lack of “</w:t>
      </w:r>
      <w:r w:rsidRPr="002A38A8">
        <w:rPr>
          <w:rFonts w:cs="Helvetica"/>
          <w:shd w:val="clear" w:color="auto" w:fill="FFFFFF"/>
        </w:rPr>
        <w:t>analytical skills to make sense of the data” (Galle, 2012).</w:t>
      </w:r>
      <w:r w:rsidRPr="002A38A8">
        <w:rPr>
          <w:b/>
        </w:rPr>
        <w:t xml:space="preserve"> </w:t>
      </w:r>
    </w:p>
    <w:p w14:paraId="3570BA09" w14:textId="77777777" w:rsidR="003D6BB9" w:rsidRDefault="003D6BB9" w:rsidP="003D6BB9">
      <w:pPr>
        <w:pStyle w:val="Heading2"/>
      </w:pPr>
      <w:bookmarkStart w:id="20" w:name="_Toc419135403"/>
      <w:r>
        <w:t>Summary</w:t>
      </w:r>
      <w:bookmarkEnd w:id="20"/>
    </w:p>
    <w:p w14:paraId="409DB945" w14:textId="77777777" w:rsidR="00285A7F" w:rsidRDefault="007C0825" w:rsidP="00A36670">
      <w:r>
        <w:t xml:space="preserve">Understanding effective archaeological dissemination requires </w:t>
      </w:r>
      <w:r w:rsidR="00B77EC6">
        <w:t xml:space="preserve">referencing </w:t>
      </w:r>
      <w:r>
        <w:t xml:space="preserve">literature from archaeology, but also archival practice and information studies. Recent studies and </w:t>
      </w:r>
      <w:r w:rsidR="008B61E4">
        <w:t xml:space="preserve">new digital repositories </w:t>
      </w:r>
      <w:r>
        <w:t>provide opportunities for archival options</w:t>
      </w:r>
      <w:r w:rsidR="00C9352E">
        <w:t>. C</w:t>
      </w:r>
      <w:r>
        <w:t xml:space="preserve">ommunity and professional studies point to the difficulties of managing defined multiple publics. </w:t>
      </w:r>
      <w:r w:rsidR="002C09D6">
        <w:t>Unsurprisingly</w:t>
      </w:r>
      <w:r w:rsidR="00C9352E">
        <w:t>,</w:t>
      </w:r>
      <w:r w:rsidR="002C09D6">
        <w:t xml:space="preserve"> given the emerging nature of the digital record</w:t>
      </w:r>
      <w:r w:rsidR="00C9352E">
        <w:t>,</w:t>
      </w:r>
      <w:r w:rsidR="002C09D6">
        <w:t xml:space="preserve"> there is no existing </w:t>
      </w:r>
      <w:r>
        <w:t xml:space="preserve">general </w:t>
      </w:r>
      <w:r w:rsidR="002C09D6">
        <w:t xml:space="preserve">template for dissemination of </w:t>
      </w:r>
      <w:r>
        <w:t xml:space="preserve">digital </w:t>
      </w:r>
      <w:r w:rsidR="002C09D6">
        <w:t xml:space="preserve">archaeological data. There are a variety of </w:t>
      </w:r>
      <w:r w:rsidR="002B5262">
        <w:t>web</w:t>
      </w:r>
      <w:r w:rsidR="002C09D6">
        <w:t>sites providing different types of access</w:t>
      </w:r>
      <w:r w:rsidR="002667CA">
        <w:t>,</w:t>
      </w:r>
      <w:r w:rsidR="002C09D6">
        <w:t xml:space="preserve"> </w:t>
      </w:r>
      <w:r w:rsidR="00C9352E">
        <w:t xml:space="preserve">but </w:t>
      </w:r>
      <w:r w:rsidR="002C09D6">
        <w:t xml:space="preserve">the picture is complicated by an existing crisis concerning physical collections and by increasing amounts of digital data and </w:t>
      </w:r>
      <w:r w:rsidR="00C9352E">
        <w:t xml:space="preserve">introduction of </w:t>
      </w:r>
      <w:r w:rsidR="002C09D6">
        <w:t>new data forms</w:t>
      </w:r>
      <w:r w:rsidR="002667CA">
        <w:t>. I</w:t>
      </w:r>
      <w:r w:rsidR="00285A7F">
        <w:t>ssues of interoperability and preservation persist.</w:t>
      </w:r>
      <w:r w:rsidR="002C09D6">
        <w:t xml:space="preserve"> </w:t>
      </w:r>
      <w:r w:rsidR="00285A7F">
        <w:t>The emergence of national and regional solution for dissemination seem promising, but at present these include a limited number of projects.</w:t>
      </w:r>
    </w:p>
    <w:p w14:paraId="7DD974BD" w14:textId="77777777" w:rsidR="002C09D6" w:rsidRDefault="00285A7F" w:rsidP="00592B53">
      <w:r>
        <w:rPr>
          <w:rFonts w:eastAsia="Times New Roman" w:cs="Times New Roman"/>
        </w:rPr>
        <w:t>Borgman, while</w:t>
      </w:r>
      <w:r w:rsidRPr="00CA7810">
        <w:rPr>
          <w:rFonts w:eastAsia="Times New Roman" w:cs="Times New Roman"/>
        </w:rPr>
        <w:t xml:space="preserve"> questioning the value of open data</w:t>
      </w:r>
      <w:r>
        <w:rPr>
          <w:rFonts w:eastAsia="Times New Roman" w:cs="Times New Roman"/>
        </w:rPr>
        <w:t>,</w:t>
      </w:r>
      <w:r w:rsidRPr="00CA7810">
        <w:rPr>
          <w:rFonts w:eastAsia="Times New Roman" w:cs="Times New Roman"/>
        </w:rPr>
        <w:t xml:space="preserve"> points to archaeology as one of the “exemplars which remain the exception rather than the rule”</w:t>
      </w:r>
      <w:r w:rsidR="002A38A8">
        <w:rPr>
          <w:rFonts w:eastAsia="Times New Roman" w:cs="Times New Roman"/>
        </w:rPr>
        <w:t xml:space="preserve"> (Borgman, 2015);</w:t>
      </w:r>
      <w:r w:rsidR="00592B53">
        <w:rPr>
          <w:rFonts w:eastAsia="Times New Roman" w:cs="Times New Roman"/>
        </w:rPr>
        <w:t xml:space="preserve"> </w:t>
      </w:r>
      <w:r w:rsidR="003607CE">
        <w:rPr>
          <w:rFonts w:eastAsia="Times New Roman" w:cs="Times New Roman"/>
        </w:rPr>
        <w:t>though</w:t>
      </w:r>
      <w:r w:rsidR="00592B53">
        <w:rPr>
          <w:rFonts w:eastAsia="Times New Roman" w:cs="Times New Roman"/>
        </w:rPr>
        <w:t xml:space="preserve"> </w:t>
      </w:r>
      <w:r w:rsidR="00B65E5B">
        <w:rPr>
          <w:rFonts w:eastAsia="Times New Roman" w:cs="Times New Roman"/>
        </w:rPr>
        <w:t xml:space="preserve">in this short </w:t>
      </w:r>
      <w:r w:rsidR="00EA7AA7">
        <w:rPr>
          <w:rFonts w:eastAsia="Times New Roman" w:cs="Times New Roman"/>
        </w:rPr>
        <w:t xml:space="preserve">article </w:t>
      </w:r>
      <w:r w:rsidR="00B65E5B">
        <w:rPr>
          <w:rFonts w:eastAsia="Times New Roman" w:cs="Times New Roman"/>
        </w:rPr>
        <w:t>she does not provide examples</w:t>
      </w:r>
      <w:r w:rsidR="002667CA">
        <w:rPr>
          <w:rFonts w:eastAsia="Times New Roman" w:cs="Times New Roman"/>
        </w:rPr>
        <w:t xml:space="preserve">. </w:t>
      </w:r>
      <w:r w:rsidR="00B77EC6">
        <w:rPr>
          <w:rFonts w:eastAsia="Times New Roman" w:cs="Times New Roman"/>
        </w:rPr>
        <w:t xml:space="preserve">At this point there do not appear to be any studies systematically studying how archaeology data </w:t>
      </w:r>
      <w:r w:rsidR="008A23CC">
        <w:rPr>
          <w:rFonts w:eastAsia="Times New Roman" w:cs="Times New Roman"/>
        </w:rPr>
        <w:t xml:space="preserve">are </w:t>
      </w:r>
      <w:r w:rsidR="00B77EC6">
        <w:rPr>
          <w:rFonts w:eastAsia="Times New Roman" w:cs="Times New Roman"/>
        </w:rPr>
        <w:t xml:space="preserve">disseminated through definable characteristics. The three approaches taken </w:t>
      </w:r>
      <w:r w:rsidR="00EA7AA7">
        <w:rPr>
          <w:rFonts w:eastAsia="Times New Roman" w:cs="Times New Roman"/>
        </w:rPr>
        <w:t xml:space="preserve">in this study </w:t>
      </w:r>
      <w:r w:rsidR="00B77EC6">
        <w:rPr>
          <w:rFonts w:eastAsia="Times New Roman" w:cs="Times New Roman"/>
        </w:rPr>
        <w:t xml:space="preserve">– open data, scholarly communication, and public outreach – while </w:t>
      </w:r>
      <w:r w:rsidR="00B77EC6">
        <w:rPr>
          <w:rFonts w:eastAsia="Times New Roman" w:cs="Times New Roman"/>
        </w:rPr>
        <w:lastRenderedPageBreak/>
        <w:t>overlapping</w:t>
      </w:r>
      <w:r w:rsidR="00EA7AA7">
        <w:rPr>
          <w:rFonts w:eastAsia="Times New Roman" w:cs="Times New Roman"/>
        </w:rPr>
        <w:t xml:space="preserve">, </w:t>
      </w:r>
      <w:r w:rsidR="00B77EC6">
        <w:rPr>
          <w:rFonts w:eastAsia="Times New Roman" w:cs="Times New Roman"/>
        </w:rPr>
        <w:t>touch</w:t>
      </w:r>
      <w:r w:rsidR="00EA7AA7">
        <w:rPr>
          <w:rFonts w:eastAsia="Times New Roman" w:cs="Times New Roman"/>
        </w:rPr>
        <w:t xml:space="preserve"> </w:t>
      </w:r>
      <w:r w:rsidR="00B77EC6">
        <w:rPr>
          <w:rFonts w:eastAsia="Times New Roman" w:cs="Times New Roman"/>
        </w:rPr>
        <w:t>on many of the issues of effective dissemination</w:t>
      </w:r>
      <w:r w:rsidR="00EA7AA7">
        <w:rPr>
          <w:rFonts w:eastAsia="Times New Roman" w:cs="Times New Roman"/>
        </w:rPr>
        <w:t xml:space="preserve">, and it is hoped that </w:t>
      </w:r>
      <w:r w:rsidR="008B61E4">
        <w:rPr>
          <w:rFonts w:eastAsia="Times New Roman" w:cs="Times New Roman"/>
        </w:rPr>
        <w:t xml:space="preserve">this study </w:t>
      </w:r>
      <w:r w:rsidR="00EA7AA7">
        <w:rPr>
          <w:rFonts w:eastAsia="Times New Roman" w:cs="Times New Roman"/>
        </w:rPr>
        <w:t>will h</w:t>
      </w:r>
      <w:r w:rsidR="008B61E4">
        <w:rPr>
          <w:rFonts w:eastAsia="Times New Roman" w:cs="Times New Roman"/>
        </w:rPr>
        <w:t xml:space="preserve">elp </w:t>
      </w:r>
      <w:r w:rsidR="00EA7AA7">
        <w:rPr>
          <w:rFonts w:eastAsia="Times New Roman" w:cs="Times New Roman"/>
        </w:rPr>
        <w:t>fill the gap in the literature</w:t>
      </w:r>
      <w:r w:rsidR="002667CA">
        <w:rPr>
          <w:rFonts w:eastAsia="Times New Roman" w:cs="Times New Roman"/>
        </w:rPr>
        <w:t>.</w:t>
      </w:r>
    </w:p>
    <w:p w14:paraId="1A606D59" w14:textId="77777777" w:rsidR="00E1614C" w:rsidRDefault="00E1614C">
      <w:pPr>
        <w:spacing w:after="160" w:line="259" w:lineRule="auto"/>
        <w:ind w:firstLine="0"/>
        <w:rPr>
          <w:rFonts w:eastAsia="Times New Roman" w:cs="Times New Roman"/>
          <w:b/>
          <w:bCs/>
          <w:kern w:val="36"/>
          <w:sz w:val="36"/>
          <w:szCs w:val="48"/>
        </w:rPr>
      </w:pPr>
      <w:r>
        <w:br w:type="page"/>
      </w:r>
    </w:p>
    <w:p w14:paraId="004FBE63" w14:textId="77777777" w:rsidR="00225F83" w:rsidRDefault="00E1614C" w:rsidP="002463BC">
      <w:pPr>
        <w:pStyle w:val="Heading1"/>
        <w:ind w:firstLine="0"/>
      </w:pPr>
      <w:bookmarkStart w:id="21" w:name="_Toc419135404"/>
      <w:r>
        <w:lastRenderedPageBreak/>
        <w:t xml:space="preserve">Chapter </w:t>
      </w:r>
      <w:r w:rsidR="002463BC">
        <w:t>3</w:t>
      </w:r>
      <w:r>
        <w:t xml:space="preserve"> - </w:t>
      </w:r>
      <w:r w:rsidR="00225F83">
        <w:t>Methods</w:t>
      </w:r>
      <w:bookmarkEnd w:id="21"/>
    </w:p>
    <w:p w14:paraId="0E478148" w14:textId="77777777" w:rsidR="00C74798" w:rsidRDefault="00651FD0" w:rsidP="00C23F4B">
      <w:pPr>
        <w:rPr>
          <w:rFonts w:ascii="Calibri" w:hAnsi="Calibri"/>
        </w:rPr>
      </w:pPr>
      <w:r>
        <w:t xml:space="preserve">This </w:t>
      </w:r>
      <w:r w:rsidR="00BF1BA4">
        <w:t xml:space="preserve">study </w:t>
      </w:r>
      <w:r>
        <w:t>examine</w:t>
      </w:r>
      <w:r w:rsidR="00CF1987">
        <w:t>d</w:t>
      </w:r>
      <w:r>
        <w:t xml:space="preserve"> </w:t>
      </w:r>
      <w:r w:rsidR="00C23F4B">
        <w:t>how</w:t>
      </w:r>
      <w:r w:rsidR="00C74798">
        <w:t xml:space="preserve"> Virginia</w:t>
      </w:r>
      <w:r w:rsidR="00C23F4B">
        <w:t xml:space="preserve"> </w:t>
      </w:r>
      <w:r w:rsidR="00B854BB">
        <w:t>archaeological d</w:t>
      </w:r>
      <w:r w:rsidR="00C23F4B">
        <w:rPr>
          <w:rFonts w:ascii="Calibri" w:hAnsi="Calibri"/>
        </w:rPr>
        <w:t>igital data</w:t>
      </w:r>
      <w:r w:rsidR="00B854BB">
        <w:rPr>
          <w:rFonts w:ascii="Calibri" w:hAnsi="Calibri"/>
        </w:rPr>
        <w:t xml:space="preserve"> </w:t>
      </w:r>
      <w:r w:rsidR="00CF1987">
        <w:rPr>
          <w:rFonts w:ascii="Calibri" w:hAnsi="Calibri"/>
        </w:rPr>
        <w:t>were</w:t>
      </w:r>
      <w:r w:rsidR="00B854BB">
        <w:rPr>
          <w:rFonts w:ascii="Calibri" w:hAnsi="Calibri"/>
        </w:rPr>
        <w:t xml:space="preserve"> made</w:t>
      </w:r>
      <w:r w:rsidR="00C23F4B">
        <w:rPr>
          <w:rFonts w:ascii="Calibri" w:hAnsi="Calibri"/>
        </w:rPr>
        <w:t xml:space="preserve"> accessible. </w:t>
      </w:r>
      <w:r w:rsidR="00C74798">
        <w:rPr>
          <w:rFonts w:ascii="Calibri" w:hAnsi="Calibri"/>
        </w:rPr>
        <w:t>The research questions are:</w:t>
      </w:r>
    </w:p>
    <w:p w14:paraId="68376C2A" w14:textId="77777777" w:rsidR="005D63EA" w:rsidRDefault="00B854BB" w:rsidP="009C298D">
      <w:pPr>
        <w:pStyle w:val="ListParagraph"/>
        <w:numPr>
          <w:ilvl w:val="0"/>
          <w:numId w:val="21"/>
        </w:numPr>
      </w:pPr>
      <w:r w:rsidRPr="00C74798">
        <w:rPr>
          <w:rFonts w:ascii="Calibri" w:hAnsi="Calibri"/>
        </w:rPr>
        <w:t>T</w:t>
      </w:r>
      <w:r w:rsidR="00C23F4B" w:rsidRPr="00C74798">
        <w:rPr>
          <w:rFonts w:ascii="Calibri" w:hAnsi="Calibri"/>
        </w:rPr>
        <w:t xml:space="preserve">o what </w:t>
      </w:r>
      <w:r w:rsidR="00C23F4B">
        <w:t xml:space="preserve">extent </w:t>
      </w:r>
      <w:r w:rsidR="00C74798">
        <w:t xml:space="preserve">are </w:t>
      </w:r>
      <w:r w:rsidR="00C23F4B">
        <w:t xml:space="preserve">websites </w:t>
      </w:r>
      <w:r w:rsidR="00623FBB">
        <w:t xml:space="preserve">that </w:t>
      </w:r>
      <w:r w:rsidR="00C23F4B">
        <w:t xml:space="preserve">present archaeological data from Virginia projects </w:t>
      </w:r>
      <w:r>
        <w:t>aligning with the r</w:t>
      </w:r>
      <w:r w:rsidR="00C23F4B">
        <w:t xml:space="preserve">equirements of open data? </w:t>
      </w:r>
    </w:p>
    <w:p w14:paraId="313D7AA1" w14:textId="77777777" w:rsidR="005D63EA" w:rsidRDefault="00C74798" w:rsidP="009C298D">
      <w:pPr>
        <w:pStyle w:val="ListParagraph"/>
        <w:numPr>
          <w:ilvl w:val="0"/>
          <w:numId w:val="21"/>
        </w:numPr>
      </w:pPr>
      <w:r>
        <w:rPr>
          <w:rFonts w:ascii="Calibri" w:hAnsi="Calibri"/>
        </w:rPr>
        <w:t>Are</w:t>
      </w:r>
      <w:r w:rsidR="00B854BB">
        <w:t xml:space="preserve"> there </w:t>
      </w:r>
      <w:r w:rsidR="00114E82">
        <w:t>characteristics</w:t>
      </w:r>
      <w:r w:rsidR="00C23F4B">
        <w:t xml:space="preserve"> </w:t>
      </w:r>
      <w:r w:rsidR="00B854BB">
        <w:t xml:space="preserve">supporting </w:t>
      </w:r>
      <w:r w:rsidR="0043747A">
        <w:t xml:space="preserve">aspects of </w:t>
      </w:r>
      <w:r w:rsidR="005802C4">
        <w:t>scholarly publishing</w:t>
      </w:r>
      <w:r w:rsidR="00C23F4B">
        <w:t xml:space="preserve">? </w:t>
      </w:r>
    </w:p>
    <w:p w14:paraId="1E9649B5" w14:textId="77777777" w:rsidR="005D63EA" w:rsidRDefault="00C74798" w:rsidP="009C298D">
      <w:pPr>
        <w:pStyle w:val="ListParagraph"/>
        <w:numPr>
          <w:ilvl w:val="0"/>
          <w:numId w:val="21"/>
        </w:numPr>
      </w:pPr>
      <w:r>
        <w:rPr>
          <w:rFonts w:ascii="Calibri" w:hAnsi="Calibri"/>
        </w:rPr>
        <w:t>Are</w:t>
      </w:r>
      <w:r w:rsidR="0043747A">
        <w:t xml:space="preserve"> there </w:t>
      </w:r>
      <w:r w:rsidR="00114E82">
        <w:t>characteristics</w:t>
      </w:r>
      <w:r w:rsidR="00C23F4B">
        <w:t xml:space="preserve"> support</w:t>
      </w:r>
      <w:r w:rsidR="0043747A">
        <w:t>ing aspects of</w:t>
      </w:r>
      <w:r w:rsidR="00C23F4B">
        <w:t xml:space="preserve"> public outreach? </w:t>
      </w:r>
    </w:p>
    <w:p w14:paraId="069668B8" w14:textId="77777777" w:rsidR="00BA50FA" w:rsidRDefault="00BF1BA4" w:rsidP="00C74798">
      <w:r>
        <w:t>C</w:t>
      </w:r>
      <w:r w:rsidR="00BA50FA">
        <w:t>onduct</w:t>
      </w:r>
      <w:r w:rsidR="00651FD0">
        <w:t>ed through a</w:t>
      </w:r>
      <w:r w:rsidR="00BA50FA">
        <w:t xml:space="preserve"> content analysis of websites featuring </w:t>
      </w:r>
      <w:r w:rsidR="00D3277F">
        <w:t xml:space="preserve">archaeological </w:t>
      </w:r>
      <w:r w:rsidR="00BA50FA">
        <w:t xml:space="preserve">data, </w:t>
      </w:r>
      <w:r>
        <w:t xml:space="preserve">the study </w:t>
      </w:r>
      <w:r w:rsidR="00BA50FA">
        <w:t>identifi</w:t>
      </w:r>
      <w:r>
        <w:t>ed</w:t>
      </w:r>
      <w:r w:rsidR="00C23F4B">
        <w:t xml:space="preserve"> </w:t>
      </w:r>
      <w:r w:rsidR="00114E82">
        <w:t>characteristics</w:t>
      </w:r>
      <w:r w:rsidR="00C23F4B">
        <w:t xml:space="preserve"> relat</w:t>
      </w:r>
      <w:r w:rsidR="001B2128">
        <w:t>ing to open data, scholarly publishing and public outreach.</w:t>
      </w:r>
    </w:p>
    <w:p w14:paraId="533C04A7" w14:textId="77777777" w:rsidR="00BA50FA" w:rsidRDefault="00D52C0D" w:rsidP="00D52C0D">
      <w:pPr>
        <w:pStyle w:val="Heading2"/>
      </w:pPr>
      <w:bookmarkStart w:id="22" w:name="_Toc419135405"/>
      <w:r>
        <w:t>Con</w:t>
      </w:r>
      <w:r w:rsidR="008268CA">
        <w:t>tent analysis</w:t>
      </w:r>
      <w:bookmarkEnd w:id="22"/>
    </w:p>
    <w:p w14:paraId="408B6225" w14:textId="77777777" w:rsidR="00A6052E" w:rsidRDefault="00681AE1" w:rsidP="00765C50">
      <w:r>
        <w:t xml:space="preserve">Content analysis allows the </w:t>
      </w:r>
      <w:r w:rsidR="00CF0C52">
        <w:t>investigation</w:t>
      </w:r>
      <w:r>
        <w:t xml:space="preserve"> of the content of text</w:t>
      </w:r>
      <w:r w:rsidR="00765C50">
        <w:t>, and is defined by Neuendorf as “the systematic, objective quantitative analysis of message characteristics” (p.1)</w:t>
      </w:r>
      <w:r>
        <w:t>. While content analysis</w:t>
      </w:r>
      <w:r w:rsidR="00BB6932">
        <w:t xml:space="preserve"> </w:t>
      </w:r>
      <w:r w:rsidR="00623FBB">
        <w:t xml:space="preserve">was </w:t>
      </w:r>
      <w:r>
        <w:t xml:space="preserve">developed </w:t>
      </w:r>
      <w:r w:rsidR="0021581F">
        <w:t xml:space="preserve">for </w:t>
      </w:r>
      <w:r w:rsidR="00BB6932">
        <w:t xml:space="preserve">study </w:t>
      </w:r>
      <w:r>
        <w:t>of more traditional “written” documents, it has come to be used for the analysis of websites</w:t>
      </w:r>
      <w:r w:rsidR="00BB6932">
        <w:t xml:space="preserve">; </w:t>
      </w:r>
      <w:r>
        <w:t>to look for the presence, or absence, of specifi</w:t>
      </w:r>
      <w:r w:rsidR="00765C50">
        <w:t xml:space="preserve">c types of content. </w:t>
      </w:r>
      <w:r>
        <w:t>McMillan (2000) provide</w:t>
      </w:r>
      <w:r w:rsidR="00DB1FA1">
        <w:t>s</w:t>
      </w:r>
      <w:r>
        <w:t xml:space="preserve"> a long list of studies using content analysis for websites </w:t>
      </w:r>
      <w:r w:rsidR="00DB1FA1">
        <w:t xml:space="preserve">as does </w:t>
      </w:r>
      <w:r w:rsidR="00CF0C52">
        <w:t xml:space="preserve">Car et al., </w:t>
      </w:r>
      <w:r w:rsidR="00DB1FA1">
        <w:t>(</w:t>
      </w:r>
      <w:r w:rsidR="00CF0C52">
        <w:t>2012</w:t>
      </w:r>
      <w:r w:rsidR="0021581F">
        <w:t>)</w:t>
      </w:r>
      <w:r>
        <w:t>.</w:t>
      </w:r>
      <w:r w:rsidR="00D76F7A">
        <w:t xml:space="preserve"> </w:t>
      </w:r>
      <w:r w:rsidR="00A6052E">
        <w:t>Neuendorf defines a number of characteristics of content analysis studies, relating such studies to the scientific method (</w:t>
      </w:r>
      <w:r w:rsidR="00D76F7A">
        <w:t xml:space="preserve">p. 10-13). These include objectivity, reliability, a priori design, validity, and replicability. </w:t>
      </w:r>
    </w:p>
    <w:p w14:paraId="3E40F95D" w14:textId="77777777" w:rsidR="00407BDE" w:rsidRDefault="00D76F7A" w:rsidP="00681AE1">
      <w:r>
        <w:t xml:space="preserve">Reliability and replicability can be difficult issues </w:t>
      </w:r>
      <w:r w:rsidR="00531865">
        <w:t>when analyzing</w:t>
      </w:r>
      <w:r>
        <w:t xml:space="preserve"> websites. </w:t>
      </w:r>
      <w:r w:rsidR="00CD1C43">
        <w:t xml:space="preserve">Connected to these </w:t>
      </w:r>
      <w:r w:rsidR="00765C50">
        <w:t>issues</w:t>
      </w:r>
      <w:r>
        <w:t xml:space="preserve">, </w:t>
      </w:r>
      <w:r w:rsidR="00CD1C43">
        <w:t xml:space="preserve">as </w:t>
      </w:r>
      <w:r>
        <w:t xml:space="preserve">noted by Weare &amp; Lin (2000), </w:t>
      </w:r>
      <w:r w:rsidR="00765C50">
        <w:t>is “unitization</w:t>
      </w:r>
      <w:r w:rsidR="00623FBB">
        <w:t>,</w:t>
      </w:r>
      <w:r w:rsidR="00765C50">
        <w:t>”</w:t>
      </w:r>
      <w:r w:rsidR="00681AE1">
        <w:t xml:space="preserve"> referencing the often amorphous boundaries of website content. </w:t>
      </w:r>
      <w:r w:rsidR="00765C50">
        <w:t>It can be di</w:t>
      </w:r>
      <w:r w:rsidR="00CF0C52">
        <w:t>fficult to identify what web pages</w:t>
      </w:r>
      <w:r w:rsidR="00765C50">
        <w:t xml:space="preserve"> will be examined, as websites can be voluminous</w:t>
      </w:r>
      <w:r w:rsidR="00CF0C52">
        <w:t xml:space="preserve"> </w:t>
      </w:r>
      <w:r w:rsidR="00765C50">
        <w:t>and connected to other content through hyperlinks (p. 10).</w:t>
      </w:r>
      <w:r w:rsidR="00407BDE">
        <w:t xml:space="preserve"> For this study a navigation </w:t>
      </w:r>
      <w:r w:rsidR="00681AE1">
        <w:t xml:space="preserve">structure was constructed </w:t>
      </w:r>
      <w:r w:rsidR="00407BDE">
        <w:t xml:space="preserve">to look for </w:t>
      </w:r>
      <w:r w:rsidR="00681AE1">
        <w:t>archaeological content (see data collection below)</w:t>
      </w:r>
      <w:r w:rsidR="00531865">
        <w:t>. C</w:t>
      </w:r>
      <w:r w:rsidR="000B01B3">
        <w:t xml:space="preserve">haracteristics </w:t>
      </w:r>
      <w:r w:rsidR="00407BDE">
        <w:t>t</w:t>
      </w:r>
      <w:r w:rsidR="00681AE1">
        <w:t xml:space="preserve">hat </w:t>
      </w:r>
      <w:r w:rsidR="000B01B3">
        <w:t>were</w:t>
      </w:r>
      <w:r w:rsidR="00681AE1">
        <w:t xml:space="preserve"> not p</w:t>
      </w:r>
      <w:r w:rsidR="000B01B3">
        <w:t>resent within this structure were</w:t>
      </w:r>
      <w:r w:rsidR="00681AE1">
        <w:t xml:space="preserve"> not recorded. Also</w:t>
      </w:r>
      <w:r w:rsidR="00407BDE">
        <w:t>,</w:t>
      </w:r>
      <w:r w:rsidR="00681AE1">
        <w:t xml:space="preserve"> in some cases</w:t>
      </w:r>
      <w:r w:rsidR="00407BDE">
        <w:t xml:space="preserve">, the </w:t>
      </w:r>
      <w:r w:rsidR="00681AE1">
        <w:t xml:space="preserve">archaeological </w:t>
      </w:r>
      <w:r w:rsidR="000B01B3">
        <w:lastRenderedPageBreak/>
        <w:t>data</w:t>
      </w:r>
      <w:r w:rsidR="00681AE1">
        <w:t xml:space="preserve"> </w:t>
      </w:r>
      <w:r w:rsidR="000B01B3">
        <w:t>were</w:t>
      </w:r>
      <w:r w:rsidR="00681AE1">
        <w:t xml:space="preserve"> not </w:t>
      </w:r>
      <w:r w:rsidR="000B01B3">
        <w:t>found</w:t>
      </w:r>
      <w:r w:rsidR="00681AE1">
        <w:t xml:space="preserve"> on the institution website, but linked directly </w:t>
      </w:r>
      <w:r w:rsidR="000B01B3">
        <w:t>from</w:t>
      </w:r>
      <w:r w:rsidR="00681AE1">
        <w:t xml:space="preserve"> another website. </w:t>
      </w:r>
      <w:r w:rsidR="00531865">
        <w:t xml:space="preserve">It was assumed that these </w:t>
      </w:r>
      <w:r w:rsidR="00681AE1">
        <w:t>institution</w:t>
      </w:r>
      <w:r w:rsidR="00623FBB">
        <w:t>s</w:t>
      </w:r>
      <w:r w:rsidR="00681AE1">
        <w:t xml:space="preserve"> intend</w:t>
      </w:r>
      <w:r w:rsidR="000B01B3">
        <w:t xml:space="preserve">ed </w:t>
      </w:r>
      <w:r w:rsidR="00531865">
        <w:t xml:space="preserve">for </w:t>
      </w:r>
      <w:r w:rsidR="000B01B3">
        <w:t>these</w:t>
      </w:r>
      <w:r w:rsidR="00681AE1">
        <w:t xml:space="preserve"> data to be accessible</w:t>
      </w:r>
      <w:r w:rsidR="00531865">
        <w:t>, so</w:t>
      </w:r>
      <w:r w:rsidR="000B01B3">
        <w:t xml:space="preserve"> the data were</w:t>
      </w:r>
      <w:r w:rsidR="00681AE1">
        <w:t xml:space="preserve"> treated as present on the host site.  </w:t>
      </w:r>
    </w:p>
    <w:p w14:paraId="5DAB290B" w14:textId="77777777" w:rsidR="00407BDE" w:rsidRDefault="00D76F7A" w:rsidP="00407BDE">
      <w:r>
        <w:t>Replicability is also affected by coding (</w:t>
      </w:r>
      <w:r w:rsidR="00407BDE">
        <w:t xml:space="preserve">Weare </w:t>
      </w:r>
      <w:r w:rsidR="005A524C">
        <w:t>&amp;</w:t>
      </w:r>
      <w:r w:rsidR="00407BDE">
        <w:t xml:space="preserve"> Lin</w:t>
      </w:r>
      <w:r w:rsidR="005A524C">
        <w:t>, 2000,</w:t>
      </w:r>
      <w:r>
        <w:t xml:space="preserve"> </w:t>
      </w:r>
      <w:r w:rsidR="00681AE1">
        <w:t>p. 17)</w:t>
      </w:r>
      <w:r>
        <w:t>. S</w:t>
      </w:r>
      <w:r w:rsidR="00681AE1">
        <w:t>ince website content is dynamic and fluid</w:t>
      </w:r>
      <w:r w:rsidR="00407BDE">
        <w:t>,</w:t>
      </w:r>
      <w:r w:rsidR="00681AE1">
        <w:t xml:space="preserve"> </w:t>
      </w:r>
      <w:r w:rsidR="00407BDE">
        <w:t>w</w:t>
      </w:r>
      <w:r w:rsidR="00681AE1">
        <w:t xml:space="preserve">ebsite content can only be said to be present at the time of the study. </w:t>
      </w:r>
      <w:r>
        <w:t>McMillan (2000)</w:t>
      </w:r>
      <w:r w:rsidR="00407BDE">
        <w:t xml:space="preserve"> suggest</w:t>
      </w:r>
      <w:r w:rsidR="00623FBB">
        <w:t>s</w:t>
      </w:r>
      <w:r w:rsidR="00407BDE">
        <w:t xml:space="preserve"> that “</w:t>
      </w:r>
      <w:r w:rsidR="00407BDE" w:rsidRPr="00485A35">
        <w:t>fast-paced Web almost demands that data be collected in a short time frame</w:t>
      </w:r>
      <w:r w:rsidR="00407BDE">
        <w:t>” (p. 92), and the data collection for this study was done within a two</w:t>
      </w:r>
      <w:r w:rsidR="00623FBB">
        <w:t>-</w:t>
      </w:r>
      <w:r w:rsidR="00407BDE">
        <w:t xml:space="preserve">month period by a single collector.  </w:t>
      </w:r>
      <w:r w:rsidR="00623FBB">
        <w:t xml:space="preserve">Although </w:t>
      </w:r>
      <w:r w:rsidR="00407BDE">
        <w:t>replicability is difficult for website studies</w:t>
      </w:r>
      <w:r w:rsidR="00623FBB">
        <w:t>,</w:t>
      </w:r>
      <w:r w:rsidR="00407BDE">
        <w:t xml:space="preserve"> it is helped by the definition of the tools used for data collection</w:t>
      </w:r>
      <w:r w:rsidR="00531865">
        <w:t xml:space="preserve">. For this reason </w:t>
      </w:r>
      <w:r w:rsidR="00407BDE">
        <w:t xml:space="preserve">a single version of a browser </w:t>
      </w:r>
      <w:r w:rsidR="00C42C7B">
        <w:t xml:space="preserve">was used </w:t>
      </w:r>
      <w:r w:rsidR="00407BDE">
        <w:t xml:space="preserve">for all websites analyzed. </w:t>
      </w:r>
    </w:p>
    <w:p w14:paraId="0A52770C" w14:textId="77777777" w:rsidR="00681AE1" w:rsidRDefault="00407BDE" w:rsidP="00681AE1">
      <w:r>
        <w:t>Th</w:t>
      </w:r>
      <w:r w:rsidR="00C42C7B">
        <w:t>e</w:t>
      </w:r>
      <w:r>
        <w:t xml:space="preserve"> study </w:t>
      </w:r>
      <w:r w:rsidR="00C42C7B">
        <w:t xml:space="preserve">examined </w:t>
      </w:r>
      <w:r>
        <w:t>manifest content</w:t>
      </w:r>
      <w:r w:rsidR="00531865">
        <w:t xml:space="preserve"> (</w:t>
      </w:r>
      <w:r>
        <w:t>the text as written</w:t>
      </w:r>
      <w:r w:rsidR="00623FBB">
        <w:t>),</w:t>
      </w:r>
      <w:r>
        <w:t xml:space="preserve"> since with a quantitative study of this nature, it is </w:t>
      </w:r>
      <w:r w:rsidR="00531865">
        <w:t>inappropriate to assume</w:t>
      </w:r>
      <w:r w:rsidR="00BB6932">
        <w:t xml:space="preserve"> </w:t>
      </w:r>
      <w:r>
        <w:t xml:space="preserve">the intent of the website author(s). </w:t>
      </w:r>
      <w:r w:rsidR="00531865">
        <w:t>T</w:t>
      </w:r>
      <w:r>
        <w:t>his study record</w:t>
      </w:r>
      <w:r w:rsidR="000B01B3">
        <w:t>ed</w:t>
      </w:r>
      <w:r>
        <w:t xml:space="preserve"> the presence or absence of characteristics, rather than the interpretation of </w:t>
      </w:r>
      <w:r w:rsidR="00531865">
        <w:t>text</w:t>
      </w:r>
      <w:r w:rsidR="00623FBB">
        <w:t>,</w:t>
      </w:r>
      <w:r w:rsidR="00531865">
        <w:t xml:space="preserve"> through coding by </w:t>
      </w:r>
      <w:r>
        <w:t xml:space="preserve">the data recorder. Looking at websites in this way </w:t>
      </w:r>
      <w:r w:rsidR="00AC5A62">
        <w:t xml:space="preserve">also </w:t>
      </w:r>
      <w:r>
        <w:t>fulfill</w:t>
      </w:r>
      <w:r w:rsidR="00AC5A62">
        <w:t>ed</w:t>
      </w:r>
      <w:r>
        <w:t xml:space="preserve"> some of th</w:t>
      </w:r>
      <w:r w:rsidR="00CF0C52">
        <w:t>e research goals of objectivity</w:t>
      </w:r>
      <w:r w:rsidR="00623FBB">
        <w:t>.</w:t>
      </w:r>
      <w:r w:rsidR="004C2B0D">
        <w:t xml:space="preserve"> </w:t>
      </w:r>
      <w:r w:rsidR="00623FBB">
        <w:t>T</w:t>
      </w:r>
      <w:r w:rsidR="000D6077">
        <w:t xml:space="preserve">he characteristics were defined ahead of the study, and </w:t>
      </w:r>
      <w:r w:rsidR="00623FBB">
        <w:t>include</w:t>
      </w:r>
      <w:r w:rsidR="004C2B0D">
        <w:t>s</w:t>
      </w:r>
      <w:r w:rsidR="00623FBB">
        <w:t xml:space="preserve"> </w:t>
      </w:r>
      <w:r w:rsidR="000B01B3">
        <w:t>the idea that “c</w:t>
      </w:r>
      <w:r>
        <w:t>ontent analysis is nonreactive” (Neuman</w:t>
      </w:r>
      <w:r w:rsidR="005A524C">
        <w:t>,</w:t>
      </w:r>
      <w:r>
        <w:t xml:space="preserve"> 2013</w:t>
      </w:r>
      <w:r w:rsidR="005A524C">
        <w:t>,</w:t>
      </w:r>
      <w:r>
        <w:t xml:space="preserve"> p. 362); </w:t>
      </w:r>
      <w:r w:rsidR="00531865">
        <w:t>the characteristics investigated were not known to the website creators.</w:t>
      </w:r>
    </w:p>
    <w:p w14:paraId="18ADB7FE" w14:textId="77777777" w:rsidR="00882556" w:rsidRPr="00882556" w:rsidRDefault="00D52C0D" w:rsidP="00882556">
      <w:pPr>
        <w:pStyle w:val="Heading2"/>
      </w:pPr>
      <w:bookmarkStart w:id="23" w:name="_Toc419135406"/>
      <w:r w:rsidRPr="00882556">
        <w:rPr>
          <w:rStyle w:val="Heading2Char"/>
          <w:b/>
          <w:bCs/>
          <w:i/>
        </w:rPr>
        <w:t>Population</w:t>
      </w:r>
      <w:bookmarkEnd w:id="23"/>
    </w:p>
    <w:p w14:paraId="5B783A54" w14:textId="77777777" w:rsidR="00D52C0D" w:rsidRPr="00E60A03" w:rsidRDefault="00CF1987" w:rsidP="00D52C0D">
      <w:pPr>
        <w:rPr>
          <w:b/>
          <w:i/>
        </w:rPr>
      </w:pPr>
      <w:r>
        <w:t xml:space="preserve">Websites were identified from </w:t>
      </w:r>
      <w:r w:rsidR="00973EFA">
        <w:t xml:space="preserve">an exhaustive </w:t>
      </w:r>
      <w:r w:rsidR="000661DE">
        <w:t>inventory of</w:t>
      </w:r>
      <w:r w:rsidR="00F13E0E">
        <w:t xml:space="preserve"> Virginia archaeological projects.</w:t>
      </w:r>
      <w:r>
        <w:t xml:space="preserve"> </w:t>
      </w:r>
      <w:r w:rsidR="00D52C0D" w:rsidRPr="00E60A03">
        <w:t xml:space="preserve">To identify sources of archaeological data, the Council of Virginia </w:t>
      </w:r>
      <w:r w:rsidR="00350295">
        <w:t xml:space="preserve">Archaeologists </w:t>
      </w:r>
      <w:r w:rsidR="00D52C0D" w:rsidRPr="00E60A03">
        <w:t>(CoVA) survey of collections was used</w:t>
      </w:r>
      <w:r w:rsidR="00557805">
        <w:t xml:space="preserve"> as a starting point</w:t>
      </w:r>
      <w:r w:rsidR="00C369F8">
        <w:t xml:space="preserve"> for the sampling frame</w:t>
      </w:r>
      <w:r w:rsidR="00A60446">
        <w:t xml:space="preserve"> (White &amp; Breen</w:t>
      </w:r>
      <w:r w:rsidR="005A524C">
        <w:t>,</w:t>
      </w:r>
      <w:r w:rsidR="00A60446">
        <w:t xml:space="preserve"> 2012</w:t>
      </w:r>
      <w:r w:rsidR="00A60446" w:rsidRPr="00E60A03">
        <w:t>)</w:t>
      </w:r>
      <w:r w:rsidR="00D52C0D">
        <w:t>.</w:t>
      </w:r>
      <w:r w:rsidR="00E416AB" w:rsidRPr="00E416AB">
        <w:t xml:space="preserve"> </w:t>
      </w:r>
      <w:r w:rsidR="00D52C0D" w:rsidRPr="00E60A03">
        <w:t>The CoVA survey</w:t>
      </w:r>
      <w:r w:rsidR="00623FBB">
        <w:t xml:space="preserve"> was</w:t>
      </w:r>
      <w:r w:rsidR="00D52C0D">
        <w:t xml:space="preserve"> sent</w:t>
      </w:r>
      <w:r w:rsidR="00D52C0D" w:rsidRPr="00E60A03">
        <w:t xml:space="preserve"> to 135 institutions in September 2010</w:t>
      </w:r>
      <w:r w:rsidR="00BB6932">
        <w:t>,</w:t>
      </w:r>
      <w:r w:rsidR="00D52C0D" w:rsidRPr="00E60A03">
        <w:t xml:space="preserve"> including </w:t>
      </w:r>
      <w:r w:rsidR="00D52C0D">
        <w:t xml:space="preserve">the </w:t>
      </w:r>
      <w:r w:rsidR="00D52C0D" w:rsidRPr="00E60A03">
        <w:t xml:space="preserve">“Archeological Society of Virginia (ASV) chapters, local governments with preservation programs, universities, CRM firms with offices in Virginia, and military installations.” </w:t>
      </w:r>
      <w:r w:rsidR="000661DE">
        <w:t>For sampling frame construction t</w:t>
      </w:r>
      <w:r w:rsidR="00350295">
        <w:t>he websites for these institutions were</w:t>
      </w:r>
      <w:r w:rsidR="004C137A">
        <w:t xml:space="preserve"> initially </w:t>
      </w:r>
      <w:r w:rsidR="00350295">
        <w:t xml:space="preserve">identified by using the </w:t>
      </w:r>
      <w:r w:rsidR="00D52C0D" w:rsidRPr="00E60A03">
        <w:t xml:space="preserve">Egloff Atlas of Virginia Archaeology </w:t>
      </w:r>
      <w:r w:rsidR="00D52C0D" w:rsidRPr="00E60A03">
        <w:lastRenderedPageBreak/>
        <w:t>(</w:t>
      </w:r>
      <w:r w:rsidR="00D52C0D" w:rsidRPr="00C20A51">
        <w:t>http://www.dhr.virginia.gov/atlas/EAtlas1.html</w:t>
      </w:r>
      <w:r w:rsidR="00D52C0D">
        <w:t xml:space="preserve">), </w:t>
      </w:r>
      <w:r w:rsidR="00350295">
        <w:t xml:space="preserve">which was one of the </w:t>
      </w:r>
      <w:r w:rsidR="00D52C0D">
        <w:t>starting point</w:t>
      </w:r>
      <w:r w:rsidR="00350295">
        <w:t>s</w:t>
      </w:r>
      <w:r w:rsidR="00D52C0D">
        <w:t xml:space="preserve"> for the CoVA</w:t>
      </w:r>
      <w:r w:rsidR="00D52C0D" w:rsidRPr="00E60A03">
        <w:t xml:space="preserve"> survey</w:t>
      </w:r>
      <w:r w:rsidR="004C137A">
        <w:t>,</w:t>
      </w:r>
      <w:r w:rsidR="00350295">
        <w:t xml:space="preserve"> and is an authoritative listing on the Virginia Department</w:t>
      </w:r>
      <w:r w:rsidR="004C2B0D">
        <w:t xml:space="preserve"> of </w:t>
      </w:r>
      <w:r w:rsidR="00350295">
        <w:t xml:space="preserve">Historic </w:t>
      </w:r>
      <w:r w:rsidR="00FA1132">
        <w:t>Resource</w:t>
      </w:r>
      <w:r w:rsidR="00FB279D">
        <w:t xml:space="preserve"> website. </w:t>
      </w:r>
      <w:r w:rsidR="00BF1BA4">
        <w:t>For institutions included in the CoVA survey</w:t>
      </w:r>
      <w:r w:rsidR="00B16FD6">
        <w:t>,</w:t>
      </w:r>
      <w:r w:rsidR="00BF1BA4">
        <w:t xml:space="preserve"> but not on the Egloff Atlas</w:t>
      </w:r>
      <w:r w:rsidR="00B16FD6">
        <w:t>,</w:t>
      </w:r>
      <w:r w:rsidR="00BF1BA4">
        <w:t xml:space="preserve"> </w:t>
      </w:r>
      <w:r w:rsidR="00FB279D">
        <w:t xml:space="preserve">the website address was found through a </w:t>
      </w:r>
      <w:r w:rsidR="00350295">
        <w:t>Google search.</w:t>
      </w:r>
      <w:r>
        <w:t xml:space="preserve"> Additional </w:t>
      </w:r>
      <w:r w:rsidR="000661DE">
        <w:t xml:space="preserve">archaeological </w:t>
      </w:r>
      <w:r w:rsidR="002B5262">
        <w:t xml:space="preserve">organizations </w:t>
      </w:r>
      <w:r w:rsidR="000661DE">
        <w:t xml:space="preserve">not included in the </w:t>
      </w:r>
      <w:r>
        <w:rPr>
          <w:rFonts w:cs="Times New Roman"/>
        </w:rPr>
        <w:t xml:space="preserve">White &amp; Breen </w:t>
      </w:r>
      <w:r w:rsidR="00623FBB">
        <w:rPr>
          <w:rFonts w:cs="Times New Roman"/>
        </w:rPr>
        <w:t>sur</w:t>
      </w:r>
      <w:r w:rsidR="004C2B0D">
        <w:rPr>
          <w:rFonts w:cs="Times New Roman"/>
        </w:rPr>
        <w:t>v</w:t>
      </w:r>
      <w:r w:rsidR="00623FBB">
        <w:rPr>
          <w:rFonts w:cs="Times New Roman"/>
        </w:rPr>
        <w:t xml:space="preserve">ey </w:t>
      </w:r>
      <w:r w:rsidR="000661DE">
        <w:rPr>
          <w:rFonts w:cs="Times New Roman"/>
        </w:rPr>
        <w:t xml:space="preserve">were identified </w:t>
      </w:r>
      <w:r w:rsidR="000661DE">
        <w:t xml:space="preserve">based on authoritative sources, supplemented </w:t>
      </w:r>
      <w:r w:rsidR="00756BB1">
        <w:t>by this author’s</w:t>
      </w:r>
      <w:r w:rsidR="000661DE">
        <w:t xml:space="preserve"> knowledge of Virginia archaeology as an associate member of CoVA, </w:t>
      </w:r>
      <w:r w:rsidR="006B46B9">
        <w:t xml:space="preserve">and </w:t>
      </w:r>
      <w:r w:rsidR="00756BB1">
        <w:t>with</w:t>
      </w:r>
      <w:r w:rsidR="000661DE">
        <w:t xml:space="preserve"> connections to Virginia archaeology for the last twenty</w:t>
      </w:r>
      <w:r w:rsidR="00623FBB">
        <w:t>-</w:t>
      </w:r>
      <w:r w:rsidR="000661DE">
        <w:t xml:space="preserve">five years. These included </w:t>
      </w:r>
      <w:r w:rsidR="00B16FD6">
        <w:rPr>
          <w:rFonts w:cs="Times New Roman"/>
        </w:rPr>
        <w:t xml:space="preserve">National Parks, </w:t>
      </w:r>
      <w:r w:rsidRPr="00C22E1F">
        <w:rPr>
          <w:rFonts w:cs="Times New Roman"/>
        </w:rPr>
        <w:t xml:space="preserve">along with some </w:t>
      </w:r>
      <w:r w:rsidR="000661DE">
        <w:rPr>
          <w:rFonts w:cs="Times New Roman"/>
        </w:rPr>
        <w:t>organizations</w:t>
      </w:r>
      <w:r w:rsidRPr="00C22E1F">
        <w:rPr>
          <w:rFonts w:cs="Times New Roman"/>
        </w:rPr>
        <w:t xml:space="preserve"> that have </w:t>
      </w:r>
      <w:r>
        <w:rPr>
          <w:rFonts w:cs="Times New Roman"/>
        </w:rPr>
        <w:t xml:space="preserve">purely </w:t>
      </w:r>
      <w:r w:rsidRPr="00C22E1F">
        <w:rPr>
          <w:rFonts w:cs="Times New Roman"/>
        </w:rPr>
        <w:t>digital</w:t>
      </w:r>
      <w:r>
        <w:rPr>
          <w:rFonts w:cs="Times New Roman"/>
        </w:rPr>
        <w:t xml:space="preserve"> </w:t>
      </w:r>
      <w:r w:rsidR="002B5262">
        <w:t>archaeological</w:t>
      </w:r>
      <w:r w:rsidR="002B5262">
        <w:rPr>
          <w:rFonts w:cs="Times New Roman"/>
        </w:rPr>
        <w:t xml:space="preserve"> </w:t>
      </w:r>
      <w:r>
        <w:rPr>
          <w:rFonts w:cs="Times New Roman"/>
        </w:rPr>
        <w:t xml:space="preserve">content not represented by </w:t>
      </w:r>
      <w:r w:rsidRPr="00C22E1F">
        <w:rPr>
          <w:rFonts w:cs="Times New Roman"/>
        </w:rPr>
        <w:t>physical collections</w:t>
      </w:r>
      <w:r w:rsidR="000661DE">
        <w:rPr>
          <w:rFonts w:cs="Times New Roman"/>
        </w:rPr>
        <w:t xml:space="preserve"> (</w:t>
      </w:r>
      <w:r>
        <w:rPr>
          <w:rFonts w:cs="Times New Roman"/>
        </w:rPr>
        <w:t>and therefore not considered by White and Breen</w:t>
      </w:r>
      <w:r w:rsidR="000661DE">
        <w:rPr>
          <w:rFonts w:cs="Times New Roman"/>
        </w:rPr>
        <w:t>)</w:t>
      </w:r>
      <w:r>
        <w:rPr>
          <w:rFonts w:cs="Times New Roman"/>
        </w:rPr>
        <w:t xml:space="preserve">. </w:t>
      </w:r>
    </w:p>
    <w:p w14:paraId="2E62850E" w14:textId="77777777" w:rsidR="00D52C0D" w:rsidRDefault="0091434C" w:rsidP="0091434C">
      <w:r>
        <w:t>These websites provide a</w:t>
      </w:r>
      <w:r w:rsidR="00737812">
        <w:t>n</w:t>
      </w:r>
      <w:r>
        <w:t xml:space="preserve"> </w:t>
      </w:r>
      <w:r w:rsidR="004E1E29">
        <w:t>exhaustive</w:t>
      </w:r>
      <w:r>
        <w:t xml:space="preserve"> sample of archaeology </w:t>
      </w:r>
      <w:r w:rsidR="007F2CDF">
        <w:t>from</w:t>
      </w:r>
      <w:r>
        <w:t xml:space="preserve"> the State of Virginia.</w:t>
      </w:r>
      <w:r w:rsidR="006B46B9">
        <w:t xml:space="preserve"> I</w:t>
      </w:r>
      <w:r>
        <w:t>ncluded for analysis</w:t>
      </w:r>
      <w:r w:rsidR="006B46B9">
        <w:t xml:space="preserve"> were 150 potential websites</w:t>
      </w:r>
      <w:r>
        <w:t xml:space="preserve">. A full list of </w:t>
      </w:r>
      <w:r w:rsidR="002B5262">
        <w:t>web</w:t>
      </w:r>
      <w:r>
        <w:t xml:space="preserve">sites is included in </w:t>
      </w:r>
      <w:r w:rsidR="00D52C0D">
        <w:t>Appe</w:t>
      </w:r>
      <w:r>
        <w:t>ndix A</w:t>
      </w:r>
      <w:r w:rsidR="00D52C0D">
        <w:t>.</w:t>
      </w:r>
    </w:p>
    <w:p w14:paraId="14972A14" w14:textId="77777777" w:rsidR="00D52C0D" w:rsidRDefault="00F73F2C" w:rsidP="00F73F2C">
      <w:pPr>
        <w:pStyle w:val="Heading2"/>
      </w:pPr>
      <w:bookmarkStart w:id="24" w:name="_Toc419135407"/>
      <w:r>
        <w:t xml:space="preserve">Data </w:t>
      </w:r>
      <w:r w:rsidR="00D52C0D">
        <w:t>Collection</w:t>
      </w:r>
      <w:bookmarkEnd w:id="24"/>
    </w:p>
    <w:p w14:paraId="0635F964" w14:textId="77777777" w:rsidR="006B46B9" w:rsidRDefault="00531865" w:rsidP="00B829C4">
      <w:r>
        <w:t>Analysis came from the gathered data</w:t>
      </w:r>
      <w:r w:rsidR="00623FBB">
        <w:t xml:space="preserve"> by</w:t>
      </w:r>
      <w:r>
        <w:t xml:space="preserve"> using deductive measurement. The characteristics to be examined were established a priori </w:t>
      </w:r>
      <w:r w:rsidR="00623FBB">
        <w:t>(</w:t>
      </w:r>
      <w:r>
        <w:t>before looking at the websites</w:t>
      </w:r>
      <w:r w:rsidR="00623FBB">
        <w:t>)</w:t>
      </w:r>
      <w:r w:rsidR="000661DE">
        <w:t>. T</w:t>
      </w:r>
      <w:r>
        <w:t xml:space="preserve">hey are objective, and replicable, and apply to all websites in this study. </w:t>
      </w:r>
      <w:r w:rsidR="00C70114">
        <w:t xml:space="preserve">The unit of analysis </w:t>
      </w:r>
      <w:r w:rsidR="00CF1987">
        <w:t>was</w:t>
      </w:r>
      <w:r w:rsidR="00C70114">
        <w:t xml:space="preserve"> websites</w:t>
      </w:r>
      <w:r w:rsidR="0043747A">
        <w:t xml:space="preserve">. </w:t>
      </w:r>
      <w:r w:rsidR="00C70114">
        <w:t xml:space="preserve">Since </w:t>
      </w:r>
      <w:r w:rsidR="00114E82">
        <w:t>characteristics</w:t>
      </w:r>
      <w:r w:rsidR="00C70114">
        <w:t xml:space="preserve"> could occur over multiple pages from the websites</w:t>
      </w:r>
      <w:r w:rsidR="0043747A">
        <w:t>, and since websites are fluid constructs</w:t>
      </w:r>
      <w:r w:rsidR="00C70114">
        <w:t xml:space="preserve">, URLs </w:t>
      </w:r>
      <w:r w:rsidR="000B01B3">
        <w:t xml:space="preserve">and some screen shots </w:t>
      </w:r>
      <w:r w:rsidR="00C70114">
        <w:t>w</w:t>
      </w:r>
      <w:r w:rsidR="00CF1987">
        <w:t>ere</w:t>
      </w:r>
      <w:r w:rsidR="00C70114">
        <w:t xml:space="preserve"> saved to show where the data elements were found. </w:t>
      </w:r>
      <w:r w:rsidR="001B076D">
        <w:t xml:space="preserve">The manifest content of </w:t>
      </w:r>
      <w:r w:rsidR="00B829C4">
        <w:t>the websites w</w:t>
      </w:r>
      <w:r w:rsidR="00CF1987">
        <w:t>ere fir</w:t>
      </w:r>
      <w:r w:rsidR="00B829C4">
        <w:t>st examined to see whether they provide</w:t>
      </w:r>
      <w:r w:rsidR="00CF1987">
        <w:t>d</w:t>
      </w:r>
      <w:r w:rsidR="00B829C4">
        <w:t xml:space="preserve"> any archaeological </w:t>
      </w:r>
      <w:r w:rsidR="006B46B9">
        <w:t>web pages</w:t>
      </w:r>
      <w:r w:rsidR="00B829C4">
        <w:t>.</w:t>
      </w:r>
      <w:r w:rsidR="009B3D57">
        <w:t xml:space="preserve"> </w:t>
      </w:r>
      <w:r w:rsidR="00FA1132">
        <w:t xml:space="preserve">Websites that </w:t>
      </w:r>
      <w:r w:rsidR="009B3D57">
        <w:t>have archaeological content</w:t>
      </w:r>
      <w:r w:rsidR="00CF1987">
        <w:t>,</w:t>
      </w:r>
      <w:r w:rsidR="009B3D57">
        <w:t xml:space="preserve"> but no </w:t>
      </w:r>
      <w:r w:rsidR="00CF1987">
        <w:t xml:space="preserve">archaeological </w:t>
      </w:r>
      <w:r w:rsidR="009B3D57">
        <w:t>data (</w:t>
      </w:r>
      <w:r w:rsidR="00FA1132">
        <w:t>as defined below)</w:t>
      </w:r>
      <w:r w:rsidR="00CF1987">
        <w:t xml:space="preserve">, were only </w:t>
      </w:r>
      <w:r w:rsidR="00C369F8">
        <w:t>coded</w:t>
      </w:r>
      <w:r w:rsidR="009B3D57">
        <w:t xml:space="preserve"> for the </w:t>
      </w:r>
      <w:r w:rsidR="00CF1987">
        <w:t>public outreach section</w:t>
      </w:r>
      <w:r w:rsidR="006B46B9">
        <w:t>,</w:t>
      </w:r>
      <w:r w:rsidR="007554FD">
        <w:t xml:space="preserve"> as defined below</w:t>
      </w:r>
      <w:r w:rsidR="009B3D57">
        <w:t xml:space="preserve">. </w:t>
      </w:r>
      <w:r w:rsidR="00B829C4">
        <w:t xml:space="preserve">Because </w:t>
      </w:r>
      <w:r w:rsidR="006B4F86">
        <w:t xml:space="preserve">website </w:t>
      </w:r>
      <w:r w:rsidR="00114E82">
        <w:t>characteristics</w:t>
      </w:r>
      <w:r w:rsidR="00B829C4">
        <w:t xml:space="preserve"> relevant to the study may be spread across we</w:t>
      </w:r>
      <w:r w:rsidR="0043747A">
        <w:t>bpages</w:t>
      </w:r>
      <w:r w:rsidR="0007142E">
        <w:t>,</w:t>
      </w:r>
      <w:r w:rsidR="0043747A">
        <w:t xml:space="preserve"> the following structure </w:t>
      </w:r>
      <w:r w:rsidR="00B829C4">
        <w:t>w</w:t>
      </w:r>
      <w:r w:rsidR="00CF1987">
        <w:t>as u</w:t>
      </w:r>
      <w:r w:rsidR="00B829C4">
        <w:t xml:space="preserve">sed to examine the </w:t>
      </w:r>
      <w:r w:rsidR="0043747A">
        <w:t>web</w:t>
      </w:r>
      <w:r w:rsidR="00B829C4">
        <w:t>sites</w:t>
      </w:r>
      <w:r w:rsidR="00756BB1">
        <w:t>, looking at navigational links for the whole website or archaeological sections</w:t>
      </w:r>
      <w:r w:rsidR="0043747A">
        <w:t>:</w:t>
      </w:r>
    </w:p>
    <w:p w14:paraId="5FAD26AD" w14:textId="77777777" w:rsidR="006B46B9" w:rsidRDefault="006B46B9">
      <w:pPr>
        <w:spacing w:after="160" w:line="259" w:lineRule="auto"/>
        <w:ind w:firstLine="0"/>
      </w:pPr>
      <w:r>
        <w:br w:type="page"/>
      </w:r>
    </w:p>
    <w:p w14:paraId="10B1A147" w14:textId="77777777" w:rsidR="00E209C4" w:rsidRDefault="00E209C4" w:rsidP="006B46B9">
      <w:r>
        <w:lastRenderedPageBreak/>
        <w:t>Home page</w:t>
      </w:r>
    </w:p>
    <w:p w14:paraId="0984DFE3" w14:textId="77777777" w:rsidR="00E209C4" w:rsidRDefault="00E209C4" w:rsidP="009B3D57">
      <w:pPr>
        <w:ind w:left="1440" w:firstLine="0"/>
      </w:pPr>
      <w:r>
        <w:sym w:font="Wingdings" w:char="F0E0"/>
      </w:r>
      <w:r w:rsidR="009B3D57">
        <w:t>Archaeology</w:t>
      </w:r>
    </w:p>
    <w:p w14:paraId="498DB8B1" w14:textId="77777777" w:rsidR="00E209C4" w:rsidRDefault="00E209C4" w:rsidP="009B3D57">
      <w:pPr>
        <w:ind w:left="1440" w:firstLine="0"/>
      </w:pPr>
      <w:r>
        <w:sym w:font="Wingdings" w:char="F0E0"/>
      </w:r>
      <w:r w:rsidR="009B3D57">
        <w:t>Exhibits/research/collections</w:t>
      </w:r>
      <w:r w:rsidR="00DD7D5B">
        <w:t>/science</w:t>
      </w:r>
    </w:p>
    <w:p w14:paraId="5CF3451A" w14:textId="77777777" w:rsidR="00E209C4" w:rsidRDefault="00E209C4" w:rsidP="009B3D57">
      <w:pPr>
        <w:ind w:left="1440" w:firstLine="0"/>
      </w:pPr>
      <w:r>
        <w:sym w:font="Wingdings" w:char="F0E0"/>
      </w:r>
      <w:r w:rsidR="009B3D57">
        <w:t xml:space="preserve"> About </w:t>
      </w:r>
      <w:r>
        <w:t xml:space="preserve">/ Copyright </w:t>
      </w:r>
    </w:p>
    <w:p w14:paraId="7BAED860" w14:textId="77777777" w:rsidR="00B829C4" w:rsidRDefault="00E209C4" w:rsidP="009B3D57">
      <w:pPr>
        <w:ind w:left="1440" w:firstLine="0"/>
      </w:pPr>
      <w:r>
        <w:sym w:font="Wingdings" w:char="F0E0"/>
      </w:r>
      <w:r w:rsidR="00F97039">
        <w:t xml:space="preserve"> Footer section</w:t>
      </w:r>
    </w:p>
    <w:p w14:paraId="7DAFC439" w14:textId="77777777" w:rsidR="00860F11" w:rsidRDefault="00B16FD6" w:rsidP="00860F11">
      <w:r>
        <w:t xml:space="preserve">The characteristics recorded are as follows, sectioned into areas that reflect their primary associations with open data, scholarly publishing and public outreach. The codes for each field </w:t>
      </w:r>
      <w:r w:rsidR="00756BB1">
        <w:t xml:space="preserve">are described fully in the coding system </w:t>
      </w:r>
      <w:r>
        <w:t>(</w:t>
      </w:r>
      <w:r w:rsidR="00756BB1">
        <w:t xml:space="preserve">See </w:t>
      </w:r>
      <w:r>
        <w:t xml:space="preserve">Appendix B). </w:t>
      </w:r>
      <w:r w:rsidR="00860F11">
        <w:t xml:space="preserve">The coding system was </w:t>
      </w:r>
      <w:r w:rsidR="00860F11" w:rsidRPr="00E60A03">
        <w:t>based</w:t>
      </w:r>
      <w:r w:rsidR="00C369F8">
        <w:t>,</w:t>
      </w:r>
      <w:r w:rsidR="00860F11">
        <w:t xml:space="preserve"> in part</w:t>
      </w:r>
      <w:r w:rsidR="00C369F8">
        <w:t>,</w:t>
      </w:r>
      <w:r w:rsidR="00860F11">
        <w:t xml:space="preserve"> </w:t>
      </w:r>
      <w:r w:rsidR="00860F11" w:rsidRPr="00E60A03">
        <w:t>on an instrument developed by Deblauwe, in the “Enhancing Humanities Research Productivity in a Collaborative Data Sharing Environment” white paper (Kansa &amp; Kansa, 2011, p. 27). Deblauwe</w:t>
      </w:r>
      <w:r w:rsidR="00860F11">
        <w:t xml:space="preserve"> </w:t>
      </w:r>
      <w:r w:rsidR="00860F11" w:rsidRPr="00E60A03">
        <w:t xml:space="preserve">reviewed 68 </w:t>
      </w:r>
      <w:r w:rsidR="00860F11">
        <w:t xml:space="preserve">archaeology </w:t>
      </w:r>
      <w:r w:rsidR="00860F11" w:rsidRPr="00E60A03">
        <w:t xml:space="preserve">websites </w:t>
      </w:r>
      <w:r w:rsidR="0007142E">
        <w:t xml:space="preserve">from </w:t>
      </w:r>
      <w:r w:rsidR="00860F11" w:rsidRPr="00E60A03">
        <w:t xml:space="preserve">February 2009 </w:t>
      </w:r>
      <w:r w:rsidR="0007142E">
        <w:t>to</w:t>
      </w:r>
      <w:r w:rsidR="0007142E" w:rsidRPr="00E60A03">
        <w:t xml:space="preserve"> </w:t>
      </w:r>
      <w:r w:rsidR="00860F11" w:rsidRPr="00E60A03">
        <w:t xml:space="preserve">December 2010. Her criteria </w:t>
      </w:r>
      <w:r w:rsidR="0007142E">
        <w:t>examined</w:t>
      </w:r>
      <w:r w:rsidR="00860F11" w:rsidRPr="00E60A03">
        <w:t xml:space="preserve"> issues of permanence and licensing, and a separate section </w:t>
      </w:r>
      <w:r w:rsidR="0007142E">
        <w:t xml:space="preserve">focused </w:t>
      </w:r>
      <w:r w:rsidR="00860F11" w:rsidRPr="00E60A03">
        <w:t xml:space="preserve">on evaluating the user experience. Since </w:t>
      </w:r>
      <w:r w:rsidR="00C369F8">
        <w:t>this</w:t>
      </w:r>
      <w:r w:rsidR="00860F11">
        <w:t xml:space="preserve"> study i</w:t>
      </w:r>
      <w:r w:rsidR="00860F11" w:rsidRPr="00E60A03">
        <w:t xml:space="preserve">s </w:t>
      </w:r>
      <w:r w:rsidR="00860F11">
        <w:t xml:space="preserve">not </w:t>
      </w:r>
      <w:r w:rsidR="00860F11" w:rsidRPr="00E60A03">
        <w:t>concerned with usability, these questions were concatenated into issues of ac</w:t>
      </w:r>
      <w:r w:rsidR="00860F11">
        <w:t xml:space="preserve">cessibility, and reuse, asking if the data </w:t>
      </w:r>
      <w:r w:rsidR="0007142E">
        <w:t xml:space="preserve">can be </w:t>
      </w:r>
      <w:r w:rsidR="00860F11">
        <w:t xml:space="preserve">accessed without the need for a login, or through navigating web forms. The coding system is also informed by the </w:t>
      </w:r>
      <w:r w:rsidR="0007142E">
        <w:t xml:space="preserve">eight </w:t>
      </w:r>
      <w:r w:rsidR="00860F11">
        <w:t>principles of Open Government Data (</w:t>
      </w:r>
      <w:r w:rsidR="00860F11" w:rsidRPr="000D0CAA">
        <w:t>Open Government Data</w:t>
      </w:r>
      <w:r w:rsidR="00860F11">
        <w:t>, n.d.).</w:t>
      </w:r>
    </w:p>
    <w:p w14:paraId="5B07A788" w14:textId="77777777" w:rsidR="00B16FD6" w:rsidRDefault="00C43FA5" w:rsidP="00B16FD6">
      <w:r>
        <w:t xml:space="preserve">Most </w:t>
      </w:r>
      <w:r w:rsidR="006B46B9">
        <w:t>data</w:t>
      </w:r>
      <w:r w:rsidR="0007142E">
        <w:t>-</w:t>
      </w:r>
      <w:r w:rsidR="006B46B9">
        <w:t xml:space="preserve">capture </w:t>
      </w:r>
      <w:r>
        <w:t xml:space="preserve">fields record </w:t>
      </w:r>
      <w:r w:rsidR="00756BB1">
        <w:t xml:space="preserve">nominal data, </w:t>
      </w:r>
      <w:r>
        <w:t>the presence or absence of a characteristic coded as a 0 or 1 (such as presence of site reports, contac</w:t>
      </w:r>
      <w:r w:rsidR="000B01B3">
        <w:t xml:space="preserve">t information, data dictionary, or </w:t>
      </w:r>
      <w:r>
        <w:t xml:space="preserve">blog). </w:t>
      </w:r>
      <w:r w:rsidR="00CF75BD">
        <w:t xml:space="preserve">Some fields required more </w:t>
      </w:r>
      <w:r w:rsidR="00870A9F">
        <w:t>values</w:t>
      </w:r>
      <w:r w:rsidR="00CF75BD">
        <w:t xml:space="preserve">. The licensing information was recorded in comparison to the commonly defined CC </w:t>
      </w:r>
      <w:r w:rsidR="000B01B3">
        <w:t xml:space="preserve">license (with exemptions noted); the </w:t>
      </w:r>
      <w:r w:rsidR="00CF75BD">
        <w:t>type of data</w:t>
      </w:r>
      <w:r w:rsidR="00382882">
        <w:t xml:space="preserve"> reflects the criteria of the five</w:t>
      </w:r>
      <w:r w:rsidR="0007142E">
        <w:t>-</w:t>
      </w:r>
      <w:r w:rsidR="00382882">
        <w:t>star open rating discussed earlier</w:t>
      </w:r>
      <w:r w:rsidR="000B01B3">
        <w:t>,</w:t>
      </w:r>
      <w:r w:rsidR="00382882">
        <w:t xml:space="preserve"> and access is recorded as open, </w:t>
      </w:r>
      <w:r w:rsidR="00870A9F">
        <w:t xml:space="preserve">requiring a </w:t>
      </w:r>
      <w:r w:rsidR="00382882">
        <w:t xml:space="preserve">sign in, </w:t>
      </w:r>
      <w:r w:rsidR="000B01B3">
        <w:t xml:space="preserve">or </w:t>
      </w:r>
      <w:r w:rsidR="00382882">
        <w:t>subscription</w:t>
      </w:r>
      <w:r w:rsidR="00870A9F">
        <w:t xml:space="preserve"> to get a sign in</w:t>
      </w:r>
      <w:r w:rsidR="00382882">
        <w:t>.</w:t>
      </w:r>
    </w:p>
    <w:p w14:paraId="4FB2EABE" w14:textId="77777777" w:rsidR="00860F11" w:rsidRDefault="00860F11" w:rsidP="00860F11">
      <w:r>
        <w:t>For the purpose of this study archaeological data, discussed earlier in chapter 1, was defined by multiple categories:</w:t>
      </w:r>
    </w:p>
    <w:p w14:paraId="1DE448CD" w14:textId="77777777" w:rsidR="00860F11" w:rsidRDefault="00860F11" w:rsidP="00860F11">
      <w:pPr>
        <w:pStyle w:val="ListParagraph"/>
        <w:numPr>
          <w:ilvl w:val="0"/>
          <w:numId w:val="9"/>
        </w:numPr>
      </w:pPr>
      <w:r w:rsidRPr="00CF1987">
        <w:lastRenderedPageBreak/>
        <w:t>Site Reports: webpages/ link(s) to a document showing the site report, which is a standard output of archaeological projects, often published as grey literature. While including analysis and synthesis, site reports can also include artifact data tables and field records.</w:t>
      </w:r>
    </w:p>
    <w:p w14:paraId="59C9A8C7" w14:textId="77777777" w:rsidR="00860F11" w:rsidRDefault="00860F11" w:rsidP="00860F11">
      <w:pPr>
        <w:pStyle w:val="ListParagraph"/>
        <w:numPr>
          <w:ilvl w:val="0"/>
          <w:numId w:val="9"/>
        </w:numPr>
      </w:pPr>
      <w:r>
        <w:t>Field data: including digital maps, profile drawings, and site photographs.</w:t>
      </w:r>
    </w:p>
    <w:p w14:paraId="285CBF00" w14:textId="77777777" w:rsidR="00860F11" w:rsidRDefault="00860F11" w:rsidP="00860F11">
      <w:pPr>
        <w:pStyle w:val="ListParagraph"/>
        <w:numPr>
          <w:ilvl w:val="0"/>
          <w:numId w:val="9"/>
        </w:numPr>
      </w:pPr>
      <w:r>
        <w:t>Artifact data: including finds lists, artifact inventories and databases.</w:t>
      </w:r>
    </w:p>
    <w:p w14:paraId="09181B46" w14:textId="77777777" w:rsidR="00860F11" w:rsidRDefault="00860F11" w:rsidP="00860F11">
      <w:pPr>
        <w:pStyle w:val="ListParagraph"/>
        <w:numPr>
          <w:ilvl w:val="0"/>
          <w:numId w:val="9"/>
        </w:numPr>
      </w:pPr>
      <w:r>
        <w:t>Spatial data: including GIS shape files.</w:t>
      </w:r>
    </w:p>
    <w:p w14:paraId="7CDB0FB6" w14:textId="77777777" w:rsidR="00860F11" w:rsidRDefault="00860F11" w:rsidP="00860F11">
      <w:pPr>
        <w:pStyle w:val="ListParagraph"/>
        <w:numPr>
          <w:ilvl w:val="0"/>
          <w:numId w:val="9"/>
        </w:numPr>
      </w:pPr>
      <w:r>
        <w:t>Data visualizations and models: including 3</w:t>
      </w:r>
      <w:r w:rsidR="004C2B0D">
        <w:t>-</w:t>
      </w:r>
      <w:r>
        <w:t>D models and virtual environments</w:t>
      </w:r>
      <w:r w:rsidR="006B46B9">
        <w:t>.</w:t>
      </w:r>
    </w:p>
    <w:p w14:paraId="7AF6BDA9" w14:textId="40227E56" w:rsidR="006B46B9" w:rsidRDefault="006B46B9" w:rsidP="006B46B9">
      <w:r>
        <w:t>For websites that did not include any reference to archaeology</w:t>
      </w:r>
      <w:r w:rsidR="0007142E">
        <w:t>,</w:t>
      </w:r>
      <w:r>
        <w:t xml:space="preserve"> only ID, date reviewed, organization name, URL and type were recorded. These websites were not eligible for further coding. For sites that had clear archaeological content but no archaeological data, public outreach fields only were recorded. Websites with data had all fields coded, shown in Table 1 (</w:t>
      </w:r>
      <w:r w:rsidR="00893D91">
        <w:t>below</w:t>
      </w:r>
      <w:r>
        <w:t xml:space="preserve">). </w:t>
      </w:r>
    </w:p>
    <w:p w14:paraId="66D70908" w14:textId="77777777" w:rsidR="006B46B9" w:rsidRDefault="006B46B9">
      <w:pPr>
        <w:spacing w:after="160" w:line="259" w:lineRule="auto"/>
        <w:ind w:firstLine="0"/>
      </w:pPr>
      <w:r>
        <w:br w:type="page"/>
      </w:r>
    </w:p>
    <w:p w14:paraId="628275DC" w14:textId="77777777" w:rsidR="006B46B9" w:rsidRDefault="006B46B9" w:rsidP="006B46B9">
      <w:pPr>
        <w:ind w:firstLine="0"/>
      </w:pPr>
    </w:p>
    <w:p w14:paraId="41F05FB9" w14:textId="77777777" w:rsidR="00986EB8" w:rsidRPr="00986EB8" w:rsidRDefault="00986EB8" w:rsidP="00986EB8">
      <w:pPr>
        <w:pStyle w:val="ListParagraph"/>
        <w:ind w:left="0" w:firstLine="0"/>
        <w:jc w:val="center"/>
        <w:rPr>
          <w:b/>
        </w:rPr>
      </w:pPr>
      <w:r w:rsidRPr="00986EB8">
        <w:rPr>
          <w:b/>
        </w:rPr>
        <w:t>Table 1: Data collection fields by section</w:t>
      </w:r>
    </w:p>
    <w:tbl>
      <w:tblPr>
        <w:tblStyle w:val="TableGrid"/>
        <w:tblW w:w="5688" w:type="dxa"/>
        <w:jc w:val="center"/>
        <w:tblLook w:val="04A0" w:firstRow="1" w:lastRow="0" w:firstColumn="1" w:lastColumn="0" w:noHBand="0" w:noVBand="1"/>
      </w:tblPr>
      <w:tblGrid>
        <w:gridCol w:w="2800"/>
        <w:gridCol w:w="2888"/>
      </w:tblGrid>
      <w:tr w:rsidR="00B16FD6" w:rsidRPr="00FB25E0" w14:paraId="75D2647C" w14:textId="77777777" w:rsidTr="00681AE1">
        <w:trPr>
          <w:jc w:val="center"/>
        </w:trPr>
        <w:tc>
          <w:tcPr>
            <w:tcW w:w="2800" w:type="dxa"/>
            <w:shd w:val="clear" w:color="auto" w:fill="DEEAF6" w:themeFill="accent1" w:themeFillTint="33"/>
          </w:tcPr>
          <w:p w14:paraId="3D951E24" w14:textId="77777777" w:rsidR="00B16FD6" w:rsidRPr="005F51B1" w:rsidRDefault="00B16FD6" w:rsidP="00681AE1">
            <w:pPr>
              <w:spacing w:line="240" w:lineRule="auto"/>
              <w:ind w:firstLine="0"/>
            </w:pPr>
          </w:p>
        </w:tc>
        <w:tc>
          <w:tcPr>
            <w:tcW w:w="2888" w:type="dxa"/>
            <w:shd w:val="clear" w:color="auto" w:fill="DEEAF6" w:themeFill="accent1" w:themeFillTint="33"/>
          </w:tcPr>
          <w:p w14:paraId="1CB20E11" w14:textId="77777777" w:rsidR="00B16FD6" w:rsidRPr="00FB25E0" w:rsidRDefault="00B16FD6" w:rsidP="00681AE1">
            <w:pPr>
              <w:spacing w:line="240" w:lineRule="auto"/>
              <w:ind w:firstLine="0"/>
              <w:rPr>
                <w:b/>
              </w:rPr>
            </w:pPr>
            <w:r w:rsidRPr="00FB25E0">
              <w:rPr>
                <w:b/>
              </w:rPr>
              <w:t>Field</w:t>
            </w:r>
          </w:p>
        </w:tc>
      </w:tr>
      <w:tr w:rsidR="00B16FD6" w:rsidRPr="00A64743" w14:paraId="6FDE6802" w14:textId="77777777" w:rsidTr="00681AE1">
        <w:trPr>
          <w:jc w:val="center"/>
        </w:trPr>
        <w:tc>
          <w:tcPr>
            <w:tcW w:w="2800" w:type="dxa"/>
            <w:vMerge w:val="restart"/>
          </w:tcPr>
          <w:p w14:paraId="2365DFBC" w14:textId="77777777" w:rsidR="00B16FD6" w:rsidRPr="005F51B1" w:rsidRDefault="00B16FD6" w:rsidP="00681AE1">
            <w:pPr>
              <w:spacing w:line="240" w:lineRule="auto"/>
              <w:ind w:firstLine="0"/>
            </w:pPr>
            <w:r w:rsidRPr="005F51B1">
              <w:t>General</w:t>
            </w:r>
          </w:p>
        </w:tc>
        <w:tc>
          <w:tcPr>
            <w:tcW w:w="2888" w:type="dxa"/>
          </w:tcPr>
          <w:p w14:paraId="1644FE59" w14:textId="77777777" w:rsidR="00B16FD6" w:rsidRPr="00FB25E0" w:rsidRDefault="00B16FD6" w:rsidP="00681AE1">
            <w:pPr>
              <w:spacing w:line="240" w:lineRule="auto"/>
              <w:ind w:firstLine="0"/>
            </w:pPr>
            <w:r>
              <w:t>ID</w:t>
            </w:r>
          </w:p>
        </w:tc>
      </w:tr>
      <w:tr w:rsidR="00B16FD6" w:rsidRPr="00A64743" w14:paraId="58C79402" w14:textId="77777777" w:rsidTr="00681AE1">
        <w:trPr>
          <w:jc w:val="center"/>
        </w:trPr>
        <w:tc>
          <w:tcPr>
            <w:tcW w:w="2800" w:type="dxa"/>
            <w:vMerge/>
          </w:tcPr>
          <w:p w14:paraId="42490019" w14:textId="77777777" w:rsidR="00B16FD6" w:rsidRPr="005F51B1" w:rsidRDefault="00B16FD6" w:rsidP="00681AE1">
            <w:pPr>
              <w:spacing w:line="240" w:lineRule="auto"/>
              <w:ind w:firstLine="0"/>
            </w:pPr>
          </w:p>
        </w:tc>
        <w:tc>
          <w:tcPr>
            <w:tcW w:w="2888" w:type="dxa"/>
          </w:tcPr>
          <w:p w14:paraId="0595A42A" w14:textId="77777777" w:rsidR="00B16FD6" w:rsidRPr="00FB25E0" w:rsidRDefault="00B16FD6" w:rsidP="00681AE1">
            <w:pPr>
              <w:spacing w:line="240" w:lineRule="auto"/>
              <w:ind w:firstLine="0"/>
            </w:pPr>
            <w:r w:rsidRPr="00FB25E0">
              <w:t>Date reviewed</w:t>
            </w:r>
            <w:r>
              <w:t xml:space="preserve"> </w:t>
            </w:r>
          </w:p>
        </w:tc>
      </w:tr>
      <w:tr w:rsidR="00B16FD6" w:rsidRPr="00A64743" w14:paraId="75BB4CDE" w14:textId="77777777" w:rsidTr="00681AE1">
        <w:trPr>
          <w:jc w:val="center"/>
        </w:trPr>
        <w:tc>
          <w:tcPr>
            <w:tcW w:w="2800" w:type="dxa"/>
            <w:vMerge/>
          </w:tcPr>
          <w:p w14:paraId="7B85E5C4" w14:textId="77777777" w:rsidR="00B16FD6" w:rsidRPr="005F51B1" w:rsidRDefault="00B16FD6" w:rsidP="00681AE1">
            <w:pPr>
              <w:spacing w:line="240" w:lineRule="auto"/>
              <w:ind w:firstLine="0"/>
            </w:pPr>
          </w:p>
        </w:tc>
        <w:tc>
          <w:tcPr>
            <w:tcW w:w="2888" w:type="dxa"/>
          </w:tcPr>
          <w:p w14:paraId="5ACC96A0" w14:textId="77777777" w:rsidR="00B16FD6" w:rsidRPr="00FB25E0" w:rsidRDefault="00B16FD6" w:rsidP="00681AE1">
            <w:pPr>
              <w:spacing w:line="240" w:lineRule="auto"/>
              <w:ind w:firstLine="0"/>
            </w:pPr>
            <w:r>
              <w:t>Organization</w:t>
            </w:r>
          </w:p>
        </w:tc>
      </w:tr>
      <w:tr w:rsidR="00B16FD6" w:rsidRPr="00A64743" w14:paraId="3D343F61" w14:textId="77777777" w:rsidTr="00681AE1">
        <w:trPr>
          <w:jc w:val="center"/>
        </w:trPr>
        <w:tc>
          <w:tcPr>
            <w:tcW w:w="2800" w:type="dxa"/>
            <w:vMerge/>
          </w:tcPr>
          <w:p w14:paraId="2D80CB33" w14:textId="77777777" w:rsidR="00B16FD6" w:rsidRPr="005F51B1" w:rsidRDefault="00B16FD6" w:rsidP="00681AE1">
            <w:pPr>
              <w:spacing w:line="240" w:lineRule="auto"/>
              <w:ind w:firstLine="0"/>
            </w:pPr>
          </w:p>
        </w:tc>
        <w:tc>
          <w:tcPr>
            <w:tcW w:w="2888" w:type="dxa"/>
          </w:tcPr>
          <w:p w14:paraId="41002264" w14:textId="77777777" w:rsidR="00B16FD6" w:rsidRPr="00FB25E0" w:rsidRDefault="00B16FD6" w:rsidP="00681AE1">
            <w:pPr>
              <w:spacing w:line="240" w:lineRule="auto"/>
              <w:ind w:firstLine="0"/>
            </w:pPr>
            <w:r>
              <w:t>URL</w:t>
            </w:r>
          </w:p>
        </w:tc>
      </w:tr>
      <w:tr w:rsidR="00B16FD6" w:rsidRPr="00A64743" w14:paraId="22C85D9B" w14:textId="77777777" w:rsidTr="00681AE1">
        <w:trPr>
          <w:jc w:val="center"/>
        </w:trPr>
        <w:tc>
          <w:tcPr>
            <w:tcW w:w="2800" w:type="dxa"/>
            <w:vMerge/>
          </w:tcPr>
          <w:p w14:paraId="1870390B" w14:textId="77777777" w:rsidR="00B16FD6" w:rsidRPr="005F51B1" w:rsidRDefault="00B16FD6" w:rsidP="00681AE1">
            <w:pPr>
              <w:spacing w:line="240" w:lineRule="auto"/>
            </w:pPr>
          </w:p>
        </w:tc>
        <w:tc>
          <w:tcPr>
            <w:tcW w:w="2888" w:type="dxa"/>
          </w:tcPr>
          <w:p w14:paraId="24491571" w14:textId="77777777" w:rsidR="00B16FD6" w:rsidRPr="00FB25E0" w:rsidRDefault="00B16FD6" w:rsidP="00681AE1">
            <w:pPr>
              <w:spacing w:line="240" w:lineRule="auto"/>
              <w:ind w:firstLine="0"/>
            </w:pPr>
            <w:r>
              <w:t xml:space="preserve">Institution </w:t>
            </w:r>
            <w:r w:rsidRPr="00FB25E0">
              <w:t>Type</w:t>
            </w:r>
            <w:r>
              <w:t xml:space="preserve"> </w:t>
            </w:r>
          </w:p>
        </w:tc>
      </w:tr>
      <w:tr w:rsidR="00B16FD6" w:rsidRPr="00A64743" w14:paraId="70DA0BDF" w14:textId="77777777" w:rsidTr="00681AE1">
        <w:trPr>
          <w:trHeight w:val="233"/>
          <w:jc w:val="center"/>
        </w:trPr>
        <w:tc>
          <w:tcPr>
            <w:tcW w:w="2800" w:type="dxa"/>
            <w:vMerge/>
          </w:tcPr>
          <w:p w14:paraId="7BBBB6B5" w14:textId="77777777" w:rsidR="00B16FD6" w:rsidRPr="005F51B1" w:rsidRDefault="00B16FD6" w:rsidP="00681AE1">
            <w:pPr>
              <w:spacing w:line="240" w:lineRule="auto"/>
              <w:ind w:firstLine="0"/>
            </w:pPr>
          </w:p>
        </w:tc>
        <w:tc>
          <w:tcPr>
            <w:tcW w:w="2888" w:type="dxa"/>
          </w:tcPr>
          <w:p w14:paraId="6B5D2ED2" w14:textId="77777777" w:rsidR="00B16FD6" w:rsidRPr="00FB25E0" w:rsidRDefault="00B16FD6" w:rsidP="00681AE1">
            <w:pPr>
              <w:spacing w:line="240" w:lineRule="auto"/>
              <w:ind w:firstLine="0"/>
            </w:pPr>
            <w:r>
              <w:t>Archaeology Online</w:t>
            </w:r>
          </w:p>
        </w:tc>
      </w:tr>
      <w:tr w:rsidR="00B16FD6" w:rsidRPr="00A64743" w14:paraId="332D2038" w14:textId="77777777" w:rsidTr="00681AE1">
        <w:trPr>
          <w:jc w:val="center"/>
        </w:trPr>
        <w:tc>
          <w:tcPr>
            <w:tcW w:w="2800" w:type="dxa"/>
            <w:vMerge/>
          </w:tcPr>
          <w:p w14:paraId="78066544" w14:textId="77777777" w:rsidR="00B16FD6" w:rsidRPr="005F51B1" w:rsidRDefault="00B16FD6" w:rsidP="00681AE1">
            <w:pPr>
              <w:spacing w:line="240" w:lineRule="auto"/>
              <w:ind w:firstLine="0"/>
            </w:pPr>
          </w:p>
        </w:tc>
        <w:tc>
          <w:tcPr>
            <w:tcW w:w="2888" w:type="dxa"/>
          </w:tcPr>
          <w:p w14:paraId="2867DA44" w14:textId="77777777" w:rsidR="00B16FD6" w:rsidRPr="00FB25E0" w:rsidRDefault="00B16FD6" w:rsidP="00681AE1">
            <w:pPr>
              <w:spacing w:line="240" w:lineRule="auto"/>
              <w:ind w:firstLine="0"/>
            </w:pPr>
            <w:r>
              <w:t>Data Online</w:t>
            </w:r>
          </w:p>
        </w:tc>
      </w:tr>
      <w:tr w:rsidR="00B16FD6" w:rsidRPr="00A64743" w14:paraId="393E95AC" w14:textId="77777777" w:rsidTr="00681AE1">
        <w:trPr>
          <w:jc w:val="center"/>
        </w:trPr>
        <w:tc>
          <w:tcPr>
            <w:tcW w:w="2800" w:type="dxa"/>
            <w:vMerge/>
          </w:tcPr>
          <w:p w14:paraId="6539E30D" w14:textId="77777777" w:rsidR="00B16FD6" w:rsidRPr="005F51B1" w:rsidRDefault="00B16FD6" w:rsidP="00681AE1">
            <w:pPr>
              <w:spacing w:line="240" w:lineRule="auto"/>
              <w:ind w:firstLine="0"/>
            </w:pPr>
          </w:p>
        </w:tc>
        <w:tc>
          <w:tcPr>
            <w:tcW w:w="2888" w:type="dxa"/>
          </w:tcPr>
          <w:p w14:paraId="78C85A56" w14:textId="77777777" w:rsidR="00B16FD6" w:rsidRPr="00FB25E0" w:rsidRDefault="00B16FD6" w:rsidP="00681AE1">
            <w:pPr>
              <w:spacing w:line="240" w:lineRule="auto"/>
              <w:ind w:firstLine="0"/>
            </w:pPr>
            <w:r w:rsidRPr="00FB25E0">
              <w:t xml:space="preserve">No. of </w:t>
            </w:r>
            <w:r>
              <w:t>archaeological</w:t>
            </w:r>
            <w:r w:rsidRPr="00FB25E0">
              <w:t xml:space="preserve"> sites</w:t>
            </w:r>
          </w:p>
        </w:tc>
      </w:tr>
      <w:tr w:rsidR="00B16FD6" w:rsidRPr="00A64743" w14:paraId="448EFB37" w14:textId="77777777" w:rsidTr="00681AE1">
        <w:trPr>
          <w:jc w:val="center"/>
        </w:trPr>
        <w:tc>
          <w:tcPr>
            <w:tcW w:w="2800" w:type="dxa"/>
            <w:vMerge/>
          </w:tcPr>
          <w:p w14:paraId="3100A7D9" w14:textId="77777777" w:rsidR="00B16FD6" w:rsidRPr="005F51B1" w:rsidRDefault="00B16FD6" w:rsidP="00681AE1">
            <w:pPr>
              <w:spacing w:line="240" w:lineRule="auto"/>
              <w:ind w:firstLine="0"/>
            </w:pPr>
          </w:p>
        </w:tc>
        <w:tc>
          <w:tcPr>
            <w:tcW w:w="2888" w:type="dxa"/>
          </w:tcPr>
          <w:p w14:paraId="01340ACD" w14:textId="77777777" w:rsidR="00B16FD6" w:rsidRPr="00FB25E0" w:rsidRDefault="00B16FD6" w:rsidP="00681AE1">
            <w:pPr>
              <w:spacing w:line="240" w:lineRule="auto"/>
              <w:ind w:firstLine="0"/>
            </w:pPr>
            <w:r>
              <w:t>Basis</w:t>
            </w:r>
          </w:p>
        </w:tc>
      </w:tr>
      <w:tr w:rsidR="00B16FD6" w:rsidRPr="00A64743" w14:paraId="1C58D2DF" w14:textId="77777777" w:rsidTr="00681AE1">
        <w:trPr>
          <w:jc w:val="center"/>
        </w:trPr>
        <w:tc>
          <w:tcPr>
            <w:tcW w:w="2800" w:type="dxa"/>
            <w:vMerge/>
          </w:tcPr>
          <w:p w14:paraId="3C485548" w14:textId="77777777" w:rsidR="00B16FD6" w:rsidRPr="005F51B1" w:rsidRDefault="00B16FD6" w:rsidP="00681AE1">
            <w:pPr>
              <w:spacing w:line="240" w:lineRule="auto"/>
              <w:ind w:firstLine="0"/>
            </w:pPr>
          </w:p>
        </w:tc>
        <w:tc>
          <w:tcPr>
            <w:tcW w:w="2888" w:type="dxa"/>
          </w:tcPr>
          <w:p w14:paraId="3DFC8A77" w14:textId="77777777" w:rsidR="00B16FD6" w:rsidRDefault="00B16FD6" w:rsidP="00681AE1">
            <w:pPr>
              <w:spacing w:line="240" w:lineRule="auto"/>
              <w:ind w:firstLine="0"/>
            </w:pPr>
            <w:r w:rsidRPr="00FB25E0">
              <w:t>Primary Interface</w:t>
            </w:r>
          </w:p>
        </w:tc>
      </w:tr>
      <w:tr w:rsidR="00B16FD6" w:rsidRPr="00A64743" w14:paraId="403CE5D2" w14:textId="77777777" w:rsidTr="00681AE1">
        <w:trPr>
          <w:trHeight w:val="260"/>
          <w:jc w:val="center"/>
        </w:trPr>
        <w:tc>
          <w:tcPr>
            <w:tcW w:w="2800" w:type="dxa"/>
            <w:vMerge/>
            <w:shd w:val="clear" w:color="auto" w:fill="auto"/>
          </w:tcPr>
          <w:p w14:paraId="169E6E1C" w14:textId="77777777" w:rsidR="00B16FD6" w:rsidRPr="005F51B1" w:rsidRDefault="00B16FD6" w:rsidP="00681AE1">
            <w:pPr>
              <w:spacing w:line="240" w:lineRule="auto"/>
              <w:ind w:firstLine="0"/>
            </w:pPr>
          </w:p>
        </w:tc>
        <w:tc>
          <w:tcPr>
            <w:tcW w:w="2888" w:type="dxa"/>
            <w:shd w:val="clear" w:color="auto" w:fill="auto"/>
          </w:tcPr>
          <w:p w14:paraId="56F2EB62" w14:textId="77777777" w:rsidR="00B16FD6" w:rsidRDefault="00B16FD6" w:rsidP="00681AE1">
            <w:pPr>
              <w:spacing w:line="240" w:lineRule="auto"/>
              <w:ind w:firstLine="0"/>
            </w:pPr>
            <w:r>
              <w:t>Primary data Level</w:t>
            </w:r>
          </w:p>
        </w:tc>
      </w:tr>
      <w:tr w:rsidR="00B16FD6" w:rsidRPr="00A64743" w14:paraId="1AAA16DD" w14:textId="77777777" w:rsidTr="00681AE1">
        <w:trPr>
          <w:jc w:val="center"/>
        </w:trPr>
        <w:tc>
          <w:tcPr>
            <w:tcW w:w="2800" w:type="dxa"/>
            <w:vMerge w:val="restart"/>
          </w:tcPr>
          <w:p w14:paraId="7B496D3F" w14:textId="77777777" w:rsidR="00B16FD6" w:rsidRPr="005F51B1" w:rsidRDefault="00B16FD6" w:rsidP="00681AE1">
            <w:pPr>
              <w:spacing w:line="240" w:lineRule="auto"/>
              <w:ind w:firstLine="0"/>
            </w:pPr>
            <w:r w:rsidRPr="005F51B1">
              <w:t>Data Types</w:t>
            </w:r>
            <w:r>
              <w:t xml:space="preserve"> Present</w:t>
            </w:r>
          </w:p>
        </w:tc>
        <w:tc>
          <w:tcPr>
            <w:tcW w:w="2888" w:type="dxa"/>
          </w:tcPr>
          <w:p w14:paraId="4AF1006C" w14:textId="77777777" w:rsidR="00B16FD6" w:rsidRPr="00FB25E0" w:rsidRDefault="00B16FD6" w:rsidP="00681AE1">
            <w:pPr>
              <w:spacing w:line="240" w:lineRule="auto"/>
              <w:ind w:firstLine="0"/>
            </w:pPr>
            <w:r>
              <w:t>Site reports</w:t>
            </w:r>
          </w:p>
        </w:tc>
      </w:tr>
      <w:tr w:rsidR="00B16FD6" w:rsidRPr="00A64743" w14:paraId="7018E647" w14:textId="77777777" w:rsidTr="00681AE1">
        <w:trPr>
          <w:jc w:val="center"/>
        </w:trPr>
        <w:tc>
          <w:tcPr>
            <w:tcW w:w="2800" w:type="dxa"/>
            <w:vMerge/>
          </w:tcPr>
          <w:p w14:paraId="0A3BD7C8" w14:textId="77777777" w:rsidR="00B16FD6" w:rsidRPr="005F51B1" w:rsidRDefault="00B16FD6" w:rsidP="00681AE1">
            <w:pPr>
              <w:spacing w:line="240" w:lineRule="auto"/>
            </w:pPr>
          </w:p>
        </w:tc>
        <w:tc>
          <w:tcPr>
            <w:tcW w:w="2888" w:type="dxa"/>
          </w:tcPr>
          <w:p w14:paraId="34D1CFAD" w14:textId="77777777" w:rsidR="00B16FD6" w:rsidRPr="00FB25E0" w:rsidRDefault="00B16FD6" w:rsidP="00681AE1">
            <w:pPr>
              <w:spacing w:line="240" w:lineRule="auto"/>
              <w:ind w:firstLine="0"/>
            </w:pPr>
            <w:r w:rsidRPr="00FB25E0">
              <w:t>Field Records</w:t>
            </w:r>
          </w:p>
        </w:tc>
      </w:tr>
      <w:tr w:rsidR="00B16FD6" w:rsidRPr="00A64743" w14:paraId="3F995764" w14:textId="77777777" w:rsidTr="00681AE1">
        <w:trPr>
          <w:jc w:val="center"/>
        </w:trPr>
        <w:tc>
          <w:tcPr>
            <w:tcW w:w="2800" w:type="dxa"/>
            <w:vMerge/>
          </w:tcPr>
          <w:p w14:paraId="0647281C" w14:textId="77777777" w:rsidR="00B16FD6" w:rsidRPr="005F51B1" w:rsidRDefault="00B16FD6" w:rsidP="00681AE1">
            <w:pPr>
              <w:spacing w:line="240" w:lineRule="auto"/>
            </w:pPr>
          </w:p>
        </w:tc>
        <w:tc>
          <w:tcPr>
            <w:tcW w:w="2888" w:type="dxa"/>
          </w:tcPr>
          <w:p w14:paraId="72DA6674" w14:textId="77777777" w:rsidR="00B16FD6" w:rsidRPr="00FB25E0" w:rsidRDefault="00B16FD6" w:rsidP="00681AE1">
            <w:pPr>
              <w:spacing w:line="240" w:lineRule="auto"/>
              <w:ind w:firstLine="0"/>
            </w:pPr>
            <w:r w:rsidRPr="00FB25E0">
              <w:t>Collections</w:t>
            </w:r>
          </w:p>
        </w:tc>
      </w:tr>
      <w:tr w:rsidR="00B16FD6" w:rsidRPr="00A64743" w14:paraId="3EC1ADBB" w14:textId="77777777" w:rsidTr="00681AE1">
        <w:trPr>
          <w:jc w:val="center"/>
        </w:trPr>
        <w:tc>
          <w:tcPr>
            <w:tcW w:w="2800" w:type="dxa"/>
            <w:vMerge/>
          </w:tcPr>
          <w:p w14:paraId="78BA7CDA" w14:textId="77777777" w:rsidR="00B16FD6" w:rsidRPr="005F51B1" w:rsidRDefault="00B16FD6" w:rsidP="00681AE1">
            <w:pPr>
              <w:spacing w:line="240" w:lineRule="auto"/>
            </w:pPr>
          </w:p>
        </w:tc>
        <w:tc>
          <w:tcPr>
            <w:tcW w:w="2888" w:type="dxa"/>
          </w:tcPr>
          <w:p w14:paraId="2554BC1F" w14:textId="77777777" w:rsidR="00B16FD6" w:rsidRPr="00FB25E0" w:rsidRDefault="00B16FD6" w:rsidP="00681AE1">
            <w:pPr>
              <w:spacing w:line="240" w:lineRule="auto"/>
              <w:ind w:firstLine="0"/>
            </w:pPr>
            <w:r>
              <w:t>Spatial Data</w:t>
            </w:r>
          </w:p>
        </w:tc>
      </w:tr>
      <w:tr w:rsidR="00B16FD6" w:rsidRPr="00A64743" w14:paraId="0835B3A1" w14:textId="77777777" w:rsidTr="00681AE1">
        <w:trPr>
          <w:trHeight w:val="215"/>
          <w:jc w:val="center"/>
        </w:trPr>
        <w:tc>
          <w:tcPr>
            <w:tcW w:w="2800" w:type="dxa"/>
            <w:vMerge/>
          </w:tcPr>
          <w:p w14:paraId="2732A8D1" w14:textId="77777777" w:rsidR="00B16FD6" w:rsidRPr="005F51B1" w:rsidRDefault="00B16FD6" w:rsidP="00681AE1">
            <w:pPr>
              <w:spacing w:line="240" w:lineRule="auto"/>
            </w:pPr>
          </w:p>
        </w:tc>
        <w:tc>
          <w:tcPr>
            <w:tcW w:w="2888" w:type="dxa"/>
          </w:tcPr>
          <w:p w14:paraId="5D831125" w14:textId="77777777" w:rsidR="00B16FD6" w:rsidRPr="00FB25E0" w:rsidRDefault="00B16FD6" w:rsidP="00681AE1">
            <w:pPr>
              <w:spacing w:line="240" w:lineRule="auto"/>
              <w:ind w:firstLine="0"/>
            </w:pPr>
            <w:r>
              <w:t>Virtual Data</w:t>
            </w:r>
          </w:p>
        </w:tc>
      </w:tr>
      <w:tr w:rsidR="00B16FD6" w:rsidRPr="00A64743" w14:paraId="0680C13E" w14:textId="77777777" w:rsidTr="0081511C">
        <w:trPr>
          <w:jc w:val="center"/>
        </w:trPr>
        <w:tc>
          <w:tcPr>
            <w:tcW w:w="2800" w:type="dxa"/>
            <w:vMerge w:val="restart"/>
            <w:shd w:val="clear" w:color="auto" w:fill="auto"/>
          </w:tcPr>
          <w:p w14:paraId="0F38CC48" w14:textId="77777777" w:rsidR="00B16FD6" w:rsidRPr="005F51B1" w:rsidRDefault="00B16FD6" w:rsidP="00681AE1">
            <w:pPr>
              <w:spacing w:line="240" w:lineRule="auto"/>
              <w:ind w:firstLine="0"/>
            </w:pPr>
            <w:r>
              <w:t>Scholarly publishing</w:t>
            </w:r>
          </w:p>
        </w:tc>
        <w:tc>
          <w:tcPr>
            <w:tcW w:w="2888" w:type="dxa"/>
            <w:shd w:val="clear" w:color="auto" w:fill="auto"/>
          </w:tcPr>
          <w:p w14:paraId="1101A0C1" w14:textId="77777777" w:rsidR="00B16FD6" w:rsidRDefault="00B16FD6" w:rsidP="00681AE1">
            <w:pPr>
              <w:spacing w:line="240" w:lineRule="auto"/>
              <w:ind w:firstLine="0"/>
            </w:pPr>
            <w:r>
              <w:t>Citation</w:t>
            </w:r>
          </w:p>
        </w:tc>
      </w:tr>
      <w:tr w:rsidR="00B16FD6" w:rsidRPr="00A64743" w14:paraId="5262D602" w14:textId="77777777" w:rsidTr="0081511C">
        <w:trPr>
          <w:jc w:val="center"/>
        </w:trPr>
        <w:tc>
          <w:tcPr>
            <w:tcW w:w="2800" w:type="dxa"/>
            <w:vMerge/>
            <w:shd w:val="clear" w:color="auto" w:fill="auto"/>
          </w:tcPr>
          <w:p w14:paraId="148212AF" w14:textId="77777777" w:rsidR="00B16FD6" w:rsidRPr="005F51B1" w:rsidRDefault="00B16FD6" w:rsidP="00681AE1">
            <w:pPr>
              <w:spacing w:line="240" w:lineRule="auto"/>
              <w:ind w:firstLine="0"/>
            </w:pPr>
          </w:p>
        </w:tc>
        <w:tc>
          <w:tcPr>
            <w:tcW w:w="2888" w:type="dxa"/>
            <w:shd w:val="clear" w:color="auto" w:fill="auto"/>
          </w:tcPr>
          <w:p w14:paraId="5D138F07" w14:textId="77777777" w:rsidR="00B16FD6" w:rsidRDefault="00B16FD6" w:rsidP="00681AE1">
            <w:pPr>
              <w:spacing w:line="240" w:lineRule="auto"/>
              <w:ind w:firstLine="0"/>
            </w:pPr>
            <w:r w:rsidRPr="00FB25E0">
              <w:t>Licensing</w:t>
            </w:r>
          </w:p>
        </w:tc>
      </w:tr>
      <w:tr w:rsidR="00B16FD6" w:rsidRPr="00A64743" w14:paraId="5B4BF163" w14:textId="77777777" w:rsidTr="0081511C">
        <w:trPr>
          <w:jc w:val="center"/>
        </w:trPr>
        <w:tc>
          <w:tcPr>
            <w:tcW w:w="2800" w:type="dxa"/>
            <w:vMerge/>
            <w:shd w:val="clear" w:color="auto" w:fill="auto"/>
          </w:tcPr>
          <w:p w14:paraId="34B8FC18" w14:textId="77777777" w:rsidR="00B16FD6" w:rsidRPr="005F51B1" w:rsidRDefault="00B16FD6" w:rsidP="00681AE1">
            <w:pPr>
              <w:spacing w:line="240" w:lineRule="auto"/>
              <w:ind w:firstLine="0"/>
            </w:pPr>
          </w:p>
        </w:tc>
        <w:tc>
          <w:tcPr>
            <w:tcW w:w="2888" w:type="dxa"/>
            <w:shd w:val="clear" w:color="auto" w:fill="auto"/>
          </w:tcPr>
          <w:p w14:paraId="37ABF7BD" w14:textId="77777777" w:rsidR="00B16FD6" w:rsidRDefault="00B16FD6" w:rsidP="00681AE1">
            <w:pPr>
              <w:spacing w:line="240" w:lineRule="auto"/>
              <w:ind w:firstLine="0"/>
            </w:pPr>
            <w:r>
              <w:t>Permanent URIs</w:t>
            </w:r>
          </w:p>
        </w:tc>
      </w:tr>
      <w:tr w:rsidR="00B16FD6" w:rsidRPr="00A64743" w14:paraId="6D5E1BDD" w14:textId="77777777" w:rsidTr="0081511C">
        <w:trPr>
          <w:jc w:val="center"/>
        </w:trPr>
        <w:tc>
          <w:tcPr>
            <w:tcW w:w="2800" w:type="dxa"/>
            <w:vMerge/>
            <w:shd w:val="clear" w:color="auto" w:fill="auto"/>
          </w:tcPr>
          <w:p w14:paraId="0B785A1B" w14:textId="77777777" w:rsidR="00B16FD6" w:rsidRPr="005F51B1" w:rsidRDefault="00B16FD6" w:rsidP="00681AE1">
            <w:pPr>
              <w:spacing w:line="240" w:lineRule="auto"/>
              <w:ind w:firstLine="0"/>
            </w:pPr>
          </w:p>
        </w:tc>
        <w:tc>
          <w:tcPr>
            <w:tcW w:w="2888" w:type="dxa"/>
            <w:shd w:val="clear" w:color="auto" w:fill="auto"/>
          </w:tcPr>
          <w:p w14:paraId="232569F2" w14:textId="77777777" w:rsidR="00B16FD6" w:rsidRDefault="00B16FD6" w:rsidP="00681AE1">
            <w:pPr>
              <w:spacing w:line="240" w:lineRule="auto"/>
              <w:ind w:firstLine="0"/>
            </w:pPr>
            <w:r w:rsidRPr="00FB25E0">
              <w:t>Permanence/Archiving</w:t>
            </w:r>
          </w:p>
        </w:tc>
      </w:tr>
      <w:tr w:rsidR="00B16FD6" w:rsidRPr="00A64743" w14:paraId="7E8A9800" w14:textId="77777777" w:rsidTr="0081511C">
        <w:trPr>
          <w:trHeight w:val="260"/>
          <w:jc w:val="center"/>
        </w:trPr>
        <w:tc>
          <w:tcPr>
            <w:tcW w:w="2800" w:type="dxa"/>
            <w:vMerge/>
            <w:shd w:val="clear" w:color="auto" w:fill="auto"/>
          </w:tcPr>
          <w:p w14:paraId="4E5FDAE8" w14:textId="77777777" w:rsidR="00B16FD6" w:rsidRPr="005F51B1" w:rsidRDefault="00B16FD6" w:rsidP="00681AE1">
            <w:pPr>
              <w:spacing w:line="240" w:lineRule="auto"/>
              <w:ind w:firstLine="0"/>
            </w:pPr>
          </w:p>
        </w:tc>
        <w:tc>
          <w:tcPr>
            <w:tcW w:w="2888" w:type="dxa"/>
            <w:shd w:val="clear" w:color="auto" w:fill="auto"/>
          </w:tcPr>
          <w:p w14:paraId="4E5DC63B" w14:textId="77777777" w:rsidR="00B16FD6" w:rsidRPr="00FB25E0" w:rsidRDefault="00B16FD6" w:rsidP="00681AE1">
            <w:pPr>
              <w:spacing w:line="240" w:lineRule="auto"/>
              <w:ind w:firstLine="0"/>
            </w:pPr>
            <w:r>
              <w:t>Contact Information</w:t>
            </w:r>
          </w:p>
        </w:tc>
      </w:tr>
      <w:tr w:rsidR="00B16FD6" w:rsidRPr="00A64743" w14:paraId="6A1B842B" w14:textId="77777777" w:rsidTr="0081511C">
        <w:trPr>
          <w:jc w:val="center"/>
        </w:trPr>
        <w:tc>
          <w:tcPr>
            <w:tcW w:w="2800" w:type="dxa"/>
            <w:vMerge w:val="restart"/>
            <w:shd w:val="clear" w:color="auto" w:fill="auto"/>
          </w:tcPr>
          <w:p w14:paraId="25F63EA6" w14:textId="77777777" w:rsidR="00B16FD6" w:rsidRPr="005F51B1" w:rsidRDefault="00B16FD6" w:rsidP="00681AE1">
            <w:pPr>
              <w:spacing w:line="240" w:lineRule="auto"/>
              <w:ind w:firstLine="0"/>
            </w:pPr>
            <w:r w:rsidRPr="005F51B1">
              <w:t>Open Data</w:t>
            </w:r>
          </w:p>
        </w:tc>
        <w:tc>
          <w:tcPr>
            <w:tcW w:w="2888" w:type="dxa"/>
            <w:shd w:val="clear" w:color="auto" w:fill="auto"/>
          </w:tcPr>
          <w:p w14:paraId="72CE2983" w14:textId="77777777" w:rsidR="00B16FD6" w:rsidRDefault="00B16FD6" w:rsidP="00681AE1">
            <w:pPr>
              <w:spacing w:line="240" w:lineRule="auto"/>
              <w:ind w:firstLine="0"/>
            </w:pPr>
            <w:r>
              <w:t>Type of data</w:t>
            </w:r>
          </w:p>
        </w:tc>
      </w:tr>
      <w:tr w:rsidR="00B16FD6" w:rsidRPr="00A64743" w14:paraId="13E77E79" w14:textId="77777777" w:rsidTr="0081511C">
        <w:trPr>
          <w:jc w:val="center"/>
        </w:trPr>
        <w:tc>
          <w:tcPr>
            <w:tcW w:w="2800" w:type="dxa"/>
            <w:vMerge/>
            <w:shd w:val="clear" w:color="auto" w:fill="auto"/>
          </w:tcPr>
          <w:p w14:paraId="3CAA4FF2" w14:textId="77777777" w:rsidR="00B16FD6" w:rsidRPr="005F51B1" w:rsidRDefault="00B16FD6" w:rsidP="00681AE1">
            <w:pPr>
              <w:spacing w:line="240" w:lineRule="auto"/>
            </w:pPr>
          </w:p>
        </w:tc>
        <w:tc>
          <w:tcPr>
            <w:tcW w:w="2888" w:type="dxa"/>
            <w:shd w:val="clear" w:color="auto" w:fill="auto"/>
          </w:tcPr>
          <w:p w14:paraId="6CC9C716" w14:textId="77777777" w:rsidR="00B16FD6" w:rsidRPr="00FB25E0" w:rsidRDefault="00B16FD6" w:rsidP="00681AE1">
            <w:pPr>
              <w:spacing w:line="240" w:lineRule="auto"/>
              <w:ind w:firstLine="0"/>
            </w:pPr>
            <w:r w:rsidRPr="00FB25E0">
              <w:t>Access</w:t>
            </w:r>
          </w:p>
        </w:tc>
      </w:tr>
      <w:tr w:rsidR="00B16FD6" w:rsidRPr="00A64743" w14:paraId="4BEF468E" w14:textId="77777777" w:rsidTr="0081511C">
        <w:trPr>
          <w:jc w:val="center"/>
        </w:trPr>
        <w:tc>
          <w:tcPr>
            <w:tcW w:w="2800" w:type="dxa"/>
            <w:vMerge/>
            <w:shd w:val="clear" w:color="auto" w:fill="auto"/>
          </w:tcPr>
          <w:p w14:paraId="32EB9597" w14:textId="77777777" w:rsidR="00B16FD6" w:rsidRPr="005F51B1" w:rsidRDefault="00B16FD6" w:rsidP="00681AE1">
            <w:pPr>
              <w:spacing w:line="240" w:lineRule="auto"/>
            </w:pPr>
          </w:p>
        </w:tc>
        <w:tc>
          <w:tcPr>
            <w:tcW w:w="2888" w:type="dxa"/>
            <w:shd w:val="clear" w:color="auto" w:fill="auto"/>
          </w:tcPr>
          <w:p w14:paraId="12D68D16" w14:textId="77777777" w:rsidR="00B16FD6" w:rsidRPr="00FB25E0" w:rsidRDefault="00B16FD6" w:rsidP="00681AE1">
            <w:pPr>
              <w:spacing w:line="240" w:lineRule="auto"/>
              <w:ind w:firstLine="0"/>
            </w:pPr>
            <w:r w:rsidRPr="00FB25E0">
              <w:t>Accessibility</w:t>
            </w:r>
          </w:p>
        </w:tc>
      </w:tr>
      <w:tr w:rsidR="00B16FD6" w:rsidRPr="00A64743" w14:paraId="4CE9FC10" w14:textId="77777777" w:rsidTr="0081511C">
        <w:trPr>
          <w:trHeight w:val="77"/>
          <w:jc w:val="center"/>
        </w:trPr>
        <w:tc>
          <w:tcPr>
            <w:tcW w:w="2800" w:type="dxa"/>
            <w:vMerge/>
            <w:shd w:val="clear" w:color="auto" w:fill="auto"/>
          </w:tcPr>
          <w:p w14:paraId="35728CF4" w14:textId="77777777" w:rsidR="00B16FD6" w:rsidRPr="005F51B1" w:rsidRDefault="00B16FD6" w:rsidP="00681AE1">
            <w:pPr>
              <w:spacing w:line="240" w:lineRule="auto"/>
            </w:pPr>
          </w:p>
        </w:tc>
        <w:tc>
          <w:tcPr>
            <w:tcW w:w="2888" w:type="dxa"/>
            <w:shd w:val="clear" w:color="auto" w:fill="auto"/>
          </w:tcPr>
          <w:p w14:paraId="06963E8B" w14:textId="77777777" w:rsidR="00B16FD6" w:rsidRPr="00FB25E0" w:rsidRDefault="00B16FD6" w:rsidP="00681AE1">
            <w:pPr>
              <w:spacing w:line="240" w:lineRule="auto"/>
              <w:ind w:firstLine="0"/>
            </w:pPr>
            <w:r>
              <w:t>Thesaurus/Data dictionary</w:t>
            </w:r>
          </w:p>
        </w:tc>
      </w:tr>
      <w:tr w:rsidR="00B16FD6" w:rsidRPr="00A64743" w14:paraId="4DA62900" w14:textId="77777777" w:rsidTr="0081511C">
        <w:trPr>
          <w:jc w:val="center"/>
        </w:trPr>
        <w:tc>
          <w:tcPr>
            <w:tcW w:w="2800" w:type="dxa"/>
            <w:vMerge w:val="restart"/>
            <w:shd w:val="clear" w:color="auto" w:fill="auto"/>
          </w:tcPr>
          <w:p w14:paraId="4777DA0A" w14:textId="77777777" w:rsidR="00B16FD6" w:rsidRPr="005F51B1" w:rsidRDefault="00B16FD6" w:rsidP="00681AE1">
            <w:pPr>
              <w:spacing w:line="240" w:lineRule="auto"/>
              <w:ind w:firstLine="0"/>
            </w:pPr>
            <w:r w:rsidRPr="005F51B1">
              <w:t>Public Outreach</w:t>
            </w:r>
          </w:p>
        </w:tc>
        <w:tc>
          <w:tcPr>
            <w:tcW w:w="2888" w:type="dxa"/>
            <w:shd w:val="clear" w:color="auto" w:fill="auto"/>
          </w:tcPr>
          <w:p w14:paraId="5BF47E82" w14:textId="77777777" w:rsidR="00B16FD6" w:rsidRPr="00FB25E0" w:rsidRDefault="00B16FD6" w:rsidP="00681AE1">
            <w:pPr>
              <w:spacing w:line="240" w:lineRule="auto"/>
              <w:ind w:firstLine="0"/>
            </w:pPr>
            <w:r>
              <w:t>Site Summaries</w:t>
            </w:r>
          </w:p>
        </w:tc>
      </w:tr>
      <w:tr w:rsidR="00B16FD6" w:rsidRPr="00A64743" w14:paraId="200650B9" w14:textId="77777777" w:rsidTr="0081511C">
        <w:trPr>
          <w:trHeight w:val="70"/>
          <w:jc w:val="center"/>
        </w:trPr>
        <w:tc>
          <w:tcPr>
            <w:tcW w:w="2800" w:type="dxa"/>
            <w:vMerge/>
            <w:shd w:val="clear" w:color="auto" w:fill="auto"/>
          </w:tcPr>
          <w:p w14:paraId="7A7FD4CA" w14:textId="77777777" w:rsidR="00B16FD6" w:rsidRPr="005F51B1" w:rsidRDefault="00B16FD6" w:rsidP="00681AE1">
            <w:pPr>
              <w:spacing w:line="240" w:lineRule="auto"/>
              <w:ind w:firstLine="0"/>
            </w:pPr>
          </w:p>
        </w:tc>
        <w:tc>
          <w:tcPr>
            <w:tcW w:w="2888" w:type="dxa"/>
            <w:shd w:val="clear" w:color="auto" w:fill="auto"/>
          </w:tcPr>
          <w:p w14:paraId="151349E3" w14:textId="77777777" w:rsidR="00B16FD6" w:rsidRPr="00FB25E0" w:rsidRDefault="00B16FD6" w:rsidP="00681AE1">
            <w:pPr>
              <w:spacing w:line="240" w:lineRule="auto"/>
              <w:ind w:firstLine="0"/>
            </w:pPr>
            <w:r>
              <w:t>Blog</w:t>
            </w:r>
          </w:p>
        </w:tc>
      </w:tr>
      <w:tr w:rsidR="00B16FD6" w:rsidRPr="00A64743" w14:paraId="433E69D6" w14:textId="77777777" w:rsidTr="0081511C">
        <w:trPr>
          <w:trHeight w:val="70"/>
          <w:jc w:val="center"/>
        </w:trPr>
        <w:tc>
          <w:tcPr>
            <w:tcW w:w="2800" w:type="dxa"/>
            <w:vMerge/>
            <w:shd w:val="clear" w:color="auto" w:fill="auto"/>
          </w:tcPr>
          <w:p w14:paraId="2D539915" w14:textId="77777777" w:rsidR="00B16FD6" w:rsidRPr="005F51B1" w:rsidRDefault="00B16FD6" w:rsidP="00681AE1">
            <w:pPr>
              <w:spacing w:line="240" w:lineRule="auto"/>
              <w:ind w:firstLine="0"/>
            </w:pPr>
          </w:p>
        </w:tc>
        <w:tc>
          <w:tcPr>
            <w:tcW w:w="2888" w:type="dxa"/>
            <w:shd w:val="clear" w:color="auto" w:fill="auto"/>
          </w:tcPr>
          <w:p w14:paraId="7B24863A" w14:textId="77777777" w:rsidR="00B16FD6" w:rsidRPr="00FB25E0" w:rsidRDefault="00B16FD6" w:rsidP="00681AE1">
            <w:pPr>
              <w:spacing w:line="240" w:lineRule="auto"/>
              <w:ind w:firstLine="0"/>
            </w:pPr>
            <w:r>
              <w:t>Social Media</w:t>
            </w:r>
          </w:p>
        </w:tc>
      </w:tr>
      <w:tr w:rsidR="00B16FD6" w:rsidRPr="00A64743" w14:paraId="008DF490" w14:textId="77777777" w:rsidTr="0081511C">
        <w:trPr>
          <w:jc w:val="center"/>
        </w:trPr>
        <w:tc>
          <w:tcPr>
            <w:tcW w:w="2800" w:type="dxa"/>
            <w:vMerge/>
            <w:shd w:val="clear" w:color="auto" w:fill="auto"/>
          </w:tcPr>
          <w:p w14:paraId="4C6F1FDE" w14:textId="77777777" w:rsidR="00B16FD6" w:rsidRPr="005F51B1" w:rsidRDefault="00B16FD6" w:rsidP="00681AE1">
            <w:pPr>
              <w:spacing w:line="240" w:lineRule="auto"/>
              <w:ind w:firstLine="0"/>
            </w:pPr>
          </w:p>
        </w:tc>
        <w:tc>
          <w:tcPr>
            <w:tcW w:w="2888" w:type="dxa"/>
            <w:shd w:val="clear" w:color="auto" w:fill="auto"/>
          </w:tcPr>
          <w:p w14:paraId="5E265B6B" w14:textId="77777777" w:rsidR="00B16FD6" w:rsidRPr="00FB25E0" w:rsidRDefault="00B16FD6" w:rsidP="00681AE1">
            <w:pPr>
              <w:spacing w:line="240" w:lineRule="auto"/>
              <w:ind w:firstLine="0"/>
            </w:pPr>
            <w:r>
              <w:t>Contextual Information</w:t>
            </w:r>
          </w:p>
        </w:tc>
      </w:tr>
      <w:tr w:rsidR="00B16FD6" w:rsidRPr="00A64743" w14:paraId="7C1F1752" w14:textId="77777777" w:rsidTr="0081511C">
        <w:trPr>
          <w:jc w:val="center"/>
        </w:trPr>
        <w:tc>
          <w:tcPr>
            <w:tcW w:w="2800" w:type="dxa"/>
            <w:vMerge/>
            <w:shd w:val="clear" w:color="auto" w:fill="auto"/>
          </w:tcPr>
          <w:p w14:paraId="60EBDFDF" w14:textId="77777777" w:rsidR="00B16FD6" w:rsidRPr="005F51B1" w:rsidRDefault="00B16FD6" w:rsidP="00681AE1">
            <w:pPr>
              <w:spacing w:line="240" w:lineRule="auto"/>
              <w:ind w:firstLine="0"/>
            </w:pPr>
          </w:p>
        </w:tc>
        <w:tc>
          <w:tcPr>
            <w:tcW w:w="2888" w:type="dxa"/>
            <w:shd w:val="clear" w:color="auto" w:fill="auto"/>
          </w:tcPr>
          <w:p w14:paraId="53F86A9E" w14:textId="77777777" w:rsidR="00B16FD6" w:rsidRDefault="00B16FD6" w:rsidP="00681AE1">
            <w:pPr>
              <w:spacing w:line="240" w:lineRule="auto"/>
              <w:ind w:firstLine="0"/>
            </w:pPr>
            <w:r>
              <w:t>Media</w:t>
            </w:r>
          </w:p>
        </w:tc>
      </w:tr>
      <w:tr w:rsidR="00B16FD6" w:rsidRPr="00A64743" w14:paraId="6757B7A7" w14:textId="77777777" w:rsidTr="0081511C">
        <w:trPr>
          <w:jc w:val="center"/>
        </w:trPr>
        <w:tc>
          <w:tcPr>
            <w:tcW w:w="2800" w:type="dxa"/>
            <w:vMerge/>
            <w:shd w:val="clear" w:color="auto" w:fill="auto"/>
          </w:tcPr>
          <w:p w14:paraId="4FCEA285" w14:textId="77777777" w:rsidR="00B16FD6" w:rsidRPr="005F51B1" w:rsidRDefault="00B16FD6" w:rsidP="00681AE1">
            <w:pPr>
              <w:spacing w:line="240" w:lineRule="auto"/>
              <w:ind w:firstLine="0"/>
            </w:pPr>
          </w:p>
        </w:tc>
        <w:tc>
          <w:tcPr>
            <w:tcW w:w="2888" w:type="dxa"/>
            <w:shd w:val="clear" w:color="auto" w:fill="auto"/>
          </w:tcPr>
          <w:p w14:paraId="453D9A5D" w14:textId="17ED29C3" w:rsidR="00B16FD6" w:rsidRDefault="0081511C" w:rsidP="00681AE1">
            <w:pPr>
              <w:spacing w:line="240" w:lineRule="auto"/>
              <w:ind w:firstLine="0"/>
            </w:pPr>
            <w:r>
              <w:t xml:space="preserve">Community </w:t>
            </w:r>
            <w:r w:rsidR="00B16FD6">
              <w:t>Outreach</w:t>
            </w:r>
          </w:p>
        </w:tc>
      </w:tr>
      <w:tr w:rsidR="00B16FD6" w:rsidRPr="00A64743" w14:paraId="5B8C4AFA" w14:textId="77777777" w:rsidTr="0081511C">
        <w:trPr>
          <w:jc w:val="center"/>
        </w:trPr>
        <w:tc>
          <w:tcPr>
            <w:tcW w:w="2800" w:type="dxa"/>
            <w:vMerge/>
            <w:shd w:val="clear" w:color="auto" w:fill="auto"/>
          </w:tcPr>
          <w:p w14:paraId="2B2D61A7" w14:textId="77777777" w:rsidR="00B16FD6" w:rsidRPr="005F51B1" w:rsidRDefault="00B16FD6" w:rsidP="00681AE1">
            <w:pPr>
              <w:spacing w:line="240" w:lineRule="auto"/>
              <w:ind w:firstLine="0"/>
            </w:pPr>
          </w:p>
        </w:tc>
        <w:tc>
          <w:tcPr>
            <w:tcW w:w="2888" w:type="dxa"/>
            <w:shd w:val="clear" w:color="auto" w:fill="auto"/>
          </w:tcPr>
          <w:p w14:paraId="0708114C" w14:textId="77777777" w:rsidR="00B16FD6" w:rsidRDefault="00B16FD6" w:rsidP="00681AE1">
            <w:pPr>
              <w:spacing w:line="240" w:lineRule="auto"/>
              <w:ind w:firstLine="0"/>
            </w:pPr>
            <w:r>
              <w:t>Educational Content</w:t>
            </w:r>
          </w:p>
        </w:tc>
      </w:tr>
    </w:tbl>
    <w:p w14:paraId="302545C4" w14:textId="77777777" w:rsidR="00986EB8" w:rsidRDefault="00986EB8" w:rsidP="00D65ED7"/>
    <w:p w14:paraId="19EBAA4B" w14:textId="77777777" w:rsidR="00893D91" w:rsidRDefault="00893D91">
      <w:pPr>
        <w:spacing w:after="160" w:line="259" w:lineRule="auto"/>
        <w:ind w:firstLine="0"/>
      </w:pPr>
      <w:r>
        <w:br w:type="page"/>
      </w:r>
    </w:p>
    <w:p w14:paraId="20F24E17" w14:textId="06558568" w:rsidR="00E2004C" w:rsidRDefault="00B16FD6" w:rsidP="00E2004C">
      <w:r>
        <w:lastRenderedPageBreak/>
        <w:t>All data were collected in an Excel spreadsheet</w:t>
      </w:r>
      <w:r w:rsidR="00E2004C">
        <w:t xml:space="preserve"> between </w:t>
      </w:r>
      <w:r>
        <w:t>December 2014 and January 2015. Field level data validatio</w:t>
      </w:r>
      <w:r w:rsidR="00E2004C">
        <w:t>n was used to maintain control</w:t>
      </w:r>
      <w:r w:rsidR="00860F11">
        <w:t xml:space="preserve"> through the use of data validation functions in Excel. D</w:t>
      </w:r>
      <w:r>
        <w:t xml:space="preserve">ata normalization </w:t>
      </w:r>
      <w:r w:rsidR="00E2004C">
        <w:t xml:space="preserve">was </w:t>
      </w:r>
      <w:r>
        <w:t>used to verify values at the end of the data capture phase</w:t>
      </w:r>
      <w:r w:rsidR="00860F11">
        <w:t>, making sure that all fields were completed with acceptable values</w:t>
      </w:r>
      <w:r>
        <w:t xml:space="preserve">. </w:t>
      </w:r>
      <w:r w:rsidR="00870A9F">
        <w:t xml:space="preserve">All </w:t>
      </w:r>
      <w:r w:rsidR="00E2004C">
        <w:t>websites were examined using a Google Chrome browser, version 39.</w:t>
      </w:r>
    </w:p>
    <w:p w14:paraId="0AAA92B0" w14:textId="7485D3B0" w:rsidR="00B16FD6" w:rsidRDefault="00E2004C" w:rsidP="00D65ED7">
      <w:r>
        <w:t>Metadata were applied to the spreadsheet, and t</w:t>
      </w:r>
      <w:r w:rsidR="00B16FD6">
        <w:t>he spreadsheet data will be made available</w:t>
      </w:r>
      <w:r w:rsidR="00AE575A">
        <w:t xml:space="preserve">, </w:t>
      </w:r>
      <w:r w:rsidR="00B16FD6">
        <w:t xml:space="preserve">as a delimited ASCII file, </w:t>
      </w:r>
      <w:r w:rsidR="00AE575A">
        <w:t xml:space="preserve">along with this study through TRACE and academia.edu, </w:t>
      </w:r>
      <w:r w:rsidR="00B16FD6">
        <w:t xml:space="preserve">following open data principles. </w:t>
      </w:r>
    </w:p>
    <w:p w14:paraId="4CCA249B" w14:textId="77777777" w:rsidR="00F73F2C" w:rsidRDefault="00F73F2C" w:rsidP="00F73F2C">
      <w:pPr>
        <w:pStyle w:val="Heading2"/>
      </w:pPr>
      <w:bookmarkStart w:id="25" w:name="_Toc419135408"/>
      <w:r>
        <w:t>Data Analysis</w:t>
      </w:r>
      <w:bookmarkEnd w:id="25"/>
    </w:p>
    <w:p w14:paraId="01EB30C5" w14:textId="77777777" w:rsidR="009775D9" w:rsidRDefault="00860F11" w:rsidP="009775D9">
      <w:r>
        <w:t>After the data were cleaned and normalized, descriptive statistics were generated in Excel. R</w:t>
      </w:r>
      <w:r w:rsidR="000A713B">
        <w:t xml:space="preserve">esults were tabulated within each of the conceptual areas. </w:t>
      </w:r>
      <w:r>
        <w:t xml:space="preserve">The analysis allowed quantification of how many websites satisfy the requirements of openness and </w:t>
      </w:r>
      <w:r w:rsidR="0014170F">
        <w:t xml:space="preserve">exhibit characteristics in support of scholarly publishing and public outreach. </w:t>
      </w:r>
      <w:r w:rsidR="00F73F2C">
        <w:t xml:space="preserve">The values in </w:t>
      </w:r>
      <w:r w:rsidR="009775D9">
        <w:t>“</w:t>
      </w:r>
      <w:r w:rsidR="00F73F2C">
        <w:t>type of data</w:t>
      </w:r>
      <w:r w:rsidR="0007142E">
        <w:t>,</w:t>
      </w:r>
      <w:r w:rsidR="009775D9">
        <w:t>”</w:t>
      </w:r>
      <w:r w:rsidR="00F73F2C">
        <w:t xml:space="preserve"> in conjunction with</w:t>
      </w:r>
      <w:r w:rsidR="006E0830">
        <w:t xml:space="preserve"> the availability of </w:t>
      </w:r>
      <w:r w:rsidR="002A1273">
        <w:t>URIs</w:t>
      </w:r>
      <w:r w:rsidR="006E0830">
        <w:t xml:space="preserve">, were used to </w:t>
      </w:r>
      <w:r w:rsidR="00382882">
        <w:t>enable the calculation of the previously discussed</w:t>
      </w:r>
      <w:r w:rsidR="00F73F2C">
        <w:t xml:space="preserve"> </w:t>
      </w:r>
      <w:r w:rsidR="00FC747E">
        <w:t>five</w:t>
      </w:r>
      <w:r w:rsidR="0007142E">
        <w:t>-</w:t>
      </w:r>
      <w:r w:rsidR="00F73F2C" w:rsidRPr="009775D9">
        <w:t>star rating openness rating</w:t>
      </w:r>
      <w:r w:rsidR="009775D9">
        <w:t xml:space="preserve"> (</w:t>
      </w:r>
      <w:r w:rsidR="00D06737">
        <w:rPr>
          <w:rFonts w:eastAsia="Times New Roman" w:cs="Times New Roman"/>
        </w:rPr>
        <w:t>LATC</w:t>
      </w:r>
      <w:r w:rsidR="009775D9">
        <w:rPr>
          <w:rFonts w:eastAsia="Times New Roman" w:cs="Times New Roman"/>
        </w:rPr>
        <w:t>, 2012</w:t>
      </w:r>
      <w:r w:rsidR="00382882">
        <w:rPr>
          <w:rFonts w:eastAsia="Times New Roman" w:cs="Times New Roman"/>
        </w:rPr>
        <w:t>)</w:t>
      </w:r>
      <w:r w:rsidR="009775D9">
        <w:t xml:space="preserve">, with additional </w:t>
      </w:r>
      <w:r w:rsidR="006E0830">
        <w:t>consideration of access and metadata</w:t>
      </w:r>
      <w:r w:rsidR="00F73F2C">
        <w:t xml:space="preserve">. </w:t>
      </w:r>
    </w:p>
    <w:p w14:paraId="36BA9C9B" w14:textId="77777777" w:rsidR="00F73F2C" w:rsidRDefault="005802C4" w:rsidP="009775D9">
      <w:r>
        <w:t>Scholarly publishing</w:t>
      </w:r>
      <w:r w:rsidR="00F73F2C">
        <w:t xml:space="preserve"> </w:t>
      </w:r>
      <w:r w:rsidR="00431A45">
        <w:t>is</w:t>
      </w:r>
      <w:r w:rsidR="00F73F2C">
        <w:t xml:space="preserve"> informed by the </w:t>
      </w:r>
      <w:r w:rsidR="006E0830">
        <w:t xml:space="preserve">number of </w:t>
      </w:r>
      <w:r w:rsidR="002B5262">
        <w:t>web</w:t>
      </w:r>
      <w:r w:rsidR="006E0830">
        <w:t xml:space="preserve">sites including </w:t>
      </w:r>
      <w:r w:rsidR="00F73F2C">
        <w:t>citation and licensing information</w:t>
      </w:r>
      <w:r w:rsidR="006E0830">
        <w:t>,</w:t>
      </w:r>
      <w:r w:rsidR="00F73F2C">
        <w:t xml:space="preserve"> as well as the interoperability of the data a</w:t>
      </w:r>
      <w:r w:rsidR="006E0830">
        <w:t>n</w:t>
      </w:r>
      <w:r w:rsidR="00F73F2C">
        <w:t xml:space="preserve">d tools for analysis. </w:t>
      </w:r>
      <w:r w:rsidR="009775D9">
        <w:t>The types of data available are important here as well—</w:t>
      </w:r>
      <w:r w:rsidR="00B71C27">
        <w:t>web</w:t>
      </w:r>
      <w:r w:rsidR="009775D9">
        <w:t>sites that supply more types of data (site report</w:t>
      </w:r>
      <w:r w:rsidR="00EF2F17">
        <w:t>s</w:t>
      </w:r>
      <w:r w:rsidR="009775D9">
        <w:t>, fields records, collections, other) will more strongly support scholarly publishing. Additionally</w:t>
      </w:r>
      <w:r w:rsidR="0007142E">
        <w:t>,</w:t>
      </w:r>
      <w:r w:rsidR="009775D9">
        <w:t xml:space="preserve"> the number of </w:t>
      </w:r>
      <w:r w:rsidR="00B71C27">
        <w:t>web</w:t>
      </w:r>
      <w:r w:rsidR="009775D9">
        <w:t>sites using U</w:t>
      </w:r>
      <w:r w:rsidR="00431A45">
        <w:t>niform Resource Identifiers</w:t>
      </w:r>
      <w:r w:rsidR="009775D9">
        <w:t xml:space="preserve">, allowing linking to resources from other websites, was analyzed as well as the number of </w:t>
      </w:r>
      <w:r w:rsidR="00B71C27">
        <w:t>web</w:t>
      </w:r>
      <w:r w:rsidR="009775D9">
        <w:t>sites providing statements on archival policy.</w:t>
      </w:r>
    </w:p>
    <w:p w14:paraId="3016B224" w14:textId="6ED08404" w:rsidR="00F9444F" w:rsidRPr="00CF1987" w:rsidRDefault="00757237" w:rsidP="0014170F">
      <w:r>
        <w:t xml:space="preserve">Public Outreach </w:t>
      </w:r>
      <w:r w:rsidR="00E416AB">
        <w:t xml:space="preserve">evaluated </w:t>
      </w:r>
      <w:r>
        <w:t xml:space="preserve">the presence of contextual information (broader history of the </w:t>
      </w:r>
      <w:r w:rsidR="00EF2F17">
        <w:rPr>
          <w:rFonts w:cs="Times New Roman"/>
        </w:rPr>
        <w:t xml:space="preserve">archaeological </w:t>
      </w:r>
      <w:r>
        <w:t>site</w:t>
      </w:r>
      <w:r w:rsidR="002A38A8">
        <w:t>,</w:t>
      </w:r>
      <w:r>
        <w:t xml:space="preserve"> or related themes), as well as supporting media (video, photographs). </w:t>
      </w:r>
      <w:r w:rsidR="0007142E">
        <w:t>Along with websites showing only summary data, t</w:t>
      </w:r>
      <w:r>
        <w:t>he presences of community</w:t>
      </w:r>
      <w:r w:rsidR="0081511C">
        <w:t xml:space="preserve"> outreach</w:t>
      </w:r>
      <w:r>
        <w:t xml:space="preserve"> information, and the ability </w:t>
      </w:r>
      <w:r>
        <w:lastRenderedPageBreak/>
        <w:t xml:space="preserve">for users of the </w:t>
      </w:r>
      <w:r w:rsidR="006B4F86">
        <w:t xml:space="preserve">website </w:t>
      </w:r>
      <w:r>
        <w:t>to contribute through comments or tagging of objects</w:t>
      </w:r>
      <w:r w:rsidR="0007142E">
        <w:t>,</w:t>
      </w:r>
      <w:r>
        <w:t xml:space="preserve"> </w:t>
      </w:r>
      <w:r w:rsidR="00431A45">
        <w:t>are</w:t>
      </w:r>
      <w:r>
        <w:t xml:space="preserve"> indicators</w:t>
      </w:r>
      <w:r w:rsidR="00431A45">
        <w:t xml:space="preserve"> that</w:t>
      </w:r>
      <w:r>
        <w:t xml:space="preserve"> the </w:t>
      </w:r>
      <w:r w:rsidR="006B4F86">
        <w:t xml:space="preserve">website </w:t>
      </w:r>
      <w:r>
        <w:t>supports public outreach</w:t>
      </w:r>
      <w:r w:rsidR="0007142E">
        <w:t>.</w:t>
      </w:r>
      <w:r w:rsidR="009775D9">
        <w:t xml:space="preserve"> Since these characteristics could be seen</w:t>
      </w:r>
      <w:r w:rsidR="0007142E">
        <w:t xml:space="preserve"> as</w:t>
      </w:r>
      <w:r w:rsidR="009775D9">
        <w:t xml:space="preserve"> incremental, </w:t>
      </w:r>
      <w:r w:rsidR="009775D9" w:rsidRPr="006E0830">
        <w:t xml:space="preserve">the more </w:t>
      </w:r>
      <w:r w:rsidR="009775D9">
        <w:t xml:space="preserve">characteristics </w:t>
      </w:r>
      <w:r w:rsidR="009775D9" w:rsidRPr="006E0830">
        <w:t>present</w:t>
      </w:r>
      <w:r w:rsidR="009775D9">
        <w:t xml:space="preserve">, </w:t>
      </w:r>
      <w:r w:rsidR="009775D9" w:rsidRPr="006E0830">
        <w:t>the better</w:t>
      </w:r>
      <w:r w:rsidR="00431A45">
        <w:t xml:space="preserve"> support for public outreach</w:t>
      </w:r>
      <w:r w:rsidR="009775D9">
        <w:t>.</w:t>
      </w:r>
      <w:r w:rsidR="00F9444F">
        <w:br w:type="page"/>
      </w:r>
    </w:p>
    <w:p w14:paraId="71BCD2A9" w14:textId="77777777" w:rsidR="009B3D57" w:rsidRDefault="00E1614C" w:rsidP="00F26EF9">
      <w:pPr>
        <w:pStyle w:val="Heading1"/>
        <w:ind w:firstLine="0"/>
      </w:pPr>
      <w:bookmarkStart w:id="26" w:name="_Toc419135409"/>
      <w:r>
        <w:lastRenderedPageBreak/>
        <w:t xml:space="preserve">Chapter </w:t>
      </w:r>
      <w:r w:rsidR="002463BC">
        <w:t>4</w:t>
      </w:r>
      <w:r>
        <w:t xml:space="preserve"> </w:t>
      </w:r>
      <w:r w:rsidR="00100831">
        <w:t>–</w:t>
      </w:r>
      <w:r>
        <w:t xml:space="preserve"> Results</w:t>
      </w:r>
      <w:bookmarkEnd w:id="26"/>
    </w:p>
    <w:p w14:paraId="73EA9773" w14:textId="667BDA48" w:rsidR="00D92646" w:rsidRDefault="001A1EE7" w:rsidP="005455C9">
      <w:pPr>
        <w:rPr>
          <w:rFonts w:cs="Times New Roman"/>
        </w:rPr>
      </w:pPr>
      <w:r>
        <w:rPr>
          <w:rFonts w:cs="Times New Roman"/>
        </w:rPr>
        <w:t xml:space="preserve">As described in the Methods section, </w:t>
      </w:r>
      <w:r w:rsidR="006B46B9">
        <w:rPr>
          <w:rFonts w:cs="Times New Roman"/>
        </w:rPr>
        <w:t>150</w:t>
      </w:r>
      <w:r>
        <w:rPr>
          <w:rFonts w:cs="Times New Roman"/>
        </w:rPr>
        <w:t xml:space="preserve"> potential </w:t>
      </w:r>
      <w:r w:rsidR="00E416AB">
        <w:rPr>
          <w:rFonts w:cs="Times New Roman"/>
        </w:rPr>
        <w:t>we</w:t>
      </w:r>
      <w:r w:rsidR="000A4899">
        <w:rPr>
          <w:rFonts w:cs="Times New Roman"/>
        </w:rPr>
        <w:t>bsites</w:t>
      </w:r>
      <w:r>
        <w:rPr>
          <w:rFonts w:cs="Times New Roman"/>
        </w:rPr>
        <w:t xml:space="preserve"> were identified. When these were examined</w:t>
      </w:r>
      <w:r w:rsidR="0007142E">
        <w:rPr>
          <w:rFonts w:cs="Times New Roman"/>
        </w:rPr>
        <w:t>,</w:t>
      </w:r>
      <w:r>
        <w:rPr>
          <w:rFonts w:cs="Times New Roman"/>
        </w:rPr>
        <w:t xml:space="preserve"> two institutions from the sample did not have a website. The remaining 148 f</w:t>
      </w:r>
      <w:r w:rsidR="00402CE2">
        <w:rPr>
          <w:rFonts w:cs="Times New Roman"/>
        </w:rPr>
        <w:t>ell into three</w:t>
      </w:r>
      <w:r>
        <w:rPr>
          <w:rFonts w:cs="Times New Roman"/>
        </w:rPr>
        <w:t xml:space="preserve"> clusters (see Table 2</w:t>
      </w:r>
      <w:r w:rsidR="00893D91">
        <w:rPr>
          <w:rFonts w:cs="Times New Roman"/>
        </w:rPr>
        <w:t>/Figure 3</w:t>
      </w:r>
      <w:r>
        <w:rPr>
          <w:rFonts w:cs="Times New Roman"/>
        </w:rPr>
        <w:t>)</w:t>
      </w:r>
      <w:r w:rsidR="00402CE2" w:rsidRPr="00402CE2">
        <w:rPr>
          <w:rFonts w:cs="Times New Roman"/>
        </w:rPr>
        <w:t>: those with no archaeology</w:t>
      </w:r>
      <w:r>
        <w:rPr>
          <w:rFonts w:cs="Times New Roman"/>
        </w:rPr>
        <w:t xml:space="preserve"> pages</w:t>
      </w:r>
      <w:r w:rsidR="00402CE2" w:rsidRPr="00402CE2">
        <w:rPr>
          <w:rFonts w:cs="Times New Roman"/>
        </w:rPr>
        <w:t>; those with only summary reports, or broad discussion of archaeology; and those with archaeological data.</w:t>
      </w:r>
    </w:p>
    <w:p w14:paraId="09C112F0" w14:textId="77777777" w:rsidR="00402CE2" w:rsidRPr="00402CE2" w:rsidRDefault="000D05B0" w:rsidP="00986EB8">
      <w:pPr>
        <w:ind w:firstLine="0"/>
        <w:jc w:val="center"/>
        <w:rPr>
          <w:rFonts w:cs="Times New Roman"/>
          <w:b/>
        </w:rPr>
      </w:pPr>
      <w:r>
        <w:rPr>
          <w:rFonts w:cs="Times New Roman"/>
          <w:b/>
        </w:rPr>
        <w:t xml:space="preserve">Table </w:t>
      </w:r>
      <w:r w:rsidR="001A1EE7">
        <w:rPr>
          <w:rFonts w:cs="Times New Roman"/>
          <w:b/>
        </w:rPr>
        <w:t>2</w:t>
      </w:r>
      <w:r>
        <w:rPr>
          <w:rFonts w:cs="Times New Roman"/>
          <w:b/>
        </w:rPr>
        <w:t>:</w:t>
      </w:r>
      <w:r w:rsidR="00402CE2">
        <w:rPr>
          <w:rFonts w:cs="Times New Roman"/>
          <w:b/>
        </w:rPr>
        <w:t xml:space="preserve"> </w:t>
      </w:r>
      <w:r w:rsidR="001A1EE7">
        <w:rPr>
          <w:rFonts w:cs="Times New Roman"/>
          <w:b/>
        </w:rPr>
        <w:t>Clusters b</w:t>
      </w:r>
      <w:r w:rsidR="00986EB8">
        <w:rPr>
          <w:rFonts w:cs="Times New Roman"/>
          <w:b/>
        </w:rPr>
        <w:t>y presence of data</w:t>
      </w:r>
    </w:p>
    <w:tbl>
      <w:tblPr>
        <w:tblStyle w:val="GridTable1Light-Accent51"/>
        <w:tblW w:w="4940" w:type="dxa"/>
        <w:jc w:val="center"/>
        <w:tblLook w:val="04A0" w:firstRow="1" w:lastRow="0" w:firstColumn="1" w:lastColumn="0" w:noHBand="0" w:noVBand="1"/>
      </w:tblPr>
      <w:tblGrid>
        <w:gridCol w:w="2337"/>
        <w:gridCol w:w="1080"/>
        <w:gridCol w:w="1523"/>
      </w:tblGrid>
      <w:tr w:rsidR="00EC3161" w:rsidRPr="00067E6D" w14:paraId="4975F0E4" w14:textId="77777777" w:rsidTr="00BD4CF0">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337" w:type="dxa"/>
            <w:noWrap/>
            <w:hideMark/>
          </w:tcPr>
          <w:p w14:paraId="4F0033EA" w14:textId="77777777" w:rsidR="00EC3161" w:rsidRPr="00067E6D" w:rsidRDefault="00EC3161" w:rsidP="00EC3161">
            <w:pPr>
              <w:spacing w:line="240" w:lineRule="auto"/>
              <w:ind w:firstLine="0"/>
              <w:jc w:val="right"/>
              <w:rPr>
                <w:rFonts w:ascii="Calibri" w:eastAsia="Times New Roman" w:hAnsi="Calibri" w:cs="Times New Roman"/>
                <w:b w:val="0"/>
                <w:bCs w:val="0"/>
                <w:color w:val="000000"/>
              </w:rPr>
            </w:pPr>
          </w:p>
        </w:tc>
        <w:tc>
          <w:tcPr>
            <w:tcW w:w="1080" w:type="dxa"/>
          </w:tcPr>
          <w:p w14:paraId="55D470B9" w14:textId="77777777" w:rsidR="00EC3161" w:rsidRPr="00067E6D" w:rsidRDefault="00EC3161" w:rsidP="0051301D">
            <w:pPr>
              <w:spacing w:line="240" w:lineRule="auto"/>
              <w:ind w:firstLine="0"/>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b w:val="0"/>
                <w:bCs w:val="0"/>
                <w:color w:val="000000"/>
              </w:rPr>
            </w:pPr>
            <w:r>
              <w:rPr>
                <w:rFonts w:ascii="Calibri" w:eastAsia="Times New Roman" w:hAnsi="Calibri" w:cs="Times New Roman"/>
                <w:b w:val="0"/>
                <w:bCs w:val="0"/>
                <w:color w:val="000000"/>
              </w:rPr>
              <w:t>Count</w:t>
            </w:r>
          </w:p>
        </w:tc>
        <w:tc>
          <w:tcPr>
            <w:tcW w:w="1523" w:type="dxa"/>
            <w:noWrap/>
            <w:hideMark/>
          </w:tcPr>
          <w:p w14:paraId="51F54571" w14:textId="77777777" w:rsidR="00EC3161" w:rsidRPr="00067E6D" w:rsidRDefault="00EC3161" w:rsidP="00EC3161">
            <w:pPr>
              <w:spacing w:line="240" w:lineRule="auto"/>
              <w:ind w:firstLine="0"/>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b w:val="0"/>
                <w:bCs w:val="0"/>
                <w:color w:val="000000"/>
              </w:rPr>
            </w:pPr>
            <w:r>
              <w:rPr>
                <w:rFonts w:ascii="Calibri" w:eastAsia="Times New Roman" w:hAnsi="Calibri" w:cs="Times New Roman"/>
                <w:b w:val="0"/>
                <w:bCs w:val="0"/>
                <w:color w:val="000000"/>
              </w:rPr>
              <w:t>%</w:t>
            </w:r>
          </w:p>
        </w:tc>
      </w:tr>
      <w:tr w:rsidR="00EC3161" w:rsidRPr="00067E6D" w14:paraId="05983420" w14:textId="77777777" w:rsidTr="00BD4CF0">
        <w:trPr>
          <w:trHeight w:val="300"/>
          <w:jc w:val="center"/>
        </w:trPr>
        <w:tc>
          <w:tcPr>
            <w:cnfStyle w:val="001000000000" w:firstRow="0" w:lastRow="0" w:firstColumn="1" w:lastColumn="0" w:oddVBand="0" w:evenVBand="0" w:oddHBand="0" w:evenHBand="0" w:firstRowFirstColumn="0" w:firstRowLastColumn="0" w:lastRowFirstColumn="0" w:lastRowLastColumn="0"/>
            <w:tcW w:w="2337" w:type="dxa"/>
            <w:noWrap/>
            <w:hideMark/>
          </w:tcPr>
          <w:p w14:paraId="4CA749CC" w14:textId="77777777" w:rsidR="00EC3161" w:rsidRPr="00067E6D" w:rsidRDefault="00EC3161" w:rsidP="00EC3161">
            <w:pPr>
              <w:spacing w:line="240" w:lineRule="auto"/>
              <w:ind w:firstLine="0"/>
              <w:jc w:val="right"/>
              <w:rPr>
                <w:rFonts w:ascii="Calibri" w:eastAsia="Times New Roman" w:hAnsi="Calibri" w:cs="Times New Roman"/>
                <w:color w:val="000000"/>
              </w:rPr>
            </w:pPr>
            <w:r>
              <w:rPr>
                <w:rFonts w:ascii="Calibri" w:eastAsia="Times New Roman" w:hAnsi="Calibri" w:cs="Times New Roman"/>
                <w:color w:val="000000"/>
              </w:rPr>
              <w:t>No Archaeology</w:t>
            </w:r>
            <w:r w:rsidR="00D017B4">
              <w:rPr>
                <w:rFonts w:ascii="Calibri" w:eastAsia="Times New Roman" w:hAnsi="Calibri" w:cs="Times New Roman"/>
                <w:color w:val="000000"/>
              </w:rPr>
              <w:t xml:space="preserve"> pages</w:t>
            </w:r>
          </w:p>
        </w:tc>
        <w:tc>
          <w:tcPr>
            <w:tcW w:w="1080" w:type="dxa"/>
          </w:tcPr>
          <w:p w14:paraId="48C6F153" w14:textId="77777777" w:rsidR="00EC3161" w:rsidRPr="00067E6D" w:rsidRDefault="001A1EE7" w:rsidP="0051301D">
            <w:pPr>
              <w:spacing w:line="240" w:lineRule="auto"/>
              <w:ind w:firstLine="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109</w:t>
            </w:r>
          </w:p>
        </w:tc>
        <w:tc>
          <w:tcPr>
            <w:tcW w:w="1523" w:type="dxa"/>
            <w:noWrap/>
            <w:hideMark/>
          </w:tcPr>
          <w:p w14:paraId="1324CB4E" w14:textId="77777777" w:rsidR="00EC3161" w:rsidRPr="00067E6D" w:rsidRDefault="00F44248" w:rsidP="00EC3161">
            <w:pPr>
              <w:spacing w:line="240" w:lineRule="auto"/>
              <w:ind w:firstLine="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73.6</w:t>
            </w:r>
          </w:p>
        </w:tc>
      </w:tr>
      <w:tr w:rsidR="00EC3161" w:rsidRPr="00067E6D" w14:paraId="24ACC0C0" w14:textId="77777777" w:rsidTr="00BD4CF0">
        <w:trPr>
          <w:trHeight w:val="300"/>
          <w:jc w:val="center"/>
        </w:trPr>
        <w:tc>
          <w:tcPr>
            <w:cnfStyle w:val="001000000000" w:firstRow="0" w:lastRow="0" w:firstColumn="1" w:lastColumn="0" w:oddVBand="0" w:evenVBand="0" w:oddHBand="0" w:evenHBand="0" w:firstRowFirstColumn="0" w:firstRowLastColumn="0" w:lastRowFirstColumn="0" w:lastRowLastColumn="0"/>
            <w:tcW w:w="2337" w:type="dxa"/>
            <w:noWrap/>
            <w:hideMark/>
          </w:tcPr>
          <w:p w14:paraId="3B14595C" w14:textId="77777777" w:rsidR="00EC3161" w:rsidRPr="00067E6D" w:rsidRDefault="00EC3161" w:rsidP="00BD4CF0">
            <w:pPr>
              <w:spacing w:line="240" w:lineRule="auto"/>
              <w:ind w:firstLine="0"/>
              <w:jc w:val="right"/>
              <w:rPr>
                <w:rFonts w:ascii="Calibri" w:eastAsia="Times New Roman" w:hAnsi="Calibri" w:cs="Times New Roman"/>
                <w:color w:val="000000"/>
              </w:rPr>
            </w:pPr>
            <w:r>
              <w:rPr>
                <w:rFonts w:ascii="Calibri" w:eastAsia="Times New Roman" w:hAnsi="Calibri" w:cs="Times New Roman"/>
                <w:color w:val="000000"/>
              </w:rPr>
              <w:t xml:space="preserve">No </w:t>
            </w:r>
            <w:r w:rsidR="00BD4CF0">
              <w:rPr>
                <w:rFonts w:ascii="Calibri" w:eastAsia="Times New Roman" w:hAnsi="Calibri" w:cs="Times New Roman"/>
                <w:color w:val="000000"/>
              </w:rPr>
              <w:t>archaeology d</w:t>
            </w:r>
            <w:r>
              <w:rPr>
                <w:rFonts w:ascii="Calibri" w:eastAsia="Times New Roman" w:hAnsi="Calibri" w:cs="Times New Roman"/>
                <w:color w:val="000000"/>
              </w:rPr>
              <w:t>ata</w:t>
            </w:r>
          </w:p>
        </w:tc>
        <w:tc>
          <w:tcPr>
            <w:tcW w:w="1080" w:type="dxa"/>
          </w:tcPr>
          <w:p w14:paraId="16B4FEEF" w14:textId="77777777" w:rsidR="00EC3161" w:rsidRPr="00067E6D" w:rsidRDefault="00EC3161" w:rsidP="001E3D02">
            <w:pPr>
              <w:spacing w:line="240" w:lineRule="auto"/>
              <w:ind w:firstLine="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1</w:t>
            </w:r>
            <w:r w:rsidR="001E3D02">
              <w:rPr>
                <w:rFonts w:ascii="Calibri" w:eastAsia="Times New Roman" w:hAnsi="Calibri" w:cs="Times New Roman"/>
                <w:color w:val="000000"/>
              </w:rPr>
              <w:t>3</w:t>
            </w:r>
          </w:p>
        </w:tc>
        <w:tc>
          <w:tcPr>
            <w:tcW w:w="1523" w:type="dxa"/>
            <w:noWrap/>
            <w:hideMark/>
          </w:tcPr>
          <w:p w14:paraId="38A4C881" w14:textId="77777777" w:rsidR="00EC3161" w:rsidRPr="00067E6D" w:rsidRDefault="00BC7BF7" w:rsidP="00EC3161">
            <w:pPr>
              <w:spacing w:line="240" w:lineRule="auto"/>
              <w:ind w:firstLine="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8</w:t>
            </w:r>
            <w:r w:rsidR="00F44248">
              <w:rPr>
                <w:rFonts w:ascii="Calibri" w:eastAsia="Times New Roman" w:hAnsi="Calibri" w:cs="Times New Roman"/>
                <w:color w:val="000000"/>
              </w:rPr>
              <w:t>.8</w:t>
            </w:r>
          </w:p>
        </w:tc>
      </w:tr>
      <w:tr w:rsidR="00EC3161" w:rsidRPr="00067E6D" w14:paraId="163B848A" w14:textId="77777777" w:rsidTr="00BD4CF0">
        <w:trPr>
          <w:trHeight w:val="300"/>
          <w:jc w:val="center"/>
        </w:trPr>
        <w:tc>
          <w:tcPr>
            <w:cnfStyle w:val="001000000000" w:firstRow="0" w:lastRow="0" w:firstColumn="1" w:lastColumn="0" w:oddVBand="0" w:evenVBand="0" w:oddHBand="0" w:evenHBand="0" w:firstRowFirstColumn="0" w:firstRowLastColumn="0" w:lastRowFirstColumn="0" w:lastRowLastColumn="0"/>
            <w:tcW w:w="2337" w:type="dxa"/>
            <w:noWrap/>
            <w:hideMark/>
          </w:tcPr>
          <w:p w14:paraId="126B4EF5" w14:textId="77777777" w:rsidR="00EC3161" w:rsidRPr="00067E6D" w:rsidRDefault="00BD4CF0" w:rsidP="00EC3161">
            <w:pPr>
              <w:spacing w:line="240" w:lineRule="auto"/>
              <w:ind w:firstLine="0"/>
              <w:jc w:val="right"/>
              <w:rPr>
                <w:rFonts w:ascii="Calibri" w:eastAsia="Times New Roman" w:hAnsi="Calibri" w:cs="Times New Roman"/>
                <w:color w:val="000000"/>
              </w:rPr>
            </w:pPr>
            <w:r>
              <w:rPr>
                <w:rFonts w:ascii="Calibri" w:eastAsia="Times New Roman" w:hAnsi="Calibri" w:cs="Times New Roman"/>
                <w:color w:val="000000"/>
              </w:rPr>
              <w:t>Archaeology d</w:t>
            </w:r>
            <w:r w:rsidR="00EC3161">
              <w:rPr>
                <w:rFonts w:ascii="Calibri" w:eastAsia="Times New Roman" w:hAnsi="Calibri" w:cs="Times New Roman"/>
                <w:color w:val="000000"/>
              </w:rPr>
              <w:t>ata</w:t>
            </w:r>
          </w:p>
        </w:tc>
        <w:tc>
          <w:tcPr>
            <w:tcW w:w="1080" w:type="dxa"/>
          </w:tcPr>
          <w:p w14:paraId="39C0D23D" w14:textId="77777777" w:rsidR="00EC3161" w:rsidRPr="00067E6D" w:rsidRDefault="000B7F18" w:rsidP="0051301D">
            <w:pPr>
              <w:spacing w:line="240" w:lineRule="auto"/>
              <w:ind w:firstLine="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26</w:t>
            </w:r>
          </w:p>
        </w:tc>
        <w:tc>
          <w:tcPr>
            <w:tcW w:w="1523" w:type="dxa"/>
            <w:noWrap/>
            <w:hideMark/>
          </w:tcPr>
          <w:p w14:paraId="354E41B5" w14:textId="77777777" w:rsidR="00EC3161" w:rsidRPr="00067E6D" w:rsidRDefault="00BC7BF7" w:rsidP="00EC3161">
            <w:pPr>
              <w:spacing w:line="240" w:lineRule="auto"/>
              <w:ind w:firstLine="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1</w:t>
            </w:r>
            <w:r w:rsidR="00F44248">
              <w:rPr>
                <w:rFonts w:ascii="Calibri" w:eastAsia="Times New Roman" w:hAnsi="Calibri" w:cs="Times New Roman"/>
                <w:color w:val="000000"/>
              </w:rPr>
              <w:t>7.6</w:t>
            </w:r>
          </w:p>
        </w:tc>
      </w:tr>
      <w:tr w:rsidR="00EC3161" w:rsidRPr="00067E6D" w14:paraId="6226A8DD" w14:textId="77777777" w:rsidTr="00BD4CF0">
        <w:trPr>
          <w:trHeight w:val="300"/>
          <w:jc w:val="center"/>
        </w:trPr>
        <w:tc>
          <w:tcPr>
            <w:cnfStyle w:val="001000000000" w:firstRow="0" w:lastRow="0" w:firstColumn="1" w:lastColumn="0" w:oddVBand="0" w:evenVBand="0" w:oddHBand="0" w:evenHBand="0" w:firstRowFirstColumn="0" w:firstRowLastColumn="0" w:lastRowFirstColumn="0" w:lastRowLastColumn="0"/>
            <w:tcW w:w="2337" w:type="dxa"/>
            <w:noWrap/>
            <w:hideMark/>
          </w:tcPr>
          <w:p w14:paraId="04585610" w14:textId="77777777" w:rsidR="00EC3161" w:rsidRPr="00067E6D" w:rsidRDefault="00EC3161" w:rsidP="00EC3161">
            <w:pPr>
              <w:spacing w:line="240" w:lineRule="auto"/>
              <w:ind w:firstLine="0"/>
              <w:jc w:val="right"/>
              <w:rPr>
                <w:rFonts w:ascii="Calibri" w:eastAsia="Times New Roman" w:hAnsi="Calibri" w:cs="Times New Roman"/>
                <w:b w:val="0"/>
                <w:bCs w:val="0"/>
                <w:color w:val="000000"/>
              </w:rPr>
            </w:pPr>
            <w:r w:rsidRPr="00067E6D">
              <w:rPr>
                <w:rFonts w:ascii="Calibri" w:eastAsia="Times New Roman" w:hAnsi="Calibri" w:cs="Times New Roman"/>
                <w:b w:val="0"/>
                <w:bCs w:val="0"/>
                <w:color w:val="000000"/>
              </w:rPr>
              <w:t>Total</w:t>
            </w:r>
          </w:p>
        </w:tc>
        <w:tc>
          <w:tcPr>
            <w:tcW w:w="1080" w:type="dxa"/>
          </w:tcPr>
          <w:p w14:paraId="4BEA5291" w14:textId="77777777" w:rsidR="00EC3161" w:rsidRPr="00067E6D" w:rsidRDefault="001A1EE7" w:rsidP="0051301D">
            <w:pPr>
              <w:spacing w:line="240" w:lineRule="auto"/>
              <w:ind w:firstLine="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color w:val="000000"/>
              </w:rPr>
            </w:pPr>
            <w:r>
              <w:rPr>
                <w:rFonts w:ascii="Calibri" w:eastAsia="Times New Roman" w:hAnsi="Calibri" w:cs="Times New Roman"/>
                <w:b/>
                <w:bCs/>
                <w:color w:val="000000"/>
              </w:rPr>
              <w:t>148</w:t>
            </w:r>
          </w:p>
        </w:tc>
        <w:tc>
          <w:tcPr>
            <w:tcW w:w="1523" w:type="dxa"/>
            <w:noWrap/>
            <w:hideMark/>
          </w:tcPr>
          <w:p w14:paraId="776E6BB3" w14:textId="77777777" w:rsidR="00EC3161" w:rsidRPr="00067E6D" w:rsidRDefault="00BC7BF7" w:rsidP="00EC3161">
            <w:pPr>
              <w:spacing w:line="240" w:lineRule="auto"/>
              <w:ind w:firstLine="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color w:val="000000"/>
              </w:rPr>
            </w:pPr>
            <w:r>
              <w:rPr>
                <w:rFonts w:ascii="Calibri" w:eastAsia="Times New Roman" w:hAnsi="Calibri" w:cs="Times New Roman"/>
                <w:b/>
                <w:bCs/>
                <w:color w:val="000000"/>
              </w:rPr>
              <w:t>100%</w:t>
            </w:r>
          </w:p>
        </w:tc>
      </w:tr>
    </w:tbl>
    <w:p w14:paraId="0029036D" w14:textId="77777777" w:rsidR="009A207F" w:rsidRDefault="00D017B4" w:rsidP="00D017B4">
      <w:pPr>
        <w:ind w:firstLine="0"/>
        <w:jc w:val="center"/>
      </w:pPr>
      <w:r>
        <w:rPr>
          <w:noProof/>
        </w:rPr>
        <w:drawing>
          <wp:inline distT="0" distB="0" distL="0" distR="0" wp14:anchorId="6AAFDDBC" wp14:editId="74977798">
            <wp:extent cx="4572000" cy="27432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7D95C88" w14:textId="0EE41F64" w:rsidR="00D470FA" w:rsidRPr="00D470FA" w:rsidRDefault="00D470FA" w:rsidP="00D470FA">
      <w:pPr>
        <w:ind w:firstLine="0"/>
        <w:jc w:val="center"/>
      </w:pPr>
      <w:r w:rsidRPr="00D470FA">
        <w:rPr>
          <w:b/>
          <w:bCs/>
        </w:rPr>
        <w:t xml:space="preserve">Figure </w:t>
      </w:r>
      <w:r>
        <w:rPr>
          <w:b/>
          <w:bCs/>
        </w:rPr>
        <w:t>3</w:t>
      </w:r>
      <w:r w:rsidRPr="00D470FA">
        <w:rPr>
          <w:b/>
          <w:bCs/>
        </w:rPr>
        <w:t>: Clusters by presence of data</w:t>
      </w:r>
    </w:p>
    <w:p w14:paraId="71D402A5" w14:textId="77777777" w:rsidR="00D470FA" w:rsidRDefault="00D470FA" w:rsidP="00D017B4">
      <w:pPr>
        <w:ind w:firstLine="0"/>
        <w:jc w:val="center"/>
      </w:pPr>
    </w:p>
    <w:p w14:paraId="4075179B" w14:textId="77777777" w:rsidR="00D92646" w:rsidRPr="00C22E1F" w:rsidRDefault="00CD0C8E" w:rsidP="00F26EF9">
      <w:pPr>
        <w:pStyle w:val="Heading2"/>
      </w:pPr>
      <w:bookmarkStart w:id="27" w:name="_Toc419135410"/>
      <w:r>
        <w:t>“</w:t>
      </w:r>
      <w:r w:rsidR="00D92646">
        <w:t>No Archaeology</w:t>
      </w:r>
      <w:r>
        <w:t>”</w:t>
      </w:r>
      <w:r w:rsidR="00B06819">
        <w:t xml:space="preserve"> </w:t>
      </w:r>
      <w:r w:rsidR="007C30B6">
        <w:t xml:space="preserve">web </w:t>
      </w:r>
      <w:r w:rsidR="00B06819">
        <w:t>pages</w:t>
      </w:r>
      <w:bookmarkEnd w:id="27"/>
    </w:p>
    <w:p w14:paraId="67177930" w14:textId="77777777" w:rsidR="00CA7856" w:rsidRDefault="00402CE2" w:rsidP="00645586">
      <w:r>
        <w:rPr>
          <w:rFonts w:cs="Times New Roman"/>
        </w:rPr>
        <w:t>Of the web</w:t>
      </w:r>
      <w:r w:rsidR="005455C9" w:rsidRPr="00CA7856">
        <w:rPr>
          <w:rFonts w:cs="Times New Roman"/>
        </w:rPr>
        <w:t xml:space="preserve">sites </w:t>
      </w:r>
      <w:r>
        <w:rPr>
          <w:rFonts w:cs="Times New Roman"/>
        </w:rPr>
        <w:t xml:space="preserve">examined, </w:t>
      </w:r>
      <w:r w:rsidR="00F44248">
        <w:t>73.6</w:t>
      </w:r>
      <w:r w:rsidR="00290983">
        <w:t>% (</w:t>
      </w:r>
      <w:r w:rsidR="001A1EE7">
        <w:t>n=109</w:t>
      </w:r>
      <w:r w:rsidR="00290983">
        <w:t xml:space="preserve">) </w:t>
      </w:r>
      <w:r w:rsidR="005455C9" w:rsidRPr="00CA7856">
        <w:rPr>
          <w:rFonts w:cs="Times New Roman"/>
        </w:rPr>
        <w:t xml:space="preserve">were identified as having no archaeological </w:t>
      </w:r>
      <w:r w:rsidR="001A1EE7">
        <w:rPr>
          <w:rFonts w:cs="Times New Roman"/>
        </w:rPr>
        <w:t>webpages</w:t>
      </w:r>
      <w:r w:rsidR="005455C9" w:rsidRPr="00CA7856">
        <w:rPr>
          <w:rFonts w:cs="Times New Roman"/>
        </w:rPr>
        <w:t xml:space="preserve">. </w:t>
      </w:r>
      <w:r w:rsidR="00290983" w:rsidRPr="00CA7856">
        <w:rPr>
          <w:rFonts w:cs="Times New Roman"/>
        </w:rPr>
        <w:t xml:space="preserve"> </w:t>
      </w:r>
      <w:r w:rsidR="00CA7856">
        <w:t>For websites</w:t>
      </w:r>
      <w:r w:rsidR="001A1EE7">
        <w:t xml:space="preserve"> in this cluster</w:t>
      </w:r>
      <w:r w:rsidR="00CD0C8E">
        <w:t>,</w:t>
      </w:r>
      <w:r w:rsidR="001A1EE7">
        <w:t xml:space="preserve"> </w:t>
      </w:r>
      <w:r w:rsidR="00CA7856">
        <w:t>only basic information was recorded</w:t>
      </w:r>
      <w:r w:rsidR="002A38A8">
        <w:t xml:space="preserve"> such as the </w:t>
      </w:r>
      <w:r w:rsidR="00CD0C8E">
        <w:t xml:space="preserve">date </w:t>
      </w:r>
      <w:r w:rsidR="002A38A8">
        <w:t xml:space="preserve">the </w:t>
      </w:r>
      <w:r w:rsidR="00EF2F17">
        <w:t>web</w:t>
      </w:r>
      <w:r w:rsidR="002A38A8">
        <w:t xml:space="preserve">site was reviewed, the organizational type and </w:t>
      </w:r>
      <w:r w:rsidR="00CD0C8E">
        <w:t xml:space="preserve">the </w:t>
      </w:r>
      <w:r w:rsidR="002A38A8">
        <w:t>URL</w:t>
      </w:r>
      <w:r w:rsidR="00CA7856">
        <w:t>.</w:t>
      </w:r>
    </w:p>
    <w:p w14:paraId="0A911389" w14:textId="3871E10C" w:rsidR="00094F57" w:rsidRDefault="00094F57">
      <w:pPr>
        <w:spacing w:after="160" w:line="259" w:lineRule="auto"/>
        <w:ind w:firstLine="0"/>
        <w:rPr>
          <w:rFonts w:cs="Times New Roman"/>
          <w:b/>
        </w:rPr>
      </w:pPr>
    </w:p>
    <w:p w14:paraId="7AA7343A" w14:textId="77777777" w:rsidR="00986EB8" w:rsidRPr="00402CE2" w:rsidRDefault="00986EB8" w:rsidP="00986EB8">
      <w:pPr>
        <w:ind w:firstLine="0"/>
        <w:jc w:val="center"/>
        <w:rPr>
          <w:rFonts w:cs="Times New Roman"/>
          <w:b/>
        </w:rPr>
      </w:pPr>
      <w:r>
        <w:rPr>
          <w:rFonts w:cs="Times New Roman"/>
          <w:b/>
        </w:rPr>
        <w:t>Table 3: No archaeology pages by organizational type</w:t>
      </w:r>
    </w:p>
    <w:tbl>
      <w:tblPr>
        <w:tblStyle w:val="GridTable1Light-Accent51"/>
        <w:tblW w:w="4545" w:type="dxa"/>
        <w:jc w:val="center"/>
        <w:tblLook w:val="04A0" w:firstRow="1" w:lastRow="0" w:firstColumn="1" w:lastColumn="0" w:noHBand="0" w:noVBand="1"/>
      </w:tblPr>
      <w:tblGrid>
        <w:gridCol w:w="1878"/>
        <w:gridCol w:w="1144"/>
        <w:gridCol w:w="1523"/>
      </w:tblGrid>
      <w:tr w:rsidR="00986EB8" w:rsidRPr="00067E6D" w14:paraId="64483957" w14:textId="77777777" w:rsidTr="00986EB8">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78" w:type="dxa"/>
            <w:noWrap/>
            <w:hideMark/>
          </w:tcPr>
          <w:p w14:paraId="7B8B7D84" w14:textId="77777777" w:rsidR="00986EB8" w:rsidRPr="00067E6D" w:rsidRDefault="00986EB8" w:rsidP="00986EB8">
            <w:pPr>
              <w:spacing w:line="240" w:lineRule="auto"/>
              <w:ind w:firstLine="0"/>
              <w:jc w:val="right"/>
              <w:rPr>
                <w:rFonts w:ascii="Calibri" w:eastAsia="Times New Roman" w:hAnsi="Calibri" w:cs="Times New Roman"/>
                <w:b w:val="0"/>
                <w:bCs w:val="0"/>
                <w:color w:val="000000"/>
              </w:rPr>
            </w:pPr>
          </w:p>
        </w:tc>
        <w:tc>
          <w:tcPr>
            <w:tcW w:w="1144" w:type="dxa"/>
          </w:tcPr>
          <w:p w14:paraId="315B3940" w14:textId="77777777" w:rsidR="00986EB8" w:rsidRPr="00067E6D" w:rsidRDefault="00986EB8" w:rsidP="00986EB8">
            <w:pPr>
              <w:spacing w:line="240" w:lineRule="auto"/>
              <w:ind w:firstLine="0"/>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b w:val="0"/>
                <w:bCs w:val="0"/>
                <w:color w:val="000000"/>
              </w:rPr>
            </w:pPr>
            <w:r>
              <w:rPr>
                <w:rFonts w:ascii="Calibri" w:eastAsia="Times New Roman" w:hAnsi="Calibri" w:cs="Times New Roman"/>
                <w:b w:val="0"/>
                <w:bCs w:val="0"/>
                <w:color w:val="000000"/>
              </w:rPr>
              <w:t>Count</w:t>
            </w:r>
          </w:p>
        </w:tc>
        <w:tc>
          <w:tcPr>
            <w:tcW w:w="1523" w:type="dxa"/>
            <w:noWrap/>
            <w:hideMark/>
          </w:tcPr>
          <w:p w14:paraId="13B00F50" w14:textId="77777777" w:rsidR="00986EB8" w:rsidRPr="00067E6D" w:rsidRDefault="00986EB8" w:rsidP="00986EB8">
            <w:pPr>
              <w:spacing w:line="240" w:lineRule="auto"/>
              <w:ind w:firstLine="0"/>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b w:val="0"/>
                <w:bCs w:val="0"/>
                <w:color w:val="000000"/>
              </w:rPr>
            </w:pPr>
            <w:r>
              <w:rPr>
                <w:rFonts w:ascii="Calibri" w:eastAsia="Times New Roman" w:hAnsi="Calibri" w:cs="Times New Roman"/>
                <w:b w:val="0"/>
                <w:bCs w:val="0"/>
                <w:color w:val="000000"/>
              </w:rPr>
              <w:t>%</w:t>
            </w:r>
          </w:p>
        </w:tc>
      </w:tr>
      <w:tr w:rsidR="00986EB8" w:rsidRPr="00067E6D" w14:paraId="349AA8BE" w14:textId="77777777" w:rsidTr="00986EB8">
        <w:trPr>
          <w:trHeight w:val="300"/>
          <w:jc w:val="center"/>
        </w:trPr>
        <w:tc>
          <w:tcPr>
            <w:cnfStyle w:val="001000000000" w:firstRow="0" w:lastRow="0" w:firstColumn="1" w:lastColumn="0" w:oddVBand="0" w:evenVBand="0" w:oddHBand="0" w:evenHBand="0" w:firstRowFirstColumn="0" w:firstRowLastColumn="0" w:lastRowFirstColumn="0" w:lastRowLastColumn="0"/>
            <w:tcW w:w="1878" w:type="dxa"/>
            <w:noWrap/>
            <w:hideMark/>
          </w:tcPr>
          <w:p w14:paraId="41CCB12C" w14:textId="77777777" w:rsidR="00986EB8" w:rsidRPr="00067E6D" w:rsidRDefault="00986EB8" w:rsidP="00986EB8">
            <w:pPr>
              <w:spacing w:line="240" w:lineRule="auto"/>
              <w:ind w:firstLine="0"/>
              <w:jc w:val="right"/>
              <w:rPr>
                <w:rFonts w:ascii="Calibri" w:eastAsia="Times New Roman" w:hAnsi="Calibri" w:cs="Times New Roman"/>
                <w:color w:val="000000"/>
              </w:rPr>
            </w:pPr>
            <w:r>
              <w:rPr>
                <w:rFonts w:ascii="Calibri" w:eastAsia="Times New Roman" w:hAnsi="Calibri" w:cs="Times New Roman"/>
                <w:color w:val="000000"/>
              </w:rPr>
              <w:t>Federal</w:t>
            </w:r>
          </w:p>
        </w:tc>
        <w:tc>
          <w:tcPr>
            <w:tcW w:w="1144" w:type="dxa"/>
          </w:tcPr>
          <w:p w14:paraId="64B5B468" w14:textId="77777777" w:rsidR="00986EB8" w:rsidRPr="00067E6D" w:rsidRDefault="009A207F" w:rsidP="00986EB8">
            <w:pPr>
              <w:spacing w:line="240" w:lineRule="auto"/>
              <w:ind w:firstLine="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22</w:t>
            </w:r>
          </w:p>
        </w:tc>
        <w:tc>
          <w:tcPr>
            <w:tcW w:w="1523" w:type="dxa"/>
            <w:noWrap/>
            <w:hideMark/>
          </w:tcPr>
          <w:p w14:paraId="29D6E84D" w14:textId="27E650DB" w:rsidR="00986EB8" w:rsidRPr="00067E6D" w:rsidRDefault="009A207F" w:rsidP="0000232F">
            <w:pPr>
              <w:spacing w:line="240" w:lineRule="auto"/>
              <w:ind w:firstLine="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2</w:t>
            </w:r>
            <w:r w:rsidR="0000232F">
              <w:rPr>
                <w:rFonts w:ascii="Calibri" w:eastAsia="Times New Roman" w:hAnsi="Calibri" w:cs="Times New Roman"/>
                <w:color w:val="000000"/>
              </w:rPr>
              <w:t>0</w:t>
            </w:r>
            <w:r>
              <w:rPr>
                <w:rFonts w:ascii="Calibri" w:eastAsia="Times New Roman" w:hAnsi="Calibri" w:cs="Times New Roman"/>
                <w:color w:val="000000"/>
              </w:rPr>
              <w:t>.2</w:t>
            </w:r>
          </w:p>
        </w:tc>
      </w:tr>
      <w:tr w:rsidR="00986EB8" w:rsidRPr="00067E6D" w14:paraId="1FF8C575" w14:textId="77777777" w:rsidTr="00986EB8">
        <w:trPr>
          <w:trHeight w:val="300"/>
          <w:jc w:val="center"/>
        </w:trPr>
        <w:tc>
          <w:tcPr>
            <w:cnfStyle w:val="001000000000" w:firstRow="0" w:lastRow="0" w:firstColumn="1" w:lastColumn="0" w:oddVBand="0" w:evenVBand="0" w:oddHBand="0" w:evenHBand="0" w:firstRowFirstColumn="0" w:firstRowLastColumn="0" w:lastRowFirstColumn="0" w:lastRowLastColumn="0"/>
            <w:tcW w:w="1878" w:type="dxa"/>
            <w:noWrap/>
            <w:hideMark/>
          </w:tcPr>
          <w:p w14:paraId="2C48418A" w14:textId="77777777" w:rsidR="00986EB8" w:rsidRPr="00067E6D" w:rsidRDefault="00986EB8" w:rsidP="00986EB8">
            <w:pPr>
              <w:spacing w:line="240" w:lineRule="auto"/>
              <w:ind w:firstLine="0"/>
              <w:jc w:val="right"/>
              <w:rPr>
                <w:rFonts w:ascii="Calibri" w:eastAsia="Times New Roman" w:hAnsi="Calibri" w:cs="Times New Roman"/>
                <w:color w:val="000000"/>
              </w:rPr>
            </w:pPr>
            <w:r>
              <w:rPr>
                <w:rFonts w:ascii="Calibri" w:eastAsia="Times New Roman" w:hAnsi="Calibri" w:cs="Times New Roman"/>
                <w:color w:val="000000"/>
              </w:rPr>
              <w:t>City/State</w:t>
            </w:r>
          </w:p>
        </w:tc>
        <w:tc>
          <w:tcPr>
            <w:tcW w:w="1144" w:type="dxa"/>
          </w:tcPr>
          <w:p w14:paraId="6B070DAB" w14:textId="77777777" w:rsidR="00986EB8" w:rsidRPr="00067E6D" w:rsidRDefault="009A207F" w:rsidP="00986EB8">
            <w:pPr>
              <w:spacing w:line="240" w:lineRule="auto"/>
              <w:ind w:firstLine="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9</w:t>
            </w:r>
          </w:p>
        </w:tc>
        <w:tc>
          <w:tcPr>
            <w:tcW w:w="1523" w:type="dxa"/>
            <w:noWrap/>
            <w:hideMark/>
          </w:tcPr>
          <w:p w14:paraId="08A43E5A" w14:textId="77777777" w:rsidR="00986EB8" w:rsidRPr="00067E6D" w:rsidRDefault="009A207F" w:rsidP="00986EB8">
            <w:pPr>
              <w:spacing w:line="240" w:lineRule="auto"/>
              <w:ind w:firstLine="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8.3</w:t>
            </w:r>
          </w:p>
        </w:tc>
      </w:tr>
      <w:tr w:rsidR="00986EB8" w:rsidRPr="00067E6D" w14:paraId="0F585BE6" w14:textId="77777777" w:rsidTr="00986EB8">
        <w:trPr>
          <w:trHeight w:val="300"/>
          <w:jc w:val="center"/>
        </w:trPr>
        <w:tc>
          <w:tcPr>
            <w:cnfStyle w:val="001000000000" w:firstRow="0" w:lastRow="0" w:firstColumn="1" w:lastColumn="0" w:oddVBand="0" w:evenVBand="0" w:oddHBand="0" w:evenHBand="0" w:firstRowFirstColumn="0" w:firstRowLastColumn="0" w:lastRowFirstColumn="0" w:lastRowLastColumn="0"/>
            <w:tcW w:w="1878" w:type="dxa"/>
            <w:noWrap/>
            <w:hideMark/>
          </w:tcPr>
          <w:p w14:paraId="25BBED47" w14:textId="77777777" w:rsidR="00986EB8" w:rsidRPr="00067E6D" w:rsidRDefault="00986EB8" w:rsidP="00986EB8">
            <w:pPr>
              <w:spacing w:line="240" w:lineRule="auto"/>
              <w:ind w:firstLine="0"/>
              <w:jc w:val="right"/>
              <w:rPr>
                <w:rFonts w:ascii="Calibri" w:eastAsia="Times New Roman" w:hAnsi="Calibri" w:cs="Times New Roman"/>
                <w:color w:val="000000"/>
              </w:rPr>
            </w:pPr>
            <w:r>
              <w:rPr>
                <w:rFonts w:ascii="Calibri" w:eastAsia="Times New Roman" w:hAnsi="Calibri" w:cs="Times New Roman"/>
                <w:color w:val="000000"/>
              </w:rPr>
              <w:t>University</w:t>
            </w:r>
          </w:p>
        </w:tc>
        <w:tc>
          <w:tcPr>
            <w:tcW w:w="1144" w:type="dxa"/>
          </w:tcPr>
          <w:p w14:paraId="358A731E" w14:textId="77777777" w:rsidR="00986EB8" w:rsidRPr="00067E6D" w:rsidRDefault="009A207F" w:rsidP="00986EB8">
            <w:pPr>
              <w:spacing w:line="240" w:lineRule="auto"/>
              <w:ind w:firstLine="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8</w:t>
            </w:r>
          </w:p>
        </w:tc>
        <w:tc>
          <w:tcPr>
            <w:tcW w:w="1523" w:type="dxa"/>
            <w:noWrap/>
            <w:hideMark/>
          </w:tcPr>
          <w:p w14:paraId="1B6F13D4" w14:textId="77777777" w:rsidR="00986EB8" w:rsidRPr="00067E6D" w:rsidRDefault="009A207F" w:rsidP="00986EB8">
            <w:pPr>
              <w:spacing w:line="240" w:lineRule="auto"/>
              <w:ind w:firstLine="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7.3</w:t>
            </w:r>
          </w:p>
        </w:tc>
      </w:tr>
      <w:tr w:rsidR="00986EB8" w:rsidRPr="00067E6D" w14:paraId="767D94DA" w14:textId="77777777" w:rsidTr="00986EB8">
        <w:trPr>
          <w:trHeight w:val="300"/>
          <w:jc w:val="center"/>
        </w:trPr>
        <w:tc>
          <w:tcPr>
            <w:cnfStyle w:val="001000000000" w:firstRow="0" w:lastRow="0" w:firstColumn="1" w:lastColumn="0" w:oddVBand="0" w:evenVBand="0" w:oddHBand="0" w:evenHBand="0" w:firstRowFirstColumn="0" w:firstRowLastColumn="0" w:lastRowFirstColumn="0" w:lastRowLastColumn="0"/>
            <w:tcW w:w="1878" w:type="dxa"/>
            <w:noWrap/>
            <w:hideMark/>
          </w:tcPr>
          <w:p w14:paraId="4BCA3CA7" w14:textId="77777777" w:rsidR="00986EB8" w:rsidRPr="00067E6D" w:rsidRDefault="00986EB8" w:rsidP="00986EB8">
            <w:pPr>
              <w:spacing w:line="240" w:lineRule="auto"/>
              <w:ind w:firstLine="0"/>
              <w:jc w:val="right"/>
              <w:rPr>
                <w:rFonts w:ascii="Calibri" w:eastAsia="Times New Roman" w:hAnsi="Calibri" w:cs="Times New Roman"/>
                <w:color w:val="000000"/>
              </w:rPr>
            </w:pPr>
            <w:r>
              <w:rPr>
                <w:rFonts w:ascii="Calibri" w:eastAsia="Times New Roman" w:hAnsi="Calibri" w:cs="Times New Roman"/>
                <w:color w:val="000000"/>
              </w:rPr>
              <w:t>Non-Profit</w:t>
            </w:r>
          </w:p>
        </w:tc>
        <w:tc>
          <w:tcPr>
            <w:tcW w:w="1144" w:type="dxa"/>
          </w:tcPr>
          <w:p w14:paraId="2885B20E" w14:textId="77777777" w:rsidR="00986EB8" w:rsidRPr="00067E6D" w:rsidRDefault="009A207F" w:rsidP="00986EB8">
            <w:pPr>
              <w:spacing w:line="240" w:lineRule="auto"/>
              <w:ind w:firstLine="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70</w:t>
            </w:r>
          </w:p>
        </w:tc>
        <w:tc>
          <w:tcPr>
            <w:tcW w:w="1523" w:type="dxa"/>
            <w:noWrap/>
            <w:hideMark/>
          </w:tcPr>
          <w:p w14:paraId="2C0C7F54" w14:textId="77777777" w:rsidR="00986EB8" w:rsidRPr="00067E6D" w:rsidRDefault="009A207F" w:rsidP="00986EB8">
            <w:pPr>
              <w:spacing w:line="240" w:lineRule="auto"/>
              <w:ind w:firstLine="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64.2</w:t>
            </w:r>
          </w:p>
        </w:tc>
      </w:tr>
      <w:tr w:rsidR="00986EB8" w:rsidRPr="00067E6D" w14:paraId="6520E026" w14:textId="77777777" w:rsidTr="00986EB8">
        <w:trPr>
          <w:trHeight w:val="300"/>
          <w:jc w:val="center"/>
        </w:trPr>
        <w:tc>
          <w:tcPr>
            <w:cnfStyle w:val="001000000000" w:firstRow="0" w:lastRow="0" w:firstColumn="1" w:lastColumn="0" w:oddVBand="0" w:evenVBand="0" w:oddHBand="0" w:evenHBand="0" w:firstRowFirstColumn="0" w:firstRowLastColumn="0" w:lastRowFirstColumn="0" w:lastRowLastColumn="0"/>
            <w:tcW w:w="1878" w:type="dxa"/>
            <w:noWrap/>
            <w:hideMark/>
          </w:tcPr>
          <w:p w14:paraId="4AC45925" w14:textId="77777777" w:rsidR="00986EB8" w:rsidRPr="00067E6D" w:rsidRDefault="00986EB8" w:rsidP="00986EB8">
            <w:pPr>
              <w:spacing w:line="240" w:lineRule="auto"/>
              <w:ind w:firstLine="0"/>
              <w:jc w:val="right"/>
              <w:rPr>
                <w:rFonts w:ascii="Calibri" w:eastAsia="Times New Roman" w:hAnsi="Calibri" w:cs="Times New Roman"/>
                <w:b w:val="0"/>
                <w:bCs w:val="0"/>
                <w:color w:val="000000"/>
              </w:rPr>
            </w:pPr>
          </w:p>
        </w:tc>
        <w:tc>
          <w:tcPr>
            <w:tcW w:w="1144" w:type="dxa"/>
          </w:tcPr>
          <w:p w14:paraId="699CB449" w14:textId="77777777" w:rsidR="00986EB8" w:rsidRPr="00067E6D" w:rsidRDefault="009A207F" w:rsidP="00986EB8">
            <w:pPr>
              <w:spacing w:line="240" w:lineRule="auto"/>
              <w:ind w:firstLine="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color w:val="000000"/>
              </w:rPr>
            </w:pPr>
            <w:r>
              <w:rPr>
                <w:rFonts w:ascii="Calibri" w:eastAsia="Times New Roman" w:hAnsi="Calibri" w:cs="Times New Roman"/>
                <w:b/>
                <w:bCs/>
                <w:color w:val="000000"/>
              </w:rPr>
              <w:t>109</w:t>
            </w:r>
          </w:p>
        </w:tc>
        <w:tc>
          <w:tcPr>
            <w:tcW w:w="1523" w:type="dxa"/>
            <w:noWrap/>
            <w:hideMark/>
          </w:tcPr>
          <w:p w14:paraId="3BBD382D" w14:textId="77777777" w:rsidR="00986EB8" w:rsidRPr="00067E6D" w:rsidRDefault="00986EB8" w:rsidP="00986EB8">
            <w:pPr>
              <w:spacing w:line="240" w:lineRule="auto"/>
              <w:ind w:firstLine="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color w:val="000000"/>
              </w:rPr>
            </w:pPr>
            <w:r>
              <w:rPr>
                <w:rFonts w:ascii="Calibri" w:eastAsia="Times New Roman" w:hAnsi="Calibri" w:cs="Times New Roman"/>
                <w:b/>
                <w:bCs/>
                <w:color w:val="000000"/>
              </w:rPr>
              <w:t>100%</w:t>
            </w:r>
          </w:p>
        </w:tc>
      </w:tr>
    </w:tbl>
    <w:p w14:paraId="39440EC9" w14:textId="77777777" w:rsidR="009A207F" w:rsidRDefault="009A207F" w:rsidP="009A207F">
      <w:pPr>
        <w:jc w:val="center"/>
      </w:pPr>
      <w:r>
        <w:rPr>
          <w:noProof/>
        </w:rPr>
        <w:drawing>
          <wp:inline distT="0" distB="0" distL="0" distR="0" wp14:anchorId="119E4F67" wp14:editId="7B495003">
            <wp:extent cx="457200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B7E92C6" w14:textId="290E7D32" w:rsidR="00D470FA" w:rsidRPr="00D470FA" w:rsidRDefault="007D4525" w:rsidP="00D470FA">
      <w:pPr>
        <w:jc w:val="center"/>
      </w:pPr>
      <w:r>
        <w:rPr>
          <w:b/>
          <w:bCs/>
        </w:rPr>
        <w:t>Figure</w:t>
      </w:r>
      <w:r w:rsidR="00D470FA" w:rsidRPr="00D470FA">
        <w:rPr>
          <w:b/>
          <w:bCs/>
        </w:rPr>
        <w:t xml:space="preserve"> </w:t>
      </w:r>
      <w:r w:rsidR="00D470FA">
        <w:rPr>
          <w:b/>
          <w:bCs/>
        </w:rPr>
        <w:t>4</w:t>
      </w:r>
      <w:r w:rsidR="00D470FA" w:rsidRPr="00D470FA">
        <w:rPr>
          <w:b/>
          <w:bCs/>
        </w:rPr>
        <w:t>: No archaeology pages by institution type</w:t>
      </w:r>
    </w:p>
    <w:p w14:paraId="468F846A" w14:textId="77777777" w:rsidR="00D470FA" w:rsidRDefault="00D470FA" w:rsidP="009A207F">
      <w:pPr>
        <w:jc w:val="center"/>
      </w:pPr>
    </w:p>
    <w:p w14:paraId="02F80DF7" w14:textId="03D36646" w:rsidR="00C22E1F" w:rsidRDefault="009A207F" w:rsidP="00927F51">
      <w:pPr>
        <w:rPr>
          <w:rFonts w:cs="Times New Roman"/>
        </w:rPr>
      </w:pPr>
      <w:r>
        <w:rPr>
          <w:rFonts w:cs="Times New Roman"/>
        </w:rPr>
        <w:t>Non-profits made up 64.2</w:t>
      </w:r>
      <w:r w:rsidR="00FB4BD2">
        <w:rPr>
          <w:rFonts w:cs="Times New Roman"/>
        </w:rPr>
        <w:t xml:space="preserve">% </w:t>
      </w:r>
      <w:r w:rsidR="00C22E1F">
        <w:rPr>
          <w:rFonts w:cs="Times New Roman"/>
        </w:rPr>
        <w:t xml:space="preserve">of these </w:t>
      </w:r>
      <w:r w:rsidR="00B71C27">
        <w:rPr>
          <w:rFonts w:cs="Times New Roman"/>
        </w:rPr>
        <w:t>web</w:t>
      </w:r>
      <w:r w:rsidR="00C22E1F">
        <w:rPr>
          <w:rFonts w:cs="Times New Roman"/>
        </w:rPr>
        <w:t xml:space="preserve">sites </w:t>
      </w:r>
      <w:r w:rsidR="00937D4C">
        <w:rPr>
          <w:rFonts w:cs="Times New Roman"/>
        </w:rPr>
        <w:t>(n=</w:t>
      </w:r>
      <w:r w:rsidR="00CD0C8E">
        <w:rPr>
          <w:rFonts w:cs="Times New Roman"/>
        </w:rPr>
        <w:t>70</w:t>
      </w:r>
      <w:r w:rsidR="00937D4C">
        <w:rPr>
          <w:rFonts w:cs="Times New Roman"/>
        </w:rPr>
        <w:t>)</w:t>
      </w:r>
      <w:r w:rsidR="00893D91">
        <w:rPr>
          <w:rFonts w:cs="Times New Roman"/>
        </w:rPr>
        <w:t xml:space="preserve"> (see Table 3/Figure 4)</w:t>
      </w:r>
      <w:r w:rsidR="00FB4BD2">
        <w:rPr>
          <w:rFonts w:cs="Times New Roman"/>
        </w:rPr>
        <w:t xml:space="preserve">. These </w:t>
      </w:r>
      <w:r w:rsidR="00B71C27">
        <w:rPr>
          <w:rFonts w:cs="Times New Roman"/>
        </w:rPr>
        <w:t>web</w:t>
      </w:r>
      <w:r w:rsidR="00FB4BD2">
        <w:rPr>
          <w:rFonts w:cs="Times New Roman"/>
        </w:rPr>
        <w:t xml:space="preserve">sites typically had research, collections, </w:t>
      </w:r>
      <w:r w:rsidR="00353354">
        <w:rPr>
          <w:rFonts w:cs="Times New Roman"/>
        </w:rPr>
        <w:t xml:space="preserve">and/or </w:t>
      </w:r>
      <w:r w:rsidR="00FB4BD2">
        <w:rPr>
          <w:rFonts w:cs="Times New Roman"/>
        </w:rPr>
        <w:t>exhibit information</w:t>
      </w:r>
      <w:r w:rsidR="00290983">
        <w:rPr>
          <w:rFonts w:cs="Times New Roman"/>
        </w:rPr>
        <w:t>,</w:t>
      </w:r>
      <w:r w:rsidR="00FB4BD2">
        <w:rPr>
          <w:rFonts w:cs="Times New Roman"/>
        </w:rPr>
        <w:t xml:space="preserve"> but archaeological work related to the institutions </w:t>
      </w:r>
      <w:r w:rsidR="001A1EE7">
        <w:rPr>
          <w:rFonts w:cs="Times New Roman"/>
        </w:rPr>
        <w:t>was not identified on the</w:t>
      </w:r>
      <w:r w:rsidR="00FB4BD2">
        <w:rPr>
          <w:rFonts w:cs="Times New Roman"/>
        </w:rPr>
        <w:t xml:space="preserve"> websites.</w:t>
      </w:r>
      <w:r w:rsidR="00927F51">
        <w:rPr>
          <w:rFonts w:cs="Times New Roman"/>
        </w:rPr>
        <w:t xml:space="preserve"> The Rosewell Foundation, for example, mentions “preserving, studying, and presenting this historic ruin” </w:t>
      </w:r>
      <w:r w:rsidR="00613CEF">
        <w:rPr>
          <w:rFonts w:cs="Times New Roman"/>
        </w:rPr>
        <w:t>(</w:t>
      </w:r>
      <w:r w:rsidR="00613CEF">
        <w:rPr>
          <w:shd w:val="clear" w:color="auto" w:fill="FFFFFF"/>
        </w:rPr>
        <w:t xml:space="preserve">Rosewell Foundation, </w:t>
      </w:r>
      <w:r w:rsidR="00613CEF" w:rsidRPr="00B93AB3">
        <w:rPr>
          <w:shd w:val="clear" w:color="auto" w:fill="FFFFFF"/>
        </w:rPr>
        <w:t>n.d.</w:t>
      </w:r>
      <w:r w:rsidR="00613CEF">
        <w:rPr>
          <w:rFonts w:cs="Times New Roman"/>
        </w:rPr>
        <w:t xml:space="preserve">) </w:t>
      </w:r>
      <w:r w:rsidR="00927F51">
        <w:rPr>
          <w:rFonts w:cs="Times New Roman"/>
        </w:rPr>
        <w:t xml:space="preserve">but provides no mention of archaeology, or archaeological reports that have informed </w:t>
      </w:r>
      <w:r w:rsidR="00353354">
        <w:rPr>
          <w:rFonts w:cs="Times New Roman"/>
        </w:rPr>
        <w:t xml:space="preserve">the </w:t>
      </w:r>
      <w:r w:rsidR="00927F51">
        <w:rPr>
          <w:rFonts w:cs="Times New Roman"/>
        </w:rPr>
        <w:t>study</w:t>
      </w:r>
      <w:r w:rsidR="00353354">
        <w:rPr>
          <w:rFonts w:cs="Times New Roman"/>
        </w:rPr>
        <w:t xml:space="preserve"> of this place</w:t>
      </w:r>
      <w:r w:rsidR="00927F51">
        <w:rPr>
          <w:rFonts w:cs="Times New Roman"/>
        </w:rPr>
        <w:t>.</w:t>
      </w:r>
      <w:r w:rsidR="001E3D02">
        <w:rPr>
          <w:rFonts w:cs="Times New Roman"/>
        </w:rPr>
        <w:t xml:space="preserve"> Similarly Endview </w:t>
      </w:r>
      <w:r w:rsidR="00A20064">
        <w:rPr>
          <w:rFonts w:cs="Times New Roman"/>
        </w:rPr>
        <w:t>P</w:t>
      </w:r>
      <w:r w:rsidR="001E3D02">
        <w:rPr>
          <w:rFonts w:cs="Times New Roman"/>
        </w:rPr>
        <w:t>lantation</w:t>
      </w:r>
      <w:r w:rsidR="00A20064">
        <w:rPr>
          <w:rFonts w:cs="Times New Roman"/>
        </w:rPr>
        <w:t xml:space="preserve"> </w:t>
      </w:r>
      <w:r w:rsidR="00CF46E8">
        <w:rPr>
          <w:rFonts w:cs="Times New Roman"/>
        </w:rPr>
        <w:t>h</w:t>
      </w:r>
      <w:r w:rsidR="001E3D02">
        <w:rPr>
          <w:rFonts w:cs="Times New Roman"/>
        </w:rPr>
        <w:t xml:space="preserve">as a history and architecture section, but archaeology is not mentioned as </w:t>
      </w:r>
      <w:r w:rsidR="00035BEC">
        <w:rPr>
          <w:rFonts w:cs="Times New Roman"/>
        </w:rPr>
        <w:t xml:space="preserve">contributing to </w:t>
      </w:r>
      <w:r w:rsidR="001E3D02">
        <w:rPr>
          <w:rFonts w:cs="Times New Roman"/>
        </w:rPr>
        <w:t xml:space="preserve">what is known about the </w:t>
      </w:r>
      <w:r w:rsidR="00EF2F17">
        <w:rPr>
          <w:rFonts w:cs="Times New Roman"/>
        </w:rPr>
        <w:t>plantation</w:t>
      </w:r>
      <w:r w:rsidR="00CF46E8">
        <w:rPr>
          <w:rFonts w:cs="Times New Roman"/>
        </w:rPr>
        <w:t xml:space="preserve"> (despite the site being identified as having archaeological collections)</w:t>
      </w:r>
      <w:r w:rsidR="001E3D02">
        <w:rPr>
          <w:rFonts w:cs="Times New Roman"/>
        </w:rPr>
        <w:t>.</w:t>
      </w:r>
    </w:p>
    <w:p w14:paraId="013C6126" w14:textId="77777777" w:rsidR="001940B9" w:rsidRDefault="00290983" w:rsidP="00C22E1F">
      <w:pPr>
        <w:rPr>
          <w:rFonts w:cs="Times New Roman"/>
        </w:rPr>
      </w:pPr>
      <w:r>
        <w:rPr>
          <w:rFonts w:cs="Times New Roman"/>
        </w:rPr>
        <w:lastRenderedPageBreak/>
        <w:t>Included in this group</w:t>
      </w:r>
      <w:r w:rsidR="005024AA">
        <w:rPr>
          <w:rFonts w:cs="Times New Roman"/>
        </w:rPr>
        <w:t xml:space="preserve"> of “no archaeology</w:t>
      </w:r>
      <w:r w:rsidR="00C80868">
        <w:rPr>
          <w:rFonts w:cs="Times New Roman"/>
        </w:rPr>
        <w:t xml:space="preserve"> web pages</w:t>
      </w:r>
      <w:r w:rsidR="005024AA">
        <w:rPr>
          <w:rFonts w:cs="Times New Roman"/>
        </w:rPr>
        <w:t>”</w:t>
      </w:r>
      <w:r>
        <w:rPr>
          <w:rFonts w:cs="Times New Roman"/>
        </w:rPr>
        <w:t xml:space="preserve"> were 10 websites that </w:t>
      </w:r>
      <w:r w:rsidR="005024AA">
        <w:rPr>
          <w:rFonts w:cs="Times New Roman"/>
        </w:rPr>
        <w:t xml:space="preserve">did make </w:t>
      </w:r>
      <w:r w:rsidR="00CA7856">
        <w:rPr>
          <w:rFonts w:cs="Times New Roman"/>
        </w:rPr>
        <w:t>brief</w:t>
      </w:r>
      <w:r>
        <w:rPr>
          <w:rFonts w:cs="Times New Roman"/>
        </w:rPr>
        <w:t xml:space="preserve"> mention</w:t>
      </w:r>
      <w:r w:rsidR="00FF1A44">
        <w:rPr>
          <w:rFonts w:cs="Times New Roman"/>
        </w:rPr>
        <w:t xml:space="preserve"> of</w:t>
      </w:r>
      <w:r>
        <w:rPr>
          <w:rFonts w:cs="Times New Roman"/>
        </w:rPr>
        <w:t xml:space="preserve"> </w:t>
      </w:r>
      <w:r w:rsidRPr="00C22E1F">
        <w:rPr>
          <w:rFonts w:cs="Times New Roman"/>
        </w:rPr>
        <w:t>archaeology</w:t>
      </w:r>
      <w:r>
        <w:rPr>
          <w:rFonts w:cs="Times New Roman"/>
        </w:rPr>
        <w:t>. T</w:t>
      </w:r>
      <w:r w:rsidR="00E72FA6">
        <w:rPr>
          <w:rFonts w:cs="Times New Roman"/>
        </w:rPr>
        <w:t>he Manassas Museum system pages for Mayfield Fort mention</w:t>
      </w:r>
      <w:r w:rsidR="005024AA">
        <w:rPr>
          <w:rFonts w:cs="Times New Roman"/>
        </w:rPr>
        <w:t>s</w:t>
      </w:r>
      <w:r w:rsidR="00E72FA6">
        <w:rPr>
          <w:rFonts w:cs="Times New Roman"/>
        </w:rPr>
        <w:t xml:space="preserve"> "</w:t>
      </w:r>
      <w:r w:rsidR="00E72FA6" w:rsidRPr="00E72FA6">
        <w:rPr>
          <w:rFonts w:cs="Times New Roman"/>
        </w:rPr>
        <w:t>Prehistoric artifacts uncovered on the site</w:t>
      </w:r>
      <w:r w:rsidR="00E72FA6">
        <w:rPr>
          <w:rFonts w:cs="Times New Roman"/>
        </w:rPr>
        <w:t>”</w:t>
      </w:r>
      <w:r w:rsidR="00E72FA6" w:rsidRPr="00E72FA6">
        <w:rPr>
          <w:rFonts w:cs="Times New Roman"/>
        </w:rPr>
        <w:t xml:space="preserve"> and </w:t>
      </w:r>
      <w:r w:rsidR="00E72FA6">
        <w:rPr>
          <w:rFonts w:cs="Times New Roman"/>
        </w:rPr>
        <w:t>“</w:t>
      </w:r>
      <w:r w:rsidR="00E72FA6" w:rsidRPr="00E72FA6">
        <w:rPr>
          <w:rFonts w:cs="Times New Roman"/>
        </w:rPr>
        <w:t>Archeological investigation</w:t>
      </w:r>
      <w:r w:rsidR="00E72FA6">
        <w:rPr>
          <w:rFonts w:cs="Times New Roman"/>
        </w:rPr>
        <w:t>s” of the Fort (</w:t>
      </w:r>
      <w:r w:rsidR="008238E7">
        <w:rPr>
          <w:rFonts w:cs="Times New Roman"/>
        </w:rPr>
        <w:t>City of Manassas, n.d.</w:t>
      </w:r>
      <w:r w:rsidR="00E72FA6">
        <w:rPr>
          <w:rFonts w:cs="Times New Roman"/>
        </w:rPr>
        <w:t xml:space="preserve">). </w:t>
      </w:r>
      <w:r w:rsidR="00046B89">
        <w:rPr>
          <w:rFonts w:cs="Times New Roman"/>
        </w:rPr>
        <w:t>The Northumberland County Historical Society mentions “</w:t>
      </w:r>
      <w:r w:rsidR="00046B89" w:rsidRPr="00046B89">
        <w:rPr>
          <w:rFonts w:cs="Times New Roman"/>
        </w:rPr>
        <w:t>archaeological artifacts dealing with Fort Augusta, from the French and Indian War through the American Revolution, items of significance to the history of Northu</w:t>
      </w:r>
      <w:r w:rsidR="005024AA">
        <w:rPr>
          <w:rFonts w:cs="Times New Roman"/>
        </w:rPr>
        <w:t>mberland County</w:t>
      </w:r>
      <w:r w:rsidR="002F705A">
        <w:rPr>
          <w:rFonts w:cs="Times New Roman"/>
        </w:rPr>
        <w:t>” (</w:t>
      </w:r>
      <w:r w:rsidR="002F705A" w:rsidRPr="00854589">
        <w:t>Northumberland Historical Society, n.d.</w:t>
      </w:r>
      <w:r w:rsidR="002F705A" w:rsidRPr="00854589">
        <w:rPr>
          <w:rFonts w:cs="Times New Roman"/>
        </w:rPr>
        <w:t xml:space="preserve">), </w:t>
      </w:r>
      <w:r w:rsidR="00CD0C8E">
        <w:rPr>
          <w:rFonts w:cs="Times New Roman"/>
        </w:rPr>
        <w:t>and</w:t>
      </w:r>
      <w:r w:rsidR="00046B89" w:rsidRPr="00854589">
        <w:rPr>
          <w:rFonts w:cs="Times New Roman"/>
        </w:rPr>
        <w:t xml:space="preserve"> </w:t>
      </w:r>
      <w:r w:rsidR="005024AA" w:rsidRPr="00854589">
        <w:rPr>
          <w:rFonts w:cs="Times New Roman"/>
        </w:rPr>
        <w:t>“</w:t>
      </w:r>
      <w:r w:rsidR="00046B89" w:rsidRPr="00854589">
        <w:rPr>
          <w:rFonts w:cs="Times New Roman"/>
        </w:rPr>
        <w:t>changing exhibits on topics of histori</w:t>
      </w:r>
      <w:r w:rsidR="00E04014" w:rsidRPr="00854589">
        <w:rPr>
          <w:rFonts w:cs="Times New Roman"/>
        </w:rPr>
        <w:t>cal and archaeological interest</w:t>
      </w:r>
      <w:r w:rsidR="00CD0C8E">
        <w:rPr>
          <w:rFonts w:cs="Times New Roman"/>
        </w:rPr>
        <w:t>.</w:t>
      </w:r>
      <w:r w:rsidR="002F705A" w:rsidRPr="00854589">
        <w:rPr>
          <w:rFonts w:cs="Times New Roman"/>
        </w:rPr>
        <w:t xml:space="preserve">” </w:t>
      </w:r>
      <w:r w:rsidR="00E04014" w:rsidRPr="00854589">
        <w:rPr>
          <w:rFonts w:cs="Times New Roman"/>
        </w:rPr>
        <w:t>T</w:t>
      </w:r>
      <w:r w:rsidR="001940B9" w:rsidRPr="00854589">
        <w:rPr>
          <w:rFonts w:cs="Times New Roman"/>
        </w:rPr>
        <w:t xml:space="preserve">he Museum of the Middle Appalachians mentions </w:t>
      </w:r>
      <w:r w:rsidR="00BF2FC1" w:rsidRPr="00854589">
        <w:rPr>
          <w:rFonts w:cs="Times New Roman"/>
        </w:rPr>
        <w:t>an exhibit</w:t>
      </w:r>
      <w:r w:rsidR="001940B9" w:rsidRPr="00854589">
        <w:rPr>
          <w:rFonts w:cs="Times New Roman"/>
        </w:rPr>
        <w:t xml:space="preserve"> </w:t>
      </w:r>
      <w:r w:rsidR="002F705A" w:rsidRPr="00854589">
        <w:rPr>
          <w:rFonts w:cs="Times New Roman"/>
        </w:rPr>
        <w:t xml:space="preserve">titled </w:t>
      </w:r>
      <w:r w:rsidR="001940B9" w:rsidRPr="00854589">
        <w:rPr>
          <w:rFonts w:cs="Times New Roman"/>
        </w:rPr>
        <w:t xml:space="preserve">“Woodland Indian artifacts” </w:t>
      </w:r>
      <w:r w:rsidR="00E04014" w:rsidRPr="00854589">
        <w:rPr>
          <w:rFonts w:cs="Times New Roman"/>
        </w:rPr>
        <w:t>(</w:t>
      </w:r>
      <w:r w:rsidR="002F705A" w:rsidRPr="00854589">
        <w:rPr>
          <w:rFonts w:cs="Times New Roman"/>
        </w:rPr>
        <w:t>www.museum-mid-app.org/native-american-villages.htm</w:t>
      </w:r>
      <w:r w:rsidR="00E04014" w:rsidRPr="00854589">
        <w:rPr>
          <w:rFonts w:cs="Times New Roman"/>
        </w:rPr>
        <w:t>)</w:t>
      </w:r>
      <w:r w:rsidR="002F705A" w:rsidRPr="00854589">
        <w:rPr>
          <w:rFonts w:cs="Times New Roman"/>
        </w:rPr>
        <w:t xml:space="preserve"> but provides no further details</w:t>
      </w:r>
      <w:r w:rsidR="00BF2FC1" w:rsidRPr="00854589">
        <w:rPr>
          <w:rFonts w:cs="Times New Roman"/>
        </w:rPr>
        <w:t xml:space="preserve">. The </w:t>
      </w:r>
      <w:r w:rsidR="001B2128">
        <w:rPr>
          <w:rFonts w:cs="Times New Roman"/>
        </w:rPr>
        <w:t xml:space="preserve">only archaeological reference by the </w:t>
      </w:r>
      <w:r w:rsidR="00BF2FC1" w:rsidRPr="00854589">
        <w:rPr>
          <w:rFonts w:cs="Times New Roman"/>
        </w:rPr>
        <w:t>Forensic</w:t>
      </w:r>
      <w:r w:rsidR="00BF2FC1">
        <w:rPr>
          <w:rFonts w:cs="Times New Roman"/>
        </w:rPr>
        <w:t xml:space="preserve"> Science Institute at Radford University</w:t>
      </w:r>
      <w:r w:rsidR="00C80868">
        <w:rPr>
          <w:rFonts w:cs="Times New Roman"/>
        </w:rPr>
        <w:t xml:space="preserve"> was a m</w:t>
      </w:r>
      <w:r w:rsidR="00BF2FC1">
        <w:rPr>
          <w:rFonts w:cs="Times New Roman"/>
        </w:rPr>
        <w:t>ention of an archaeological field school</w:t>
      </w:r>
      <w:r w:rsidR="00854589">
        <w:rPr>
          <w:rFonts w:cs="Times New Roman"/>
        </w:rPr>
        <w:t xml:space="preserve">. </w:t>
      </w:r>
    </w:p>
    <w:p w14:paraId="0467ACED" w14:textId="77777777" w:rsidR="00D92646" w:rsidRDefault="00D92646" w:rsidP="00442E75">
      <w:pPr>
        <w:pStyle w:val="Heading2"/>
      </w:pPr>
      <w:bookmarkStart w:id="28" w:name="_Toc419135411"/>
      <w:r>
        <w:t>Archaeology</w:t>
      </w:r>
      <w:r w:rsidR="00C80868">
        <w:t xml:space="preserve"> content</w:t>
      </w:r>
      <w:r w:rsidR="00AC4B1F">
        <w:t>,</w:t>
      </w:r>
      <w:r w:rsidR="00C80868">
        <w:t xml:space="preserve"> </w:t>
      </w:r>
      <w:r>
        <w:t>but no</w:t>
      </w:r>
      <w:r w:rsidR="00C80868">
        <w:t>t</w:t>
      </w:r>
      <w:r>
        <w:t xml:space="preserve"> data</w:t>
      </w:r>
      <w:bookmarkEnd w:id="28"/>
    </w:p>
    <w:p w14:paraId="1861BA77" w14:textId="30675173" w:rsidR="00937D4C" w:rsidRDefault="00C80868" w:rsidP="00937D4C">
      <w:r>
        <w:t>Of the 148 website</w:t>
      </w:r>
      <w:r w:rsidR="00CD0C8E">
        <w:t xml:space="preserve">s, </w:t>
      </w:r>
      <w:r w:rsidR="00F44248">
        <w:t>39</w:t>
      </w:r>
      <w:r>
        <w:t xml:space="preserve"> contained </w:t>
      </w:r>
      <w:r w:rsidR="00F32532">
        <w:t xml:space="preserve">archaeological </w:t>
      </w:r>
      <w:r w:rsidR="00937D4C">
        <w:t>web pages</w:t>
      </w:r>
      <w:r w:rsidR="0000232F">
        <w:t>. A</w:t>
      </w:r>
      <w:r w:rsidR="00BB14D0">
        <w:t xml:space="preserve"> third </w:t>
      </w:r>
      <w:r w:rsidR="00F44248">
        <w:t xml:space="preserve">of these </w:t>
      </w:r>
      <w:r w:rsidR="00127E3D">
        <w:t>(</w:t>
      </w:r>
      <w:r w:rsidR="00F44248">
        <w:t>13</w:t>
      </w:r>
      <w:r w:rsidR="00127E3D">
        <w:t xml:space="preserve">) </w:t>
      </w:r>
      <w:r w:rsidR="00C9373F">
        <w:t>had no archaeological data</w:t>
      </w:r>
      <w:r w:rsidR="002F705A">
        <w:t>, as defined for this study</w:t>
      </w:r>
      <w:r w:rsidR="00C9373F">
        <w:t xml:space="preserve">. These </w:t>
      </w:r>
      <w:r w:rsidR="00B71C27">
        <w:t>web</w:t>
      </w:r>
      <w:r w:rsidR="00C9373F">
        <w:t>sites were examined</w:t>
      </w:r>
      <w:r w:rsidR="00127E3D">
        <w:t xml:space="preserve"> only </w:t>
      </w:r>
      <w:r w:rsidR="00C9373F">
        <w:t>for cha</w:t>
      </w:r>
      <w:r w:rsidR="00127E3D">
        <w:t>racteristics of public outreach</w:t>
      </w:r>
      <w:r w:rsidR="0000232F">
        <w:t xml:space="preserve">, along with the </w:t>
      </w:r>
      <w:r w:rsidR="00F44248">
        <w:t>26</w:t>
      </w:r>
      <w:r w:rsidR="00127E3D">
        <w:t xml:space="preserve"> </w:t>
      </w:r>
      <w:r w:rsidR="0000232F">
        <w:t xml:space="preserve">websites </w:t>
      </w:r>
      <w:r w:rsidR="00127E3D">
        <w:t>(</w:t>
      </w:r>
      <w:r w:rsidR="00F44248">
        <w:t>17.6%</w:t>
      </w:r>
      <w:r w:rsidR="00127E3D">
        <w:t xml:space="preserve">) </w:t>
      </w:r>
      <w:r w:rsidR="0000232F">
        <w:t xml:space="preserve">that </w:t>
      </w:r>
      <w:r w:rsidR="00127E3D">
        <w:t xml:space="preserve">included archaeological data. </w:t>
      </w:r>
    </w:p>
    <w:p w14:paraId="783B1AAF" w14:textId="77777777" w:rsidR="008E3949" w:rsidRDefault="008E3949" w:rsidP="008E3949">
      <w:pPr>
        <w:pStyle w:val="Heading3"/>
      </w:pPr>
      <w:bookmarkStart w:id="29" w:name="_Toc419135412"/>
      <w:r>
        <w:t>Public Outreach</w:t>
      </w:r>
      <w:bookmarkEnd w:id="29"/>
    </w:p>
    <w:p w14:paraId="481745C0" w14:textId="24744E77" w:rsidR="0000232F" w:rsidRPr="00893D91" w:rsidRDefault="006B46B9" w:rsidP="00893D91">
      <w:pPr>
        <w:rPr>
          <w:rFonts w:cs="Times New Roman"/>
        </w:rPr>
      </w:pPr>
      <w:r>
        <w:rPr>
          <w:rFonts w:cs="Times New Roman"/>
        </w:rPr>
        <w:t>T</w:t>
      </w:r>
      <w:r w:rsidRPr="00C9373F">
        <w:rPr>
          <w:rFonts w:cs="Times New Roman"/>
        </w:rPr>
        <w:t xml:space="preserve">he characteristics of public outreach </w:t>
      </w:r>
      <w:r>
        <w:rPr>
          <w:rFonts w:cs="Times New Roman"/>
        </w:rPr>
        <w:t>were identified for those websites with and without archaeological data (n=39). One</w:t>
      </w:r>
      <w:r w:rsidR="00350B89">
        <w:rPr>
          <w:rFonts w:cs="Times New Roman"/>
        </w:rPr>
        <w:t xml:space="preserve"> </w:t>
      </w:r>
      <w:r>
        <w:rPr>
          <w:rFonts w:cs="Times New Roman"/>
        </w:rPr>
        <w:t>or more of the characteristics of public outreach were found in all of these sites. A</w:t>
      </w:r>
      <w:r w:rsidRPr="00C9373F">
        <w:rPr>
          <w:rFonts w:cs="Times New Roman"/>
        </w:rPr>
        <w:t xml:space="preserve">ppropriately for the </w:t>
      </w:r>
      <w:r w:rsidR="0000232F">
        <w:rPr>
          <w:rFonts w:cs="Times New Roman"/>
        </w:rPr>
        <w:t>archaeology</w:t>
      </w:r>
      <w:r w:rsidRPr="00C9373F">
        <w:rPr>
          <w:rFonts w:cs="Times New Roman"/>
        </w:rPr>
        <w:t>, contextual information was provided by nearly 80% of</w:t>
      </w:r>
      <w:r>
        <w:rPr>
          <w:rFonts w:cs="Times New Roman"/>
        </w:rPr>
        <w:t xml:space="preserve"> the websites</w:t>
      </w:r>
      <w:r w:rsidRPr="00C9373F">
        <w:rPr>
          <w:rFonts w:cs="Times New Roman"/>
        </w:rPr>
        <w:t>. Most</w:t>
      </w:r>
      <w:r>
        <w:rPr>
          <w:rFonts w:cs="Times New Roman"/>
        </w:rPr>
        <w:t xml:space="preserve"> </w:t>
      </w:r>
      <w:r w:rsidR="0000232F">
        <w:rPr>
          <w:rFonts w:cs="Times New Roman"/>
        </w:rPr>
        <w:t xml:space="preserve">websites </w:t>
      </w:r>
      <w:r>
        <w:rPr>
          <w:rFonts w:cs="Times New Roman"/>
        </w:rPr>
        <w:t>(70%)</w:t>
      </w:r>
      <w:r w:rsidRPr="00C9373F">
        <w:rPr>
          <w:rFonts w:cs="Times New Roman"/>
        </w:rPr>
        <w:t xml:space="preserve"> have taken advantage of the rich visual potential of archaeological excavations and artifacts by including a range of media</w:t>
      </w:r>
      <w:r>
        <w:rPr>
          <w:rFonts w:cs="Times New Roman"/>
        </w:rPr>
        <w:t xml:space="preserve"> such as photographs and video</w:t>
      </w:r>
      <w:r w:rsidRPr="00C9373F">
        <w:rPr>
          <w:rFonts w:cs="Times New Roman"/>
        </w:rPr>
        <w:t xml:space="preserve">. The other two characteristics that appear on the majority of </w:t>
      </w:r>
      <w:r>
        <w:rPr>
          <w:rFonts w:cs="Times New Roman"/>
        </w:rPr>
        <w:t xml:space="preserve">websites </w:t>
      </w:r>
      <w:r w:rsidRPr="00C9373F">
        <w:rPr>
          <w:rFonts w:cs="Times New Roman"/>
        </w:rPr>
        <w:t xml:space="preserve">are outreach </w:t>
      </w:r>
      <w:r>
        <w:rPr>
          <w:rFonts w:cs="Times New Roman"/>
        </w:rPr>
        <w:t xml:space="preserve">(58%) </w:t>
      </w:r>
      <w:r w:rsidRPr="00C9373F">
        <w:rPr>
          <w:rFonts w:cs="Times New Roman"/>
        </w:rPr>
        <w:t>and summary information</w:t>
      </w:r>
      <w:r>
        <w:rPr>
          <w:rFonts w:cs="Times New Roman"/>
        </w:rPr>
        <w:t xml:space="preserve"> (55%)</w:t>
      </w:r>
      <w:r w:rsidRPr="00C9373F">
        <w:rPr>
          <w:rFonts w:cs="Times New Roman"/>
        </w:rPr>
        <w:t xml:space="preserve">. </w:t>
      </w:r>
      <w:r w:rsidR="0000232F">
        <w:rPr>
          <w:rFonts w:cs="Times New Roman"/>
        </w:rPr>
        <w:t>Community o</w:t>
      </w:r>
      <w:r w:rsidRPr="00C9373F">
        <w:rPr>
          <w:rFonts w:cs="Times New Roman"/>
        </w:rPr>
        <w:t>utreach</w:t>
      </w:r>
      <w:r>
        <w:rPr>
          <w:rFonts w:cs="Times New Roman"/>
        </w:rPr>
        <w:t xml:space="preserve"> counts are</w:t>
      </w:r>
      <w:r w:rsidRPr="00C9373F">
        <w:rPr>
          <w:rFonts w:cs="Times New Roman"/>
        </w:rPr>
        <w:t>, in part</w:t>
      </w:r>
      <w:r>
        <w:rPr>
          <w:rFonts w:cs="Times New Roman"/>
        </w:rPr>
        <w:t>,</w:t>
      </w:r>
      <w:r w:rsidRPr="00C9373F">
        <w:rPr>
          <w:rFonts w:cs="Times New Roman"/>
        </w:rPr>
        <w:t xml:space="preserve"> due to the prevalence of field school opportunities in archaeology</w:t>
      </w:r>
      <w:r>
        <w:rPr>
          <w:rFonts w:cs="Times New Roman"/>
        </w:rPr>
        <w:t>,</w:t>
      </w:r>
      <w:r w:rsidRPr="00C9373F">
        <w:rPr>
          <w:rFonts w:cs="Times New Roman"/>
        </w:rPr>
        <w:t xml:space="preserve"> </w:t>
      </w:r>
      <w:r>
        <w:rPr>
          <w:rFonts w:cs="Times New Roman"/>
        </w:rPr>
        <w:t xml:space="preserve">as </w:t>
      </w:r>
      <w:r w:rsidRPr="00C9373F">
        <w:rPr>
          <w:rFonts w:cs="Times New Roman"/>
        </w:rPr>
        <w:t xml:space="preserve">shared through the website. </w:t>
      </w:r>
      <w:r w:rsidR="00CD0C8E">
        <w:rPr>
          <w:rFonts w:cs="Times New Roman"/>
        </w:rPr>
        <w:t xml:space="preserve">Twenty-one </w:t>
      </w:r>
      <w:r>
        <w:rPr>
          <w:rFonts w:cs="Times New Roman"/>
        </w:rPr>
        <w:t>(55%) websites provide</w:t>
      </w:r>
      <w:r w:rsidRPr="00C9373F">
        <w:rPr>
          <w:rFonts w:cs="Times New Roman"/>
        </w:rPr>
        <w:t xml:space="preserve"> </w:t>
      </w:r>
      <w:r>
        <w:rPr>
          <w:rFonts w:cs="Times New Roman"/>
        </w:rPr>
        <w:t xml:space="preserve">archaeological site </w:t>
      </w:r>
      <w:r>
        <w:rPr>
          <w:rFonts w:cs="Times New Roman"/>
        </w:rPr>
        <w:lastRenderedPageBreak/>
        <w:t>summaries</w:t>
      </w:r>
      <w:r w:rsidRPr="00C9373F">
        <w:rPr>
          <w:rFonts w:cs="Times New Roman"/>
        </w:rPr>
        <w:t>;</w:t>
      </w:r>
      <w:r>
        <w:rPr>
          <w:rFonts w:cs="Times New Roman"/>
        </w:rPr>
        <w:t xml:space="preserve"> </w:t>
      </w:r>
      <w:r w:rsidRPr="00C9373F">
        <w:rPr>
          <w:rFonts w:cs="Times New Roman"/>
        </w:rPr>
        <w:t>communicating information about the archaeological sites in a format written for a non-archaeological audience</w:t>
      </w:r>
      <w:r w:rsidR="00893D91">
        <w:rPr>
          <w:rFonts w:cs="Times New Roman"/>
        </w:rPr>
        <w:t xml:space="preserve"> (see Table 4/Figure 5)</w:t>
      </w:r>
      <w:r w:rsidRPr="00C9373F">
        <w:rPr>
          <w:rFonts w:cs="Times New Roman"/>
        </w:rPr>
        <w:t>.</w:t>
      </w:r>
    </w:p>
    <w:p w14:paraId="3A8ECD0E" w14:textId="597A68E7" w:rsidR="0051301D" w:rsidRPr="000D05B0" w:rsidRDefault="00E04014" w:rsidP="00937D4C">
      <w:pPr>
        <w:ind w:firstLine="0"/>
        <w:jc w:val="center"/>
        <w:rPr>
          <w:rFonts w:cs="Times New Roman"/>
          <w:b/>
        </w:rPr>
      </w:pPr>
      <w:r w:rsidRPr="000D05B0">
        <w:rPr>
          <w:rFonts w:cs="Times New Roman"/>
          <w:b/>
        </w:rPr>
        <w:t xml:space="preserve">Table </w:t>
      </w:r>
      <w:r w:rsidR="00937D4C">
        <w:rPr>
          <w:rFonts w:cs="Times New Roman"/>
          <w:b/>
        </w:rPr>
        <w:t>4</w:t>
      </w:r>
      <w:r w:rsidRPr="000D05B0">
        <w:rPr>
          <w:rFonts w:cs="Times New Roman"/>
          <w:b/>
        </w:rPr>
        <w:t>: Public Outreach Characteristics</w:t>
      </w:r>
    </w:p>
    <w:tbl>
      <w:tblPr>
        <w:tblStyle w:val="GridTable1Light-Accent51"/>
        <w:tblW w:w="8846" w:type="dxa"/>
        <w:jc w:val="center"/>
        <w:tblLook w:val="04A0" w:firstRow="1" w:lastRow="0" w:firstColumn="1" w:lastColumn="0" w:noHBand="0" w:noVBand="1"/>
      </w:tblPr>
      <w:tblGrid>
        <w:gridCol w:w="1357"/>
        <w:gridCol w:w="1290"/>
        <w:gridCol w:w="1067"/>
        <w:gridCol w:w="888"/>
        <w:gridCol w:w="1312"/>
        <w:gridCol w:w="944"/>
        <w:gridCol w:w="901"/>
        <w:gridCol w:w="1087"/>
      </w:tblGrid>
      <w:tr w:rsidR="00781703" w:rsidRPr="00700064" w14:paraId="1A8AB570" w14:textId="77777777" w:rsidTr="00937D4C">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57" w:type="dxa"/>
            <w:noWrap/>
            <w:hideMark/>
          </w:tcPr>
          <w:p w14:paraId="135D541A" w14:textId="77777777" w:rsidR="00781703" w:rsidRPr="00700064" w:rsidRDefault="00781703" w:rsidP="00781703">
            <w:pPr>
              <w:spacing w:line="240" w:lineRule="auto"/>
              <w:ind w:firstLine="0"/>
              <w:rPr>
                <w:rFonts w:ascii="Calibri" w:eastAsia="Times New Roman" w:hAnsi="Calibri" w:cs="Times New Roman"/>
                <w:b w:val="0"/>
                <w:bCs w:val="0"/>
                <w:color w:val="000000"/>
              </w:rPr>
            </w:pPr>
            <w:r>
              <w:rPr>
                <w:rFonts w:ascii="Calibri" w:eastAsia="Times New Roman" w:hAnsi="Calibri" w:cs="Times New Roman"/>
                <w:b w:val="0"/>
                <w:bCs w:val="0"/>
                <w:color w:val="000000"/>
              </w:rPr>
              <w:t>%</w:t>
            </w:r>
          </w:p>
        </w:tc>
        <w:tc>
          <w:tcPr>
            <w:tcW w:w="1290" w:type="dxa"/>
            <w:noWrap/>
            <w:hideMark/>
          </w:tcPr>
          <w:p w14:paraId="7E701DE4" w14:textId="77777777" w:rsidR="00781703" w:rsidRPr="00700064" w:rsidRDefault="00781703" w:rsidP="00781703">
            <w:pPr>
              <w:spacing w:line="240" w:lineRule="auto"/>
              <w:ind w:firstLine="0"/>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b w:val="0"/>
                <w:bCs w:val="0"/>
                <w:color w:val="000000"/>
              </w:rPr>
            </w:pPr>
            <w:r w:rsidRPr="00700064">
              <w:rPr>
                <w:rFonts w:ascii="Calibri" w:eastAsia="Times New Roman" w:hAnsi="Calibri" w:cs="Times New Roman"/>
                <w:b w:val="0"/>
                <w:bCs w:val="0"/>
                <w:color w:val="000000"/>
              </w:rPr>
              <w:t>Educational</w:t>
            </w:r>
          </w:p>
        </w:tc>
        <w:tc>
          <w:tcPr>
            <w:tcW w:w="1067" w:type="dxa"/>
            <w:noWrap/>
            <w:hideMark/>
          </w:tcPr>
          <w:p w14:paraId="2E37B9BA" w14:textId="77777777" w:rsidR="00781703" w:rsidRPr="00700064" w:rsidRDefault="00781703" w:rsidP="00781703">
            <w:pPr>
              <w:spacing w:line="240" w:lineRule="auto"/>
              <w:ind w:firstLine="0"/>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b w:val="0"/>
                <w:bCs w:val="0"/>
                <w:color w:val="000000"/>
              </w:rPr>
            </w:pPr>
            <w:r w:rsidRPr="00700064">
              <w:rPr>
                <w:rFonts w:ascii="Calibri" w:eastAsia="Times New Roman" w:hAnsi="Calibri" w:cs="Times New Roman"/>
                <w:b w:val="0"/>
                <w:bCs w:val="0"/>
                <w:color w:val="000000"/>
              </w:rPr>
              <w:t>Outreach</w:t>
            </w:r>
          </w:p>
        </w:tc>
        <w:tc>
          <w:tcPr>
            <w:tcW w:w="888" w:type="dxa"/>
            <w:noWrap/>
            <w:hideMark/>
          </w:tcPr>
          <w:p w14:paraId="2ADCDED3" w14:textId="77777777" w:rsidR="00781703" w:rsidRPr="00700064" w:rsidRDefault="00781703" w:rsidP="00781703">
            <w:pPr>
              <w:spacing w:line="240" w:lineRule="auto"/>
              <w:ind w:firstLine="0"/>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b w:val="0"/>
                <w:bCs w:val="0"/>
                <w:color w:val="000000"/>
              </w:rPr>
            </w:pPr>
            <w:r w:rsidRPr="00700064">
              <w:rPr>
                <w:rFonts w:ascii="Calibri" w:eastAsia="Times New Roman" w:hAnsi="Calibri" w:cs="Times New Roman"/>
                <w:b w:val="0"/>
                <w:bCs w:val="0"/>
                <w:color w:val="000000"/>
              </w:rPr>
              <w:t>Media</w:t>
            </w:r>
          </w:p>
        </w:tc>
        <w:tc>
          <w:tcPr>
            <w:tcW w:w="1312" w:type="dxa"/>
            <w:noWrap/>
            <w:hideMark/>
          </w:tcPr>
          <w:p w14:paraId="765D1EB7" w14:textId="77777777" w:rsidR="00781703" w:rsidRPr="00700064" w:rsidRDefault="00781703" w:rsidP="00781703">
            <w:pPr>
              <w:spacing w:line="240" w:lineRule="auto"/>
              <w:ind w:firstLine="0"/>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b w:val="0"/>
                <w:bCs w:val="0"/>
                <w:color w:val="000000"/>
              </w:rPr>
            </w:pPr>
            <w:r w:rsidRPr="00700064">
              <w:rPr>
                <w:rFonts w:ascii="Calibri" w:eastAsia="Times New Roman" w:hAnsi="Calibri" w:cs="Times New Roman"/>
                <w:b w:val="0"/>
                <w:bCs w:val="0"/>
                <w:color w:val="000000"/>
              </w:rPr>
              <w:t>Contextual</w:t>
            </w:r>
          </w:p>
        </w:tc>
        <w:tc>
          <w:tcPr>
            <w:tcW w:w="944" w:type="dxa"/>
            <w:noWrap/>
            <w:hideMark/>
          </w:tcPr>
          <w:p w14:paraId="6D70390E" w14:textId="77777777" w:rsidR="00781703" w:rsidRPr="00700064" w:rsidRDefault="0090757C" w:rsidP="004037F1">
            <w:pPr>
              <w:spacing w:line="240" w:lineRule="auto"/>
              <w:ind w:firstLine="0"/>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b w:val="0"/>
                <w:bCs w:val="0"/>
                <w:color w:val="000000"/>
              </w:rPr>
            </w:pPr>
            <w:r>
              <w:rPr>
                <w:rFonts w:ascii="Calibri" w:eastAsia="Times New Roman" w:hAnsi="Calibri" w:cs="Times New Roman"/>
                <w:b w:val="0"/>
                <w:bCs w:val="0"/>
                <w:color w:val="000000"/>
              </w:rPr>
              <w:t>Social</w:t>
            </w:r>
            <w:r w:rsidR="004037F1">
              <w:rPr>
                <w:rFonts w:ascii="Calibri" w:eastAsia="Times New Roman" w:hAnsi="Calibri" w:cs="Times New Roman"/>
                <w:b w:val="0"/>
                <w:bCs w:val="0"/>
                <w:color w:val="000000"/>
              </w:rPr>
              <w:t xml:space="preserve"> M</w:t>
            </w:r>
            <w:r w:rsidR="00781703" w:rsidRPr="00700064">
              <w:rPr>
                <w:rFonts w:ascii="Calibri" w:eastAsia="Times New Roman" w:hAnsi="Calibri" w:cs="Times New Roman"/>
                <w:b w:val="0"/>
                <w:bCs w:val="0"/>
                <w:color w:val="000000"/>
              </w:rPr>
              <w:t>edia</w:t>
            </w:r>
          </w:p>
        </w:tc>
        <w:tc>
          <w:tcPr>
            <w:tcW w:w="901" w:type="dxa"/>
            <w:noWrap/>
            <w:hideMark/>
          </w:tcPr>
          <w:p w14:paraId="0549C18E" w14:textId="77777777" w:rsidR="00781703" w:rsidRPr="00700064" w:rsidRDefault="00781703" w:rsidP="00781703">
            <w:pPr>
              <w:spacing w:line="240" w:lineRule="auto"/>
              <w:ind w:firstLine="0"/>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b w:val="0"/>
                <w:bCs w:val="0"/>
                <w:color w:val="000000"/>
              </w:rPr>
            </w:pPr>
            <w:r w:rsidRPr="00700064">
              <w:rPr>
                <w:rFonts w:ascii="Calibri" w:eastAsia="Times New Roman" w:hAnsi="Calibri" w:cs="Times New Roman"/>
                <w:b w:val="0"/>
                <w:bCs w:val="0"/>
                <w:color w:val="000000"/>
              </w:rPr>
              <w:t>Blog</w:t>
            </w:r>
          </w:p>
        </w:tc>
        <w:tc>
          <w:tcPr>
            <w:tcW w:w="1087" w:type="dxa"/>
            <w:noWrap/>
            <w:hideMark/>
          </w:tcPr>
          <w:p w14:paraId="7993149D" w14:textId="77777777" w:rsidR="00781703" w:rsidRPr="00700064" w:rsidRDefault="00781703" w:rsidP="00781703">
            <w:pPr>
              <w:spacing w:line="240" w:lineRule="auto"/>
              <w:ind w:firstLine="0"/>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b w:val="0"/>
                <w:bCs w:val="0"/>
                <w:color w:val="000000"/>
              </w:rPr>
            </w:pPr>
            <w:r w:rsidRPr="00700064">
              <w:rPr>
                <w:rFonts w:ascii="Calibri" w:eastAsia="Times New Roman" w:hAnsi="Calibri" w:cs="Times New Roman"/>
                <w:b w:val="0"/>
                <w:bCs w:val="0"/>
                <w:color w:val="000000"/>
              </w:rPr>
              <w:t>Summary</w:t>
            </w:r>
          </w:p>
        </w:tc>
      </w:tr>
      <w:tr w:rsidR="0090757C" w:rsidRPr="00700064" w14:paraId="08155B1F" w14:textId="77777777" w:rsidTr="00937D4C">
        <w:trPr>
          <w:trHeight w:val="323"/>
          <w:jc w:val="center"/>
        </w:trPr>
        <w:tc>
          <w:tcPr>
            <w:cnfStyle w:val="001000000000" w:firstRow="0" w:lastRow="0" w:firstColumn="1" w:lastColumn="0" w:oddVBand="0" w:evenVBand="0" w:oddHBand="0" w:evenHBand="0" w:firstRowFirstColumn="0" w:firstRowLastColumn="0" w:lastRowFirstColumn="0" w:lastRowLastColumn="0"/>
            <w:tcW w:w="1357" w:type="dxa"/>
            <w:noWrap/>
            <w:hideMark/>
          </w:tcPr>
          <w:p w14:paraId="565F3A77" w14:textId="77777777" w:rsidR="00781703" w:rsidRPr="00700064" w:rsidRDefault="00781703" w:rsidP="00781703">
            <w:pPr>
              <w:spacing w:line="240" w:lineRule="auto"/>
              <w:ind w:firstLine="0"/>
              <w:jc w:val="right"/>
              <w:rPr>
                <w:rFonts w:ascii="Calibri" w:eastAsia="Times New Roman" w:hAnsi="Calibri" w:cs="Times New Roman"/>
                <w:color w:val="000000"/>
              </w:rPr>
            </w:pPr>
            <w:r>
              <w:rPr>
                <w:rFonts w:ascii="Calibri" w:eastAsia="Times New Roman" w:hAnsi="Calibri" w:cs="Times New Roman"/>
                <w:color w:val="000000"/>
              </w:rPr>
              <w:t>Present</w:t>
            </w:r>
            <w:r w:rsidR="00F44248">
              <w:rPr>
                <w:rFonts w:ascii="Calibri" w:eastAsia="Times New Roman" w:hAnsi="Calibri" w:cs="Times New Roman"/>
                <w:color w:val="000000"/>
              </w:rPr>
              <w:t xml:space="preserve"> </w:t>
            </w:r>
          </w:p>
        </w:tc>
        <w:tc>
          <w:tcPr>
            <w:tcW w:w="1290" w:type="dxa"/>
            <w:noWrap/>
            <w:hideMark/>
          </w:tcPr>
          <w:p w14:paraId="1E52CA96" w14:textId="77777777" w:rsidR="00781703" w:rsidRDefault="005262BA" w:rsidP="00781703">
            <w:pPr>
              <w:ind w:firstLine="0"/>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15</w:t>
            </w:r>
          </w:p>
        </w:tc>
        <w:tc>
          <w:tcPr>
            <w:tcW w:w="1067" w:type="dxa"/>
            <w:noWrap/>
            <w:hideMark/>
          </w:tcPr>
          <w:p w14:paraId="6932B0C9" w14:textId="77777777" w:rsidR="00781703" w:rsidRDefault="005262BA" w:rsidP="00781703">
            <w:pPr>
              <w:ind w:firstLine="0"/>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22</w:t>
            </w:r>
          </w:p>
        </w:tc>
        <w:tc>
          <w:tcPr>
            <w:tcW w:w="888" w:type="dxa"/>
            <w:noWrap/>
            <w:hideMark/>
          </w:tcPr>
          <w:p w14:paraId="58B4F61F" w14:textId="77777777" w:rsidR="00781703" w:rsidRDefault="005262BA" w:rsidP="00781703">
            <w:pPr>
              <w:ind w:firstLine="0"/>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26</w:t>
            </w:r>
          </w:p>
        </w:tc>
        <w:tc>
          <w:tcPr>
            <w:tcW w:w="1312" w:type="dxa"/>
            <w:noWrap/>
            <w:hideMark/>
          </w:tcPr>
          <w:p w14:paraId="3152DAB4" w14:textId="77777777" w:rsidR="00781703" w:rsidRDefault="005262BA" w:rsidP="00781703">
            <w:pPr>
              <w:ind w:firstLine="0"/>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31</w:t>
            </w:r>
          </w:p>
        </w:tc>
        <w:tc>
          <w:tcPr>
            <w:tcW w:w="944" w:type="dxa"/>
            <w:noWrap/>
            <w:hideMark/>
          </w:tcPr>
          <w:p w14:paraId="529D0441" w14:textId="77777777" w:rsidR="00781703" w:rsidRDefault="005262BA" w:rsidP="00781703">
            <w:pPr>
              <w:ind w:firstLine="0"/>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19</w:t>
            </w:r>
          </w:p>
        </w:tc>
        <w:tc>
          <w:tcPr>
            <w:tcW w:w="901" w:type="dxa"/>
            <w:noWrap/>
          </w:tcPr>
          <w:p w14:paraId="6CB91BC9" w14:textId="77777777" w:rsidR="00781703" w:rsidRDefault="005262BA" w:rsidP="00781703">
            <w:pPr>
              <w:ind w:firstLine="0"/>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17</w:t>
            </w:r>
          </w:p>
        </w:tc>
        <w:tc>
          <w:tcPr>
            <w:tcW w:w="1087" w:type="dxa"/>
            <w:noWrap/>
            <w:hideMark/>
          </w:tcPr>
          <w:p w14:paraId="146BD69F" w14:textId="77777777" w:rsidR="00781703" w:rsidRDefault="005262BA" w:rsidP="00781703">
            <w:pPr>
              <w:ind w:firstLine="0"/>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21</w:t>
            </w:r>
          </w:p>
        </w:tc>
      </w:tr>
      <w:tr w:rsidR="0090757C" w:rsidRPr="00700064" w14:paraId="24B19648" w14:textId="77777777" w:rsidTr="00937D4C">
        <w:trPr>
          <w:trHeight w:val="80"/>
          <w:jc w:val="center"/>
        </w:trPr>
        <w:tc>
          <w:tcPr>
            <w:cnfStyle w:val="001000000000" w:firstRow="0" w:lastRow="0" w:firstColumn="1" w:lastColumn="0" w:oddVBand="0" w:evenVBand="0" w:oddHBand="0" w:evenHBand="0" w:firstRowFirstColumn="0" w:firstRowLastColumn="0" w:lastRowFirstColumn="0" w:lastRowLastColumn="0"/>
            <w:tcW w:w="1357" w:type="dxa"/>
            <w:noWrap/>
            <w:hideMark/>
          </w:tcPr>
          <w:p w14:paraId="36556112" w14:textId="77777777" w:rsidR="00781703" w:rsidRPr="00700064" w:rsidRDefault="00781703" w:rsidP="00781703">
            <w:pPr>
              <w:spacing w:line="240" w:lineRule="auto"/>
              <w:ind w:firstLine="0"/>
              <w:jc w:val="right"/>
              <w:rPr>
                <w:rFonts w:ascii="Calibri" w:eastAsia="Times New Roman" w:hAnsi="Calibri" w:cs="Times New Roman"/>
                <w:color w:val="000000"/>
              </w:rPr>
            </w:pPr>
            <w:r>
              <w:rPr>
                <w:rFonts w:ascii="Calibri" w:eastAsia="Times New Roman" w:hAnsi="Calibri" w:cs="Times New Roman"/>
                <w:color w:val="000000"/>
              </w:rPr>
              <w:t>Present</w:t>
            </w:r>
            <w:r w:rsidR="00F44248">
              <w:rPr>
                <w:rFonts w:ascii="Calibri" w:eastAsia="Times New Roman" w:hAnsi="Calibri" w:cs="Times New Roman"/>
                <w:color w:val="000000"/>
              </w:rPr>
              <w:t xml:space="preserve"> %</w:t>
            </w:r>
          </w:p>
        </w:tc>
        <w:tc>
          <w:tcPr>
            <w:tcW w:w="1290" w:type="dxa"/>
            <w:noWrap/>
            <w:hideMark/>
          </w:tcPr>
          <w:p w14:paraId="0479BAD9" w14:textId="3FDBBCCD" w:rsidR="00781703" w:rsidRDefault="00CD0C8E" w:rsidP="00CD0C8E">
            <w:pPr>
              <w:ind w:firstLine="0"/>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38</w:t>
            </w:r>
            <w:r w:rsidR="00D60D2C">
              <w:rPr>
                <w:rFonts w:ascii="Calibri" w:hAnsi="Calibri"/>
                <w:color w:val="000000"/>
              </w:rPr>
              <w:t>.5</w:t>
            </w:r>
            <w:r w:rsidR="00781703">
              <w:rPr>
                <w:rFonts w:ascii="Calibri" w:hAnsi="Calibri"/>
                <w:color w:val="000000"/>
              </w:rPr>
              <w:t>%</w:t>
            </w:r>
          </w:p>
        </w:tc>
        <w:tc>
          <w:tcPr>
            <w:tcW w:w="1067" w:type="dxa"/>
            <w:noWrap/>
            <w:hideMark/>
          </w:tcPr>
          <w:p w14:paraId="4D01B900" w14:textId="7179B799" w:rsidR="00781703" w:rsidRDefault="00CD0C8E" w:rsidP="00CD0C8E">
            <w:pPr>
              <w:ind w:firstLine="0"/>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56.4</w:t>
            </w:r>
            <w:r w:rsidR="00781703">
              <w:rPr>
                <w:rFonts w:ascii="Calibri" w:hAnsi="Calibri"/>
                <w:color w:val="000000"/>
              </w:rPr>
              <w:t>%</w:t>
            </w:r>
          </w:p>
        </w:tc>
        <w:tc>
          <w:tcPr>
            <w:tcW w:w="888" w:type="dxa"/>
            <w:noWrap/>
            <w:hideMark/>
          </w:tcPr>
          <w:p w14:paraId="5623083F" w14:textId="65855C1F" w:rsidR="00781703" w:rsidRDefault="00CD0C8E" w:rsidP="00D60D2C">
            <w:pPr>
              <w:ind w:firstLine="0"/>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66.7</w:t>
            </w:r>
            <w:r w:rsidR="00781703">
              <w:rPr>
                <w:rFonts w:ascii="Calibri" w:hAnsi="Calibri"/>
                <w:color w:val="000000"/>
              </w:rPr>
              <w:t>%</w:t>
            </w:r>
          </w:p>
        </w:tc>
        <w:tc>
          <w:tcPr>
            <w:tcW w:w="1312" w:type="dxa"/>
            <w:noWrap/>
            <w:hideMark/>
          </w:tcPr>
          <w:p w14:paraId="19002B29" w14:textId="482BEEB2" w:rsidR="00781703" w:rsidRDefault="00CD0C8E" w:rsidP="00D60D2C">
            <w:pPr>
              <w:ind w:firstLine="0"/>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79.5</w:t>
            </w:r>
            <w:r w:rsidR="00781703">
              <w:rPr>
                <w:rFonts w:ascii="Calibri" w:hAnsi="Calibri"/>
                <w:color w:val="000000"/>
              </w:rPr>
              <w:t>%</w:t>
            </w:r>
          </w:p>
        </w:tc>
        <w:tc>
          <w:tcPr>
            <w:tcW w:w="944" w:type="dxa"/>
            <w:noWrap/>
            <w:hideMark/>
          </w:tcPr>
          <w:p w14:paraId="3684884E" w14:textId="58710FE9" w:rsidR="00781703" w:rsidRDefault="00CD0C8E" w:rsidP="00781703">
            <w:pPr>
              <w:ind w:firstLine="0"/>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48.7</w:t>
            </w:r>
            <w:r w:rsidR="005262BA">
              <w:rPr>
                <w:rFonts w:ascii="Calibri" w:hAnsi="Calibri"/>
                <w:color w:val="000000"/>
              </w:rPr>
              <w:t>%</w:t>
            </w:r>
          </w:p>
        </w:tc>
        <w:tc>
          <w:tcPr>
            <w:tcW w:w="901" w:type="dxa"/>
            <w:noWrap/>
            <w:hideMark/>
          </w:tcPr>
          <w:p w14:paraId="156DEBF5" w14:textId="047C310B" w:rsidR="00781703" w:rsidRDefault="00CD0C8E" w:rsidP="00D60D2C">
            <w:pPr>
              <w:ind w:firstLine="0"/>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43.6</w:t>
            </w:r>
            <w:r w:rsidR="00781703">
              <w:rPr>
                <w:rFonts w:ascii="Calibri" w:hAnsi="Calibri"/>
                <w:color w:val="000000"/>
              </w:rPr>
              <w:t>%</w:t>
            </w:r>
          </w:p>
        </w:tc>
        <w:tc>
          <w:tcPr>
            <w:tcW w:w="1087" w:type="dxa"/>
            <w:noWrap/>
            <w:hideMark/>
          </w:tcPr>
          <w:p w14:paraId="3501E4C1" w14:textId="562F16A3" w:rsidR="00781703" w:rsidRDefault="00CD0C8E" w:rsidP="00D60D2C">
            <w:pPr>
              <w:ind w:firstLine="0"/>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53.8</w:t>
            </w:r>
            <w:r w:rsidR="00781703">
              <w:rPr>
                <w:rFonts w:ascii="Calibri" w:hAnsi="Calibri"/>
                <w:color w:val="000000"/>
              </w:rPr>
              <w:t>%</w:t>
            </w:r>
          </w:p>
        </w:tc>
      </w:tr>
    </w:tbl>
    <w:p w14:paraId="4BDF1DA6" w14:textId="77777777" w:rsidR="00A20064" w:rsidRDefault="008E3949" w:rsidP="008E3949">
      <w:pPr>
        <w:jc w:val="center"/>
        <w:rPr>
          <w:rFonts w:cs="Times New Roman"/>
        </w:rPr>
      </w:pPr>
      <w:r w:rsidRPr="008E3949">
        <w:rPr>
          <w:rFonts w:cs="Times New Roman"/>
          <w:noProof/>
        </w:rPr>
        <w:drawing>
          <wp:inline distT="0" distB="0" distL="0" distR="0" wp14:anchorId="46F310CC" wp14:editId="10FDD973">
            <wp:extent cx="4572000" cy="27432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0A3A772" w14:textId="76345C3A" w:rsidR="00D470FA" w:rsidRPr="00D470FA" w:rsidRDefault="007D4525" w:rsidP="00D470FA">
      <w:pPr>
        <w:jc w:val="center"/>
        <w:rPr>
          <w:rFonts w:cs="Times New Roman"/>
        </w:rPr>
      </w:pPr>
      <w:r>
        <w:rPr>
          <w:rFonts w:cs="Times New Roman"/>
          <w:b/>
          <w:bCs/>
        </w:rPr>
        <w:t>Figure</w:t>
      </w:r>
      <w:r w:rsidR="00D470FA" w:rsidRPr="00D470FA">
        <w:rPr>
          <w:rFonts w:cs="Times New Roman"/>
          <w:b/>
          <w:bCs/>
        </w:rPr>
        <w:t xml:space="preserve"> </w:t>
      </w:r>
      <w:r w:rsidR="00D470FA">
        <w:rPr>
          <w:rFonts w:cs="Times New Roman"/>
          <w:b/>
          <w:bCs/>
        </w:rPr>
        <w:t>5</w:t>
      </w:r>
      <w:r w:rsidR="00D470FA" w:rsidRPr="00D470FA">
        <w:rPr>
          <w:rFonts w:cs="Times New Roman"/>
          <w:b/>
          <w:bCs/>
        </w:rPr>
        <w:t>: Public Outreach characteristics</w:t>
      </w:r>
    </w:p>
    <w:p w14:paraId="758BCF0A" w14:textId="77777777" w:rsidR="00D470FA" w:rsidRDefault="00D470FA" w:rsidP="008E3949">
      <w:pPr>
        <w:jc w:val="center"/>
        <w:rPr>
          <w:rFonts w:cs="Times New Roman"/>
        </w:rPr>
      </w:pPr>
    </w:p>
    <w:p w14:paraId="49814CCF" w14:textId="500CC375" w:rsidR="00121F83" w:rsidRDefault="00871D07" w:rsidP="005B197A">
      <w:r>
        <w:rPr>
          <w:rFonts w:cs="Times New Roman"/>
        </w:rPr>
        <w:t>Blogging. 43.6</w:t>
      </w:r>
      <w:r w:rsidR="00794790">
        <w:rPr>
          <w:rFonts w:cs="Times New Roman"/>
        </w:rPr>
        <w:t>%,</w:t>
      </w:r>
      <w:r>
        <w:rPr>
          <w:rFonts w:cs="Times New Roman"/>
        </w:rPr>
        <w:t xml:space="preserve"> (n=17)</w:t>
      </w:r>
      <w:r w:rsidR="00794790">
        <w:rPr>
          <w:rFonts w:cs="Times New Roman"/>
        </w:rPr>
        <w:t xml:space="preserve"> </w:t>
      </w:r>
      <w:r w:rsidR="00C9373F" w:rsidRPr="00C9373F">
        <w:rPr>
          <w:rFonts w:cs="Times New Roman"/>
        </w:rPr>
        <w:t>and other social media</w:t>
      </w:r>
      <w:r>
        <w:rPr>
          <w:rFonts w:cs="Times New Roman"/>
        </w:rPr>
        <w:t>, 48.7</w:t>
      </w:r>
      <w:r w:rsidR="00794790">
        <w:rPr>
          <w:rFonts w:cs="Times New Roman"/>
        </w:rPr>
        <w:t>%</w:t>
      </w:r>
      <w:r w:rsidR="00C9373F" w:rsidRPr="00C9373F">
        <w:rPr>
          <w:rFonts w:cs="Times New Roman"/>
        </w:rPr>
        <w:t xml:space="preserve"> </w:t>
      </w:r>
      <w:r>
        <w:rPr>
          <w:rFonts w:cs="Times New Roman"/>
        </w:rPr>
        <w:t xml:space="preserve">(n=19) </w:t>
      </w:r>
      <w:r w:rsidR="00C9373F" w:rsidRPr="00C9373F">
        <w:rPr>
          <w:rFonts w:cs="Times New Roman"/>
        </w:rPr>
        <w:t xml:space="preserve">were used by </w:t>
      </w:r>
      <w:r w:rsidR="00794790">
        <w:rPr>
          <w:rFonts w:cs="Times New Roman"/>
        </w:rPr>
        <w:t xml:space="preserve">about </w:t>
      </w:r>
      <w:r w:rsidR="00C9373F" w:rsidRPr="00C9373F">
        <w:rPr>
          <w:rFonts w:cs="Times New Roman"/>
        </w:rPr>
        <w:t xml:space="preserve">half of the </w:t>
      </w:r>
      <w:r w:rsidR="00B71C27">
        <w:rPr>
          <w:rFonts w:cs="Times New Roman"/>
        </w:rPr>
        <w:t>websites</w:t>
      </w:r>
      <w:r w:rsidR="00C9373F" w:rsidRPr="00C9373F">
        <w:rPr>
          <w:rFonts w:cs="Times New Roman"/>
        </w:rPr>
        <w:t xml:space="preserve">. However, not all of the institutions had active archaeological programs; some reflected content from previously undertaken projects. </w:t>
      </w:r>
      <w:r w:rsidR="002978EF">
        <w:rPr>
          <w:rFonts w:cs="Times New Roman"/>
        </w:rPr>
        <w:t>It may be that s</w:t>
      </w:r>
      <w:r w:rsidR="00C9373F" w:rsidRPr="00C9373F">
        <w:rPr>
          <w:rFonts w:cs="Times New Roman"/>
        </w:rPr>
        <w:t xml:space="preserve">ocial media use and blogs reflected </w:t>
      </w:r>
      <w:r w:rsidR="002978EF">
        <w:rPr>
          <w:rFonts w:cs="Times New Roman"/>
        </w:rPr>
        <w:t>c</w:t>
      </w:r>
      <w:r w:rsidR="00C9373F" w:rsidRPr="00C9373F">
        <w:rPr>
          <w:rFonts w:cs="Times New Roman"/>
        </w:rPr>
        <w:t>urrent</w:t>
      </w:r>
      <w:r w:rsidR="002978EF">
        <w:rPr>
          <w:rFonts w:cs="Times New Roman"/>
        </w:rPr>
        <w:t xml:space="preserve"> or recently completed </w:t>
      </w:r>
      <w:r w:rsidR="00C9373F" w:rsidRPr="00C9373F">
        <w:rPr>
          <w:rFonts w:cs="Times New Roman"/>
        </w:rPr>
        <w:t xml:space="preserve">programs. </w:t>
      </w:r>
      <w:r w:rsidR="00C9373F">
        <w:t>Almost all the social media was Facebook, though Jamestown</w:t>
      </w:r>
      <w:r w:rsidR="0081511C">
        <w:t xml:space="preserve"> Rediscovery</w:t>
      </w:r>
      <w:r w:rsidR="00BB14D0">
        <w:t xml:space="preserve"> </w:t>
      </w:r>
      <w:r w:rsidR="00C9373F">
        <w:t>had a YouTube feed</w:t>
      </w:r>
      <w:r w:rsidR="002F705A">
        <w:t>,</w:t>
      </w:r>
      <w:r w:rsidR="00C9373F">
        <w:t xml:space="preserve"> and Montpelier included a social media bar with further options. </w:t>
      </w:r>
      <w:r w:rsidR="00C9373F" w:rsidRPr="00C9373F">
        <w:rPr>
          <w:rFonts w:cs="Times New Roman"/>
        </w:rPr>
        <w:t xml:space="preserve">Though not recorded for the survey, </w:t>
      </w:r>
      <w:r w:rsidR="002F57CE">
        <w:rPr>
          <w:rFonts w:cs="Times New Roman"/>
        </w:rPr>
        <w:t xml:space="preserve">it was observed that </w:t>
      </w:r>
      <w:r w:rsidR="00C9373F" w:rsidRPr="00C9373F">
        <w:rPr>
          <w:rFonts w:cs="Times New Roman"/>
        </w:rPr>
        <w:t>most blogs had recent content</w:t>
      </w:r>
      <w:r w:rsidR="002F57CE">
        <w:rPr>
          <w:rFonts w:cs="Times New Roman"/>
        </w:rPr>
        <w:t>,</w:t>
      </w:r>
      <w:r w:rsidR="00C9373F" w:rsidRPr="00C9373F">
        <w:rPr>
          <w:rFonts w:cs="Times New Roman"/>
        </w:rPr>
        <w:t xml:space="preserve"> and appeared to be aimed at a broad, rather than specialist demographic. Explicit educational modules appeared on </w:t>
      </w:r>
      <w:r>
        <w:rPr>
          <w:rFonts w:cs="Times New Roman"/>
        </w:rPr>
        <w:lastRenderedPageBreak/>
        <w:t xml:space="preserve">38.5% </w:t>
      </w:r>
      <w:r w:rsidR="00C9373F" w:rsidRPr="00C9373F">
        <w:rPr>
          <w:rFonts w:cs="Times New Roman"/>
        </w:rPr>
        <w:t xml:space="preserve">of </w:t>
      </w:r>
      <w:r w:rsidR="00B71C27">
        <w:rPr>
          <w:rFonts w:cs="Times New Roman"/>
        </w:rPr>
        <w:t>websites</w:t>
      </w:r>
      <w:r w:rsidR="002978D2">
        <w:rPr>
          <w:rFonts w:cs="Times New Roman"/>
        </w:rPr>
        <w:t xml:space="preserve"> (</w:t>
      </w:r>
      <w:r w:rsidR="00794790">
        <w:rPr>
          <w:rFonts w:cs="Times New Roman"/>
        </w:rPr>
        <w:t>15</w:t>
      </w:r>
      <w:r w:rsidR="002978D2">
        <w:rPr>
          <w:rFonts w:cs="Times New Roman"/>
        </w:rPr>
        <w:t>). T</w:t>
      </w:r>
      <w:r w:rsidR="00121F83">
        <w:t xml:space="preserve">he </w:t>
      </w:r>
      <w:r w:rsidR="00AB778B">
        <w:t xml:space="preserve">educational content clustered towards those </w:t>
      </w:r>
      <w:r w:rsidR="00B71C27">
        <w:rPr>
          <w:rFonts w:cs="Times New Roman"/>
        </w:rPr>
        <w:t xml:space="preserve">websites </w:t>
      </w:r>
      <w:r w:rsidR="00AB778B">
        <w:t xml:space="preserve">with archaeological data, </w:t>
      </w:r>
      <w:r w:rsidR="009D5663">
        <w:t xml:space="preserve">with only </w:t>
      </w:r>
      <w:r w:rsidR="002978D2">
        <w:t xml:space="preserve">two websites </w:t>
      </w:r>
      <w:r w:rsidR="009D5663">
        <w:t xml:space="preserve">among the non-archaeological </w:t>
      </w:r>
      <w:r w:rsidR="002F705A">
        <w:t>data web</w:t>
      </w:r>
      <w:r w:rsidR="009D5663">
        <w:t>s</w:t>
      </w:r>
      <w:r w:rsidR="00C9373F">
        <w:t>ites having an educational component</w:t>
      </w:r>
      <w:r w:rsidR="002978D2">
        <w:t>.</w:t>
      </w:r>
    </w:p>
    <w:p w14:paraId="006C836F" w14:textId="3801A502" w:rsidR="005B197A" w:rsidRPr="005B197A" w:rsidRDefault="00C9373F" w:rsidP="005B197A">
      <w:r>
        <w:t>T</w:t>
      </w:r>
      <w:r w:rsidRPr="00C9373F">
        <w:t>he</w:t>
      </w:r>
      <w:r>
        <w:t xml:space="preserve"> public outreach characteristics co</w:t>
      </w:r>
      <w:r w:rsidRPr="00C9373F">
        <w:t xml:space="preserve">uld </w:t>
      </w:r>
      <w:r w:rsidR="005B197A">
        <w:t xml:space="preserve">also </w:t>
      </w:r>
      <w:r w:rsidRPr="00C9373F">
        <w:t xml:space="preserve">be seen as incremental (the more characteristics present the </w:t>
      </w:r>
      <w:r w:rsidR="002978D2">
        <w:t>stronger the support for public outreach</w:t>
      </w:r>
      <w:r w:rsidRPr="00C9373F">
        <w:t>)</w:t>
      </w:r>
      <w:r w:rsidR="002F57CE">
        <w:t xml:space="preserve">. </w:t>
      </w:r>
      <w:r w:rsidR="002978D2">
        <w:t xml:space="preserve">On average, websites across clusters evidenced </w:t>
      </w:r>
      <w:r w:rsidR="000919B4">
        <w:t>3.97</w:t>
      </w:r>
      <w:r w:rsidR="005B197A">
        <w:t xml:space="preserve"> out of </w:t>
      </w:r>
      <w:r w:rsidR="000919B4">
        <w:t>7</w:t>
      </w:r>
      <w:r w:rsidR="00C35EE7">
        <w:t xml:space="preserve"> of </w:t>
      </w:r>
      <w:r w:rsidR="002978D2">
        <w:t xml:space="preserve">public outreach </w:t>
      </w:r>
      <w:r w:rsidR="005B197A">
        <w:t>characteristics</w:t>
      </w:r>
      <w:r w:rsidR="002978D2">
        <w:t>. By cluster</w:t>
      </w:r>
      <w:r w:rsidR="00193E41">
        <w:t>,</w:t>
      </w:r>
      <w:r w:rsidR="002978D2">
        <w:t xml:space="preserve"> the</w:t>
      </w:r>
      <w:r w:rsidR="00193E41">
        <w:t>y</w:t>
      </w:r>
      <w:r w:rsidR="002978D2">
        <w:t xml:space="preserve"> average </w:t>
      </w:r>
      <w:r w:rsidR="000919B4">
        <w:t>2.66</w:t>
      </w:r>
      <w:r w:rsidR="005B197A">
        <w:t xml:space="preserve"> </w:t>
      </w:r>
      <w:r w:rsidR="002978D2">
        <w:t>f</w:t>
      </w:r>
      <w:r w:rsidR="00C35EE7">
        <w:t xml:space="preserve">or non-data </w:t>
      </w:r>
      <w:r w:rsidR="00B71C27">
        <w:rPr>
          <w:rFonts w:cs="Times New Roman"/>
        </w:rPr>
        <w:t>websites</w:t>
      </w:r>
      <w:r w:rsidR="002978D2">
        <w:rPr>
          <w:rFonts w:cs="Times New Roman"/>
        </w:rPr>
        <w:t xml:space="preserve"> </w:t>
      </w:r>
      <w:r w:rsidR="00C35EE7">
        <w:t xml:space="preserve">and </w:t>
      </w:r>
      <w:r w:rsidR="000919B4">
        <w:t>4.58</w:t>
      </w:r>
      <w:r w:rsidR="005B197A">
        <w:t xml:space="preserve"> </w:t>
      </w:r>
      <w:r w:rsidR="000919B4">
        <w:t>for web</w:t>
      </w:r>
      <w:r w:rsidR="00C35EE7">
        <w:t>sites</w:t>
      </w:r>
      <w:r w:rsidR="005B197A">
        <w:t xml:space="preserve"> with data</w:t>
      </w:r>
      <w:r w:rsidR="008E3949">
        <w:t xml:space="preserve">. Institutional </w:t>
      </w:r>
      <w:r w:rsidR="000919B4">
        <w:t xml:space="preserve">websites that include data are </w:t>
      </w:r>
      <w:r w:rsidR="008E3949">
        <w:t>also presenting a greater number of public outreach characteristics</w:t>
      </w:r>
      <w:r w:rsidR="00893D91">
        <w:t xml:space="preserve"> </w:t>
      </w:r>
      <w:r w:rsidR="00893D91">
        <w:rPr>
          <w:rFonts w:cs="Times New Roman"/>
        </w:rPr>
        <w:t xml:space="preserve">(see Table </w:t>
      </w:r>
      <w:r w:rsidR="00893D91">
        <w:rPr>
          <w:rFonts w:cs="Times New Roman"/>
        </w:rPr>
        <w:t>5)</w:t>
      </w:r>
      <w:r w:rsidR="008E3949">
        <w:t>.</w:t>
      </w:r>
    </w:p>
    <w:p w14:paraId="5DFAF1D2" w14:textId="77777777" w:rsidR="005B197A" w:rsidRPr="00F32532" w:rsidRDefault="005B197A" w:rsidP="005B197A">
      <w:pPr>
        <w:ind w:firstLine="0"/>
        <w:jc w:val="center"/>
        <w:rPr>
          <w:b/>
        </w:rPr>
      </w:pPr>
      <w:r w:rsidRPr="000919B4">
        <w:rPr>
          <w:b/>
        </w:rPr>
        <w:t xml:space="preserve">Table </w:t>
      </w:r>
      <w:r w:rsidR="00BD4CF0">
        <w:rPr>
          <w:b/>
        </w:rPr>
        <w:t>5</w:t>
      </w:r>
      <w:r>
        <w:rPr>
          <w:b/>
        </w:rPr>
        <w:t xml:space="preserve">: </w:t>
      </w:r>
      <w:r w:rsidR="000D05B0">
        <w:rPr>
          <w:b/>
        </w:rPr>
        <w:t>N</w:t>
      </w:r>
      <w:r w:rsidRPr="000919B4">
        <w:rPr>
          <w:b/>
        </w:rPr>
        <w:t xml:space="preserve">umber of </w:t>
      </w:r>
      <w:r>
        <w:rPr>
          <w:b/>
        </w:rPr>
        <w:t>public outreach characteristics</w:t>
      </w:r>
      <w:r w:rsidR="000D05B0">
        <w:rPr>
          <w:b/>
        </w:rPr>
        <w:t>.</w:t>
      </w:r>
    </w:p>
    <w:tbl>
      <w:tblPr>
        <w:tblStyle w:val="GridTable1Light-Accent51"/>
        <w:tblW w:w="0" w:type="auto"/>
        <w:jc w:val="center"/>
        <w:tblLook w:val="04A0" w:firstRow="1" w:lastRow="0" w:firstColumn="1" w:lastColumn="0" w:noHBand="0" w:noVBand="1"/>
      </w:tblPr>
      <w:tblGrid>
        <w:gridCol w:w="3564"/>
        <w:gridCol w:w="2610"/>
      </w:tblGrid>
      <w:tr w:rsidR="005B197A" w14:paraId="5CBBCD7A" w14:textId="77777777" w:rsidTr="00BD4CF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64" w:type="dxa"/>
          </w:tcPr>
          <w:p w14:paraId="7F1BDD7A" w14:textId="77777777" w:rsidR="005B197A" w:rsidRDefault="005B197A" w:rsidP="004814C5">
            <w:pPr>
              <w:ind w:firstLine="0"/>
              <w:jc w:val="right"/>
            </w:pPr>
          </w:p>
        </w:tc>
        <w:tc>
          <w:tcPr>
            <w:tcW w:w="2610" w:type="dxa"/>
          </w:tcPr>
          <w:p w14:paraId="6B0C94F8" w14:textId="77777777" w:rsidR="005B197A" w:rsidRDefault="005B197A" w:rsidP="004814C5">
            <w:pPr>
              <w:ind w:firstLine="0"/>
              <w:jc w:val="center"/>
              <w:cnfStyle w:val="100000000000" w:firstRow="1" w:lastRow="0" w:firstColumn="0" w:lastColumn="0" w:oddVBand="0" w:evenVBand="0" w:oddHBand="0" w:evenHBand="0" w:firstRowFirstColumn="0" w:firstRowLastColumn="0" w:lastRowFirstColumn="0" w:lastRowLastColumn="0"/>
            </w:pPr>
            <w:r>
              <w:t>Average (out of 7)</w:t>
            </w:r>
          </w:p>
        </w:tc>
      </w:tr>
      <w:tr w:rsidR="005B197A" w14:paraId="3A5D742A" w14:textId="77777777" w:rsidTr="00BD4CF0">
        <w:trPr>
          <w:jc w:val="center"/>
        </w:trPr>
        <w:tc>
          <w:tcPr>
            <w:cnfStyle w:val="001000000000" w:firstRow="0" w:lastRow="0" w:firstColumn="1" w:lastColumn="0" w:oddVBand="0" w:evenVBand="0" w:oddHBand="0" w:evenHBand="0" w:firstRowFirstColumn="0" w:firstRowLastColumn="0" w:lastRowFirstColumn="0" w:lastRowLastColumn="0"/>
            <w:tcW w:w="3564" w:type="dxa"/>
          </w:tcPr>
          <w:p w14:paraId="2BC6A401" w14:textId="77777777" w:rsidR="005B197A" w:rsidRDefault="00B71C27" w:rsidP="004814C5">
            <w:pPr>
              <w:ind w:firstLine="0"/>
              <w:jc w:val="right"/>
            </w:pPr>
            <w:r>
              <w:rPr>
                <w:rFonts w:cs="Times New Roman"/>
              </w:rPr>
              <w:t>Websites</w:t>
            </w:r>
            <w:r w:rsidR="00BD4CF0">
              <w:rPr>
                <w:rFonts w:cs="Times New Roman"/>
              </w:rPr>
              <w:t xml:space="preserve"> with archaeology pages</w:t>
            </w:r>
          </w:p>
        </w:tc>
        <w:tc>
          <w:tcPr>
            <w:tcW w:w="2610" w:type="dxa"/>
          </w:tcPr>
          <w:p w14:paraId="7E8E764D" w14:textId="77777777" w:rsidR="005B197A" w:rsidRDefault="005B197A" w:rsidP="004814C5">
            <w:pPr>
              <w:ind w:firstLine="0"/>
              <w:jc w:val="center"/>
              <w:cnfStyle w:val="000000000000" w:firstRow="0" w:lastRow="0" w:firstColumn="0" w:lastColumn="0" w:oddVBand="0" w:evenVBand="0" w:oddHBand="0" w:evenHBand="0" w:firstRowFirstColumn="0" w:firstRowLastColumn="0" w:lastRowFirstColumn="0" w:lastRowLastColumn="0"/>
            </w:pPr>
            <w:r>
              <w:t>3.97</w:t>
            </w:r>
          </w:p>
        </w:tc>
      </w:tr>
      <w:tr w:rsidR="005B197A" w14:paraId="6A72F6CF" w14:textId="77777777" w:rsidTr="00BD4CF0">
        <w:trPr>
          <w:jc w:val="center"/>
        </w:trPr>
        <w:tc>
          <w:tcPr>
            <w:cnfStyle w:val="001000000000" w:firstRow="0" w:lastRow="0" w:firstColumn="1" w:lastColumn="0" w:oddVBand="0" w:evenVBand="0" w:oddHBand="0" w:evenHBand="0" w:firstRowFirstColumn="0" w:firstRowLastColumn="0" w:lastRowFirstColumn="0" w:lastRowLastColumn="0"/>
            <w:tcW w:w="3564" w:type="dxa"/>
          </w:tcPr>
          <w:p w14:paraId="2E3E4367" w14:textId="77777777" w:rsidR="005B197A" w:rsidRDefault="00BD4CF0" w:rsidP="00BD4CF0">
            <w:pPr>
              <w:ind w:firstLine="0"/>
              <w:jc w:val="right"/>
            </w:pPr>
            <w:r>
              <w:t>Archaeology pages but no</w:t>
            </w:r>
            <w:r w:rsidR="005B197A">
              <w:t xml:space="preserve"> data</w:t>
            </w:r>
          </w:p>
        </w:tc>
        <w:tc>
          <w:tcPr>
            <w:tcW w:w="2610" w:type="dxa"/>
          </w:tcPr>
          <w:p w14:paraId="25AC9F96" w14:textId="77777777" w:rsidR="005B197A" w:rsidRDefault="005B197A" w:rsidP="004814C5">
            <w:pPr>
              <w:ind w:firstLine="0"/>
              <w:jc w:val="center"/>
              <w:cnfStyle w:val="000000000000" w:firstRow="0" w:lastRow="0" w:firstColumn="0" w:lastColumn="0" w:oddVBand="0" w:evenVBand="0" w:oddHBand="0" w:evenHBand="0" w:firstRowFirstColumn="0" w:firstRowLastColumn="0" w:lastRowFirstColumn="0" w:lastRowLastColumn="0"/>
            </w:pPr>
            <w:r>
              <w:t>2.66</w:t>
            </w:r>
          </w:p>
        </w:tc>
      </w:tr>
      <w:tr w:rsidR="005B197A" w14:paraId="74562042" w14:textId="77777777" w:rsidTr="00BD4CF0">
        <w:trPr>
          <w:jc w:val="center"/>
        </w:trPr>
        <w:tc>
          <w:tcPr>
            <w:cnfStyle w:val="001000000000" w:firstRow="0" w:lastRow="0" w:firstColumn="1" w:lastColumn="0" w:oddVBand="0" w:evenVBand="0" w:oddHBand="0" w:evenHBand="0" w:firstRowFirstColumn="0" w:firstRowLastColumn="0" w:lastRowFirstColumn="0" w:lastRowLastColumn="0"/>
            <w:tcW w:w="3564" w:type="dxa"/>
          </w:tcPr>
          <w:p w14:paraId="577361AD" w14:textId="77777777" w:rsidR="005B197A" w:rsidRDefault="00B71C27" w:rsidP="00BD4CF0">
            <w:pPr>
              <w:ind w:firstLine="0"/>
              <w:jc w:val="right"/>
            </w:pPr>
            <w:r>
              <w:t>Webs</w:t>
            </w:r>
            <w:r w:rsidR="005B197A">
              <w:t>ites with</w:t>
            </w:r>
            <w:r w:rsidR="00BD4CF0">
              <w:t xml:space="preserve"> archaeology </w:t>
            </w:r>
            <w:r w:rsidR="005B197A">
              <w:t>data</w:t>
            </w:r>
          </w:p>
        </w:tc>
        <w:tc>
          <w:tcPr>
            <w:tcW w:w="2610" w:type="dxa"/>
          </w:tcPr>
          <w:p w14:paraId="00771B12" w14:textId="77777777" w:rsidR="005B197A" w:rsidRDefault="005B197A" w:rsidP="004814C5">
            <w:pPr>
              <w:ind w:firstLine="0"/>
              <w:jc w:val="center"/>
              <w:cnfStyle w:val="000000000000" w:firstRow="0" w:lastRow="0" w:firstColumn="0" w:lastColumn="0" w:oddVBand="0" w:evenVBand="0" w:oddHBand="0" w:evenHBand="0" w:firstRowFirstColumn="0" w:firstRowLastColumn="0" w:lastRowFirstColumn="0" w:lastRowLastColumn="0"/>
            </w:pPr>
            <w:r>
              <w:t>4.58</w:t>
            </w:r>
          </w:p>
        </w:tc>
      </w:tr>
    </w:tbl>
    <w:p w14:paraId="27206FF4" w14:textId="77777777" w:rsidR="006B46B9" w:rsidRDefault="006B46B9" w:rsidP="005B197A"/>
    <w:p w14:paraId="227398EB" w14:textId="77777777" w:rsidR="00121F83" w:rsidRDefault="00121F83" w:rsidP="005B197A">
      <w:pPr>
        <w:rPr>
          <w:rFonts w:cs="Times New Roman"/>
        </w:rPr>
      </w:pPr>
      <w:r>
        <w:t xml:space="preserve">Looking at the individual </w:t>
      </w:r>
      <w:r w:rsidR="00C35EE7">
        <w:t>web</w:t>
      </w:r>
      <w:r w:rsidR="0069469C">
        <w:t>sites shows a range of approaches. T</w:t>
      </w:r>
      <w:r>
        <w:rPr>
          <w:rFonts w:cs="Times New Roman"/>
        </w:rPr>
        <w:t>he George Washington Foundation ma</w:t>
      </w:r>
      <w:r w:rsidR="00FE2C57">
        <w:rPr>
          <w:rFonts w:cs="Times New Roman"/>
        </w:rPr>
        <w:t>nages Ferry Farm and Kenmore</w:t>
      </w:r>
      <w:r w:rsidR="0069469C">
        <w:rPr>
          <w:rFonts w:cs="Times New Roman"/>
        </w:rPr>
        <w:t>,</w:t>
      </w:r>
      <w:r>
        <w:rPr>
          <w:rFonts w:cs="Times New Roman"/>
        </w:rPr>
        <w:t xml:space="preserve"> and the </w:t>
      </w:r>
      <w:r w:rsidR="006B4F86">
        <w:t xml:space="preserve">website </w:t>
      </w:r>
      <w:r>
        <w:rPr>
          <w:rFonts w:cs="Times New Roman"/>
        </w:rPr>
        <w:t xml:space="preserve">had </w:t>
      </w:r>
      <w:r w:rsidR="0069469C">
        <w:rPr>
          <w:rFonts w:cs="Times New Roman"/>
        </w:rPr>
        <w:t>extensive</w:t>
      </w:r>
      <w:r>
        <w:rPr>
          <w:rFonts w:cs="Times New Roman"/>
        </w:rPr>
        <w:t xml:space="preserve"> information on the archaeological sites. There were </w:t>
      </w:r>
      <w:r w:rsidR="0069469C">
        <w:rPr>
          <w:rFonts w:cs="Times New Roman"/>
        </w:rPr>
        <w:t>detailed</w:t>
      </w:r>
      <w:r>
        <w:rPr>
          <w:rFonts w:cs="Times New Roman"/>
        </w:rPr>
        <w:t xml:space="preserve"> </w:t>
      </w:r>
      <w:r w:rsidR="00EF2F17">
        <w:rPr>
          <w:rFonts w:cs="Times New Roman"/>
        </w:rPr>
        <w:t xml:space="preserve">archaeological </w:t>
      </w:r>
      <w:r>
        <w:rPr>
          <w:rFonts w:cs="Times New Roman"/>
        </w:rPr>
        <w:t xml:space="preserve">site summaries, including </w:t>
      </w:r>
      <w:r>
        <w:t xml:space="preserve">pictures of artifacts, excavation units and related material, clearly described and </w:t>
      </w:r>
      <w:r w:rsidR="0069469C">
        <w:t xml:space="preserve">written in </w:t>
      </w:r>
      <w:r>
        <w:t xml:space="preserve">accessible text. </w:t>
      </w:r>
      <w:r w:rsidR="00FE2C57">
        <w:t>Though they only hit two elements</w:t>
      </w:r>
      <w:r w:rsidR="00193E41">
        <w:t>,</w:t>
      </w:r>
      <w:r w:rsidR="00FE2C57">
        <w:t xml:space="preserve"> there was clear and successful intent to </w:t>
      </w:r>
      <w:r w:rsidR="00C12710">
        <w:t>support public outreach</w:t>
      </w:r>
      <w:r w:rsidR="00FE2C57">
        <w:t>.</w:t>
      </w:r>
    </w:p>
    <w:p w14:paraId="47BE2877" w14:textId="77777777" w:rsidR="00127E3D" w:rsidRDefault="0047665A" w:rsidP="00121F83">
      <w:r>
        <w:rPr>
          <w:rFonts w:cs="Times New Roman"/>
        </w:rPr>
        <w:t xml:space="preserve">Of the non-data </w:t>
      </w:r>
      <w:r w:rsidR="00B71C27">
        <w:rPr>
          <w:rFonts w:cs="Times New Roman"/>
        </w:rPr>
        <w:t>websites</w:t>
      </w:r>
      <w:r w:rsidR="00193E41">
        <w:rPr>
          <w:rFonts w:cs="Times New Roman"/>
        </w:rPr>
        <w:t>,</w:t>
      </w:r>
      <w:r w:rsidR="00B71C27">
        <w:rPr>
          <w:rFonts w:cs="Times New Roman"/>
        </w:rPr>
        <w:t xml:space="preserve"> </w:t>
      </w:r>
      <w:r w:rsidR="00D30922">
        <w:rPr>
          <w:rFonts w:cs="Times New Roman"/>
        </w:rPr>
        <w:t>Fairfax County website</w:t>
      </w:r>
      <w:r w:rsidR="00FE2C57">
        <w:rPr>
          <w:rFonts w:cs="Times New Roman"/>
        </w:rPr>
        <w:t xml:space="preserve"> hit five elements, and the</w:t>
      </w:r>
      <w:r w:rsidR="002978D2">
        <w:rPr>
          <w:rFonts w:cs="Times New Roman"/>
        </w:rPr>
        <w:t>ir</w:t>
      </w:r>
      <w:r w:rsidR="00FE2C57">
        <w:rPr>
          <w:rFonts w:cs="Times New Roman"/>
        </w:rPr>
        <w:t xml:space="preserve"> website </w:t>
      </w:r>
      <w:r w:rsidR="00121F83">
        <w:rPr>
          <w:rFonts w:cs="Times New Roman"/>
        </w:rPr>
        <w:t xml:space="preserve">notes that their collection contains </w:t>
      </w:r>
      <w:r w:rsidR="00121F83">
        <w:t>“</w:t>
      </w:r>
      <w:r w:rsidR="00121F83" w:rsidRPr="009157E5">
        <w:rPr>
          <w:bCs/>
        </w:rPr>
        <w:t>Upwards of three million artifacts</w:t>
      </w:r>
      <w:r w:rsidR="00121F83">
        <w:t xml:space="preserve"> (archaeological discoveries such as spear points, pottery)”</w:t>
      </w:r>
      <w:r w:rsidR="00D30922">
        <w:t xml:space="preserve"> (Fairfax County, n.d.)</w:t>
      </w:r>
      <w:r w:rsidR="00B4489B">
        <w:t xml:space="preserve"> </w:t>
      </w:r>
      <w:r w:rsidR="002978D2">
        <w:t>The Fairfax</w:t>
      </w:r>
      <w:r w:rsidR="00121F83">
        <w:t xml:space="preserve"> database is not online, but there are a few items shown on </w:t>
      </w:r>
      <w:r w:rsidR="00BD4CF0">
        <w:t xml:space="preserve">the </w:t>
      </w:r>
      <w:r w:rsidR="00121F83">
        <w:t xml:space="preserve">webpage, including </w:t>
      </w:r>
      <w:r w:rsidR="00AB778B">
        <w:t xml:space="preserve">a </w:t>
      </w:r>
      <w:r w:rsidR="00121F83">
        <w:t>bottle seal. Information is also provided on using the collections for research “Access to either the Historic Object Collection or the Archives Collection for research purpos</w:t>
      </w:r>
      <w:r w:rsidR="00CE1EA9">
        <w:t xml:space="preserve">es </w:t>
      </w:r>
      <w:r w:rsidR="00CE1EA9">
        <w:lastRenderedPageBreak/>
        <w:t>may be arranged” (Fairfax County a, n.d.).</w:t>
      </w:r>
      <w:r w:rsidR="00121F83">
        <w:t xml:space="preserve"> One of their projects, the Colchester Archaeological Research Team, maintains an active blog.  </w:t>
      </w:r>
      <w:r w:rsidR="00FE2C57">
        <w:rPr>
          <w:rFonts w:cs="Times New Roman"/>
        </w:rPr>
        <w:t xml:space="preserve">Similarly Fort Lee </w:t>
      </w:r>
      <w:r w:rsidR="00121F83">
        <w:rPr>
          <w:rFonts w:cs="Times New Roman"/>
        </w:rPr>
        <w:t>provides informati</w:t>
      </w:r>
      <w:r w:rsidR="00455A3C">
        <w:rPr>
          <w:rFonts w:cs="Times New Roman"/>
        </w:rPr>
        <w:t xml:space="preserve">on on visiting the collections </w:t>
      </w:r>
      <w:r w:rsidR="00DB1C68">
        <w:rPr>
          <w:rFonts w:cs="Times New Roman"/>
        </w:rPr>
        <w:t>- “half a million artifacts” (Fort Lee</w:t>
      </w:r>
      <w:r w:rsidR="005A524C">
        <w:rPr>
          <w:rFonts w:cs="Times New Roman"/>
        </w:rPr>
        <w:t>,</w:t>
      </w:r>
      <w:r w:rsidR="00DB1C68">
        <w:rPr>
          <w:rFonts w:cs="Times New Roman"/>
        </w:rPr>
        <w:t xml:space="preserve"> 2014), </w:t>
      </w:r>
      <w:r w:rsidR="00121F83">
        <w:rPr>
          <w:rFonts w:cs="Times New Roman"/>
        </w:rPr>
        <w:t xml:space="preserve">as well as an </w:t>
      </w:r>
      <w:r w:rsidR="00121F83">
        <w:t>overview publication of</w:t>
      </w:r>
      <w:r w:rsidR="002F57CE">
        <w:t xml:space="preserve"> the</w:t>
      </w:r>
      <w:r w:rsidR="00121F83">
        <w:t xml:space="preserve"> type of material that ha</w:t>
      </w:r>
      <w:r w:rsidR="002F57CE">
        <w:t xml:space="preserve">s </w:t>
      </w:r>
      <w:r w:rsidR="00121F83">
        <w:t>been found</w:t>
      </w:r>
      <w:r w:rsidR="00851945">
        <w:t>. T</w:t>
      </w:r>
      <w:r w:rsidR="00121F83">
        <w:rPr>
          <w:rFonts w:cs="Times New Roman"/>
        </w:rPr>
        <w:t xml:space="preserve">he Fairfield Foundation </w:t>
      </w:r>
      <w:r w:rsidR="00851945">
        <w:rPr>
          <w:rFonts w:cs="Times New Roman"/>
        </w:rPr>
        <w:t xml:space="preserve">is an example of a site with no archaeological data but a clear intent for public outreach, and </w:t>
      </w:r>
      <w:r w:rsidR="00121F83">
        <w:rPr>
          <w:rFonts w:cs="Times New Roman"/>
        </w:rPr>
        <w:t xml:space="preserve">their blog was active and full of content. </w:t>
      </w:r>
    </w:p>
    <w:p w14:paraId="652346CD" w14:textId="77777777" w:rsidR="00D92646" w:rsidRDefault="00D92646" w:rsidP="00F26EF9">
      <w:pPr>
        <w:pStyle w:val="Heading2"/>
      </w:pPr>
      <w:bookmarkStart w:id="30" w:name="_Toc419135413"/>
      <w:r>
        <w:t>Archaeological Data</w:t>
      </w:r>
      <w:bookmarkEnd w:id="30"/>
    </w:p>
    <w:p w14:paraId="1560240E" w14:textId="5FC8DCD3" w:rsidR="0047665A" w:rsidRDefault="00D92646" w:rsidP="0047665A">
      <w:r>
        <w:rPr>
          <w:rFonts w:cs="Times New Roman"/>
        </w:rPr>
        <w:t xml:space="preserve">There were </w:t>
      </w:r>
      <w:r w:rsidR="00CA7856">
        <w:t>1</w:t>
      </w:r>
      <w:r w:rsidR="000B7F18">
        <w:t>7.</w:t>
      </w:r>
      <w:r w:rsidR="00193E41">
        <w:t>6</w:t>
      </w:r>
      <w:r w:rsidR="00CA7856">
        <w:t>% (</w:t>
      </w:r>
      <w:r w:rsidR="001027AD">
        <w:t>n=</w:t>
      </w:r>
      <w:r w:rsidR="00CA7856">
        <w:t>2</w:t>
      </w:r>
      <w:r w:rsidR="000B7F18">
        <w:t>6</w:t>
      </w:r>
      <w:r w:rsidR="00CA7856">
        <w:t xml:space="preserve">) websites that included defined archaeological data. </w:t>
      </w:r>
      <w:r w:rsidR="009E411B">
        <w:t xml:space="preserve">For these </w:t>
      </w:r>
      <w:r w:rsidR="00321D63">
        <w:t>web</w:t>
      </w:r>
      <w:r w:rsidR="009E411B">
        <w:t xml:space="preserve">sites </w:t>
      </w:r>
      <w:r w:rsidR="001145F3">
        <w:t>all characteristics were recorded.</w:t>
      </w:r>
      <w:r w:rsidR="0047665A">
        <w:t xml:space="preserve"> </w:t>
      </w:r>
    </w:p>
    <w:p w14:paraId="2453F10C" w14:textId="7DAD14BE" w:rsidR="001563CE" w:rsidRDefault="006344C8" w:rsidP="0047665A">
      <w:r>
        <w:t>Site reports were the most common form of data represented</w:t>
      </w:r>
      <w:r w:rsidR="00766E9C">
        <w:t>, appearing on 69.2% of websites</w:t>
      </w:r>
      <w:r w:rsidR="00BD4CF0">
        <w:t xml:space="preserve"> (see Table 6)</w:t>
      </w:r>
      <w:r>
        <w:t>, followed by collections data</w:t>
      </w:r>
      <w:r w:rsidR="00766E9C">
        <w:t xml:space="preserve"> on 57.7% of websites</w:t>
      </w:r>
      <w:r>
        <w:t xml:space="preserve">. Field records appeared on only 23% of </w:t>
      </w:r>
      <w:r w:rsidR="001145F3">
        <w:t xml:space="preserve">data </w:t>
      </w:r>
      <w:r w:rsidR="006B4F86">
        <w:t xml:space="preserve">websites, </w:t>
      </w:r>
      <w:r>
        <w:t xml:space="preserve">and spatial data on only 15%. </w:t>
      </w:r>
      <w:r w:rsidR="001E1F04">
        <w:t xml:space="preserve">There was only one </w:t>
      </w:r>
      <w:r w:rsidR="006B4F86">
        <w:t xml:space="preserve">website </w:t>
      </w:r>
      <w:r w:rsidR="001E1F04">
        <w:t xml:space="preserve">that </w:t>
      </w:r>
      <w:r w:rsidR="007E102B">
        <w:t xml:space="preserve">presented </w:t>
      </w:r>
      <w:r w:rsidR="001E1F04">
        <w:t>virtual data</w:t>
      </w:r>
      <w:r w:rsidR="00766E9C">
        <w:t xml:space="preserve">. </w:t>
      </w:r>
      <w:r w:rsidR="003B3229">
        <w:t>Only two websites presented four of the five data types, offering the broadest ranges of data of the websites reviewed; none evidenced all five. One had all but virtual data, and the other all but collections data</w:t>
      </w:r>
      <w:r w:rsidR="009168EE">
        <w:t xml:space="preserve"> </w:t>
      </w:r>
      <w:r w:rsidR="009168EE">
        <w:rPr>
          <w:rFonts w:cs="Times New Roman"/>
        </w:rPr>
        <w:t>(see Table 6</w:t>
      </w:r>
      <w:r w:rsidR="009168EE">
        <w:rPr>
          <w:rFonts w:cs="Times New Roman"/>
        </w:rPr>
        <w:t>)</w:t>
      </w:r>
      <w:r w:rsidR="007E102B">
        <w:t>.</w:t>
      </w:r>
    </w:p>
    <w:p w14:paraId="43532988" w14:textId="77777777" w:rsidR="001563CE" w:rsidRPr="001563CE" w:rsidRDefault="00BD4CF0" w:rsidP="001563CE">
      <w:pPr>
        <w:ind w:firstLine="0"/>
        <w:jc w:val="center"/>
        <w:rPr>
          <w:b/>
        </w:rPr>
      </w:pPr>
      <w:r>
        <w:rPr>
          <w:b/>
        </w:rPr>
        <w:t>Table 6</w:t>
      </w:r>
      <w:r w:rsidR="001563CE" w:rsidRPr="001563CE">
        <w:rPr>
          <w:b/>
        </w:rPr>
        <w:t>: Types of Data</w:t>
      </w:r>
    </w:p>
    <w:tbl>
      <w:tblPr>
        <w:tblW w:w="6120" w:type="dxa"/>
        <w:jc w:val="center"/>
        <w:tbl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insideH w:val="single" w:sz="8" w:space="0" w:color="B4C6E7" w:themeColor="accent5" w:themeTint="66"/>
          <w:insideV w:val="single" w:sz="8" w:space="0" w:color="B4C6E7" w:themeColor="accent5" w:themeTint="66"/>
        </w:tblBorders>
        <w:tblLook w:val="04A0" w:firstRow="1" w:lastRow="0" w:firstColumn="1" w:lastColumn="0" w:noHBand="0" w:noVBand="1"/>
      </w:tblPr>
      <w:tblGrid>
        <w:gridCol w:w="1171"/>
        <w:gridCol w:w="949"/>
        <w:gridCol w:w="954"/>
        <w:gridCol w:w="1216"/>
        <w:gridCol w:w="916"/>
        <w:gridCol w:w="914"/>
      </w:tblGrid>
      <w:tr w:rsidR="00D60D2C" w:rsidRPr="00D60D2C" w14:paraId="7E2A1182" w14:textId="77777777" w:rsidTr="001F28A5">
        <w:trPr>
          <w:trHeight w:val="615"/>
          <w:jc w:val="center"/>
        </w:trPr>
        <w:tc>
          <w:tcPr>
            <w:tcW w:w="1320" w:type="dxa"/>
            <w:shd w:val="clear" w:color="auto" w:fill="auto"/>
            <w:vAlign w:val="center"/>
            <w:hideMark/>
          </w:tcPr>
          <w:p w14:paraId="686D2DE1" w14:textId="77777777" w:rsidR="00D60D2C" w:rsidRPr="00D60D2C" w:rsidRDefault="00D60D2C" w:rsidP="00D60D2C">
            <w:pPr>
              <w:spacing w:line="240" w:lineRule="auto"/>
              <w:ind w:firstLine="0"/>
              <w:rPr>
                <w:rFonts w:ascii="Calibri" w:eastAsia="Times New Roman" w:hAnsi="Calibri" w:cs="Times New Roman"/>
                <w:b/>
                <w:bCs/>
                <w:color w:val="000000"/>
              </w:rPr>
            </w:pPr>
            <w:r w:rsidRPr="00D60D2C">
              <w:rPr>
                <w:rFonts w:ascii="Calibri" w:eastAsia="Times New Roman" w:hAnsi="Calibri" w:cs="Times New Roman"/>
                <w:b/>
                <w:bCs/>
                <w:color w:val="000000"/>
              </w:rPr>
              <w:t> </w:t>
            </w:r>
          </w:p>
        </w:tc>
        <w:tc>
          <w:tcPr>
            <w:tcW w:w="960" w:type="dxa"/>
            <w:shd w:val="clear" w:color="auto" w:fill="auto"/>
            <w:vAlign w:val="center"/>
            <w:hideMark/>
          </w:tcPr>
          <w:p w14:paraId="3F860B06" w14:textId="77777777" w:rsidR="00D60D2C" w:rsidRPr="00D60D2C" w:rsidRDefault="00D60D2C" w:rsidP="00D60D2C">
            <w:pPr>
              <w:spacing w:line="240" w:lineRule="auto"/>
              <w:ind w:firstLine="0"/>
              <w:rPr>
                <w:rFonts w:ascii="Calibri" w:eastAsia="Times New Roman" w:hAnsi="Calibri" w:cs="Times New Roman"/>
                <w:b/>
                <w:bCs/>
                <w:color w:val="000000"/>
              </w:rPr>
            </w:pPr>
            <w:r w:rsidRPr="00D60D2C">
              <w:rPr>
                <w:rFonts w:ascii="Calibri" w:eastAsia="Times New Roman" w:hAnsi="Calibri" w:cs="Times New Roman"/>
                <w:b/>
                <w:bCs/>
                <w:color w:val="000000"/>
              </w:rPr>
              <w:t>Site Reports</w:t>
            </w:r>
          </w:p>
        </w:tc>
        <w:tc>
          <w:tcPr>
            <w:tcW w:w="960" w:type="dxa"/>
            <w:shd w:val="clear" w:color="auto" w:fill="auto"/>
            <w:vAlign w:val="center"/>
            <w:hideMark/>
          </w:tcPr>
          <w:p w14:paraId="1461A971" w14:textId="77777777" w:rsidR="00D60D2C" w:rsidRPr="00D60D2C" w:rsidRDefault="00D60D2C" w:rsidP="00D60D2C">
            <w:pPr>
              <w:spacing w:line="240" w:lineRule="auto"/>
              <w:ind w:firstLine="0"/>
              <w:rPr>
                <w:rFonts w:ascii="Calibri" w:eastAsia="Times New Roman" w:hAnsi="Calibri" w:cs="Times New Roman"/>
                <w:b/>
                <w:bCs/>
                <w:color w:val="000000"/>
              </w:rPr>
            </w:pPr>
            <w:r w:rsidRPr="00D60D2C">
              <w:rPr>
                <w:rFonts w:ascii="Calibri" w:eastAsia="Times New Roman" w:hAnsi="Calibri" w:cs="Times New Roman"/>
                <w:b/>
                <w:bCs/>
                <w:color w:val="000000"/>
              </w:rPr>
              <w:t>Field Records</w:t>
            </w:r>
          </w:p>
        </w:tc>
        <w:tc>
          <w:tcPr>
            <w:tcW w:w="960" w:type="dxa"/>
            <w:shd w:val="clear" w:color="auto" w:fill="auto"/>
            <w:vAlign w:val="center"/>
            <w:hideMark/>
          </w:tcPr>
          <w:p w14:paraId="01AE19BD" w14:textId="77777777" w:rsidR="00D60D2C" w:rsidRPr="00D60D2C" w:rsidRDefault="00D60D2C" w:rsidP="00D60D2C">
            <w:pPr>
              <w:spacing w:line="240" w:lineRule="auto"/>
              <w:ind w:firstLine="0"/>
              <w:rPr>
                <w:rFonts w:ascii="Calibri" w:eastAsia="Times New Roman" w:hAnsi="Calibri" w:cs="Times New Roman"/>
                <w:b/>
                <w:bCs/>
                <w:color w:val="000000"/>
              </w:rPr>
            </w:pPr>
            <w:r w:rsidRPr="00D60D2C">
              <w:rPr>
                <w:rFonts w:ascii="Calibri" w:eastAsia="Times New Roman" w:hAnsi="Calibri" w:cs="Times New Roman"/>
                <w:b/>
                <w:bCs/>
                <w:color w:val="000000"/>
              </w:rPr>
              <w:t>Collections</w:t>
            </w:r>
          </w:p>
        </w:tc>
        <w:tc>
          <w:tcPr>
            <w:tcW w:w="960" w:type="dxa"/>
            <w:shd w:val="clear" w:color="auto" w:fill="auto"/>
            <w:vAlign w:val="center"/>
            <w:hideMark/>
          </w:tcPr>
          <w:p w14:paraId="0F1E184B" w14:textId="77777777" w:rsidR="00D60D2C" w:rsidRPr="00D60D2C" w:rsidRDefault="00D60D2C" w:rsidP="00D60D2C">
            <w:pPr>
              <w:spacing w:line="240" w:lineRule="auto"/>
              <w:ind w:firstLine="0"/>
              <w:rPr>
                <w:rFonts w:ascii="Calibri" w:eastAsia="Times New Roman" w:hAnsi="Calibri" w:cs="Times New Roman"/>
                <w:b/>
                <w:bCs/>
                <w:color w:val="000000"/>
              </w:rPr>
            </w:pPr>
            <w:r w:rsidRPr="00D60D2C">
              <w:rPr>
                <w:rFonts w:ascii="Calibri" w:eastAsia="Times New Roman" w:hAnsi="Calibri" w:cs="Times New Roman"/>
                <w:b/>
                <w:bCs/>
                <w:color w:val="000000"/>
              </w:rPr>
              <w:t>Spatial</w:t>
            </w:r>
          </w:p>
        </w:tc>
        <w:tc>
          <w:tcPr>
            <w:tcW w:w="960" w:type="dxa"/>
            <w:shd w:val="clear" w:color="auto" w:fill="auto"/>
            <w:vAlign w:val="center"/>
            <w:hideMark/>
          </w:tcPr>
          <w:p w14:paraId="1096A44E" w14:textId="77777777" w:rsidR="00D60D2C" w:rsidRPr="00D60D2C" w:rsidRDefault="00D60D2C" w:rsidP="00D60D2C">
            <w:pPr>
              <w:spacing w:line="240" w:lineRule="auto"/>
              <w:ind w:firstLine="0"/>
              <w:rPr>
                <w:rFonts w:ascii="Calibri" w:eastAsia="Times New Roman" w:hAnsi="Calibri" w:cs="Times New Roman"/>
                <w:b/>
                <w:bCs/>
                <w:color w:val="000000"/>
              </w:rPr>
            </w:pPr>
            <w:r w:rsidRPr="00D60D2C">
              <w:rPr>
                <w:rFonts w:ascii="Calibri" w:eastAsia="Times New Roman" w:hAnsi="Calibri" w:cs="Times New Roman"/>
                <w:b/>
                <w:bCs/>
                <w:color w:val="000000"/>
              </w:rPr>
              <w:t>Virtual</w:t>
            </w:r>
          </w:p>
        </w:tc>
      </w:tr>
      <w:tr w:rsidR="00D60D2C" w:rsidRPr="00D60D2C" w14:paraId="3CB41D4C" w14:textId="77777777" w:rsidTr="001F28A5">
        <w:trPr>
          <w:trHeight w:val="330"/>
          <w:jc w:val="center"/>
        </w:trPr>
        <w:tc>
          <w:tcPr>
            <w:tcW w:w="1320" w:type="dxa"/>
            <w:shd w:val="clear" w:color="auto" w:fill="auto"/>
            <w:vAlign w:val="center"/>
            <w:hideMark/>
          </w:tcPr>
          <w:p w14:paraId="2EEEABE0" w14:textId="77777777" w:rsidR="00D60D2C" w:rsidRPr="00D60D2C" w:rsidRDefault="00D60D2C" w:rsidP="00D60D2C">
            <w:pPr>
              <w:spacing w:line="240" w:lineRule="auto"/>
              <w:ind w:firstLine="0"/>
              <w:jc w:val="right"/>
              <w:rPr>
                <w:rFonts w:ascii="Calibri" w:eastAsia="Times New Roman" w:hAnsi="Calibri" w:cs="Times New Roman"/>
                <w:b/>
                <w:bCs/>
                <w:color w:val="000000"/>
              </w:rPr>
            </w:pPr>
            <w:r w:rsidRPr="00D60D2C">
              <w:rPr>
                <w:rFonts w:ascii="Calibri" w:eastAsia="Times New Roman" w:hAnsi="Calibri" w:cs="Times New Roman"/>
                <w:b/>
                <w:bCs/>
                <w:color w:val="000000"/>
              </w:rPr>
              <w:t>Present</w:t>
            </w:r>
          </w:p>
        </w:tc>
        <w:tc>
          <w:tcPr>
            <w:tcW w:w="960" w:type="dxa"/>
            <w:shd w:val="clear" w:color="auto" w:fill="auto"/>
            <w:vAlign w:val="center"/>
            <w:hideMark/>
          </w:tcPr>
          <w:p w14:paraId="15448FC3" w14:textId="77777777" w:rsidR="00D60D2C" w:rsidRPr="00D60D2C" w:rsidRDefault="00D60D2C" w:rsidP="00D60D2C">
            <w:pPr>
              <w:spacing w:line="240" w:lineRule="auto"/>
              <w:ind w:firstLine="0"/>
              <w:jc w:val="right"/>
              <w:rPr>
                <w:rFonts w:ascii="Calibri" w:eastAsia="Times New Roman" w:hAnsi="Calibri" w:cs="Times New Roman"/>
                <w:color w:val="000000"/>
              </w:rPr>
            </w:pPr>
            <w:r w:rsidRPr="00D60D2C">
              <w:rPr>
                <w:rFonts w:ascii="Calibri" w:eastAsia="Times New Roman" w:hAnsi="Calibri" w:cs="Times New Roman"/>
                <w:color w:val="000000"/>
              </w:rPr>
              <w:t>18</w:t>
            </w:r>
          </w:p>
        </w:tc>
        <w:tc>
          <w:tcPr>
            <w:tcW w:w="960" w:type="dxa"/>
            <w:shd w:val="clear" w:color="auto" w:fill="auto"/>
            <w:vAlign w:val="center"/>
            <w:hideMark/>
          </w:tcPr>
          <w:p w14:paraId="024BE816" w14:textId="77777777" w:rsidR="00D60D2C" w:rsidRPr="00D60D2C" w:rsidRDefault="00D60D2C" w:rsidP="00D60D2C">
            <w:pPr>
              <w:spacing w:line="240" w:lineRule="auto"/>
              <w:ind w:firstLine="0"/>
              <w:jc w:val="right"/>
              <w:rPr>
                <w:rFonts w:ascii="Calibri" w:eastAsia="Times New Roman" w:hAnsi="Calibri" w:cs="Times New Roman"/>
                <w:color w:val="000000"/>
              </w:rPr>
            </w:pPr>
            <w:r w:rsidRPr="00D60D2C">
              <w:rPr>
                <w:rFonts w:ascii="Calibri" w:eastAsia="Times New Roman" w:hAnsi="Calibri" w:cs="Times New Roman"/>
                <w:color w:val="000000"/>
              </w:rPr>
              <w:t>6</w:t>
            </w:r>
          </w:p>
        </w:tc>
        <w:tc>
          <w:tcPr>
            <w:tcW w:w="960" w:type="dxa"/>
            <w:shd w:val="clear" w:color="auto" w:fill="auto"/>
            <w:vAlign w:val="center"/>
            <w:hideMark/>
          </w:tcPr>
          <w:p w14:paraId="351348F8" w14:textId="77777777" w:rsidR="00D60D2C" w:rsidRPr="00D60D2C" w:rsidRDefault="00D60D2C" w:rsidP="00D60D2C">
            <w:pPr>
              <w:spacing w:line="240" w:lineRule="auto"/>
              <w:ind w:firstLine="0"/>
              <w:jc w:val="right"/>
              <w:rPr>
                <w:rFonts w:ascii="Calibri" w:eastAsia="Times New Roman" w:hAnsi="Calibri" w:cs="Times New Roman"/>
                <w:color w:val="000000"/>
              </w:rPr>
            </w:pPr>
            <w:r w:rsidRPr="00D60D2C">
              <w:rPr>
                <w:rFonts w:ascii="Calibri" w:eastAsia="Times New Roman" w:hAnsi="Calibri" w:cs="Times New Roman"/>
                <w:color w:val="000000"/>
              </w:rPr>
              <w:t>15</w:t>
            </w:r>
          </w:p>
        </w:tc>
        <w:tc>
          <w:tcPr>
            <w:tcW w:w="960" w:type="dxa"/>
            <w:shd w:val="clear" w:color="auto" w:fill="auto"/>
            <w:vAlign w:val="center"/>
            <w:hideMark/>
          </w:tcPr>
          <w:p w14:paraId="3FE315AF" w14:textId="77777777" w:rsidR="00D60D2C" w:rsidRPr="00D60D2C" w:rsidRDefault="00D60D2C" w:rsidP="00D60D2C">
            <w:pPr>
              <w:spacing w:line="240" w:lineRule="auto"/>
              <w:ind w:firstLine="0"/>
              <w:jc w:val="right"/>
              <w:rPr>
                <w:rFonts w:ascii="Calibri" w:eastAsia="Times New Roman" w:hAnsi="Calibri" w:cs="Times New Roman"/>
                <w:color w:val="000000"/>
              </w:rPr>
            </w:pPr>
            <w:r w:rsidRPr="00D60D2C">
              <w:rPr>
                <w:rFonts w:ascii="Calibri" w:eastAsia="Times New Roman" w:hAnsi="Calibri" w:cs="Times New Roman"/>
                <w:color w:val="000000"/>
              </w:rPr>
              <w:t>4</w:t>
            </w:r>
          </w:p>
        </w:tc>
        <w:tc>
          <w:tcPr>
            <w:tcW w:w="960" w:type="dxa"/>
            <w:shd w:val="clear" w:color="auto" w:fill="auto"/>
            <w:vAlign w:val="center"/>
            <w:hideMark/>
          </w:tcPr>
          <w:p w14:paraId="05C39EEA" w14:textId="77777777" w:rsidR="00D60D2C" w:rsidRPr="00D60D2C" w:rsidRDefault="00D60D2C" w:rsidP="00D60D2C">
            <w:pPr>
              <w:spacing w:line="240" w:lineRule="auto"/>
              <w:ind w:firstLine="0"/>
              <w:jc w:val="right"/>
              <w:rPr>
                <w:rFonts w:ascii="Calibri" w:eastAsia="Times New Roman" w:hAnsi="Calibri" w:cs="Times New Roman"/>
                <w:color w:val="000000"/>
              </w:rPr>
            </w:pPr>
            <w:r w:rsidRPr="00D60D2C">
              <w:rPr>
                <w:rFonts w:ascii="Calibri" w:eastAsia="Times New Roman" w:hAnsi="Calibri" w:cs="Times New Roman"/>
                <w:color w:val="000000"/>
              </w:rPr>
              <w:t>1</w:t>
            </w:r>
          </w:p>
        </w:tc>
      </w:tr>
      <w:tr w:rsidR="00D60D2C" w:rsidRPr="00D60D2C" w14:paraId="6D0D0B2F" w14:textId="77777777" w:rsidTr="001F28A5">
        <w:trPr>
          <w:trHeight w:val="315"/>
          <w:jc w:val="center"/>
        </w:trPr>
        <w:tc>
          <w:tcPr>
            <w:tcW w:w="1320" w:type="dxa"/>
            <w:shd w:val="clear" w:color="auto" w:fill="auto"/>
            <w:vAlign w:val="center"/>
            <w:hideMark/>
          </w:tcPr>
          <w:p w14:paraId="64D4BF7A" w14:textId="77777777" w:rsidR="00D60D2C" w:rsidRPr="00D60D2C" w:rsidRDefault="00D60D2C" w:rsidP="00D60D2C">
            <w:pPr>
              <w:spacing w:line="240" w:lineRule="auto"/>
              <w:ind w:firstLine="0"/>
              <w:jc w:val="right"/>
              <w:rPr>
                <w:rFonts w:ascii="Calibri" w:eastAsia="Times New Roman" w:hAnsi="Calibri" w:cs="Times New Roman"/>
                <w:b/>
                <w:bCs/>
                <w:color w:val="000000"/>
              </w:rPr>
            </w:pPr>
            <w:r w:rsidRPr="00D60D2C">
              <w:rPr>
                <w:rFonts w:ascii="Calibri" w:eastAsia="Times New Roman" w:hAnsi="Calibri" w:cs="Times New Roman"/>
                <w:b/>
                <w:bCs/>
                <w:color w:val="000000"/>
              </w:rPr>
              <w:t>Present %</w:t>
            </w:r>
          </w:p>
        </w:tc>
        <w:tc>
          <w:tcPr>
            <w:tcW w:w="960" w:type="dxa"/>
            <w:shd w:val="clear" w:color="auto" w:fill="auto"/>
            <w:vAlign w:val="center"/>
            <w:hideMark/>
          </w:tcPr>
          <w:p w14:paraId="50C2A77A" w14:textId="77777777" w:rsidR="00D60D2C" w:rsidRPr="00D60D2C" w:rsidRDefault="00D60D2C" w:rsidP="00D60D2C">
            <w:pPr>
              <w:spacing w:line="240" w:lineRule="auto"/>
              <w:ind w:firstLine="0"/>
              <w:jc w:val="right"/>
              <w:rPr>
                <w:rFonts w:ascii="Calibri" w:eastAsia="Times New Roman" w:hAnsi="Calibri" w:cs="Times New Roman"/>
                <w:color w:val="000000"/>
              </w:rPr>
            </w:pPr>
            <w:r w:rsidRPr="00D60D2C">
              <w:rPr>
                <w:rFonts w:ascii="Calibri" w:eastAsia="Times New Roman" w:hAnsi="Calibri" w:cs="Times New Roman"/>
                <w:color w:val="000000"/>
              </w:rPr>
              <w:t>69.2</w:t>
            </w:r>
          </w:p>
        </w:tc>
        <w:tc>
          <w:tcPr>
            <w:tcW w:w="960" w:type="dxa"/>
            <w:shd w:val="clear" w:color="auto" w:fill="auto"/>
            <w:vAlign w:val="center"/>
            <w:hideMark/>
          </w:tcPr>
          <w:p w14:paraId="569FCC56" w14:textId="77777777" w:rsidR="00D60D2C" w:rsidRPr="00D60D2C" w:rsidRDefault="00D60D2C" w:rsidP="00D60D2C">
            <w:pPr>
              <w:spacing w:line="240" w:lineRule="auto"/>
              <w:ind w:firstLine="0"/>
              <w:jc w:val="right"/>
              <w:rPr>
                <w:rFonts w:ascii="Calibri" w:eastAsia="Times New Roman" w:hAnsi="Calibri" w:cs="Times New Roman"/>
                <w:color w:val="000000"/>
              </w:rPr>
            </w:pPr>
            <w:r w:rsidRPr="00D60D2C">
              <w:rPr>
                <w:rFonts w:ascii="Calibri" w:eastAsia="Times New Roman" w:hAnsi="Calibri" w:cs="Times New Roman"/>
                <w:color w:val="000000"/>
              </w:rPr>
              <w:t>23.1</w:t>
            </w:r>
          </w:p>
        </w:tc>
        <w:tc>
          <w:tcPr>
            <w:tcW w:w="960" w:type="dxa"/>
            <w:shd w:val="clear" w:color="auto" w:fill="auto"/>
            <w:vAlign w:val="center"/>
            <w:hideMark/>
          </w:tcPr>
          <w:p w14:paraId="4B6ED0FD" w14:textId="77777777" w:rsidR="00D60D2C" w:rsidRPr="00D60D2C" w:rsidRDefault="00D60D2C" w:rsidP="00D60D2C">
            <w:pPr>
              <w:spacing w:line="240" w:lineRule="auto"/>
              <w:ind w:firstLine="0"/>
              <w:jc w:val="right"/>
              <w:rPr>
                <w:rFonts w:ascii="Calibri" w:eastAsia="Times New Roman" w:hAnsi="Calibri" w:cs="Times New Roman"/>
                <w:color w:val="000000"/>
              </w:rPr>
            </w:pPr>
            <w:r w:rsidRPr="00D60D2C">
              <w:rPr>
                <w:rFonts w:ascii="Calibri" w:eastAsia="Times New Roman" w:hAnsi="Calibri" w:cs="Times New Roman"/>
                <w:color w:val="000000"/>
              </w:rPr>
              <w:t>57.7</w:t>
            </w:r>
          </w:p>
        </w:tc>
        <w:tc>
          <w:tcPr>
            <w:tcW w:w="960" w:type="dxa"/>
            <w:shd w:val="clear" w:color="auto" w:fill="auto"/>
            <w:vAlign w:val="center"/>
            <w:hideMark/>
          </w:tcPr>
          <w:p w14:paraId="75545A44" w14:textId="77777777" w:rsidR="00D60D2C" w:rsidRPr="00D60D2C" w:rsidRDefault="00D60D2C" w:rsidP="00D60D2C">
            <w:pPr>
              <w:spacing w:line="240" w:lineRule="auto"/>
              <w:ind w:firstLine="0"/>
              <w:jc w:val="right"/>
              <w:rPr>
                <w:rFonts w:ascii="Calibri" w:eastAsia="Times New Roman" w:hAnsi="Calibri" w:cs="Times New Roman"/>
                <w:color w:val="000000"/>
              </w:rPr>
            </w:pPr>
            <w:r w:rsidRPr="00D60D2C">
              <w:rPr>
                <w:rFonts w:ascii="Calibri" w:eastAsia="Times New Roman" w:hAnsi="Calibri" w:cs="Times New Roman"/>
                <w:color w:val="000000"/>
              </w:rPr>
              <w:t>15.4</w:t>
            </w:r>
          </w:p>
        </w:tc>
        <w:tc>
          <w:tcPr>
            <w:tcW w:w="960" w:type="dxa"/>
            <w:shd w:val="clear" w:color="auto" w:fill="auto"/>
            <w:vAlign w:val="center"/>
            <w:hideMark/>
          </w:tcPr>
          <w:p w14:paraId="4017D32C" w14:textId="77777777" w:rsidR="00D60D2C" w:rsidRPr="00D60D2C" w:rsidRDefault="00D60D2C" w:rsidP="00D60D2C">
            <w:pPr>
              <w:spacing w:line="240" w:lineRule="auto"/>
              <w:ind w:firstLine="0"/>
              <w:jc w:val="right"/>
              <w:rPr>
                <w:rFonts w:ascii="Calibri" w:eastAsia="Times New Roman" w:hAnsi="Calibri" w:cs="Times New Roman"/>
                <w:color w:val="000000"/>
              </w:rPr>
            </w:pPr>
            <w:r w:rsidRPr="00D60D2C">
              <w:rPr>
                <w:rFonts w:ascii="Calibri" w:eastAsia="Times New Roman" w:hAnsi="Calibri" w:cs="Times New Roman"/>
                <w:color w:val="000000"/>
              </w:rPr>
              <w:t>3.8</w:t>
            </w:r>
          </w:p>
        </w:tc>
      </w:tr>
    </w:tbl>
    <w:p w14:paraId="2872FFDD" w14:textId="77777777" w:rsidR="00D758BB" w:rsidRDefault="00D758BB" w:rsidP="009E5AEB"/>
    <w:p w14:paraId="5ECE8971" w14:textId="77777777" w:rsidR="00D758BB" w:rsidRDefault="00D758BB" w:rsidP="00D758BB">
      <w:pPr>
        <w:pStyle w:val="Heading3"/>
      </w:pPr>
      <w:bookmarkStart w:id="31" w:name="_Toc419135414"/>
      <w:r>
        <w:t>Open Data</w:t>
      </w:r>
      <w:bookmarkEnd w:id="31"/>
    </w:p>
    <w:p w14:paraId="347B8AD2" w14:textId="74DF7938" w:rsidR="009E5AEB" w:rsidRDefault="009E5AEB" w:rsidP="009E5AEB">
      <w:r>
        <w:t xml:space="preserve">If we consider open data, just over half of these websites shared data textually </w:t>
      </w:r>
      <w:r w:rsidR="003B3229">
        <w:t xml:space="preserve">as shown in </w:t>
      </w:r>
      <w:r w:rsidR="00766E9C">
        <w:t>Table 7</w:t>
      </w:r>
      <w:r>
        <w:t>, usually in the form of site reports through a linked PDF document</w:t>
      </w:r>
      <w:r w:rsidR="000B1CDA">
        <w:t>, but also as simple html pages</w:t>
      </w:r>
      <w:r>
        <w:t xml:space="preserve">. </w:t>
      </w:r>
      <w:r w:rsidR="000B1CDA">
        <w:t xml:space="preserve">Of all </w:t>
      </w:r>
      <w:r w:rsidR="00B71C27">
        <w:rPr>
          <w:rFonts w:cs="Times New Roman"/>
        </w:rPr>
        <w:t xml:space="preserve">websites </w:t>
      </w:r>
      <w:r w:rsidR="000B1CDA">
        <w:rPr>
          <w:rFonts w:cs="Times New Roman"/>
        </w:rPr>
        <w:t>in</w:t>
      </w:r>
      <w:r w:rsidR="00766E9C">
        <w:rPr>
          <w:rFonts w:cs="Times New Roman"/>
        </w:rPr>
        <w:t xml:space="preserve"> the data archaeology cluster (</w:t>
      </w:r>
      <w:r w:rsidR="00193E41">
        <w:rPr>
          <w:rFonts w:cs="Times New Roman"/>
        </w:rPr>
        <w:t>n=</w:t>
      </w:r>
      <w:r w:rsidR="00766E9C">
        <w:rPr>
          <w:rFonts w:cs="Times New Roman"/>
        </w:rPr>
        <w:t>26</w:t>
      </w:r>
      <w:r w:rsidR="000B1CDA">
        <w:rPr>
          <w:rFonts w:cs="Times New Roman"/>
        </w:rPr>
        <w:t xml:space="preserve">), </w:t>
      </w:r>
      <w:r w:rsidR="00766E9C">
        <w:t>only 42</w:t>
      </w:r>
      <w:r>
        <w:t>%</w:t>
      </w:r>
      <w:r w:rsidR="00871D07">
        <w:t xml:space="preserve"> (n=11)</w:t>
      </w:r>
      <w:r>
        <w:t xml:space="preserve"> had </w:t>
      </w:r>
      <w:r w:rsidR="000B1CDA">
        <w:t xml:space="preserve">re-usable </w:t>
      </w:r>
      <w:r>
        <w:t>data.</w:t>
      </w:r>
      <w:r w:rsidR="000B1CDA">
        <w:t xml:space="preserve"> Six of these websites </w:t>
      </w:r>
      <w:r>
        <w:t>included a data dictionary</w:t>
      </w:r>
      <w:r w:rsidR="000B1CDA">
        <w:t xml:space="preserve">, providing database metadata and detailing how the database </w:t>
      </w:r>
      <w:r w:rsidR="000B1CDA">
        <w:lastRenderedPageBreak/>
        <w:t>fields were used, allowing for greater interoperability</w:t>
      </w:r>
      <w:r>
        <w:t>.</w:t>
      </w:r>
      <w:r w:rsidR="00766E9C">
        <w:t xml:space="preserve"> Looking at the total institutions</w:t>
      </w:r>
      <w:r w:rsidR="00193E41">
        <w:t>,</w:t>
      </w:r>
      <w:r w:rsidR="00871D07">
        <w:t xml:space="preserve"> only 7.3</w:t>
      </w:r>
      <w:r w:rsidR="00766E9C">
        <w:t xml:space="preserve">% </w:t>
      </w:r>
      <w:r w:rsidR="001027AD">
        <w:t xml:space="preserve">(n=11) </w:t>
      </w:r>
      <w:r w:rsidR="00766E9C">
        <w:t>provided easily re-usable data</w:t>
      </w:r>
      <w:r w:rsidR="009168EE">
        <w:t xml:space="preserve"> </w:t>
      </w:r>
      <w:r w:rsidR="009168EE">
        <w:rPr>
          <w:rFonts w:cs="Times New Roman"/>
        </w:rPr>
        <w:t>(see Table 7</w:t>
      </w:r>
      <w:r w:rsidR="009168EE">
        <w:rPr>
          <w:rFonts w:cs="Times New Roman"/>
        </w:rPr>
        <w:t xml:space="preserve">/Figure </w:t>
      </w:r>
      <w:r w:rsidR="009168EE">
        <w:rPr>
          <w:rFonts w:cs="Times New Roman"/>
        </w:rPr>
        <w:t>6</w:t>
      </w:r>
      <w:r w:rsidR="009168EE">
        <w:rPr>
          <w:rFonts w:cs="Times New Roman"/>
        </w:rPr>
        <w:t>)</w:t>
      </w:r>
      <w:r w:rsidR="00766E9C">
        <w:t>.</w:t>
      </w:r>
    </w:p>
    <w:p w14:paraId="6A6D535F" w14:textId="77777777" w:rsidR="009E411B" w:rsidRPr="009E411B" w:rsidRDefault="000D05B0" w:rsidP="00A902DA">
      <w:pPr>
        <w:ind w:firstLine="0"/>
        <w:jc w:val="center"/>
        <w:rPr>
          <w:b/>
        </w:rPr>
      </w:pPr>
      <w:r>
        <w:rPr>
          <w:b/>
        </w:rPr>
        <w:t xml:space="preserve">Table </w:t>
      </w:r>
      <w:r w:rsidR="00BD4CF0">
        <w:rPr>
          <w:b/>
        </w:rPr>
        <w:t>7</w:t>
      </w:r>
      <w:r w:rsidR="00A902DA">
        <w:rPr>
          <w:b/>
        </w:rPr>
        <w:t xml:space="preserve">: </w:t>
      </w:r>
      <w:r w:rsidR="009E411B" w:rsidRPr="009E411B">
        <w:rPr>
          <w:b/>
        </w:rPr>
        <w:t>Open Data</w:t>
      </w:r>
      <w:r w:rsidR="00BD4CF0">
        <w:rPr>
          <w:b/>
        </w:rPr>
        <w:t xml:space="preserve"> by type</w:t>
      </w:r>
    </w:p>
    <w:tbl>
      <w:tblPr>
        <w:tblStyle w:val="GridTable1Light-Accent51"/>
        <w:tblW w:w="7205" w:type="dxa"/>
        <w:jc w:val="center"/>
        <w:tblLook w:val="04A0" w:firstRow="1" w:lastRow="0" w:firstColumn="1" w:lastColumn="0" w:noHBand="0" w:noVBand="1"/>
      </w:tblPr>
      <w:tblGrid>
        <w:gridCol w:w="2448"/>
        <w:gridCol w:w="1071"/>
        <w:gridCol w:w="1260"/>
        <w:gridCol w:w="2426"/>
      </w:tblGrid>
      <w:tr w:rsidR="002013E4" w:rsidRPr="00321D63" w14:paraId="1C241367" w14:textId="77777777" w:rsidTr="002013E4">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448" w:type="dxa"/>
            <w:noWrap/>
            <w:hideMark/>
          </w:tcPr>
          <w:p w14:paraId="7F2448BD" w14:textId="77777777" w:rsidR="002013E4" w:rsidRPr="00F342BA" w:rsidRDefault="002013E4" w:rsidP="002013E4">
            <w:pPr>
              <w:spacing w:line="240" w:lineRule="auto"/>
              <w:ind w:firstLine="0"/>
              <w:jc w:val="right"/>
              <w:rPr>
                <w:rFonts w:ascii="Calibri" w:eastAsia="Times New Roman" w:hAnsi="Calibri" w:cs="Times New Roman"/>
                <w:color w:val="000000"/>
                <w:highlight w:val="yellow"/>
              </w:rPr>
            </w:pPr>
          </w:p>
        </w:tc>
        <w:tc>
          <w:tcPr>
            <w:tcW w:w="1071" w:type="dxa"/>
          </w:tcPr>
          <w:p w14:paraId="2E077AB7" w14:textId="77777777" w:rsidR="002013E4" w:rsidRPr="00F342BA" w:rsidRDefault="002013E4" w:rsidP="002013E4">
            <w:pPr>
              <w:spacing w:line="240" w:lineRule="auto"/>
              <w:ind w:firstLine="0"/>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p>
        </w:tc>
        <w:tc>
          <w:tcPr>
            <w:tcW w:w="1260" w:type="dxa"/>
          </w:tcPr>
          <w:p w14:paraId="6FFB824A" w14:textId="77777777" w:rsidR="002013E4" w:rsidRPr="00F342BA" w:rsidRDefault="002013E4" w:rsidP="002013E4">
            <w:pPr>
              <w:spacing w:line="240" w:lineRule="auto"/>
              <w:ind w:firstLine="0"/>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000000"/>
                <w:highlight w:val="yellow"/>
              </w:rPr>
            </w:pPr>
            <w:r w:rsidRPr="00F342BA">
              <w:rPr>
                <w:rFonts w:ascii="Calibri" w:eastAsia="Times New Roman" w:hAnsi="Calibri" w:cs="Times New Roman"/>
                <w:color w:val="000000"/>
              </w:rPr>
              <w:t>%</w:t>
            </w:r>
          </w:p>
        </w:tc>
        <w:tc>
          <w:tcPr>
            <w:tcW w:w="2426" w:type="dxa"/>
            <w:noWrap/>
            <w:hideMark/>
          </w:tcPr>
          <w:p w14:paraId="1EC2397C" w14:textId="77777777" w:rsidR="002013E4" w:rsidRPr="00F342BA" w:rsidRDefault="002013E4" w:rsidP="002013E4">
            <w:pPr>
              <w:spacing w:line="240" w:lineRule="auto"/>
              <w:ind w:firstLine="0"/>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000000"/>
                <w:highlight w:val="yellow"/>
              </w:rPr>
            </w:pPr>
            <w:r w:rsidRPr="00F342BA">
              <w:rPr>
                <w:rFonts w:ascii="Calibri" w:eastAsia="Times New Roman" w:hAnsi="Calibri" w:cs="Times New Roman"/>
                <w:color w:val="000000"/>
              </w:rPr>
              <w:t xml:space="preserve">% </w:t>
            </w:r>
            <w:r>
              <w:rPr>
                <w:rFonts w:ascii="Calibri" w:eastAsia="Times New Roman" w:hAnsi="Calibri" w:cs="Times New Roman"/>
                <w:color w:val="000000"/>
              </w:rPr>
              <w:t xml:space="preserve">non-proprietary with </w:t>
            </w:r>
            <w:r w:rsidRPr="00F342BA">
              <w:rPr>
                <w:rFonts w:ascii="Calibri" w:eastAsia="Times New Roman" w:hAnsi="Calibri" w:cs="Times New Roman"/>
                <w:color w:val="000000"/>
              </w:rPr>
              <w:t xml:space="preserve"> Data Dictionary</w:t>
            </w:r>
          </w:p>
        </w:tc>
      </w:tr>
      <w:tr w:rsidR="002013E4" w14:paraId="449462BE" w14:textId="77777777" w:rsidTr="002013E4">
        <w:trPr>
          <w:trHeight w:val="323"/>
          <w:jc w:val="center"/>
        </w:trPr>
        <w:tc>
          <w:tcPr>
            <w:cnfStyle w:val="001000000000" w:firstRow="0" w:lastRow="0" w:firstColumn="1" w:lastColumn="0" w:oddVBand="0" w:evenVBand="0" w:oddHBand="0" w:evenHBand="0" w:firstRowFirstColumn="0" w:firstRowLastColumn="0" w:lastRowFirstColumn="0" w:lastRowLastColumn="0"/>
            <w:tcW w:w="2448" w:type="dxa"/>
            <w:tcBorders>
              <w:top w:val="single" w:sz="12" w:space="0" w:color="8EAADB" w:themeColor="accent5" w:themeTint="99"/>
            </w:tcBorders>
            <w:noWrap/>
            <w:hideMark/>
          </w:tcPr>
          <w:p w14:paraId="2F092997" w14:textId="77777777" w:rsidR="002013E4" w:rsidRPr="00700064" w:rsidRDefault="002013E4" w:rsidP="002013E4">
            <w:pPr>
              <w:spacing w:line="240" w:lineRule="auto"/>
              <w:ind w:firstLine="0"/>
              <w:jc w:val="right"/>
              <w:rPr>
                <w:rFonts w:ascii="Calibri" w:eastAsia="Times New Roman" w:hAnsi="Calibri" w:cs="Times New Roman"/>
                <w:color w:val="000000"/>
              </w:rPr>
            </w:pPr>
            <w:r>
              <w:rPr>
                <w:rFonts w:ascii="Calibri" w:eastAsia="Times New Roman" w:hAnsi="Calibri" w:cs="Times New Roman"/>
                <w:color w:val="000000"/>
              </w:rPr>
              <w:t>Text</w:t>
            </w:r>
          </w:p>
        </w:tc>
        <w:tc>
          <w:tcPr>
            <w:tcW w:w="1071" w:type="dxa"/>
            <w:tcBorders>
              <w:top w:val="single" w:sz="12" w:space="0" w:color="8EAADB" w:themeColor="accent5" w:themeTint="99"/>
            </w:tcBorders>
          </w:tcPr>
          <w:p w14:paraId="0D8D5129" w14:textId="77777777" w:rsidR="002013E4" w:rsidRDefault="002013E4" w:rsidP="002013E4">
            <w:pPr>
              <w:ind w:firstLine="0"/>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14</w:t>
            </w:r>
          </w:p>
        </w:tc>
        <w:tc>
          <w:tcPr>
            <w:tcW w:w="1260" w:type="dxa"/>
            <w:tcBorders>
              <w:top w:val="single" w:sz="12" w:space="0" w:color="8EAADB" w:themeColor="accent5" w:themeTint="99"/>
            </w:tcBorders>
          </w:tcPr>
          <w:p w14:paraId="016F5A6E" w14:textId="16AF0FE6" w:rsidR="002013E4" w:rsidRDefault="00871D07" w:rsidP="002013E4">
            <w:pPr>
              <w:ind w:firstLine="0"/>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53.8</w:t>
            </w:r>
            <w:r w:rsidR="002013E4">
              <w:rPr>
                <w:rFonts w:ascii="Calibri" w:hAnsi="Calibri"/>
                <w:color w:val="000000"/>
              </w:rPr>
              <w:t>%</w:t>
            </w:r>
          </w:p>
        </w:tc>
        <w:tc>
          <w:tcPr>
            <w:tcW w:w="2426" w:type="dxa"/>
            <w:tcBorders>
              <w:top w:val="single" w:sz="12" w:space="0" w:color="8EAADB" w:themeColor="accent5" w:themeTint="99"/>
            </w:tcBorders>
            <w:noWrap/>
            <w:hideMark/>
          </w:tcPr>
          <w:p w14:paraId="27ECDAD8" w14:textId="77777777" w:rsidR="002013E4" w:rsidRDefault="002013E4" w:rsidP="002013E4">
            <w:pPr>
              <w:ind w:firstLine="0"/>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0</w:t>
            </w:r>
          </w:p>
        </w:tc>
      </w:tr>
      <w:tr w:rsidR="002013E4" w14:paraId="544549D5" w14:textId="77777777" w:rsidTr="002013E4">
        <w:trPr>
          <w:trHeight w:val="80"/>
          <w:jc w:val="center"/>
        </w:trPr>
        <w:tc>
          <w:tcPr>
            <w:cnfStyle w:val="001000000000" w:firstRow="0" w:lastRow="0" w:firstColumn="1" w:lastColumn="0" w:oddVBand="0" w:evenVBand="0" w:oddHBand="0" w:evenHBand="0" w:firstRowFirstColumn="0" w:firstRowLastColumn="0" w:lastRowFirstColumn="0" w:lastRowLastColumn="0"/>
            <w:tcW w:w="2448" w:type="dxa"/>
            <w:noWrap/>
            <w:hideMark/>
          </w:tcPr>
          <w:p w14:paraId="0B9CE2F0" w14:textId="77777777" w:rsidR="002013E4" w:rsidRPr="00700064" w:rsidRDefault="002013E4" w:rsidP="002013E4">
            <w:pPr>
              <w:spacing w:line="240" w:lineRule="auto"/>
              <w:ind w:firstLine="0"/>
              <w:jc w:val="right"/>
              <w:rPr>
                <w:rFonts w:ascii="Calibri" w:eastAsia="Times New Roman" w:hAnsi="Calibri" w:cs="Times New Roman"/>
                <w:color w:val="000000"/>
              </w:rPr>
            </w:pPr>
            <w:r>
              <w:rPr>
                <w:rFonts w:ascii="Calibri" w:eastAsia="Times New Roman" w:hAnsi="Calibri" w:cs="Times New Roman"/>
                <w:color w:val="000000"/>
              </w:rPr>
              <w:t>Structured Text</w:t>
            </w:r>
          </w:p>
        </w:tc>
        <w:tc>
          <w:tcPr>
            <w:tcW w:w="1071" w:type="dxa"/>
          </w:tcPr>
          <w:p w14:paraId="1CBACD22" w14:textId="77777777" w:rsidR="002013E4" w:rsidRDefault="002013E4" w:rsidP="002013E4">
            <w:pPr>
              <w:ind w:firstLine="0"/>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1</w:t>
            </w:r>
          </w:p>
        </w:tc>
        <w:tc>
          <w:tcPr>
            <w:tcW w:w="1260" w:type="dxa"/>
          </w:tcPr>
          <w:p w14:paraId="455C50D1" w14:textId="09FBAD45" w:rsidR="002013E4" w:rsidRDefault="00871D07" w:rsidP="002013E4">
            <w:pPr>
              <w:ind w:firstLine="0"/>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3.8</w:t>
            </w:r>
            <w:r w:rsidR="002013E4">
              <w:rPr>
                <w:rFonts w:ascii="Calibri" w:hAnsi="Calibri"/>
                <w:color w:val="000000"/>
              </w:rPr>
              <w:t>%</w:t>
            </w:r>
          </w:p>
        </w:tc>
        <w:tc>
          <w:tcPr>
            <w:tcW w:w="2426" w:type="dxa"/>
            <w:noWrap/>
            <w:hideMark/>
          </w:tcPr>
          <w:p w14:paraId="01953600" w14:textId="77777777" w:rsidR="002013E4" w:rsidRDefault="002013E4" w:rsidP="002013E4">
            <w:pPr>
              <w:ind w:firstLine="0"/>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0</w:t>
            </w:r>
          </w:p>
        </w:tc>
      </w:tr>
      <w:tr w:rsidR="002013E4" w14:paraId="45DF0DBB" w14:textId="77777777" w:rsidTr="002013E4">
        <w:trPr>
          <w:trHeight w:val="80"/>
          <w:jc w:val="center"/>
        </w:trPr>
        <w:tc>
          <w:tcPr>
            <w:cnfStyle w:val="001000000000" w:firstRow="0" w:lastRow="0" w:firstColumn="1" w:lastColumn="0" w:oddVBand="0" w:evenVBand="0" w:oddHBand="0" w:evenHBand="0" w:firstRowFirstColumn="0" w:firstRowLastColumn="0" w:lastRowFirstColumn="0" w:lastRowLastColumn="0"/>
            <w:tcW w:w="2448" w:type="dxa"/>
            <w:noWrap/>
          </w:tcPr>
          <w:p w14:paraId="012E5430" w14:textId="77777777" w:rsidR="002013E4" w:rsidRDefault="002013E4" w:rsidP="002013E4">
            <w:pPr>
              <w:spacing w:line="240" w:lineRule="auto"/>
              <w:jc w:val="right"/>
              <w:rPr>
                <w:rFonts w:ascii="Calibri" w:eastAsia="Times New Roman" w:hAnsi="Calibri" w:cs="Times New Roman"/>
                <w:color w:val="000000"/>
              </w:rPr>
            </w:pPr>
            <w:r>
              <w:rPr>
                <w:rFonts w:ascii="Calibri" w:eastAsia="Times New Roman" w:hAnsi="Calibri" w:cs="Times New Roman"/>
                <w:color w:val="000000"/>
              </w:rPr>
              <w:t>Non-Proprietary</w:t>
            </w:r>
          </w:p>
        </w:tc>
        <w:tc>
          <w:tcPr>
            <w:tcW w:w="1071" w:type="dxa"/>
          </w:tcPr>
          <w:p w14:paraId="69607247" w14:textId="77777777" w:rsidR="002013E4" w:rsidRDefault="002013E4" w:rsidP="002013E4">
            <w:pPr>
              <w:ind w:firstLine="0"/>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11</w:t>
            </w:r>
          </w:p>
        </w:tc>
        <w:tc>
          <w:tcPr>
            <w:tcW w:w="1260" w:type="dxa"/>
          </w:tcPr>
          <w:p w14:paraId="340CFA84" w14:textId="279E6219" w:rsidR="002013E4" w:rsidRDefault="002013E4" w:rsidP="002013E4">
            <w:pPr>
              <w:ind w:firstLine="0"/>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42</w:t>
            </w:r>
            <w:r w:rsidR="00871D07">
              <w:rPr>
                <w:rFonts w:ascii="Calibri" w:hAnsi="Calibri"/>
                <w:color w:val="000000"/>
              </w:rPr>
              <w:t>.3</w:t>
            </w:r>
            <w:r>
              <w:rPr>
                <w:rFonts w:ascii="Calibri" w:hAnsi="Calibri"/>
                <w:color w:val="000000"/>
              </w:rPr>
              <w:t>%</w:t>
            </w:r>
          </w:p>
        </w:tc>
        <w:tc>
          <w:tcPr>
            <w:tcW w:w="2426" w:type="dxa"/>
            <w:noWrap/>
          </w:tcPr>
          <w:p w14:paraId="70F36E65" w14:textId="55EC34DA" w:rsidR="002013E4" w:rsidRDefault="002013E4" w:rsidP="00871D07">
            <w:pPr>
              <w:ind w:firstLine="0"/>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5</w:t>
            </w:r>
            <w:r w:rsidR="00871D07">
              <w:rPr>
                <w:rFonts w:ascii="Calibri" w:hAnsi="Calibri"/>
                <w:color w:val="000000"/>
              </w:rPr>
              <w:t>4.5</w:t>
            </w:r>
            <w:r>
              <w:rPr>
                <w:rFonts w:ascii="Calibri" w:hAnsi="Calibri"/>
                <w:color w:val="000000"/>
              </w:rPr>
              <w:t>%</w:t>
            </w:r>
          </w:p>
        </w:tc>
      </w:tr>
    </w:tbl>
    <w:p w14:paraId="191E8E49" w14:textId="77777777" w:rsidR="00BD4CF0" w:rsidRDefault="00BD4CF0" w:rsidP="002013E4">
      <w:pPr>
        <w:jc w:val="center"/>
      </w:pPr>
      <w:r w:rsidRPr="00BD4CF0">
        <w:rPr>
          <w:noProof/>
        </w:rPr>
        <w:drawing>
          <wp:inline distT="0" distB="0" distL="0" distR="0" wp14:anchorId="01F40844" wp14:editId="28F01704">
            <wp:extent cx="3286125" cy="2266950"/>
            <wp:effectExtent l="0" t="0" r="9525"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B0F60CB" w14:textId="6F3A9E44" w:rsidR="00D470FA" w:rsidRPr="00D470FA" w:rsidRDefault="007D4525" w:rsidP="00D470FA">
      <w:pPr>
        <w:jc w:val="center"/>
      </w:pPr>
      <w:r>
        <w:rPr>
          <w:b/>
          <w:bCs/>
        </w:rPr>
        <w:t>Figure 6</w:t>
      </w:r>
      <w:r w:rsidR="00D470FA" w:rsidRPr="00D470FA">
        <w:rPr>
          <w:b/>
          <w:bCs/>
        </w:rPr>
        <w:t>: Open data by type</w:t>
      </w:r>
    </w:p>
    <w:p w14:paraId="1DAFC800" w14:textId="77777777" w:rsidR="00D470FA" w:rsidRDefault="00D470FA" w:rsidP="002013E4">
      <w:pPr>
        <w:jc w:val="center"/>
      </w:pPr>
    </w:p>
    <w:p w14:paraId="2176B07B" w14:textId="77777777" w:rsidR="009168EE" w:rsidRDefault="009168EE">
      <w:pPr>
        <w:spacing w:after="160" w:line="259" w:lineRule="auto"/>
        <w:ind w:firstLine="0"/>
      </w:pPr>
      <w:r>
        <w:br w:type="page"/>
      </w:r>
    </w:p>
    <w:p w14:paraId="444547B5" w14:textId="3C3A3E59" w:rsidR="009E411B" w:rsidRDefault="000B1CDA" w:rsidP="009E411B">
      <w:r>
        <w:lastRenderedPageBreak/>
        <w:t xml:space="preserve">When assessing </w:t>
      </w:r>
      <w:r w:rsidR="00D6212F">
        <w:t>these websites</w:t>
      </w:r>
      <w:r w:rsidR="00410E1D">
        <w:t xml:space="preserve"> (n=26)</w:t>
      </w:r>
      <w:r w:rsidR="00D6212F">
        <w:t xml:space="preserve"> with the </w:t>
      </w:r>
      <w:r w:rsidR="00321D63">
        <w:t>five</w:t>
      </w:r>
      <w:r w:rsidR="00644A44">
        <w:t>-</w:t>
      </w:r>
      <w:r w:rsidR="00D6212F">
        <w:t>star open</w:t>
      </w:r>
      <w:r w:rsidR="00B53814">
        <w:t xml:space="preserve"> (defined in chapter 2) </w:t>
      </w:r>
      <w:r w:rsidR="00D6212F">
        <w:t>rating suggested by Berners-Lee (</w:t>
      </w:r>
      <w:r w:rsidR="00D06737">
        <w:t>LATC</w:t>
      </w:r>
      <w:r w:rsidR="005A524C">
        <w:t>,</w:t>
      </w:r>
      <w:r w:rsidR="00D6212F">
        <w:t xml:space="preserve"> 2012) </w:t>
      </w:r>
      <w:r w:rsidR="00410E1D">
        <w:t>11</w:t>
      </w:r>
      <w:r w:rsidR="00D6212F">
        <w:t xml:space="preserve"> </w:t>
      </w:r>
      <w:r w:rsidR="00B71C27">
        <w:rPr>
          <w:rFonts w:cs="Times New Roman"/>
        </w:rPr>
        <w:t xml:space="preserve">websites </w:t>
      </w:r>
      <w:r w:rsidR="00B935CF">
        <w:t>reach level 3 (</w:t>
      </w:r>
      <w:r>
        <w:t xml:space="preserve">see </w:t>
      </w:r>
      <w:r w:rsidR="00D6212F">
        <w:t xml:space="preserve">Table </w:t>
      </w:r>
      <w:r w:rsidR="00836BA0">
        <w:t>8</w:t>
      </w:r>
      <w:r w:rsidR="00B935CF">
        <w:t xml:space="preserve">). </w:t>
      </w:r>
    </w:p>
    <w:p w14:paraId="30DCC5A5" w14:textId="77777777" w:rsidR="00B935CF" w:rsidRDefault="0038659A" w:rsidP="00B935CF">
      <w:pPr>
        <w:ind w:firstLine="0"/>
        <w:jc w:val="center"/>
        <w:rPr>
          <w:b/>
        </w:rPr>
      </w:pPr>
      <w:r>
        <w:rPr>
          <w:b/>
        </w:rPr>
        <w:t xml:space="preserve">Table </w:t>
      </w:r>
      <w:r w:rsidR="002013E4">
        <w:rPr>
          <w:b/>
        </w:rPr>
        <w:t>8</w:t>
      </w:r>
      <w:r>
        <w:rPr>
          <w:b/>
        </w:rPr>
        <w:t>: Five</w:t>
      </w:r>
      <w:r w:rsidR="00B935CF" w:rsidRPr="00B935CF">
        <w:rPr>
          <w:b/>
        </w:rPr>
        <w:t xml:space="preserve"> Star Rating</w:t>
      </w:r>
    </w:p>
    <w:tbl>
      <w:tblPr>
        <w:tblStyle w:val="GridTable1Light-Accent51"/>
        <w:tblW w:w="0" w:type="auto"/>
        <w:jc w:val="center"/>
        <w:tblLook w:val="04A0" w:firstRow="1" w:lastRow="0" w:firstColumn="1" w:lastColumn="0" w:noHBand="0" w:noVBand="1"/>
      </w:tblPr>
      <w:tblGrid>
        <w:gridCol w:w="1204"/>
        <w:gridCol w:w="776"/>
        <w:gridCol w:w="706"/>
        <w:gridCol w:w="1214"/>
        <w:gridCol w:w="1214"/>
      </w:tblGrid>
      <w:tr w:rsidR="00A40DBF" w:rsidRPr="00B935CF" w14:paraId="67053E69" w14:textId="77777777" w:rsidTr="00A2006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04" w:type="dxa"/>
          </w:tcPr>
          <w:p w14:paraId="20970B15" w14:textId="77777777" w:rsidR="00A40DBF" w:rsidRPr="00B935CF" w:rsidRDefault="00A40DBF" w:rsidP="00A40DBF">
            <w:pPr>
              <w:ind w:firstLine="0"/>
              <w:rPr>
                <w:b w:val="0"/>
              </w:rPr>
            </w:pPr>
          </w:p>
        </w:tc>
        <w:tc>
          <w:tcPr>
            <w:tcW w:w="1482" w:type="dxa"/>
            <w:gridSpan w:val="2"/>
          </w:tcPr>
          <w:p w14:paraId="5D90EAAF" w14:textId="77777777" w:rsidR="00A40DBF" w:rsidRPr="00B935CF" w:rsidRDefault="00036C43" w:rsidP="00036C43">
            <w:pPr>
              <w:ind w:firstLine="0"/>
              <w:cnfStyle w:val="100000000000" w:firstRow="1" w:lastRow="0" w:firstColumn="0" w:lastColumn="0" w:oddVBand="0" w:evenVBand="0" w:oddHBand="0" w:evenHBand="0" w:firstRowFirstColumn="0" w:firstRowLastColumn="0" w:lastRowFirstColumn="0" w:lastRowLastColumn="0"/>
              <w:rPr>
                <w:b w:val="0"/>
              </w:rPr>
            </w:pPr>
            <w:r>
              <w:rPr>
                <w:b w:val="0"/>
              </w:rPr>
              <w:t>Rating</w:t>
            </w:r>
          </w:p>
        </w:tc>
        <w:tc>
          <w:tcPr>
            <w:tcW w:w="1214" w:type="dxa"/>
          </w:tcPr>
          <w:p w14:paraId="1B883569" w14:textId="77777777" w:rsidR="00A40DBF" w:rsidRDefault="000F5385" w:rsidP="00A40DBF">
            <w:pPr>
              <w:ind w:firstLine="0"/>
              <w:cnfStyle w:val="100000000000" w:firstRow="1" w:lastRow="0" w:firstColumn="0" w:lastColumn="0" w:oddVBand="0" w:evenVBand="0" w:oddHBand="0" w:evenHBand="0" w:firstRowFirstColumn="0" w:firstRowLastColumn="0" w:lastRowFirstColumn="0" w:lastRowLastColumn="0"/>
              <w:rPr>
                <w:b w:val="0"/>
              </w:rPr>
            </w:pPr>
            <w:r>
              <w:rPr>
                <w:b w:val="0"/>
              </w:rPr>
              <w:t>License</w:t>
            </w:r>
          </w:p>
        </w:tc>
        <w:tc>
          <w:tcPr>
            <w:tcW w:w="1214" w:type="dxa"/>
          </w:tcPr>
          <w:p w14:paraId="5375BDF5" w14:textId="77777777" w:rsidR="00A40DBF" w:rsidRPr="00B935CF" w:rsidRDefault="002A1273" w:rsidP="00A40DBF">
            <w:pPr>
              <w:ind w:firstLine="0"/>
              <w:cnfStyle w:val="100000000000" w:firstRow="1" w:lastRow="0" w:firstColumn="0" w:lastColumn="0" w:oddVBand="0" w:evenVBand="0" w:oddHBand="0" w:evenHBand="0" w:firstRowFirstColumn="0" w:firstRowLastColumn="0" w:lastRowFirstColumn="0" w:lastRowLastColumn="0"/>
              <w:rPr>
                <w:b w:val="0"/>
              </w:rPr>
            </w:pPr>
            <w:r>
              <w:rPr>
                <w:b w:val="0"/>
              </w:rPr>
              <w:t>URIs</w:t>
            </w:r>
          </w:p>
        </w:tc>
      </w:tr>
      <w:tr w:rsidR="000F5385" w14:paraId="7B7EF7C2" w14:textId="77777777" w:rsidTr="00A20064">
        <w:trPr>
          <w:jc w:val="center"/>
        </w:trPr>
        <w:tc>
          <w:tcPr>
            <w:cnfStyle w:val="001000000000" w:firstRow="0" w:lastRow="0" w:firstColumn="1" w:lastColumn="0" w:oddVBand="0" w:evenVBand="0" w:oddHBand="0" w:evenHBand="0" w:firstRowFirstColumn="0" w:firstRowLastColumn="0" w:lastRowFirstColumn="0" w:lastRowLastColumn="0"/>
            <w:tcW w:w="1204" w:type="dxa"/>
          </w:tcPr>
          <w:p w14:paraId="4F383D40" w14:textId="77777777" w:rsidR="000F5385" w:rsidRDefault="000F5385" w:rsidP="00036C43">
            <w:pPr>
              <w:ind w:firstLine="0"/>
              <w:jc w:val="right"/>
            </w:pPr>
          </w:p>
        </w:tc>
        <w:tc>
          <w:tcPr>
            <w:tcW w:w="776" w:type="dxa"/>
          </w:tcPr>
          <w:p w14:paraId="3B92AACC" w14:textId="77777777" w:rsidR="000F5385" w:rsidRDefault="000F5385" w:rsidP="00036C43">
            <w:pPr>
              <w:ind w:firstLine="0"/>
              <w:jc w:val="right"/>
              <w:cnfStyle w:val="000000000000" w:firstRow="0" w:lastRow="0" w:firstColumn="0" w:lastColumn="0" w:oddVBand="0" w:evenVBand="0" w:oddHBand="0" w:evenHBand="0" w:firstRowFirstColumn="0" w:firstRowLastColumn="0" w:lastRowFirstColumn="0" w:lastRowLastColumn="0"/>
            </w:pPr>
            <w:r>
              <w:t>Count</w:t>
            </w:r>
          </w:p>
        </w:tc>
        <w:tc>
          <w:tcPr>
            <w:tcW w:w="706" w:type="dxa"/>
          </w:tcPr>
          <w:p w14:paraId="04AF3931" w14:textId="77777777" w:rsidR="000F5385" w:rsidRDefault="000F5385" w:rsidP="00036C43">
            <w:pPr>
              <w:ind w:firstLine="0"/>
              <w:jc w:val="right"/>
              <w:cnfStyle w:val="000000000000" w:firstRow="0" w:lastRow="0" w:firstColumn="0" w:lastColumn="0" w:oddVBand="0" w:evenVBand="0" w:oddHBand="0" w:evenHBand="0" w:firstRowFirstColumn="0" w:firstRowLastColumn="0" w:lastRowFirstColumn="0" w:lastRowLastColumn="0"/>
            </w:pPr>
            <w:r>
              <w:t>%</w:t>
            </w:r>
          </w:p>
        </w:tc>
        <w:tc>
          <w:tcPr>
            <w:tcW w:w="1214" w:type="dxa"/>
          </w:tcPr>
          <w:p w14:paraId="5131C18D" w14:textId="77777777" w:rsidR="000F5385" w:rsidRDefault="000F5385" w:rsidP="00036C43">
            <w:pPr>
              <w:ind w:firstLine="0"/>
              <w:jc w:val="right"/>
              <w:cnfStyle w:val="000000000000" w:firstRow="0" w:lastRow="0" w:firstColumn="0" w:lastColumn="0" w:oddVBand="0" w:evenVBand="0" w:oddHBand="0" w:evenHBand="0" w:firstRowFirstColumn="0" w:firstRowLastColumn="0" w:lastRowFirstColumn="0" w:lastRowLastColumn="0"/>
            </w:pPr>
            <w:r>
              <w:rPr>
                <w:b/>
              </w:rPr>
              <w:t>Count</w:t>
            </w:r>
          </w:p>
        </w:tc>
        <w:tc>
          <w:tcPr>
            <w:tcW w:w="1214" w:type="dxa"/>
          </w:tcPr>
          <w:p w14:paraId="7CDB1343" w14:textId="77777777" w:rsidR="000F5385" w:rsidRDefault="000F5385" w:rsidP="00036C43">
            <w:pPr>
              <w:ind w:firstLine="0"/>
              <w:jc w:val="right"/>
              <w:cnfStyle w:val="000000000000" w:firstRow="0" w:lastRow="0" w:firstColumn="0" w:lastColumn="0" w:oddVBand="0" w:evenVBand="0" w:oddHBand="0" w:evenHBand="0" w:firstRowFirstColumn="0" w:firstRowLastColumn="0" w:lastRowFirstColumn="0" w:lastRowLastColumn="0"/>
            </w:pPr>
            <w:r>
              <w:rPr>
                <w:b/>
              </w:rPr>
              <w:t>Count</w:t>
            </w:r>
          </w:p>
        </w:tc>
      </w:tr>
      <w:tr w:rsidR="00C75D3E" w14:paraId="1FDB18B2" w14:textId="77777777" w:rsidTr="00A20064">
        <w:trPr>
          <w:jc w:val="center"/>
        </w:trPr>
        <w:tc>
          <w:tcPr>
            <w:cnfStyle w:val="001000000000" w:firstRow="0" w:lastRow="0" w:firstColumn="1" w:lastColumn="0" w:oddVBand="0" w:evenVBand="0" w:oddHBand="0" w:evenHBand="0" w:firstRowFirstColumn="0" w:firstRowLastColumn="0" w:lastRowFirstColumn="0" w:lastRowLastColumn="0"/>
            <w:tcW w:w="1204" w:type="dxa"/>
          </w:tcPr>
          <w:p w14:paraId="50F3C895" w14:textId="77777777" w:rsidR="00C75D3E" w:rsidRDefault="00C75D3E" w:rsidP="00036C43">
            <w:pPr>
              <w:ind w:firstLine="0"/>
              <w:jc w:val="right"/>
            </w:pPr>
            <w:r>
              <w:t>1 Star</w:t>
            </w:r>
          </w:p>
        </w:tc>
        <w:tc>
          <w:tcPr>
            <w:tcW w:w="776" w:type="dxa"/>
          </w:tcPr>
          <w:p w14:paraId="3362E6C1" w14:textId="77777777" w:rsidR="00C75D3E" w:rsidRDefault="00C75D3E" w:rsidP="00036C43">
            <w:pPr>
              <w:ind w:firstLine="0"/>
              <w:jc w:val="right"/>
              <w:cnfStyle w:val="000000000000" w:firstRow="0" w:lastRow="0" w:firstColumn="0" w:lastColumn="0" w:oddVBand="0" w:evenVBand="0" w:oddHBand="0" w:evenHBand="0" w:firstRowFirstColumn="0" w:firstRowLastColumn="0" w:lastRowFirstColumn="0" w:lastRowLastColumn="0"/>
            </w:pPr>
            <w:r>
              <w:t>1</w:t>
            </w:r>
            <w:r w:rsidR="0095146C">
              <w:t>4</w:t>
            </w:r>
          </w:p>
        </w:tc>
        <w:tc>
          <w:tcPr>
            <w:tcW w:w="706" w:type="dxa"/>
          </w:tcPr>
          <w:p w14:paraId="743B3FCB" w14:textId="77777777" w:rsidR="00C75D3E" w:rsidRDefault="0095146C" w:rsidP="00036C43">
            <w:pPr>
              <w:ind w:firstLine="0"/>
              <w:jc w:val="right"/>
              <w:cnfStyle w:val="000000000000" w:firstRow="0" w:lastRow="0" w:firstColumn="0" w:lastColumn="0" w:oddVBand="0" w:evenVBand="0" w:oddHBand="0" w:evenHBand="0" w:firstRowFirstColumn="0" w:firstRowLastColumn="0" w:lastRowFirstColumn="0" w:lastRowLastColumn="0"/>
            </w:pPr>
            <w:r>
              <w:t>9.4</w:t>
            </w:r>
          </w:p>
        </w:tc>
        <w:tc>
          <w:tcPr>
            <w:tcW w:w="1214" w:type="dxa"/>
          </w:tcPr>
          <w:p w14:paraId="200B4C1A" w14:textId="77777777" w:rsidR="00C75D3E" w:rsidRDefault="00C75D3E" w:rsidP="00036C43">
            <w:pPr>
              <w:ind w:firstLine="0"/>
              <w:jc w:val="right"/>
              <w:cnfStyle w:val="000000000000" w:firstRow="0" w:lastRow="0" w:firstColumn="0" w:lastColumn="0" w:oddVBand="0" w:evenVBand="0" w:oddHBand="0" w:evenHBand="0" w:firstRowFirstColumn="0" w:firstRowLastColumn="0" w:lastRowFirstColumn="0" w:lastRowLastColumn="0"/>
            </w:pPr>
            <w:r>
              <w:t>1</w:t>
            </w:r>
          </w:p>
        </w:tc>
        <w:tc>
          <w:tcPr>
            <w:tcW w:w="1214" w:type="dxa"/>
          </w:tcPr>
          <w:p w14:paraId="6C7356F0" w14:textId="77777777" w:rsidR="00C75D3E" w:rsidRDefault="00C75D3E" w:rsidP="00036C43">
            <w:pPr>
              <w:ind w:firstLine="0"/>
              <w:jc w:val="right"/>
              <w:cnfStyle w:val="000000000000" w:firstRow="0" w:lastRow="0" w:firstColumn="0" w:lastColumn="0" w:oddVBand="0" w:evenVBand="0" w:oddHBand="0" w:evenHBand="0" w:firstRowFirstColumn="0" w:firstRowLastColumn="0" w:lastRowFirstColumn="0" w:lastRowLastColumn="0"/>
            </w:pPr>
            <w:r>
              <w:t>0</w:t>
            </w:r>
          </w:p>
        </w:tc>
      </w:tr>
      <w:tr w:rsidR="00C75D3E" w14:paraId="1ACE4D9E" w14:textId="77777777" w:rsidTr="00A20064">
        <w:trPr>
          <w:jc w:val="center"/>
        </w:trPr>
        <w:tc>
          <w:tcPr>
            <w:cnfStyle w:val="001000000000" w:firstRow="0" w:lastRow="0" w:firstColumn="1" w:lastColumn="0" w:oddVBand="0" w:evenVBand="0" w:oddHBand="0" w:evenHBand="0" w:firstRowFirstColumn="0" w:firstRowLastColumn="0" w:lastRowFirstColumn="0" w:lastRowLastColumn="0"/>
            <w:tcW w:w="1204" w:type="dxa"/>
          </w:tcPr>
          <w:p w14:paraId="334F2088" w14:textId="77777777" w:rsidR="00C75D3E" w:rsidRDefault="00C75D3E" w:rsidP="00036C43">
            <w:pPr>
              <w:ind w:firstLine="0"/>
              <w:jc w:val="right"/>
            </w:pPr>
            <w:r>
              <w:t>2 Star</w:t>
            </w:r>
          </w:p>
        </w:tc>
        <w:tc>
          <w:tcPr>
            <w:tcW w:w="776" w:type="dxa"/>
          </w:tcPr>
          <w:p w14:paraId="7D9FE043" w14:textId="77777777" w:rsidR="00C75D3E" w:rsidRDefault="00C75D3E" w:rsidP="00036C43">
            <w:pPr>
              <w:ind w:firstLine="0"/>
              <w:jc w:val="right"/>
              <w:cnfStyle w:val="000000000000" w:firstRow="0" w:lastRow="0" w:firstColumn="0" w:lastColumn="0" w:oddVBand="0" w:evenVBand="0" w:oddHBand="0" w:evenHBand="0" w:firstRowFirstColumn="0" w:firstRowLastColumn="0" w:lastRowFirstColumn="0" w:lastRowLastColumn="0"/>
            </w:pPr>
            <w:r>
              <w:t>1</w:t>
            </w:r>
          </w:p>
        </w:tc>
        <w:tc>
          <w:tcPr>
            <w:tcW w:w="706" w:type="dxa"/>
          </w:tcPr>
          <w:p w14:paraId="796B68E4" w14:textId="77777777" w:rsidR="00C75D3E" w:rsidRDefault="00C75D3E" w:rsidP="00036C43">
            <w:pPr>
              <w:ind w:firstLine="0"/>
              <w:jc w:val="right"/>
              <w:cnfStyle w:val="000000000000" w:firstRow="0" w:lastRow="0" w:firstColumn="0" w:lastColumn="0" w:oddVBand="0" w:evenVBand="0" w:oddHBand="0" w:evenHBand="0" w:firstRowFirstColumn="0" w:firstRowLastColumn="0" w:lastRowFirstColumn="0" w:lastRowLastColumn="0"/>
            </w:pPr>
            <w:r>
              <w:t>0.7</w:t>
            </w:r>
          </w:p>
        </w:tc>
        <w:tc>
          <w:tcPr>
            <w:tcW w:w="1214" w:type="dxa"/>
          </w:tcPr>
          <w:p w14:paraId="28A3EB17" w14:textId="77777777" w:rsidR="00C75D3E" w:rsidRDefault="00C75D3E" w:rsidP="00036C43">
            <w:pPr>
              <w:ind w:firstLine="0"/>
              <w:jc w:val="right"/>
              <w:cnfStyle w:val="000000000000" w:firstRow="0" w:lastRow="0" w:firstColumn="0" w:lastColumn="0" w:oddVBand="0" w:evenVBand="0" w:oddHBand="0" w:evenHBand="0" w:firstRowFirstColumn="0" w:firstRowLastColumn="0" w:lastRowFirstColumn="0" w:lastRowLastColumn="0"/>
            </w:pPr>
            <w:r>
              <w:t>0</w:t>
            </w:r>
          </w:p>
        </w:tc>
        <w:tc>
          <w:tcPr>
            <w:tcW w:w="1214" w:type="dxa"/>
          </w:tcPr>
          <w:p w14:paraId="337E995D" w14:textId="77777777" w:rsidR="00C75D3E" w:rsidRDefault="00C75D3E" w:rsidP="00036C43">
            <w:pPr>
              <w:ind w:firstLine="0"/>
              <w:jc w:val="right"/>
              <w:cnfStyle w:val="000000000000" w:firstRow="0" w:lastRow="0" w:firstColumn="0" w:lastColumn="0" w:oddVBand="0" w:evenVBand="0" w:oddHBand="0" w:evenHBand="0" w:firstRowFirstColumn="0" w:firstRowLastColumn="0" w:lastRowFirstColumn="0" w:lastRowLastColumn="0"/>
            </w:pPr>
            <w:r>
              <w:t>0</w:t>
            </w:r>
          </w:p>
        </w:tc>
      </w:tr>
      <w:tr w:rsidR="00C75D3E" w14:paraId="032E8338" w14:textId="77777777" w:rsidTr="00A20064">
        <w:trPr>
          <w:jc w:val="center"/>
        </w:trPr>
        <w:tc>
          <w:tcPr>
            <w:cnfStyle w:val="001000000000" w:firstRow="0" w:lastRow="0" w:firstColumn="1" w:lastColumn="0" w:oddVBand="0" w:evenVBand="0" w:oddHBand="0" w:evenHBand="0" w:firstRowFirstColumn="0" w:firstRowLastColumn="0" w:lastRowFirstColumn="0" w:lastRowLastColumn="0"/>
            <w:tcW w:w="1204" w:type="dxa"/>
          </w:tcPr>
          <w:p w14:paraId="77846F27" w14:textId="77777777" w:rsidR="00C75D3E" w:rsidRDefault="00C75D3E" w:rsidP="00036C43">
            <w:pPr>
              <w:ind w:firstLine="0"/>
              <w:jc w:val="right"/>
            </w:pPr>
            <w:r>
              <w:t>3 Star</w:t>
            </w:r>
          </w:p>
        </w:tc>
        <w:tc>
          <w:tcPr>
            <w:tcW w:w="776" w:type="dxa"/>
          </w:tcPr>
          <w:p w14:paraId="2EA91352" w14:textId="77777777" w:rsidR="00C75D3E" w:rsidRDefault="00C75D3E" w:rsidP="00036C43">
            <w:pPr>
              <w:ind w:firstLine="0"/>
              <w:jc w:val="right"/>
              <w:cnfStyle w:val="000000000000" w:firstRow="0" w:lastRow="0" w:firstColumn="0" w:lastColumn="0" w:oddVBand="0" w:evenVBand="0" w:oddHBand="0" w:evenHBand="0" w:firstRowFirstColumn="0" w:firstRowLastColumn="0" w:lastRowFirstColumn="0" w:lastRowLastColumn="0"/>
            </w:pPr>
            <w:r>
              <w:t>11</w:t>
            </w:r>
          </w:p>
        </w:tc>
        <w:tc>
          <w:tcPr>
            <w:tcW w:w="706" w:type="dxa"/>
          </w:tcPr>
          <w:p w14:paraId="2756F6D9" w14:textId="77777777" w:rsidR="00C75D3E" w:rsidRDefault="00C75D3E" w:rsidP="00036C43">
            <w:pPr>
              <w:ind w:firstLine="0"/>
              <w:jc w:val="right"/>
              <w:cnfStyle w:val="000000000000" w:firstRow="0" w:lastRow="0" w:firstColumn="0" w:lastColumn="0" w:oddVBand="0" w:evenVBand="0" w:oddHBand="0" w:evenHBand="0" w:firstRowFirstColumn="0" w:firstRowLastColumn="0" w:lastRowFirstColumn="0" w:lastRowLastColumn="0"/>
            </w:pPr>
            <w:r>
              <w:t>7.3</w:t>
            </w:r>
          </w:p>
        </w:tc>
        <w:tc>
          <w:tcPr>
            <w:tcW w:w="1214" w:type="dxa"/>
          </w:tcPr>
          <w:p w14:paraId="4E48B64D" w14:textId="77777777" w:rsidR="00C75D3E" w:rsidRDefault="00C75D3E" w:rsidP="00036C43">
            <w:pPr>
              <w:ind w:firstLine="0"/>
              <w:jc w:val="right"/>
              <w:cnfStyle w:val="000000000000" w:firstRow="0" w:lastRow="0" w:firstColumn="0" w:lastColumn="0" w:oddVBand="0" w:evenVBand="0" w:oddHBand="0" w:evenHBand="0" w:firstRowFirstColumn="0" w:firstRowLastColumn="0" w:lastRowFirstColumn="0" w:lastRowLastColumn="0"/>
            </w:pPr>
            <w:r>
              <w:t>4</w:t>
            </w:r>
          </w:p>
        </w:tc>
        <w:tc>
          <w:tcPr>
            <w:tcW w:w="1214" w:type="dxa"/>
          </w:tcPr>
          <w:p w14:paraId="56868F26" w14:textId="77777777" w:rsidR="00C75D3E" w:rsidRDefault="00C75D3E" w:rsidP="00036C43">
            <w:pPr>
              <w:ind w:firstLine="0"/>
              <w:jc w:val="right"/>
              <w:cnfStyle w:val="000000000000" w:firstRow="0" w:lastRow="0" w:firstColumn="0" w:lastColumn="0" w:oddVBand="0" w:evenVBand="0" w:oddHBand="0" w:evenHBand="0" w:firstRowFirstColumn="0" w:firstRowLastColumn="0" w:lastRowFirstColumn="0" w:lastRowLastColumn="0"/>
            </w:pPr>
            <w:r>
              <w:t>0</w:t>
            </w:r>
          </w:p>
        </w:tc>
      </w:tr>
      <w:tr w:rsidR="00A40DBF" w14:paraId="6C5D4D7C" w14:textId="77777777" w:rsidTr="00A20064">
        <w:trPr>
          <w:jc w:val="center"/>
        </w:trPr>
        <w:tc>
          <w:tcPr>
            <w:cnfStyle w:val="001000000000" w:firstRow="0" w:lastRow="0" w:firstColumn="1" w:lastColumn="0" w:oddVBand="0" w:evenVBand="0" w:oddHBand="0" w:evenHBand="0" w:firstRowFirstColumn="0" w:firstRowLastColumn="0" w:lastRowFirstColumn="0" w:lastRowLastColumn="0"/>
            <w:tcW w:w="1204" w:type="dxa"/>
          </w:tcPr>
          <w:p w14:paraId="2A6CA9BA" w14:textId="77777777" w:rsidR="00A40DBF" w:rsidRDefault="00A40DBF" w:rsidP="00036C43">
            <w:pPr>
              <w:ind w:firstLine="0"/>
              <w:jc w:val="right"/>
            </w:pPr>
            <w:r>
              <w:t>4 Star</w:t>
            </w:r>
          </w:p>
        </w:tc>
        <w:tc>
          <w:tcPr>
            <w:tcW w:w="1482" w:type="dxa"/>
            <w:gridSpan w:val="2"/>
          </w:tcPr>
          <w:p w14:paraId="25B808C2" w14:textId="77777777" w:rsidR="00A40DBF" w:rsidRDefault="00A40DBF" w:rsidP="00036C43">
            <w:pPr>
              <w:ind w:firstLine="0"/>
              <w:jc w:val="right"/>
              <w:cnfStyle w:val="000000000000" w:firstRow="0" w:lastRow="0" w:firstColumn="0" w:lastColumn="0" w:oddVBand="0" w:evenVBand="0" w:oddHBand="0" w:evenHBand="0" w:firstRowFirstColumn="0" w:firstRowLastColumn="0" w:lastRowFirstColumn="0" w:lastRowLastColumn="0"/>
            </w:pPr>
            <w:r>
              <w:t>0</w:t>
            </w:r>
          </w:p>
        </w:tc>
        <w:tc>
          <w:tcPr>
            <w:tcW w:w="1214" w:type="dxa"/>
          </w:tcPr>
          <w:p w14:paraId="2034D032" w14:textId="77777777" w:rsidR="00A40DBF" w:rsidRDefault="00A40DBF" w:rsidP="00036C43">
            <w:pPr>
              <w:ind w:firstLine="0"/>
              <w:jc w:val="right"/>
              <w:cnfStyle w:val="000000000000" w:firstRow="0" w:lastRow="0" w:firstColumn="0" w:lastColumn="0" w:oddVBand="0" w:evenVBand="0" w:oddHBand="0" w:evenHBand="0" w:firstRowFirstColumn="0" w:firstRowLastColumn="0" w:lastRowFirstColumn="0" w:lastRowLastColumn="0"/>
            </w:pPr>
            <w:r>
              <w:t>0</w:t>
            </w:r>
          </w:p>
        </w:tc>
        <w:tc>
          <w:tcPr>
            <w:tcW w:w="1214" w:type="dxa"/>
          </w:tcPr>
          <w:p w14:paraId="2523E036" w14:textId="77777777" w:rsidR="00A40DBF" w:rsidRDefault="00A40DBF" w:rsidP="00036C43">
            <w:pPr>
              <w:ind w:firstLine="0"/>
              <w:jc w:val="right"/>
              <w:cnfStyle w:val="000000000000" w:firstRow="0" w:lastRow="0" w:firstColumn="0" w:lastColumn="0" w:oddVBand="0" w:evenVBand="0" w:oddHBand="0" w:evenHBand="0" w:firstRowFirstColumn="0" w:firstRowLastColumn="0" w:lastRowFirstColumn="0" w:lastRowLastColumn="0"/>
            </w:pPr>
            <w:r>
              <w:t>0</w:t>
            </w:r>
          </w:p>
        </w:tc>
      </w:tr>
      <w:tr w:rsidR="00A40DBF" w14:paraId="5038C07B" w14:textId="77777777" w:rsidTr="00A20064">
        <w:trPr>
          <w:jc w:val="center"/>
        </w:trPr>
        <w:tc>
          <w:tcPr>
            <w:cnfStyle w:val="001000000000" w:firstRow="0" w:lastRow="0" w:firstColumn="1" w:lastColumn="0" w:oddVBand="0" w:evenVBand="0" w:oddHBand="0" w:evenHBand="0" w:firstRowFirstColumn="0" w:firstRowLastColumn="0" w:lastRowFirstColumn="0" w:lastRowLastColumn="0"/>
            <w:tcW w:w="1204" w:type="dxa"/>
          </w:tcPr>
          <w:p w14:paraId="52726E07" w14:textId="77777777" w:rsidR="00A40DBF" w:rsidRDefault="00A40DBF" w:rsidP="00036C43">
            <w:pPr>
              <w:ind w:firstLine="0"/>
              <w:jc w:val="right"/>
            </w:pPr>
            <w:r>
              <w:t>5 Star</w:t>
            </w:r>
          </w:p>
        </w:tc>
        <w:tc>
          <w:tcPr>
            <w:tcW w:w="1482" w:type="dxa"/>
            <w:gridSpan w:val="2"/>
          </w:tcPr>
          <w:p w14:paraId="0AF3F69C" w14:textId="77777777" w:rsidR="00A40DBF" w:rsidRDefault="00A40DBF" w:rsidP="00036C43">
            <w:pPr>
              <w:ind w:firstLine="0"/>
              <w:jc w:val="right"/>
              <w:cnfStyle w:val="000000000000" w:firstRow="0" w:lastRow="0" w:firstColumn="0" w:lastColumn="0" w:oddVBand="0" w:evenVBand="0" w:oddHBand="0" w:evenHBand="0" w:firstRowFirstColumn="0" w:firstRowLastColumn="0" w:lastRowFirstColumn="0" w:lastRowLastColumn="0"/>
            </w:pPr>
            <w:r>
              <w:t>0</w:t>
            </w:r>
          </w:p>
        </w:tc>
        <w:tc>
          <w:tcPr>
            <w:tcW w:w="1214" w:type="dxa"/>
          </w:tcPr>
          <w:p w14:paraId="4C488002" w14:textId="77777777" w:rsidR="00A40DBF" w:rsidRDefault="00A40DBF" w:rsidP="00036C43">
            <w:pPr>
              <w:ind w:firstLine="0"/>
              <w:jc w:val="right"/>
              <w:cnfStyle w:val="000000000000" w:firstRow="0" w:lastRow="0" w:firstColumn="0" w:lastColumn="0" w:oddVBand="0" w:evenVBand="0" w:oddHBand="0" w:evenHBand="0" w:firstRowFirstColumn="0" w:firstRowLastColumn="0" w:lastRowFirstColumn="0" w:lastRowLastColumn="0"/>
            </w:pPr>
            <w:r>
              <w:t>0</w:t>
            </w:r>
          </w:p>
        </w:tc>
        <w:tc>
          <w:tcPr>
            <w:tcW w:w="1214" w:type="dxa"/>
          </w:tcPr>
          <w:p w14:paraId="1463B58E" w14:textId="77777777" w:rsidR="00A40DBF" w:rsidRDefault="00A40DBF" w:rsidP="00036C43">
            <w:pPr>
              <w:ind w:firstLine="0"/>
              <w:jc w:val="right"/>
              <w:cnfStyle w:val="000000000000" w:firstRow="0" w:lastRow="0" w:firstColumn="0" w:lastColumn="0" w:oddVBand="0" w:evenVBand="0" w:oddHBand="0" w:evenHBand="0" w:firstRowFirstColumn="0" w:firstRowLastColumn="0" w:lastRowFirstColumn="0" w:lastRowLastColumn="0"/>
            </w:pPr>
            <w:r>
              <w:t>0</w:t>
            </w:r>
          </w:p>
        </w:tc>
      </w:tr>
    </w:tbl>
    <w:p w14:paraId="2C3D1BDB" w14:textId="77777777" w:rsidR="00B935CF" w:rsidRDefault="00B935CF" w:rsidP="009B4495">
      <w:pPr>
        <w:ind w:firstLine="0"/>
      </w:pPr>
    </w:p>
    <w:p w14:paraId="3F626CFC" w14:textId="667333A6" w:rsidR="00836BA0" w:rsidRDefault="00836BA0" w:rsidP="009E411B">
      <w:r>
        <w:t>Using the stricter requirement of requiring an explicit licensing statement with the data for “openness</w:t>
      </w:r>
      <w:r w:rsidR="00644A44">
        <w:t>,</w:t>
      </w:r>
      <w:r>
        <w:t>” then only two websites qualify</w:t>
      </w:r>
      <w:r w:rsidR="00644A44">
        <w:t>:</w:t>
      </w:r>
      <w:r>
        <w:t xml:space="preserve"> Colonial Williamsburg (1 Star)</w:t>
      </w:r>
      <w:r w:rsidR="00644A44">
        <w:t>,</w:t>
      </w:r>
      <w:r>
        <w:t xml:space="preserve"> and the DAACS related </w:t>
      </w:r>
      <w:r>
        <w:rPr>
          <w:rFonts w:cs="Times New Roman"/>
        </w:rPr>
        <w:t xml:space="preserve">websites </w:t>
      </w:r>
      <w:r>
        <w:t xml:space="preserve">(3 Star). Further limiting the concept of openness, no </w:t>
      </w:r>
      <w:r>
        <w:rPr>
          <w:rFonts w:cs="Times New Roman"/>
        </w:rPr>
        <w:t xml:space="preserve">websites </w:t>
      </w:r>
      <w:r>
        <w:t>used URIs, nor were there any examples of linked open data</w:t>
      </w:r>
      <w:r w:rsidR="00871D07">
        <w:t xml:space="preserve"> (4-star and 5-star requirements)</w:t>
      </w:r>
      <w:r>
        <w:t>.</w:t>
      </w:r>
    </w:p>
    <w:p w14:paraId="3DFBE3E0" w14:textId="77777777" w:rsidR="009E411B" w:rsidRDefault="00836BA0" w:rsidP="009E411B">
      <w:r>
        <w:t>A</w:t>
      </w:r>
      <w:r w:rsidR="009E411B">
        <w:t>ccessibility had been included in</w:t>
      </w:r>
      <w:r w:rsidR="00644A44">
        <w:t xml:space="preserve"> the</w:t>
      </w:r>
      <w:r w:rsidR="001145F3">
        <w:t xml:space="preserve"> survey because of the possibility </w:t>
      </w:r>
      <w:r w:rsidR="009E411B">
        <w:t>of finding 3</w:t>
      </w:r>
      <w:r w:rsidR="004C2B0D">
        <w:t>-</w:t>
      </w:r>
      <w:r w:rsidR="009E411B">
        <w:t xml:space="preserve">D data or GIS data that required browser plug-ins. </w:t>
      </w:r>
      <w:r w:rsidR="007E102B">
        <w:t>The virtual interface for Colo</w:t>
      </w:r>
      <w:r w:rsidR="006207BA">
        <w:t>nial Williamsburg did require a</w:t>
      </w:r>
      <w:r w:rsidR="007E102B">
        <w:t xml:space="preserve"> plugin</w:t>
      </w:r>
      <w:r w:rsidR="001145F3">
        <w:t>,</w:t>
      </w:r>
      <w:r w:rsidR="007E102B">
        <w:t xml:space="preserve"> but this was only a small part of the overall archaeology information that the</w:t>
      </w:r>
      <w:r w:rsidR="001145F3">
        <w:t xml:space="preserve"> website</w:t>
      </w:r>
      <w:r w:rsidR="007E102B">
        <w:t xml:space="preserve"> presented. </w:t>
      </w:r>
      <w:r w:rsidR="009E411B">
        <w:t xml:space="preserve">The only </w:t>
      </w:r>
      <w:r w:rsidR="006B4F86">
        <w:t xml:space="preserve">website </w:t>
      </w:r>
      <w:r w:rsidR="009E411B">
        <w:t>that required a</w:t>
      </w:r>
      <w:r w:rsidR="009D5663">
        <w:t xml:space="preserve"> login/subscription was </w:t>
      </w:r>
      <w:r w:rsidR="00A902DA">
        <w:t xml:space="preserve">the Virginia state site repository, </w:t>
      </w:r>
      <w:r w:rsidR="009D5663">
        <w:t>V-CRIS</w:t>
      </w:r>
      <w:r w:rsidR="009E411B">
        <w:t>.</w:t>
      </w:r>
    </w:p>
    <w:p w14:paraId="0361EA89" w14:textId="77777777" w:rsidR="00D758BB" w:rsidRDefault="00D758BB" w:rsidP="00D758BB">
      <w:pPr>
        <w:pStyle w:val="Heading3"/>
      </w:pPr>
      <w:bookmarkStart w:id="32" w:name="_Toc419135415"/>
      <w:r>
        <w:t>Scholarly publishing</w:t>
      </w:r>
      <w:bookmarkEnd w:id="32"/>
      <w:r>
        <w:t xml:space="preserve"> </w:t>
      </w:r>
    </w:p>
    <w:p w14:paraId="5E6F3B4C" w14:textId="615D117C" w:rsidR="00A40DBF" w:rsidRDefault="000B1CDA" w:rsidP="00A40DBF">
      <w:r>
        <w:t>The websites</w:t>
      </w:r>
      <w:r w:rsidR="00410E1D">
        <w:t xml:space="preserve"> </w:t>
      </w:r>
      <w:r>
        <w:t>in the archaeological data cluster</w:t>
      </w:r>
      <w:r w:rsidR="00644A44">
        <w:t xml:space="preserve"> (n=26)</w:t>
      </w:r>
      <w:r w:rsidR="00350B89">
        <w:t xml:space="preserve"> </w:t>
      </w:r>
      <w:r w:rsidR="001027AD">
        <w:t>were ass</w:t>
      </w:r>
      <w:r>
        <w:t>essed based on five c</w:t>
      </w:r>
      <w:r w:rsidR="00A40DBF">
        <w:t>haracteristics</w:t>
      </w:r>
      <w:r>
        <w:t xml:space="preserve"> reflective of scholarly publishing</w:t>
      </w:r>
      <w:r w:rsidR="002D4B84">
        <w:t xml:space="preserve">. The discussion on open data noted the limited instances of explicit </w:t>
      </w:r>
      <w:r w:rsidR="00E51BA9">
        <w:t xml:space="preserve">use </w:t>
      </w:r>
      <w:r w:rsidR="002D4B84">
        <w:t>statements</w:t>
      </w:r>
      <w:r w:rsidR="00E378DC">
        <w:t>,</w:t>
      </w:r>
      <w:r w:rsidR="002D4B84">
        <w:t xml:space="preserve"> o</w:t>
      </w:r>
      <w:r w:rsidR="00E51BA9">
        <w:t>r</w:t>
      </w:r>
      <w:r w:rsidR="002D4B84">
        <w:t xml:space="preserve"> licenses</w:t>
      </w:r>
      <w:r w:rsidR="00705D4E">
        <w:t xml:space="preserve"> at </w:t>
      </w:r>
      <w:r w:rsidR="00410E1D">
        <w:t>19</w:t>
      </w:r>
      <w:r w:rsidR="00871D07">
        <w:t>.2</w:t>
      </w:r>
      <w:r w:rsidR="00410E1D">
        <w:t>%</w:t>
      </w:r>
      <w:r w:rsidR="00705D4E">
        <w:t xml:space="preserve"> (n=5)</w:t>
      </w:r>
      <w:r w:rsidR="00E378DC">
        <w:t xml:space="preserve">. Citation information was provided on only </w:t>
      </w:r>
      <w:r w:rsidR="00871D07">
        <w:t>26.9% (n=7)</w:t>
      </w:r>
      <w:r w:rsidR="00E378DC">
        <w:t xml:space="preserve"> of </w:t>
      </w:r>
      <w:r w:rsidR="00E378DC">
        <w:rPr>
          <w:rFonts w:cs="Times New Roman"/>
        </w:rPr>
        <w:t>websites</w:t>
      </w:r>
      <w:r w:rsidR="00E378DC">
        <w:t xml:space="preserve">. </w:t>
      </w:r>
      <w:r w:rsidR="00610E35">
        <w:t>Not all sites (</w:t>
      </w:r>
      <w:r w:rsidR="00871D07">
        <w:t>61.5</w:t>
      </w:r>
      <w:r w:rsidR="00610E35">
        <w:t>%</w:t>
      </w:r>
      <w:r w:rsidR="00705D4E">
        <w:t>, n=16)</w:t>
      </w:r>
      <w:r w:rsidR="00610E35">
        <w:t xml:space="preserve"> provided easy access to contact information, which was </w:t>
      </w:r>
      <w:r w:rsidR="00610E35">
        <w:lastRenderedPageBreak/>
        <w:t xml:space="preserve">defined as a link or email address to a person connected with the digital or physical collections (rather than a generic webmaster email). </w:t>
      </w:r>
      <w:r w:rsidR="00E378DC">
        <w:t xml:space="preserve">There was no use </w:t>
      </w:r>
      <w:r w:rsidR="002D4B84">
        <w:t xml:space="preserve">of </w:t>
      </w:r>
      <w:r w:rsidR="002A1273">
        <w:t>URIs</w:t>
      </w:r>
      <w:r w:rsidR="00E51BA9">
        <w:t xml:space="preserve"> (</w:t>
      </w:r>
      <w:r w:rsidR="00410E1D">
        <w:t>0</w:t>
      </w:r>
      <w:r w:rsidR="00E51BA9">
        <w:t>)</w:t>
      </w:r>
      <w:r w:rsidR="00E378DC">
        <w:t xml:space="preserve"> and </w:t>
      </w:r>
      <w:r w:rsidR="002D4B84">
        <w:t xml:space="preserve">no </w:t>
      </w:r>
      <w:r w:rsidR="00A40DBF">
        <w:t>statements on archiving data</w:t>
      </w:r>
      <w:r w:rsidR="002D4B84">
        <w:t xml:space="preserve"> were found on any of the websites</w:t>
      </w:r>
      <w:r w:rsidR="00E51BA9">
        <w:t xml:space="preserve"> (see Table 9</w:t>
      </w:r>
      <w:r w:rsidR="009168EE">
        <w:t>/Figure 7</w:t>
      </w:r>
      <w:r w:rsidR="00E51BA9">
        <w:t>)</w:t>
      </w:r>
      <w:r w:rsidR="00A40DBF">
        <w:t xml:space="preserve">. </w:t>
      </w:r>
    </w:p>
    <w:p w14:paraId="6C42AEEB" w14:textId="77777777" w:rsidR="009E411B" w:rsidRPr="009E411B" w:rsidRDefault="00D6212F" w:rsidP="00A902DA">
      <w:pPr>
        <w:ind w:firstLine="0"/>
        <w:jc w:val="center"/>
        <w:rPr>
          <w:b/>
        </w:rPr>
      </w:pPr>
      <w:r>
        <w:rPr>
          <w:b/>
        </w:rPr>
        <w:t xml:space="preserve">Table </w:t>
      </w:r>
      <w:r w:rsidR="00E51BA9">
        <w:rPr>
          <w:b/>
        </w:rPr>
        <w:t>9</w:t>
      </w:r>
      <w:r w:rsidR="00A902DA">
        <w:rPr>
          <w:b/>
        </w:rPr>
        <w:t xml:space="preserve">: </w:t>
      </w:r>
      <w:r w:rsidR="009E411B" w:rsidRPr="009E411B">
        <w:rPr>
          <w:b/>
        </w:rPr>
        <w:t>Scholarly Publishing</w:t>
      </w:r>
    </w:p>
    <w:tbl>
      <w:tblPr>
        <w:tblStyle w:val="GridTable1Light-Accent51"/>
        <w:tblW w:w="7758" w:type="dxa"/>
        <w:jc w:val="center"/>
        <w:tblLook w:val="04A0" w:firstRow="1" w:lastRow="0" w:firstColumn="1" w:lastColumn="0" w:noHBand="0" w:noVBand="1"/>
      </w:tblPr>
      <w:tblGrid>
        <w:gridCol w:w="1357"/>
        <w:gridCol w:w="1290"/>
        <w:gridCol w:w="1241"/>
        <w:gridCol w:w="1350"/>
        <w:gridCol w:w="1350"/>
        <w:gridCol w:w="1170"/>
      </w:tblGrid>
      <w:tr w:rsidR="00D82555" w:rsidRPr="00700064" w14:paraId="56D1C719" w14:textId="77777777" w:rsidTr="00F342BA">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57" w:type="dxa"/>
            <w:noWrap/>
            <w:hideMark/>
          </w:tcPr>
          <w:p w14:paraId="553D652E" w14:textId="77777777" w:rsidR="00D82555" w:rsidRPr="00700064" w:rsidRDefault="00D82555" w:rsidP="001739C1">
            <w:pPr>
              <w:spacing w:line="240" w:lineRule="auto"/>
              <w:ind w:firstLine="0"/>
              <w:jc w:val="right"/>
              <w:rPr>
                <w:rFonts w:ascii="Calibri" w:eastAsia="Times New Roman" w:hAnsi="Calibri" w:cs="Times New Roman"/>
                <w:b w:val="0"/>
                <w:bCs w:val="0"/>
                <w:color w:val="000000"/>
              </w:rPr>
            </w:pPr>
          </w:p>
        </w:tc>
        <w:tc>
          <w:tcPr>
            <w:tcW w:w="1290" w:type="dxa"/>
            <w:noWrap/>
            <w:hideMark/>
          </w:tcPr>
          <w:p w14:paraId="2F5F80A3" w14:textId="77777777" w:rsidR="00D82555" w:rsidRPr="00700064" w:rsidRDefault="00D82555" w:rsidP="001739C1">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b w:val="0"/>
                <w:bCs w:val="0"/>
                <w:color w:val="000000"/>
              </w:rPr>
            </w:pPr>
            <w:r>
              <w:rPr>
                <w:rFonts w:ascii="Calibri" w:eastAsia="Times New Roman" w:hAnsi="Calibri" w:cs="Times New Roman"/>
                <w:b w:val="0"/>
                <w:bCs w:val="0"/>
                <w:color w:val="000000"/>
              </w:rPr>
              <w:t>Citation</w:t>
            </w:r>
          </w:p>
        </w:tc>
        <w:tc>
          <w:tcPr>
            <w:tcW w:w="1241" w:type="dxa"/>
            <w:noWrap/>
            <w:hideMark/>
          </w:tcPr>
          <w:p w14:paraId="7DD6A868" w14:textId="77777777" w:rsidR="00D82555" w:rsidRDefault="00D82555" w:rsidP="001739C1">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b w:val="0"/>
                <w:bCs w:val="0"/>
                <w:color w:val="000000"/>
              </w:rPr>
            </w:pPr>
            <w:r>
              <w:rPr>
                <w:rFonts w:ascii="Calibri" w:eastAsia="Times New Roman" w:hAnsi="Calibri" w:cs="Times New Roman"/>
                <w:b w:val="0"/>
                <w:bCs w:val="0"/>
                <w:color w:val="000000"/>
              </w:rPr>
              <w:t>License</w:t>
            </w:r>
          </w:p>
        </w:tc>
        <w:tc>
          <w:tcPr>
            <w:tcW w:w="1350" w:type="dxa"/>
            <w:noWrap/>
            <w:hideMark/>
          </w:tcPr>
          <w:p w14:paraId="2F078AA7" w14:textId="77777777" w:rsidR="00D82555" w:rsidRDefault="00D82555" w:rsidP="001739C1">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b w:val="0"/>
                <w:bCs w:val="0"/>
                <w:color w:val="000000"/>
              </w:rPr>
            </w:pPr>
            <w:r>
              <w:rPr>
                <w:rFonts w:ascii="Calibri" w:eastAsia="Times New Roman" w:hAnsi="Calibri" w:cs="Times New Roman"/>
                <w:b w:val="0"/>
                <w:bCs w:val="0"/>
                <w:color w:val="000000"/>
              </w:rPr>
              <w:t>URI</w:t>
            </w:r>
          </w:p>
        </w:tc>
        <w:tc>
          <w:tcPr>
            <w:tcW w:w="1350" w:type="dxa"/>
            <w:noWrap/>
            <w:hideMark/>
          </w:tcPr>
          <w:p w14:paraId="4F5EFFA9" w14:textId="77777777" w:rsidR="00D82555" w:rsidRDefault="00D82555" w:rsidP="001739C1">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b w:val="0"/>
                <w:bCs w:val="0"/>
                <w:color w:val="000000"/>
              </w:rPr>
            </w:pPr>
            <w:r>
              <w:rPr>
                <w:rFonts w:ascii="Calibri" w:eastAsia="Times New Roman" w:hAnsi="Calibri" w:cs="Times New Roman"/>
                <w:b w:val="0"/>
                <w:bCs w:val="0"/>
                <w:color w:val="000000"/>
              </w:rPr>
              <w:t>Archiving</w:t>
            </w:r>
          </w:p>
        </w:tc>
        <w:tc>
          <w:tcPr>
            <w:tcW w:w="1170" w:type="dxa"/>
            <w:noWrap/>
            <w:hideMark/>
          </w:tcPr>
          <w:p w14:paraId="0A82CBD1" w14:textId="77777777" w:rsidR="00D82555" w:rsidRDefault="00D82555" w:rsidP="001739C1">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b w:val="0"/>
                <w:bCs w:val="0"/>
                <w:color w:val="000000"/>
              </w:rPr>
            </w:pPr>
            <w:r>
              <w:rPr>
                <w:rFonts w:ascii="Calibri" w:eastAsia="Times New Roman" w:hAnsi="Calibri" w:cs="Times New Roman"/>
                <w:b w:val="0"/>
                <w:bCs w:val="0"/>
                <w:color w:val="000000"/>
              </w:rPr>
              <w:t>Contact</w:t>
            </w:r>
          </w:p>
        </w:tc>
      </w:tr>
      <w:tr w:rsidR="001F28A5" w:rsidRPr="00700064" w14:paraId="75756415" w14:textId="77777777" w:rsidTr="00986EB8">
        <w:trPr>
          <w:trHeight w:val="80"/>
          <w:jc w:val="center"/>
        </w:trPr>
        <w:tc>
          <w:tcPr>
            <w:cnfStyle w:val="001000000000" w:firstRow="0" w:lastRow="0" w:firstColumn="1" w:lastColumn="0" w:oddVBand="0" w:evenVBand="0" w:oddHBand="0" w:evenHBand="0" w:firstRowFirstColumn="0" w:firstRowLastColumn="0" w:lastRowFirstColumn="0" w:lastRowLastColumn="0"/>
            <w:tcW w:w="1357" w:type="dxa"/>
            <w:noWrap/>
            <w:hideMark/>
          </w:tcPr>
          <w:p w14:paraId="48CFF06F" w14:textId="77777777" w:rsidR="001F28A5" w:rsidRPr="00700064" w:rsidRDefault="001F28A5" w:rsidP="00986EB8">
            <w:pPr>
              <w:spacing w:line="240" w:lineRule="auto"/>
              <w:ind w:firstLine="0"/>
              <w:jc w:val="right"/>
              <w:rPr>
                <w:rFonts w:ascii="Calibri" w:eastAsia="Times New Roman" w:hAnsi="Calibri" w:cs="Times New Roman"/>
                <w:color w:val="000000"/>
              </w:rPr>
            </w:pPr>
            <w:r>
              <w:rPr>
                <w:rFonts w:ascii="Calibri" w:eastAsia="Times New Roman" w:hAnsi="Calibri" w:cs="Times New Roman"/>
                <w:color w:val="000000"/>
              </w:rPr>
              <w:t>Present</w:t>
            </w:r>
          </w:p>
        </w:tc>
        <w:tc>
          <w:tcPr>
            <w:tcW w:w="1290" w:type="dxa"/>
            <w:noWrap/>
            <w:hideMark/>
          </w:tcPr>
          <w:p w14:paraId="6C47B0CE" w14:textId="77777777" w:rsidR="001F28A5" w:rsidRDefault="001F28A5" w:rsidP="00986EB8">
            <w:pPr>
              <w:ind w:firstLine="0"/>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7</w:t>
            </w:r>
          </w:p>
        </w:tc>
        <w:tc>
          <w:tcPr>
            <w:tcW w:w="1241" w:type="dxa"/>
            <w:noWrap/>
            <w:hideMark/>
          </w:tcPr>
          <w:p w14:paraId="1556D0EA" w14:textId="77777777" w:rsidR="001F28A5" w:rsidRDefault="001F28A5" w:rsidP="00986EB8">
            <w:pPr>
              <w:ind w:firstLine="0"/>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5</w:t>
            </w:r>
          </w:p>
        </w:tc>
        <w:tc>
          <w:tcPr>
            <w:tcW w:w="1350" w:type="dxa"/>
            <w:noWrap/>
            <w:hideMark/>
          </w:tcPr>
          <w:p w14:paraId="3E996112" w14:textId="77777777" w:rsidR="001F28A5" w:rsidRDefault="001F28A5" w:rsidP="001F28A5">
            <w:pPr>
              <w:ind w:firstLine="0"/>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0</w:t>
            </w:r>
          </w:p>
        </w:tc>
        <w:tc>
          <w:tcPr>
            <w:tcW w:w="1350" w:type="dxa"/>
            <w:noWrap/>
            <w:hideMark/>
          </w:tcPr>
          <w:p w14:paraId="1D2DD4FF" w14:textId="77777777" w:rsidR="001F28A5" w:rsidRDefault="001F28A5" w:rsidP="00986EB8">
            <w:pPr>
              <w:ind w:firstLine="0"/>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0</w:t>
            </w:r>
          </w:p>
        </w:tc>
        <w:tc>
          <w:tcPr>
            <w:tcW w:w="1170" w:type="dxa"/>
            <w:noWrap/>
            <w:hideMark/>
          </w:tcPr>
          <w:p w14:paraId="0250EBDE" w14:textId="77777777" w:rsidR="001F28A5" w:rsidRDefault="001F28A5" w:rsidP="00986EB8">
            <w:pPr>
              <w:ind w:firstLine="0"/>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16</w:t>
            </w:r>
          </w:p>
        </w:tc>
      </w:tr>
      <w:tr w:rsidR="001F28A5" w:rsidRPr="00700064" w14:paraId="6EAD4B01" w14:textId="77777777" w:rsidTr="00986EB8">
        <w:trPr>
          <w:trHeight w:val="80"/>
          <w:jc w:val="center"/>
        </w:trPr>
        <w:tc>
          <w:tcPr>
            <w:cnfStyle w:val="001000000000" w:firstRow="0" w:lastRow="0" w:firstColumn="1" w:lastColumn="0" w:oddVBand="0" w:evenVBand="0" w:oddHBand="0" w:evenHBand="0" w:firstRowFirstColumn="0" w:firstRowLastColumn="0" w:lastRowFirstColumn="0" w:lastRowLastColumn="0"/>
            <w:tcW w:w="1357" w:type="dxa"/>
            <w:noWrap/>
            <w:hideMark/>
          </w:tcPr>
          <w:p w14:paraId="338D81ED" w14:textId="77777777" w:rsidR="001F28A5" w:rsidRPr="00700064" w:rsidRDefault="001F28A5" w:rsidP="001739C1">
            <w:pPr>
              <w:spacing w:line="240" w:lineRule="auto"/>
              <w:ind w:firstLine="0"/>
              <w:jc w:val="right"/>
              <w:rPr>
                <w:rFonts w:ascii="Calibri" w:eastAsia="Times New Roman" w:hAnsi="Calibri" w:cs="Times New Roman"/>
                <w:color w:val="000000"/>
              </w:rPr>
            </w:pPr>
            <w:r>
              <w:rPr>
                <w:rFonts w:ascii="Calibri" w:eastAsia="Times New Roman" w:hAnsi="Calibri" w:cs="Times New Roman"/>
                <w:color w:val="000000"/>
              </w:rPr>
              <w:t>Present%</w:t>
            </w:r>
          </w:p>
        </w:tc>
        <w:tc>
          <w:tcPr>
            <w:tcW w:w="1290" w:type="dxa"/>
            <w:noWrap/>
            <w:hideMark/>
          </w:tcPr>
          <w:p w14:paraId="56BE3B16" w14:textId="3B66B4D7" w:rsidR="001F28A5" w:rsidRDefault="00871D07" w:rsidP="001739C1">
            <w:pPr>
              <w:ind w:firstLine="0"/>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26.9</w:t>
            </w:r>
            <w:r w:rsidR="001F28A5">
              <w:rPr>
                <w:rFonts w:ascii="Calibri" w:hAnsi="Calibri"/>
                <w:color w:val="000000"/>
              </w:rPr>
              <w:t>%</w:t>
            </w:r>
          </w:p>
        </w:tc>
        <w:tc>
          <w:tcPr>
            <w:tcW w:w="1241" w:type="dxa"/>
            <w:noWrap/>
            <w:hideMark/>
          </w:tcPr>
          <w:p w14:paraId="5AED9A99" w14:textId="6C916183" w:rsidR="001F28A5" w:rsidRDefault="001F28A5" w:rsidP="001739C1">
            <w:pPr>
              <w:ind w:firstLine="0"/>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19</w:t>
            </w:r>
            <w:r w:rsidR="00871D07">
              <w:rPr>
                <w:rFonts w:ascii="Calibri" w:hAnsi="Calibri"/>
                <w:color w:val="000000"/>
              </w:rPr>
              <w:t>.2</w:t>
            </w:r>
            <w:r>
              <w:rPr>
                <w:rFonts w:ascii="Calibri" w:hAnsi="Calibri"/>
                <w:color w:val="000000"/>
              </w:rPr>
              <w:t>%</w:t>
            </w:r>
          </w:p>
        </w:tc>
        <w:tc>
          <w:tcPr>
            <w:tcW w:w="1350" w:type="dxa"/>
            <w:noWrap/>
            <w:hideMark/>
          </w:tcPr>
          <w:p w14:paraId="6850D717" w14:textId="77777777" w:rsidR="001F28A5" w:rsidRDefault="001F28A5" w:rsidP="001739C1">
            <w:pPr>
              <w:ind w:firstLine="0"/>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0%</w:t>
            </w:r>
          </w:p>
        </w:tc>
        <w:tc>
          <w:tcPr>
            <w:tcW w:w="1350" w:type="dxa"/>
            <w:noWrap/>
            <w:hideMark/>
          </w:tcPr>
          <w:p w14:paraId="005882B3" w14:textId="77777777" w:rsidR="001F28A5" w:rsidRDefault="001F28A5" w:rsidP="001739C1">
            <w:pPr>
              <w:ind w:firstLine="0"/>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0%</w:t>
            </w:r>
          </w:p>
        </w:tc>
        <w:tc>
          <w:tcPr>
            <w:tcW w:w="1170" w:type="dxa"/>
            <w:noWrap/>
            <w:hideMark/>
          </w:tcPr>
          <w:p w14:paraId="5E9AAB5F" w14:textId="6F38A417" w:rsidR="001F28A5" w:rsidRDefault="00871D07" w:rsidP="001739C1">
            <w:pPr>
              <w:ind w:firstLine="0"/>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61.5</w:t>
            </w:r>
            <w:r w:rsidR="001F28A5">
              <w:rPr>
                <w:rFonts w:ascii="Calibri" w:hAnsi="Calibri"/>
                <w:color w:val="000000"/>
              </w:rPr>
              <w:t>%</w:t>
            </w:r>
          </w:p>
        </w:tc>
      </w:tr>
    </w:tbl>
    <w:p w14:paraId="09235862" w14:textId="77777777" w:rsidR="002E52A3" w:rsidRDefault="002013E4" w:rsidP="002013E4">
      <w:pPr>
        <w:jc w:val="center"/>
      </w:pPr>
      <w:r w:rsidRPr="002013E4">
        <w:rPr>
          <w:noProof/>
        </w:rPr>
        <w:drawing>
          <wp:inline distT="0" distB="0" distL="0" distR="0" wp14:anchorId="007A2C83" wp14:editId="36D67F9B">
            <wp:extent cx="4572000" cy="274320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15D638F" w14:textId="6FDA62F3" w:rsidR="007D4525" w:rsidRPr="007D4525" w:rsidRDefault="007D4525" w:rsidP="007D4525">
      <w:pPr>
        <w:jc w:val="center"/>
      </w:pPr>
      <w:r>
        <w:rPr>
          <w:b/>
          <w:bCs/>
        </w:rPr>
        <w:t>Figure 7</w:t>
      </w:r>
      <w:r w:rsidRPr="007D4525">
        <w:rPr>
          <w:b/>
          <w:bCs/>
        </w:rPr>
        <w:t>: Scholarly publishing characteristics</w:t>
      </w:r>
    </w:p>
    <w:p w14:paraId="5DEA1C2C" w14:textId="77777777" w:rsidR="007D4525" w:rsidRDefault="007D4525" w:rsidP="002013E4">
      <w:pPr>
        <w:jc w:val="center"/>
      </w:pPr>
    </w:p>
    <w:p w14:paraId="2C02542F" w14:textId="77777777" w:rsidR="00E378DC" w:rsidRPr="00E378DC" w:rsidRDefault="00E378DC" w:rsidP="00E378DC">
      <w:pPr>
        <w:pStyle w:val="Heading3"/>
      </w:pPr>
      <w:bookmarkStart w:id="33" w:name="_Toc419135416"/>
      <w:r w:rsidRPr="00E378DC">
        <w:t>Archaeological data sub-clusters</w:t>
      </w:r>
      <w:bookmarkEnd w:id="33"/>
    </w:p>
    <w:p w14:paraId="70646BD5" w14:textId="4D1ACB6D" w:rsidR="00F94DD1" w:rsidRDefault="00E378DC" w:rsidP="00E81AD0">
      <w:r>
        <w:t>One other distinction can be made within the websites with archaeology data cluster. Two websites</w:t>
      </w:r>
      <w:r w:rsidR="00644A44">
        <w:t>,</w:t>
      </w:r>
      <w:r>
        <w:t xml:space="preserve"> </w:t>
      </w:r>
      <w:r w:rsidR="004F7ECA">
        <w:t>DAACS and Comparative Chesapeak</w:t>
      </w:r>
      <w:r w:rsidR="00C13F75">
        <w:t>e</w:t>
      </w:r>
      <w:r w:rsidR="00644A44">
        <w:t>,</w:t>
      </w:r>
      <w:r w:rsidR="00F94DD1">
        <w:t xml:space="preserve"> </w:t>
      </w:r>
      <w:r>
        <w:t>are aggregate sites offering data from a range of institutions</w:t>
      </w:r>
      <w:r w:rsidR="001027AD">
        <w:t>.</w:t>
      </w:r>
      <w:r>
        <w:t xml:space="preserve"> These can be contrasted with </w:t>
      </w:r>
      <w:r w:rsidR="00E81AD0">
        <w:t>7</w:t>
      </w:r>
      <w:r w:rsidR="00BC7FD9">
        <w:t xml:space="preserve"> </w:t>
      </w:r>
      <w:r w:rsidR="00F94DD1">
        <w:t xml:space="preserve">institutional </w:t>
      </w:r>
      <w:r w:rsidR="00EF2F17">
        <w:t>web</w:t>
      </w:r>
      <w:r w:rsidR="00F94DD1">
        <w:t>sites</w:t>
      </w:r>
      <w:r w:rsidR="004F7ECA">
        <w:t>, such as Alexandria</w:t>
      </w:r>
      <w:r w:rsidR="0081511C">
        <w:t xml:space="preserve"> Archaeology Museum </w:t>
      </w:r>
      <w:r w:rsidR="004F7ECA">
        <w:t>and Colonial Williamsburg,</w:t>
      </w:r>
      <w:r w:rsidR="00F94DD1">
        <w:t xml:space="preserve"> </w:t>
      </w:r>
      <w:r>
        <w:t>which offer a number of archaeological sites within an institution, and</w:t>
      </w:r>
      <w:r w:rsidR="00E81AD0">
        <w:t xml:space="preserve"> 17 </w:t>
      </w:r>
      <w:r w:rsidR="0000210B">
        <w:t>i</w:t>
      </w:r>
      <w:r w:rsidR="00F94DD1">
        <w:t xml:space="preserve">ndividual </w:t>
      </w:r>
      <w:r w:rsidR="00EF2F17">
        <w:t>web</w:t>
      </w:r>
      <w:r w:rsidR="00F94DD1">
        <w:t>sites</w:t>
      </w:r>
      <w:r w:rsidR="00E81AD0">
        <w:t xml:space="preserve"> </w:t>
      </w:r>
      <w:r>
        <w:t>that show data from one, or a few strongly connected, archaeological sites.</w:t>
      </w:r>
      <w:r w:rsidR="00E81AD0">
        <w:t xml:space="preserve"> </w:t>
      </w:r>
    </w:p>
    <w:p w14:paraId="5B6FD069" w14:textId="77777777" w:rsidR="00D21694" w:rsidRDefault="00694C67" w:rsidP="00F26EF9">
      <w:pPr>
        <w:pStyle w:val="Heading1"/>
        <w:ind w:firstLine="0"/>
      </w:pPr>
      <w:bookmarkStart w:id="34" w:name="_Toc419135417"/>
      <w:r>
        <w:lastRenderedPageBreak/>
        <w:t>Chapter 5 – Discussion</w:t>
      </w:r>
      <w:r w:rsidR="00404BA6">
        <w:t>s</w:t>
      </w:r>
      <w:bookmarkEnd w:id="34"/>
    </w:p>
    <w:p w14:paraId="6B9B2FF2" w14:textId="77777777" w:rsidR="002C5990" w:rsidRDefault="002C5990" w:rsidP="002C5990">
      <w:pPr>
        <w:pStyle w:val="Heading2"/>
      </w:pPr>
      <w:bookmarkStart w:id="35" w:name="_Toc419135418"/>
      <w:r>
        <w:t>Overview</w:t>
      </w:r>
      <w:bookmarkEnd w:id="35"/>
    </w:p>
    <w:p w14:paraId="3B8B5505" w14:textId="77777777" w:rsidR="002C5990" w:rsidRDefault="002C5990" w:rsidP="002C5990">
      <w:r>
        <w:t>The analysis of the Virginia websites shows an overall lack of access to archaeological data. Of the 148 websites examined, nearly three quarters had no web pages about archaeology. It is possible that this archaeological information appears in non-digital formats (e.g. brochures), but for many institutions</w:t>
      </w:r>
      <w:r w:rsidR="00644A44">
        <w:t>,</w:t>
      </w:r>
      <w:r>
        <w:t xml:space="preserve"> archaeology is not part of the public discourse showing up on online exhibits, research areas, and descriptive histories. This</w:t>
      </w:r>
      <w:r w:rsidR="00644A44">
        <w:t xml:space="preserve"> absence</w:t>
      </w:r>
      <w:r>
        <w:t xml:space="preserve"> </w:t>
      </w:r>
      <w:r w:rsidR="00644A44">
        <w:t xml:space="preserve">means </w:t>
      </w:r>
      <w:r>
        <w:t xml:space="preserve">a lack of access to a potential set of data, and also a lack of visibility for </w:t>
      </w:r>
      <w:r w:rsidR="00644A44">
        <w:t xml:space="preserve">how </w:t>
      </w:r>
      <w:r>
        <w:t>archaeolog</w:t>
      </w:r>
      <w:r w:rsidR="00644A44">
        <w:t>ical scholarship</w:t>
      </w:r>
      <w:r>
        <w:t xml:space="preserve"> inform</w:t>
      </w:r>
      <w:r w:rsidR="00644A44">
        <w:t>s</w:t>
      </w:r>
      <w:r>
        <w:t xml:space="preserve"> our understanding of the past.</w:t>
      </w:r>
    </w:p>
    <w:p w14:paraId="6B496F44" w14:textId="77777777" w:rsidR="002C5990" w:rsidRDefault="002C5990" w:rsidP="002C5990">
      <w:r>
        <w:t>Of the websites that did make mention of archaeology, some provided only a public outreach component, providing no archaeological data. Perceptions on the effectiveness of providing such data was not within the scope of this study and hence not considered in this analysis but, as previously noted, other scholars have pointed out both the breadth of the audience for such material, and its potential uses (</w:t>
      </w:r>
      <w:r>
        <w:rPr>
          <w:rFonts w:ascii="Calibri" w:hAnsi="Calibri"/>
          <w:shd w:val="clear" w:color="auto" w:fill="FFFFFF"/>
        </w:rPr>
        <w:t xml:space="preserve">McDavid 1999; </w:t>
      </w:r>
      <w:r w:rsidRPr="00580F46">
        <w:rPr>
          <w:color w:val="000000"/>
          <w:shd w:val="clear" w:color="auto" w:fill="FFFFFF"/>
        </w:rPr>
        <w:t xml:space="preserve">Richards </w:t>
      </w:r>
      <w:r>
        <w:rPr>
          <w:color w:val="000000"/>
          <w:shd w:val="clear" w:color="auto" w:fill="FFFFFF"/>
        </w:rPr>
        <w:t>&amp;</w:t>
      </w:r>
      <w:r w:rsidRPr="00580F46">
        <w:rPr>
          <w:color w:val="000000"/>
          <w:shd w:val="clear" w:color="auto" w:fill="FFFFFF"/>
        </w:rPr>
        <w:t xml:space="preserve"> Robinson</w:t>
      </w:r>
      <w:r w:rsidRPr="00580F46">
        <w:rPr>
          <w:rStyle w:val="apple-converted-space"/>
          <w:color w:val="000000"/>
          <w:shd w:val="clear" w:color="auto" w:fill="FFFFFF"/>
        </w:rPr>
        <w:t> </w:t>
      </w:r>
      <w:r>
        <w:rPr>
          <w:rStyle w:val="apple-converted-space"/>
          <w:color w:val="000000"/>
          <w:shd w:val="clear" w:color="auto" w:fill="FFFFFF"/>
        </w:rPr>
        <w:t xml:space="preserve">2000; </w:t>
      </w:r>
      <w:r>
        <w:rPr>
          <w:rFonts w:cs="Times New Roman"/>
        </w:rPr>
        <w:t xml:space="preserve">Moyer, </w:t>
      </w:r>
      <w:r w:rsidRPr="00D917FD">
        <w:rPr>
          <w:rFonts w:cs="Times New Roman"/>
        </w:rPr>
        <w:t>2006</w:t>
      </w:r>
      <w:r>
        <w:rPr>
          <w:rFonts w:cs="Times New Roman"/>
        </w:rPr>
        <w:t xml:space="preserve">; </w:t>
      </w:r>
      <w:r>
        <w:rPr>
          <w:color w:val="000000"/>
        </w:rPr>
        <w:t xml:space="preserve">Breen 2011; </w:t>
      </w:r>
      <w:r>
        <w:t xml:space="preserve">Kansa &amp; Kansa, 2011; </w:t>
      </w:r>
      <w:r>
        <w:rPr>
          <w:rFonts w:ascii="Calibri" w:hAnsi="Calibri"/>
          <w:shd w:val="clear" w:color="auto" w:fill="FFFFFF"/>
        </w:rPr>
        <w:t xml:space="preserve">Beale 2012; </w:t>
      </w:r>
      <w:r w:rsidRPr="00242AAB">
        <w:t>Beagrie &amp; Houghton</w:t>
      </w:r>
      <w:r>
        <w:t>,</w:t>
      </w:r>
      <w:r w:rsidRPr="00242AAB">
        <w:t xml:space="preserve"> 2013</w:t>
      </w:r>
      <w:r>
        <w:t xml:space="preserve">). In the light of increasing demand for access to data generated by public funds (and though the funding for archaeology is complex, much of it comes from public funding), this, again, seems like a missed opportunity. </w:t>
      </w:r>
    </w:p>
    <w:p w14:paraId="7B3E645B" w14:textId="77777777" w:rsidR="002C5990" w:rsidRPr="002304E8" w:rsidRDefault="002C5990" w:rsidP="002C5990">
      <w:pPr>
        <w:rPr>
          <w:b/>
        </w:rPr>
      </w:pPr>
      <w:r>
        <w:t xml:space="preserve">The websites providing archaeological data were split between those </w:t>
      </w:r>
      <w:r w:rsidR="00644A44">
        <w:t xml:space="preserve">that included </w:t>
      </w:r>
      <w:r>
        <w:t xml:space="preserve">only textual data, and those that </w:t>
      </w:r>
      <w:r w:rsidR="00644A44">
        <w:t>made</w:t>
      </w:r>
      <w:r>
        <w:t xml:space="preserve"> </w:t>
      </w:r>
      <w:r w:rsidR="001D06A1">
        <w:t xml:space="preserve">data </w:t>
      </w:r>
      <w:r>
        <w:t xml:space="preserve">available in a re-usable, structured digital </w:t>
      </w:r>
      <w:r w:rsidR="001D06A1">
        <w:t>format</w:t>
      </w:r>
      <w:r>
        <w:t xml:space="preserve">. The </w:t>
      </w:r>
      <w:r w:rsidR="001D06A1">
        <w:t xml:space="preserve">latter </w:t>
      </w:r>
      <w:r>
        <w:t xml:space="preserve">serve as </w:t>
      </w:r>
      <w:r w:rsidR="001D06A1">
        <w:t xml:space="preserve">a </w:t>
      </w:r>
      <w:r>
        <w:t>demonstration</w:t>
      </w:r>
      <w:r w:rsidR="001D06A1">
        <w:t xml:space="preserve"> of</w:t>
      </w:r>
      <w:r>
        <w:t xml:space="preserve"> how well data sharing can be done. In particular, the Digital Archaeological Archive of Comparative Slavery (DAACS) and A Comparative Archaeological Study of Comparative Chesapeake Culture websites offer support for scholarly publishing, open data and public outreach across a range of archaeological sites. Before discussing the implications of these examples and other study results in more detail</w:t>
      </w:r>
      <w:r w:rsidR="00644A44">
        <w:t xml:space="preserve">, </w:t>
      </w:r>
      <w:r>
        <w:t>it is necessary to discuss some of the study’s limitations.</w:t>
      </w:r>
    </w:p>
    <w:p w14:paraId="239D038D" w14:textId="77777777" w:rsidR="002C5990" w:rsidRDefault="002C5990" w:rsidP="002C5990">
      <w:pPr>
        <w:pStyle w:val="Heading2"/>
      </w:pPr>
      <w:bookmarkStart w:id="36" w:name="_Toc419135419"/>
      <w:r>
        <w:lastRenderedPageBreak/>
        <w:t>Limitations</w:t>
      </w:r>
      <w:bookmarkEnd w:id="36"/>
    </w:p>
    <w:p w14:paraId="599E01E0" w14:textId="77777777" w:rsidR="002C5990" w:rsidRDefault="002C5990" w:rsidP="002C5990">
      <w:r>
        <w:t xml:space="preserve">This is a quantitative study looking for the presence or absence of characteristics of open data, scholarly publishing and public outreach. What this study cannot do is speak to the effectiveness of those characteristics. While the degree of data “openness” can partially be quantified, the re-usability of these data, and their usefulness in research is complicated by many factors, some of which are addressed in the literature review. Similarly with regard to scholarly publishing, the presence of supporting characteristics can point to websites being more or less supportive, but they cannot speak to how effective these characteristics are in fostering scholarly communication. Public outreach as measured here has been discussed purely in terms of web-based outreach. The analysis did not look at how effective engagement was through social media – it just noted the presence of blogs and other social media tools. Richardson (2014) has discussed extensively whether social media tools have led to a more reflexive archaeology, </w:t>
      </w:r>
      <w:r w:rsidRPr="00452C6E">
        <w:t>concluding that the presence of such tools has not changed the approach of “</w:t>
      </w:r>
      <w:r w:rsidRPr="00452C6E">
        <w:rPr>
          <w:color w:val="000000"/>
          <w:shd w:val="clear" w:color="auto" w:fill="FFFFFF"/>
        </w:rPr>
        <w:t>'top-down' public archaeology</w:t>
      </w:r>
      <w:r w:rsidRPr="00452C6E">
        <w:t>” (section:</w:t>
      </w:r>
      <w:r>
        <w:t xml:space="preserve"> discussion</w:t>
      </w:r>
      <w:r w:rsidRPr="00452C6E">
        <w:t>). Similarly the usefulness of contextual, media-rich</w:t>
      </w:r>
      <w:r>
        <w:t xml:space="preserve"> presentation</w:t>
      </w:r>
      <w:r w:rsidR="00644A44">
        <w:t>s</w:t>
      </w:r>
      <w:r>
        <w:t xml:space="preserve"> has not been evaluated; this study has just recorded their presence or absence -- though contextual information and understanding can be seen as integral to the discipline of archaeology.</w:t>
      </w:r>
    </w:p>
    <w:p w14:paraId="1DBADD6C" w14:textId="77777777" w:rsidR="002C5990" w:rsidRDefault="002C5990" w:rsidP="002C5990">
      <w:r>
        <w:t xml:space="preserve">Web content changes quickly, and new tools and policies affect content and presentation. Accordingly this review is time sensitive, and reflects only the state of affairs between the end of 2014 and early 2015. Even during the period of </w:t>
      </w:r>
      <w:r w:rsidR="001D06A1">
        <w:t>this study</w:t>
      </w:r>
      <w:r w:rsidR="00644A44">
        <w:t>,</w:t>
      </w:r>
      <w:r>
        <w:t xml:space="preserve"> websites were changing and new content </w:t>
      </w:r>
      <w:r w:rsidR="00644A44">
        <w:t xml:space="preserve">was </w:t>
      </w:r>
      <w:r>
        <w:t>added.</w:t>
      </w:r>
    </w:p>
    <w:p w14:paraId="24CD330E" w14:textId="77777777" w:rsidR="002C5990" w:rsidRDefault="002C5990" w:rsidP="002C5990">
      <w:r>
        <w:t>This study looked at Virginia archaeological projects through institutional websites. While f</w:t>
      </w:r>
      <w:r w:rsidRPr="00E60A03">
        <w:t xml:space="preserve">ederal requirements and guidelines for grants apply across the United States, differing state environments have led to differences in how data </w:t>
      </w:r>
      <w:r w:rsidR="005C07DE">
        <w:t>are</w:t>
      </w:r>
      <w:r w:rsidRPr="00E60A03">
        <w:t xml:space="preserve"> published and made available. Similarly</w:t>
      </w:r>
      <w:r w:rsidR="00644A44">
        <w:t>,</w:t>
      </w:r>
      <w:r w:rsidRPr="00E60A03">
        <w:t xml:space="preserve"> the differing levels of public land and the differing cultural environments have led to differences in the type</w:t>
      </w:r>
      <w:r w:rsidR="00644A44">
        <w:t>s</w:t>
      </w:r>
      <w:r w:rsidRPr="00E60A03">
        <w:t xml:space="preserve"> of archaeology conducted and the questions asked.  White and Breen’s study (2012) makes a brief </w:t>
      </w:r>
      <w:r w:rsidRPr="00E60A03">
        <w:lastRenderedPageBreak/>
        <w:t>review of other states</w:t>
      </w:r>
      <w:r>
        <w:t>,</w:t>
      </w:r>
      <w:r w:rsidRPr="00E60A03">
        <w:t xml:space="preserve"> noting that Maryland has a centralized repository for collections (though it does not include 100% of </w:t>
      </w:r>
      <w:r>
        <w:rPr>
          <w:rFonts w:cs="Times New Roman"/>
        </w:rPr>
        <w:t xml:space="preserve">archaeological </w:t>
      </w:r>
      <w:r w:rsidRPr="00E60A03">
        <w:t>sites). In Arizona</w:t>
      </w:r>
      <w:r w:rsidR="00644A44">
        <w:t>,</w:t>
      </w:r>
      <w:r w:rsidRPr="00E60A03">
        <w:t xml:space="preserve"> collections are housed in three of four main repositories, while New York and Washingt</w:t>
      </w:r>
      <w:r>
        <w:t>on are similar to Virginia</w:t>
      </w:r>
      <w:r w:rsidR="00644A44">
        <w:t xml:space="preserve"> in the</w:t>
      </w:r>
      <w:r>
        <w:t xml:space="preserve"> </w:t>
      </w:r>
      <w:r w:rsidRPr="00AF7826">
        <w:t>decentralized nature of archaeological collections</w:t>
      </w:r>
      <w:r>
        <w:t xml:space="preserve"> (p. 6</w:t>
      </w:r>
      <w:r w:rsidRPr="00E60A03">
        <w:t>).</w:t>
      </w:r>
      <w:r>
        <w:t xml:space="preserve"> Childs and Kagan (2008) identified 221 repositories as part of their national study.  </w:t>
      </w:r>
      <w:r w:rsidRPr="00E60A03">
        <w:t xml:space="preserve">As noted in the </w:t>
      </w:r>
      <w:r>
        <w:t>literature review,</w:t>
      </w:r>
      <w:r w:rsidRPr="00E60A03">
        <w:t xml:space="preserve"> the political and financial environments in the rest of the world are different</w:t>
      </w:r>
      <w:r>
        <w:t>,</w:t>
      </w:r>
      <w:r w:rsidRPr="00E60A03">
        <w:t xml:space="preserve"> and have led to different models for data publication</w:t>
      </w:r>
      <w:r>
        <w:t>, with many countries having a state</w:t>
      </w:r>
      <w:r w:rsidR="00517F51">
        <w:t>-</w:t>
      </w:r>
      <w:r>
        <w:t>supported national archival repository for archaeology data.</w:t>
      </w:r>
    </w:p>
    <w:p w14:paraId="6F2C6A1D" w14:textId="77777777" w:rsidR="002C5990" w:rsidRDefault="002C5990" w:rsidP="002C5990">
      <w:r>
        <w:t xml:space="preserve">The number of archaeological sites presented on the websites was recorded, but not used when reporting results. It was hard to determine how many </w:t>
      </w:r>
      <w:r>
        <w:rPr>
          <w:rFonts w:cs="Times New Roman"/>
        </w:rPr>
        <w:t xml:space="preserve">archaeological </w:t>
      </w:r>
      <w:r>
        <w:t xml:space="preserve">sites were covered through content analysis, and the definition of archaeological site wasn’t clear on the institutional websites. What is also unknown is whether institutions that presented archaeological data did so for all the archaeological sites under their management. If not, as seems likely, then this study undercounts the amount of archaeological data available, and the problems of access to archaeological data may be </w:t>
      </w:r>
      <w:r w:rsidR="00517F51">
        <w:t xml:space="preserve">greater </w:t>
      </w:r>
      <w:r>
        <w:t>than it appears from this study.</w:t>
      </w:r>
    </w:p>
    <w:p w14:paraId="15EFC60F" w14:textId="77777777" w:rsidR="002C5990" w:rsidRDefault="002C5990" w:rsidP="002C5990">
      <w:r>
        <w:t xml:space="preserve">This content analysis only examines the manifest content - what was visible on the websites. To enhance the reliability of the study, only material that was clearly linked through the website navigation was examined, and other content might have been missed. This seemed to be particularly problematic on University and College websites. </w:t>
      </w:r>
      <w:r>
        <w:rPr>
          <w:rFonts w:cs="Times New Roman"/>
        </w:rPr>
        <w:t xml:space="preserve">For example, The Center for Historic Preservation at Mary Washington has conducted </w:t>
      </w:r>
      <w:r w:rsidR="00517F51">
        <w:rPr>
          <w:rFonts w:cs="Times New Roman"/>
        </w:rPr>
        <w:t xml:space="preserve">many </w:t>
      </w:r>
      <w:r>
        <w:rPr>
          <w:rFonts w:cs="Times New Roman"/>
        </w:rPr>
        <w:t>archaeological investigation</w:t>
      </w:r>
      <w:r w:rsidR="00517F51">
        <w:rPr>
          <w:rFonts w:cs="Times New Roman"/>
        </w:rPr>
        <w:t>s</w:t>
      </w:r>
      <w:r>
        <w:rPr>
          <w:rFonts w:cs="Times New Roman"/>
        </w:rPr>
        <w:t xml:space="preserve"> over the years but its archaeology lab site (</w:t>
      </w:r>
      <w:r w:rsidRPr="00534CB8">
        <w:rPr>
          <w:rFonts w:cs="Times New Roman"/>
        </w:rPr>
        <w:t>http://almw.umwblogs.org</w:t>
      </w:r>
      <w:r>
        <w:rPr>
          <w:rFonts w:cs="Times New Roman"/>
        </w:rPr>
        <w:t xml:space="preserve">), was not findable through this study, since it was not part of the University website. Also the study </w:t>
      </w:r>
      <w:r>
        <w:t>did not consider the motivations of archaeologists in making (or not making) data available. Indeed it is likely that archaeologists were only a part of the decision about what data went on the institutional website, and they are likely competing for space and visibility. The analysis showed what is, not what was, intended.</w:t>
      </w:r>
    </w:p>
    <w:p w14:paraId="2A8DFA1A" w14:textId="27E21EA7" w:rsidR="002C5990" w:rsidRDefault="002C5990" w:rsidP="002C5990">
      <w:r>
        <w:lastRenderedPageBreak/>
        <w:t>There are other forms of archaeological dissemination not covered in this study. Traditional means of scholarly publishing, such as through journals, conference papers, and books has not been included, except where those materials have been made available on the institutional websites</w:t>
      </w:r>
      <w:r w:rsidR="00B53814">
        <w:t xml:space="preserve"> (</w:t>
      </w:r>
      <w:r>
        <w:t>though generally these formats have been slow to include data as part of the dissemination</w:t>
      </w:r>
      <w:r w:rsidR="00B53814">
        <w:t>)</w:t>
      </w:r>
      <w:r>
        <w:t xml:space="preserve">. Furthermore, archaeology has a long and rich history in public outreach. </w:t>
      </w:r>
      <w:r w:rsidR="00B53814">
        <w:t xml:space="preserve">For example many </w:t>
      </w:r>
      <w:r>
        <w:t xml:space="preserve">historic houses in Virginia </w:t>
      </w:r>
      <w:r w:rsidR="00B53814">
        <w:t xml:space="preserve">with archaeology programs </w:t>
      </w:r>
      <w:r>
        <w:t>hold field schools for K12 educators and students</w:t>
      </w:r>
      <w:r w:rsidR="00B53814">
        <w:t>; t</w:t>
      </w:r>
      <w:r>
        <w:t xml:space="preserve">hey host open house days focused just on archaeology. Alexandria </w:t>
      </w:r>
      <w:r w:rsidR="0081511C">
        <w:t>A</w:t>
      </w:r>
      <w:r>
        <w:t>rchaeology</w:t>
      </w:r>
      <w:r w:rsidR="0081511C">
        <w:t xml:space="preserve"> Museum</w:t>
      </w:r>
      <w:r>
        <w:t>, among others, has a long and distinguished history of public engagement. There is a tremendous amount of work going on that leaves little digital footprint, and concatenating</w:t>
      </w:r>
      <w:r w:rsidR="00B53814">
        <w:t xml:space="preserve"> this varied public outreach i</w:t>
      </w:r>
      <w:r>
        <w:t>nto a</w:t>
      </w:r>
      <w:r w:rsidR="00B53814">
        <w:t xml:space="preserve"> summary</w:t>
      </w:r>
      <w:r>
        <w:t xml:space="preserve"> “outreach” field clearly </w:t>
      </w:r>
      <w:r w:rsidR="00517F51">
        <w:t xml:space="preserve">underrepresents </w:t>
      </w:r>
      <w:r>
        <w:t>the many ways in which archaeologists engage with multiple publics.</w:t>
      </w:r>
    </w:p>
    <w:p w14:paraId="23C08A51" w14:textId="77777777" w:rsidR="002C5990" w:rsidRDefault="002C5990" w:rsidP="002C5990">
      <w:r>
        <w:t>Finally the study examined the websites of Virginia-based organizations for Virginia archaeological data. Data from Virginia sites made available in other states, for example through museum collections, would have been missed. Reference was made in the literature to the two such institutions (two national repositories).</w:t>
      </w:r>
    </w:p>
    <w:p w14:paraId="2C871B38" w14:textId="77777777" w:rsidR="002C5990" w:rsidRDefault="002C5990" w:rsidP="002C5990">
      <w:pPr>
        <w:pStyle w:val="Heading2"/>
      </w:pPr>
      <w:bookmarkStart w:id="37" w:name="_Toc419135420"/>
      <w:r w:rsidRPr="002E7FFD">
        <w:t>Scholarly Publishing</w:t>
      </w:r>
      <w:bookmarkEnd w:id="37"/>
    </w:p>
    <w:p w14:paraId="562C0C5C" w14:textId="77777777" w:rsidR="002C5990" w:rsidRDefault="002C5990" w:rsidP="002C5990">
      <w:r>
        <w:t xml:space="preserve">Returning to </w:t>
      </w:r>
      <w:r w:rsidR="00517F51">
        <w:t xml:space="preserve">a discussion </w:t>
      </w:r>
      <w:r>
        <w:t xml:space="preserve">of the findings, the relatively small amount of accessible, re-usable data obviously has implications for scholarship. Research on Virginia archaeological sites runs the risk of being based on a small range of datasets, chosen for a variety of reasons outside of their research potential. Of the thirty-three DAACS </w:t>
      </w:r>
      <w:r>
        <w:rPr>
          <w:rFonts w:cs="Times New Roman"/>
        </w:rPr>
        <w:t xml:space="preserve">archaeological </w:t>
      </w:r>
      <w:r>
        <w:t xml:space="preserve">sites listed in the Chesapeake region, </w:t>
      </w:r>
      <w:r w:rsidRPr="002D1604">
        <w:t>seventeen</w:t>
      </w:r>
      <w:r>
        <w:t xml:space="preserve"> are from Monticello, home of U.S. president Thomas Jefferson. Adding in another two</w:t>
      </w:r>
      <w:r w:rsidRPr="00EF2F17">
        <w:rPr>
          <w:rFonts w:cs="Times New Roman"/>
        </w:rPr>
        <w:t xml:space="preserve"> </w:t>
      </w:r>
      <w:r>
        <w:rPr>
          <w:rFonts w:cs="Times New Roman"/>
        </w:rPr>
        <w:t>archaeological</w:t>
      </w:r>
      <w:r>
        <w:t xml:space="preserve"> sites from Jefferson’s plantation house, Poplar Forest, and 58% of the sites are connected with Jefferson - a peculiar bias in the dataset. Hopefully, over time, more </w:t>
      </w:r>
      <w:r>
        <w:rPr>
          <w:rFonts w:cs="Times New Roman"/>
        </w:rPr>
        <w:t xml:space="preserve">archaeological </w:t>
      </w:r>
      <w:r>
        <w:t>sites will be added but, at present, research rests on a relatively small amount of data.</w:t>
      </w:r>
    </w:p>
    <w:p w14:paraId="72E2F72A" w14:textId="77777777" w:rsidR="002C5990" w:rsidRDefault="002C5990" w:rsidP="002C5990">
      <w:r>
        <w:lastRenderedPageBreak/>
        <w:t xml:space="preserve">The state V-CRIS system does provide a large dataset of </w:t>
      </w:r>
      <w:r>
        <w:rPr>
          <w:rFonts w:cs="Times New Roman"/>
        </w:rPr>
        <w:t xml:space="preserve">archaeological </w:t>
      </w:r>
      <w:r>
        <w:t xml:space="preserve">sites across the commonwealth, though most of these data are at the </w:t>
      </w:r>
      <w:r>
        <w:rPr>
          <w:rFonts w:cs="Times New Roman"/>
        </w:rPr>
        <w:t>archaeological</w:t>
      </w:r>
      <w:r>
        <w:t xml:space="preserve"> site level. H</w:t>
      </w:r>
      <w:r w:rsidRPr="002D1604">
        <w:t>owever</w:t>
      </w:r>
      <w:r w:rsidR="00517F51">
        <w:t xml:space="preserve">, </w:t>
      </w:r>
      <w:r>
        <w:t>access to the database is not free. This</w:t>
      </w:r>
      <w:r w:rsidR="00517F51">
        <w:t xml:space="preserve"> fee-based structure</w:t>
      </w:r>
      <w:r>
        <w:t xml:space="preserve"> makes the dataset useful for project planning, as cultural resource companies often have user accounts because of their need to submit data. Access may be more difficult for researchers and educators, since universities need to have accounts, though free short-term accounts can be made available for research, as it was for this study. Access is extremely limited for non-professionals, though considerations of protecting archaeological sites are part of the reason for this restriction.</w:t>
      </w:r>
    </w:p>
    <w:p w14:paraId="08310CFC" w14:textId="77777777" w:rsidR="002C5990" w:rsidRDefault="002C5990" w:rsidP="002C5990">
      <w:r>
        <w:t xml:space="preserve">The lack of use of URIs presents a concern for the long-term accessibility of the resources. Research on the persistence of web addresses shows that most website links have a limited life span. For example, </w:t>
      </w:r>
      <w:r w:rsidRPr="00854364">
        <w:t>Prithviraj</w:t>
      </w:r>
      <w:r>
        <w:t xml:space="preserve"> and S</w:t>
      </w:r>
      <w:r w:rsidRPr="00854364">
        <w:t xml:space="preserve">ampath </w:t>
      </w:r>
      <w:r>
        <w:t>(</w:t>
      </w:r>
      <w:r w:rsidRPr="00854364">
        <w:t>2014)</w:t>
      </w:r>
      <w:r>
        <w:t xml:space="preserve"> investigated the availability of web addresses for papers published in LIS conference proceedings. They estimated the life span of URLs at less than five years, and over 50% of URLs examined were unavailable at the time of their study (p. 45). The lack of access here suggests long</w:t>
      </w:r>
      <w:r w:rsidR="00517F51">
        <w:t>-</w:t>
      </w:r>
      <w:r>
        <w:t xml:space="preserve">term concerns about the persistence of web-based content. This concern is mirrored by the lack of information on permanent archiving on the websites. This omission may not reflect a lack of institutional policy, but </w:t>
      </w:r>
      <w:r w:rsidR="00517F51">
        <w:t>without</w:t>
      </w:r>
      <w:r>
        <w:t xml:space="preserve"> an explicit</w:t>
      </w:r>
      <w:r w:rsidR="00517F51">
        <w:t>ly</w:t>
      </w:r>
      <w:r>
        <w:t xml:space="preserve"> stated policy posted to respective websites</w:t>
      </w:r>
      <w:r w:rsidR="00517F51">
        <w:t>,</w:t>
      </w:r>
      <w:r>
        <w:t xml:space="preserve"> data users</w:t>
      </w:r>
      <w:r w:rsidR="00517F51">
        <w:t xml:space="preserve"> must contend with uncertainty about how long resources will remain available</w:t>
      </w:r>
      <w:r>
        <w:t>. The availability of the national archive (tDAR) could fill this gap – and some of the Comparative Chesapeake</w:t>
      </w:r>
      <w:r w:rsidRPr="00EF2F17">
        <w:rPr>
          <w:rFonts w:cs="Times New Roman"/>
        </w:rPr>
        <w:t xml:space="preserve"> </w:t>
      </w:r>
      <w:r>
        <w:rPr>
          <w:rFonts w:cs="Times New Roman"/>
        </w:rPr>
        <w:t>archaeological</w:t>
      </w:r>
      <w:r>
        <w:t xml:space="preserve"> sites are also included on the tDAR website - but there is limited Virginia content in tDAR at present. Some of the websites examined seem no longer active (no recent content, content dated from several years ago), and there must be some uncertainty as to how long content on mothballed websites remains available. Issues concerning the preservation of digital archaeological data are being discussed in the archaeological community through the previously mentioned “Caring for digital data in archaeology” book by the Ar</w:t>
      </w:r>
      <w:r w:rsidRPr="00B93AB3">
        <w:rPr>
          <w:color w:val="000000"/>
        </w:rPr>
        <w:t>chaeology Data Service &amp; Center</w:t>
      </w:r>
      <w:r>
        <w:rPr>
          <w:color w:val="000000"/>
        </w:rPr>
        <w:t xml:space="preserve"> (ADS)</w:t>
      </w:r>
      <w:r w:rsidRPr="00B93AB3">
        <w:rPr>
          <w:color w:val="000000"/>
        </w:rPr>
        <w:t xml:space="preserve"> for Digital Antiquity</w:t>
      </w:r>
      <w:r>
        <w:rPr>
          <w:color w:val="000000"/>
        </w:rPr>
        <w:t xml:space="preserve"> (2013), and through </w:t>
      </w:r>
      <w:r>
        <w:rPr>
          <w:color w:val="000000"/>
        </w:rPr>
        <w:lastRenderedPageBreak/>
        <w:t>information provided on the ADS website and presentations by tDAR (</w:t>
      </w:r>
      <w:r w:rsidRPr="00676AE4">
        <w:rPr>
          <w:color w:val="000000"/>
        </w:rPr>
        <w:t>http://www.tdar.org/why-tdar/preservation/</w:t>
      </w:r>
      <w:r>
        <w:rPr>
          <w:color w:val="000000"/>
        </w:rPr>
        <w:t>). Further research is needed to understand the extent to which digital preservation is or should be a concern among Virginia archaeologists, but it seems very useful to return to a quote from White and Breen (2012)</w:t>
      </w:r>
      <w:r w:rsidR="00517F51">
        <w:rPr>
          <w:color w:val="000000"/>
        </w:rPr>
        <w:t xml:space="preserve">: </w:t>
      </w:r>
      <w:r>
        <w:rPr>
          <w:color w:val="000000"/>
        </w:rPr>
        <w:t xml:space="preserve"> “T</w:t>
      </w:r>
      <w:r w:rsidRPr="00A65CB0">
        <w:rPr>
          <w:color w:val="000000"/>
        </w:rPr>
        <w:t>here is much to be done within the professional</w:t>
      </w:r>
      <w:r>
        <w:rPr>
          <w:color w:val="000000"/>
        </w:rPr>
        <w:t xml:space="preserve"> </w:t>
      </w:r>
      <w:r w:rsidRPr="00A65CB0">
        <w:rPr>
          <w:color w:val="000000"/>
        </w:rPr>
        <w:t>community to ensure that the tangible remains of our archaeological research are preserved for</w:t>
      </w:r>
      <w:r>
        <w:rPr>
          <w:color w:val="000000"/>
        </w:rPr>
        <w:t xml:space="preserve"> </w:t>
      </w:r>
      <w:r w:rsidRPr="00A65CB0">
        <w:rPr>
          <w:color w:val="000000"/>
        </w:rPr>
        <w:t>the future</w:t>
      </w:r>
      <w:r>
        <w:rPr>
          <w:color w:val="000000"/>
        </w:rPr>
        <w:t>” (p. 11). Tangible clearly includes digital assets and data.</w:t>
      </w:r>
    </w:p>
    <w:p w14:paraId="5CCBC370" w14:textId="77777777" w:rsidR="002C5990" w:rsidRDefault="002C5990" w:rsidP="002C5990">
      <w:r>
        <w:t>Few of the websites provide sufficient bibliographic information for citing, or specific recommendations for how to cite webpage content. Though the general rules of citing websites of various style conventions apply, these can be problematic without persistent URIs, and authorship is often unclear. DAACS’s clarity on citations is helpful and a model for other websites (</w:t>
      </w:r>
      <w:r w:rsidRPr="004A210C">
        <w:t>http://www.daacs.org/about-the-database/citing-query-results/</w:t>
      </w:r>
      <w:r>
        <w:t>). Despite the easy availability of Creative Commons licenses, only a few websites make explicit statements on how the data can be re-used. As stated by Kansa and Kansa (2011), data interoperability needs to be matched with “legal” interoperability (p. 12). Explicit licensing statements on use and re-use provide clarity, rather than the assumption that data are free to use. Costa (2014), in a wider exploration of this point, suggests “</w:t>
      </w:r>
      <w:r w:rsidRPr="0064700A">
        <w:t>Using anything else</w:t>
      </w:r>
      <w:r>
        <w:t xml:space="preserve"> [creative commons open license]</w:t>
      </w:r>
      <w:r w:rsidRPr="0064700A">
        <w:t xml:space="preserve">, even for content or data that is available for downloading, is not unlike putting it on display without allowing bystanders any actual </w:t>
      </w:r>
      <w:r>
        <w:t>interaction</w:t>
      </w:r>
      <w:r w:rsidR="00517F51">
        <w:t>.</w:t>
      </w:r>
      <w:r>
        <w:t>” Making explicit statements on licensing, archiving and citation seems achievable, and would help considerably in facilitating use and attribution in other research endeavors and scholarly publications.</w:t>
      </w:r>
    </w:p>
    <w:p w14:paraId="101579C1" w14:textId="77777777" w:rsidR="002C5990" w:rsidRDefault="002C5990" w:rsidP="002C5990">
      <w:r>
        <w:t>In a 2014 survey of members of the Society for Historical Archaeology, over 50% of respondents rated the use and importance of digital archaeology collections as very, or somewhat important (</w:t>
      </w:r>
      <w:r w:rsidRPr="00B93AB3">
        <w:rPr>
          <w:rFonts w:eastAsia="Times New Roman" w:cs="Times New Roman"/>
        </w:rPr>
        <w:t>Society for Historical Archaeology</w:t>
      </w:r>
      <w:r>
        <w:t>, 2015). Similarly a national survey of repositories in 2010 asked “</w:t>
      </w:r>
      <w:r w:rsidRPr="00D03A3C">
        <w:t>How important is the collection/curation and access to digital data to your organization?</w:t>
      </w:r>
      <w:r>
        <w:t xml:space="preserve">”, with nearly 50% answering highly important (Watts, 2010, p. 7). Kintigh and Altschul (2010) note in their exploration of </w:t>
      </w:r>
      <w:r>
        <w:lastRenderedPageBreak/>
        <w:t>the need for a trusted archival digital repository for archaeology, “</w:t>
      </w:r>
      <w:r w:rsidRPr="009000F6">
        <w:t>As consumers, archaeologists genuinely desire effective, on-line access to the results of others’ work</w:t>
      </w:r>
      <w:r>
        <w:t xml:space="preserve">” (2010, p. 270). There are reasons for the lack of sharing as reported in this study’s results. </w:t>
      </w:r>
      <w:r w:rsidR="00517F51">
        <w:t xml:space="preserve">The discussion by </w:t>
      </w:r>
      <w:r>
        <w:t>Harley et al</w:t>
      </w:r>
      <w:r w:rsidR="00517F51">
        <w:t>.</w:t>
      </w:r>
      <w:r>
        <w:t xml:space="preserve"> (2010) </w:t>
      </w:r>
      <w:r w:rsidR="003062D3">
        <w:t xml:space="preserve">focuses on </w:t>
      </w:r>
      <w:r>
        <w:t>the difficulty of academic scholars in getting recognition for creating digital resources and</w:t>
      </w:r>
      <w:r w:rsidR="003062D3">
        <w:t xml:space="preserve"> asserts</w:t>
      </w:r>
      <w:r>
        <w:t xml:space="preserve"> that in judging scholarship, it is “</w:t>
      </w:r>
      <w:r w:rsidRPr="00184EE4">
        <w:t>difficult for review committees to assess the audience and impact of work published in non-traditional formats</w:t>
      </w:r>
      <w:r>
        <w:t xml:space="preserve">” (p. 41). Only </w:t>
      </w:r>
      <w:r w:rsidR="003062D3">
        <w:t>4</w:t>
      </w:r>
      <w:r>
        <w:t xml:space="preserve"> of the 26 “open data” institutions, were universities or colleges. Perhaps, as Richards (2014) suggests, we need more carrots and sticks, or, as Kansa (2012) proposes, for data sharing to become a more explicit part of archaeology ethics. It might be concluded that the desire for using digital collections is not yet matched by the desire to create or disseminate them, and clearer guidelines on what constitutes a scholarly interoperable dataset might be helpful.</w:t>
      </w:r>
    </w:p>
    <w:p w14:paraId="22ECA154" w14:textId="77777777" w:rsidR="002C5990" w:rsidRDefault="003062D3" w:rsidP="002C5990">
      <w:r>
        <w:t xml:space="preserve">An </w:t>
      </w:r>
      <w:r w:rsidR="002C5990">
        <w:t>example</w:t>
      </w:r>
      <w:r>
        <w:t xml:space="preserve"> of </w:t>
      </w:r>
      <w:r w:rsidR="002C5990">
        <w:t>the access policy posted on the website for the collections at Alexandria</w:t>
      </w:r>
      <w:r>
        <w:t xml:space="preserve"> Archaeology Museum</w:t>
      </w:r>
      <w:r w:rsidR="002C5990">
        <w:t>, an institution known for its public archaeology program</w:t>
      </w:r>
      <w:r>
        <w:t>, is useful for comparing online access to physically visiting the collections</w:t>
      </w:r>
      <w:r w:rsidR="002C5990">
        <w:t>:</w:t>
      </w:r>
    </w:p>
    <w:p w14:paraId="6AF5E08A" w14:textId="77777777" w:rsidR="002C5990" w:rsidRDefault="002C5990" w:rsidP="002C5990">
      <w:pPr>
        <w:ind w:left="720" w:firstLine="0"/>
      </w:pPr>
      <w:r>
        <w:rPr>
          <w:b/>
          <w:bCs/>
          <w:i/>
          <w:iCs/>
        </w:rPr>
        <w:t>“</w:t>
      </w:r>
      <w:r w:rsidRPr="00FC0197">
        <w:rPr>
          <w:b/>
          <w:bCs/>
          <w:i/>
          <w:iCs/>
        </w:rPr>
        <w:t>Scholarly and Professional Access:</w:t>
      </w:r>
      <w:r w:rsidRPr="00FC0197">
        <w:t xml:space="preserve"> Students and scholars requesting access to the collection shall submit a proposal of their planned research project, including collections and data to be examined, objectives, publication information, proposed timetable and schedule of hours to be spent at Alexandria Archaeology.</w:t>
      </w:r>
      <w:r>
        <w:t>”</w:t>
      </w:r>
      <w:r>
        <w:br/>
        <w:t>“</w:t>
      </w:r>
      <w:r w:rsidRPr="00FC0197">
        <w:rPr>
          <w:b/>
          <w:bCs/>
          <w:i/>
          <w:iCs/>
        </w:rPr>
        <w:t>Public Access:</w:t>
      </w:r>
      <w:r w:rsidRPr="00FC0197">
        <w:t xml:space="preserve"> Members of the public not engaged in approved research will not be permitted to handle artifacts in the collection without the permission of the Collections Manager.</w:t>
      </w:r>
      <w:r>
        <w:t xml:space="preserve">” (Alexandria 2013, section: </w:t>
      </w:r>
      <w:r w:rsidRPr="00175EAF">
        <w:rPr>
          <w:rFonts w:ascii="Calibri" w:hAnsi="Calibri" w:cs="Arial"/>
          <w:szCs w:val="21"/>
        </w:rPr>
        <w:t>Collections Policy</w:t>
      </w:r>
      <w:r>
        <w:t>)</w:t>
      </w:r>
    </w:p>
    <w:p w14:paraId="75B403D8" w14:textId="77777777" w:rsidR="002C5990" w:rsidRDefault="002C5990" w:rsidP="002C5990">
      <w:pPr>
        <w:ind w:firstLine="0"/>
      </w:pPr>
      <w:r>
        <w:t xml:space="preserve">Such restrictions to physical materials are understandable, particularly in the light of resources need to provide access, and the potential consequences from the physical handling of materials. But </w:t>
      </w:r>
      <w:r w:rsidR="003062D3">
        <w:t xml:space="preserve">the policy also </w:t>
      </w:r>
      <w:r>
        <w:t xml:space="preserve">shows the potential of digital access </w:t>
      </w:r>
      <w:r w:rsidR="003062D3">
        <w:t>for</w:t>
      </w:r>
      <w:r>
        <w:t xml:space="preserve"> providing resources to both scholars and a broader public, </w:t>
      </w:r>
      <w:r>
        <w:lastRenderedPageBreak/>
        <w:t>and reducing wear and tear on materials. Moreover, the lack of specific contact information found in this study suggests a potential problem for researchers wishing to follow up with questions, and requesting access to physical collections.</w:t>
      </w:r>
    </w:p>
    <w:p w14:paraId="16045D19" w14:textId="77777777" w:rsidR="002C5990" w:rsidRDefault="002C5990" w:rsidP="002C5990">
      <w:pPr>
        <w:pStyle w:val="Heading2"/>
      </w:pPr>
      <w:bookmarkStart w:id="38" w:name="_Toc419135421"/>
      <w:r w:rsidRPr="002E7FFD">
        <w:t>Open Data</w:t>
      </w:r>
      <w:bookmarkEnd w:id="38"/>
    </w:p>
    <w:p w14:paraId="407443A6" w14:textId="35E53918" w:rsidR="002C5990" w:rsidRDefault="002C5990" w:rsidP="002C5990">
      <w:r>
        <w:t>As positioned in this study’s conceptual framework, closely tied to scholarly publishing is open data – the availability of web-based data for re-use. Twelve websites were recorded as offering structured open data. One of the few comparable studies</w:t>
      </w:r>
      <w:r w:rsidR="00E93501">
        <w:t xml:space="preserve"> by</w:t>
      </w:r>
      <w:r>
        <w:t xml:space="preserve"> Kansa and Kansa (2011), found 25% of websites hav</w:t>
      </w:r>
      <w:r w:rsidR="00E93501">
        <w:t>e</w:t>
      </w:r>
      <w:r>
        <w:t xml:space="preserve"> data “easy to reuse” (p.7), compared to the </w:t>
      </w:r>
      <w:r w:rsidR="00705D4E">
        <w:t>7.3</w:t>
      </w:r>
      <w:r>
        <w:t>% of the total websites with reusable data in this study. The Kansa and Kansa study reflected websites from Iraq and other ancient cultural heritage sites, and both studies suggest that there is much more to be done to develop and facilitate data sharing.</w:t>
      </w:r>
    </w:p>
    <w:p w14:paraId="475420A7" w14:textId="77777777" w:rsidR="002C5990" w:rsidRDefault="00E93501" w:rsidP="002C5990">
      <w:r>
        <w:t>Three</w:t>
      </w:r>
      <w:r w:rsidR="002C5990">
        <w:t xml:space="preserve"> issues are particularly important in considering open data. </w:t>
      </w:r>
      <w:r>
        <w:t>First, n</w:t>
      </w:r>
      <w:r w:rsidR="002C5990">
        <w:t>ot all websites published the respective database’s metadata, and because of this</w:t>
      </w:r>
      <w:r w:rsidR="001C0E0E">
        <w:t xml:space="preserve"> om</w:t>
      </w:r>
      <w:r>
        <w:t>ission</w:t>
      </w:r>
      <w:r w:rsidR="002C5990">
        <w:t xml:space="preserve"> it is hard to know how fields are being used, such as what data types are acceptable, and what data values are allowed or restricted. This information is essential in understanding the data. As already noted by Galle (2014), the database metadata</w:t>
      </w:r>
      <w:r>
        <w:t xml:space="preserve"> information</w:t>
      </w:r>
      <w:r w:rsidR="002C5990">
        <w:t xml:space="preserve"> is one of the most used sections of the DAACS website. The development of website thesauri, relating the specialist archaeological language, could serve a broader public, while the development of ontologies would serve scholarship through codifying the institutional knowledge of the collections and their contexts. At present there are few external guidelines for data standards, and as previously discussed, data interoperability remains an issue. Publishing the database metadata could help in the development of standards. </w:t>
      </w:r>
      <w:r>
        <w:t xml:space="preserve">In addition, </w:t>
      </w:r>
      <w:r w:rsidR="002C5990">
        <w:t>the lack of metadata and metadata standards, make use of archaeological data more difficult for disciplines outside of archaeology. Greater use of accepted metadata formats would support wider data interoperability.</w:t>
      </w:r>
    </w:p>
    <w:p w14:paraId="01758F59" w14:textId="6FFD39D3" w:rsidR="002C5990" w:rsidRPr="00991556" w:rsidRDefault="002C5990" w:rsidP="002C5990">
      <w:r w:rsidRPr="00991556">
        <w:lastRenderedPageBreak/>
        <w:t>Second</w:t>
      </w:r>
      <w:r w:rsidR="00E93501">
        <w:t>,</w:t>
      </w:r>
      <w:r w:rsidRPr="00991556">
        <w:t xml:space="preserve"> there is the issue of data provenance. </w:t>
      </w:r>
      <w:r w:rsidRPr="00991556">
        <w:rPr>
          <w:color w:val="111111"/>
          <w:shd w:val="clear" w:color="auto" w:fill="FFFFFF"/>
        </w:rPr>
        <w:t xml:space="preserve">The </w:t>
      </w:r>
      <w:r w:rsidRPr="00991556">
        <w:t xml:space="preserve">Comparative Archaeological Study of Comparative Chesapeake Culture website provides </w:t>
      </w:r>
      <w:r w:rsidRPr="00991556">
        <w:rPr>
          <w:color w:val="111111"/>
          <w:shd w:val="clear" w:color="auto" w:fill="FFFFFF"/>
        </w:rPr>
        <w:t xml:space="preserve">metadata for the artifact database, but information on data provenance (how it got from the original data to the aggregate database) is not shared. </w:t>
      </w:r>
      <w:r>
        <w:rPr>
          <w:color w:val="111111"/>
          <w:shd w:val="clear" w:color="auto" w:fill="FFFFFF"/>
        </w:rPr>
        <w:t xml:space="preserve">Data provenance is defined as the “process of tracing and recording origins of data and its movements between databases” (Bruneman et al, 2000, p. 1). </w:t>
      </w:r>
      <w:r w:rsidRPr="00991556">
        <w:rPr>
          <w:color w:val="111111"/>
          <w:shd w:val="clear" w:color="auto" w:fill="FFFFFF"/>
        </w:rPr>
        <w:t xml:space="preserve">All archaeological data goes through processing from the field to the database – </w:t>
      </w:r>
      <w:r>
        <w:rPr>
          <w:color w:val="111111"/>
          <w:shd w:val="clear" w:color="auto" w:fill="FFFFFF"/>
        </w:rPr>
        <w:t xml:space="preserve">such as </w:t>
      </w:r>
      <w:r w:rsidRPr="00991556">
        <w:rPr>
          <w:color w:val="111111"/>
          <w:shd w:val="clear" w:color="auto" w:fill="FFFFFF"/>
        </w:rPr>
        <w:t xml:space="preserve">which data are collected, how they are aggregated, what fields are captured, </w:t>
      </w:r>
      <w:r w:rsidR="00E93501">
        <w:rPr>
          <w:color w:val="111111"/>
          <w:shd w:val="clear" w:color="auto" w:fill="FFFFFF"/>
        </w:rPr>
        <w:t xml:space="preserve">and </w:t>
      </w:r>
      <w:r w:rsidRPr="00991556">
        <w:rPr>
          <w:color w:val="111111"/>
          <w:shd w:val="clear" w:color="auto" w:fill="FFFFFF"/>
        </w:rPr>
        <w:t>the granularity of artifact description. Field methods are sometimes explicit on the websites to help understand how different field methodologies will affect findings</w:t>
      </w:r>
      <w:r>
        <w:rPr>
          <w:color w:val="111111"/>
          <w:shd w:val="clear" w:color="auto" w:fill="FFFFFF"/>
        </w:rPr>
        <w:t xml:space="preserve"> </w:t>
      </w:r>
      <w:r w:rsidRPr="00991556">
        <w:rPr>
          <w:color w:val="111111"/>
          <w:shd w:val="clear" w:color="auto" w:fill="FFFFFF"/>
        </w:rPr>
        <w:t xml:space="preserve">(for example </w:t>
      </w:r>
      <w:r w:rsidRPr="00705D4E">
        <w:rPr>
          <w:shd w:val="clear" w:color="auto" w:fill="FFFFFF"/>
        </w:rPr>
        <w:t>http://www.daacs.org/sites/building-c/#before</w:t>
      </w:r>
      <w:r w:rsidRPr="00991556">
        <w:rPr>
          <w:color w:val="111111"/>
          <w:shd w:val="clear" w:color="auto" w:fill="FFFFFF"/>
        </w:rPr>
        <w:t>)</w:t>
      </w:r>
      <w:r>
        <w:rPr>
          <w:color w:val="111111"/>
          <w:shd w:val="clear" w:color="auto" w:fill="FFFFFF"/>
        </w:rPr>
        <w:t>. B</w:t>
      </w:r>
      <w:r w:rsidRPr="00991556">
        <w:rPr>
          <w:color w:val="111111"/>
          <w:shd w:val="clear" w:color="auto" w:fill="FFFFFF"/>
        </w:rPr>
        <w:t xml:space="preserve">ut lab manuals – showing how data </w:t>
      </w:r>
      <w:r>
        <w:rPr>
          <w:color w:val="111111"/>
          <w:shd w:val="clear" w:color="auto" w:fill="FFFFFF"/>
        </w:rPr>
        <w:t>are</w:t>
      </w:r>
      <w:r w:rsidRPr="00991556">
        <w:rPr>
          <w:color w:val="111111"/>
          <w:shd w:val="clear" w:color="auto" w:fill="FFFFFF"/>
        </w:rPr>
        <w:t xml:space="preserve"> captured, and manipulated, are typically not shown. Making these processes transparent </w:t>
      </w:r>
      <w:r>
        <w:rPr>
          <w:color w:val="111111"/>
          <w:shd w:val="clear" w:color="auto" w:fill="FFFFFF"/>
        </w:rPr>
        <w:t xml:space="preserve">and providing information on data provenance </w:t>
      </w:r>
      <w:r w:rsidRPr="00991556">
        <w:rPr>
          <w:color w:val="111111"/>
          <w:shd w:val="clear" w:color="auto" w:fill="FFFFFF"/>
        </w:rPr>
        <w:t>would make the data more useful for comparative studies.</w:t>
      </w:r>
    </w:p>
    <w:p w14:paraId="1608F34B" w14:textId="77777777" w:rsidR="002C5990" w:rsidRDefault="002C5990" w:rsidP="002C5990">
      <w:r>
        <w:t xml:space="preserve"> </w:t>
      </w:r>
      <w:r w:rsidR="00E93501">
        <w:t>W</w:t>
      </w:r>
      <w:r>
        <w:t xml:space="preserve">hile outside of the scope of this study, </w:t>
      </w:r>
      <w:r w:rsidR="00E93501">
        <w:t>a third issue to be addressed is</w:t>
      </w:r>
      <w:r>
        <w:t xml:space="preserve">: what data should be made available? With an existing backlog of physical collections, and an understanding by archaeologists that not all </w:t>
      </w:r>
      <w:r>
        <w:rPr>
          <w:rFonts w:cs="Times New Roman"/>
        </w:rPr>
        <w:t xml:space="preserve">archaeological </w:t>
      </w:r>
      <w:r>
        <w:t xml:space="preserve">sites are equal (e.g. some archaeological </w:t>
      </w:r>
      <w:r w:rsidR="004432C5">
        <w:t xml:space="preserve">data </w:t>
      </w:r>
      <w:r>
        <w:t xml:space="preserve">are </w:t>
      </w:r>
      <w:r w:rsidR="004432C5">
        <w:t>from surveys</w:t>
      </w:r>
      <w:r>
        <w:t xml:space="preserve">, </w:t>
      </w:r>
      <w:r w:rsidR="004432C5">
        <w:t xml:space="preserve">while </w:t>
      </w:r>
      <w:r>
        <w:t xml:space="preserve">others </w:t>
      </w:r>
      <w:r w:rsidR="004432C5">
        <w:t xml:space="preserve">represent </w:t>
      </w:r>
      <w:r>
        <w:t>full</w:t>
      </w:r>
      <w:r w:rsidR="004432C5">
        <w:t>-scale</w:t>
      </w:r>
      <w:r>
        <w:t xml:space="preserve"> excavations).</w:t>
      </w:r>
      <w:r w:rsidR="00350B89">
        <w:t xml:space="preserve"> S</w:t>
      </w:r>
      <w:r>
        <w:t xml:space="preserve">hould there be an expectation of data access for all type of </w:t>
      </w:r>
      <w:r>
        <w:rPr>
          <w:rFonts w:cs="Times New Roman"/>
        </w:rPr>
        <w:t xml:space="preserve">archaeological </w:t>
      </w:r>
      <w:r>
        <w:t xml:space="preserve">sites? While this is a discussion well beyond the scope of this study and includes explorations around prioritizing collections (as discussed by While and Breen (2012), and even the specter of deaccessioning, there are conversations on this topic that are currently on-going (e.g. Federal Register, 2014). </w:t>
      </w:r>
    </w:p>
    <w:p w14:paraId="706A534B" w14:textId="77777777" w:rsidR="002C5990" w:rsidRDefault="002C5990" w:rsidP="002C5990">
      <w:pPr>
        <w:pStyle w:val="Heading2"/>
      </w:pPr>
      <w:bookmarkStart w:id="39" w:name="_Toc419135422"/>
      <w:r>
        <w:t>Public Outreach</w:t>
      </w:r>
      <w:bookmarkEnd w:id="39"/>
    </w:p>
    <w:p w14:paraId="3A0A61CA" w14:textId="10CE33B2" w:rsidR="002C5990" w:rsidRDefault="002C5990" w:rsidP="002C5990">
      <w:r>
        <w:t>Public outreach characteristics were generally well supported, with all websites meeting one characteristic and most sites</w:t>
      </w:r>
      <w:r w:rsidR="004432C5">
        <w:t xml:space="preserve"> meeting</w:t>
      </w:r>
      <w:r>
        <w:t xml:space="preserve"> several. There are few, if any, technical barriers to satisfying requirements for public outreach, with social media practices having become well established and standardized (use of Facebook and Twitter for example). Blogs, and other social media were not on all </w:t>
      </w:r>
      <w:r>
        <w:lastRenderedPageBreak/>
        <w:t xml:space="preserve">websites, but they make more sense for ongoing projects, since they provide both an avenue for dissemination and the chance for public engagement in the archaeology. With </w:t>
      </w:r>
      <w:r w:rsidR="00705D4E">
        <w:t xml:space="preserve">nearly </w:t>
      </w:r>
      <w:r>
        <w:t>80% of the websites with archaeology pages presenting arch</w:t>
      </w:r>
      <w:r w:rsidR="004432C5">
        <w:t>a</w:t>
      </w:r>
      <w:r>
        <w:t>eology with contextual information, images of artifacts unsupported by spatial or thematic contextual information seem to be a thing of the past.</w:t>
      </w:r>
    </w:p>
    <w:p w14:paraId="3B565614" w14:textId="34228787" w:rsidR="002C5990" w:rsidRDefault="002C5990" w:rsidP="002C5990">
      <w:r>
        <w:t>The lack of explicit digital educational material (</w:t>
      </w:r>
      <w:r w:rsidR="00705D4E">
        <w:t>38.5</w:t>
      </w:r>
      <w:r>
        <w:t>% of sites, n=</w:t>
      </w:r>
      <w:r w:rsidR="00705D4E">
        <w:t>15</w:t>
      </w:r>
      <w:r>
        <w:t>) may be caused by several factors. The creation of such material may</w:t>
      </w:r>
      <w:r w:rsidR="00350B89">
        <w:t xml:space="preserve"> </w:t>
      </w:r>
      <w:r w:rsidR="004432C5">
        <w:t>require</w:t>
      </w:r>
      <w:r>
        <w:t xml:space="preserve"> resources and expertise not always available in-house. In Virginia, providing materials that can be used in schools also requires that the modules tie into the State of Virginia’s Standards of Learning (SOLs). Nevertheless, in a broad sense</w:t>
      </w:r>
      <w:r w:rsidR="004432C5">
        <w:t>,</w:t>
      </w:r>
      <w:r>
        <w:t xml:space="preserve"> these educational components can provide disciplinary domain level knowledge – an understanding of the website data requires some understanding of the archaeological process. The Virginia Department of Historic Resources website includes a “What Do Archaeologists Do?” educational component that lays out how archaeologists work. Jamestown Rediscovery provides a virtual lab and field interactive exercise that asks students to answer research questions. Though these educational modules provide little data, they do provide some of the tools needed to understand archaeology and archaeological data; contributing to some of the sense-making referred to by Gurstein (</w:t>
      </w:r>
      <w:r w:rsidRPr="00661D71">
        <w:t>2011, section</w:t>
      </w:r>
      <w:r w:rsidRPr="001D06A1">
        <w:rPr>
          <w:b/>
        </w:rPr>
        <w:t xml:space="preserve">: </w:t>
      </w:r>
      <w:r w:rsidRPr="001D06A1">
        <w:rPr>
          <w:rStyle w:val="Strong"/>
          <w:b w:val="0"/>
        </w:rPr>
        <w:t>A model for effective data use</w:t>
      </w:r>
      <w:r>
        <w:t>). Public archaeology has a strong history in archaeology, so it is perhaps surprising that not more archaeology educational content was found on archaeology websites in this study.</w:t>
      </w:r>
    </w:p>
    <w:p w14:paraId="7A3112FB" w14:textId="5F0E6158" w:rsidR="002C5990" w:rsidRDefault="002C5990" w:rsidP="002C5990">
      <w:r>
        <w:t>For public outreach, all but one website provided at least one supporting characteristic. These characteristics could be seen as incremental (the more characteristics present, the better). The survey results support the contention that websites are attempting to reach audiences beyond other archaeologists (see Chapter 4: Table 3). Interestingly</w:t>
      </w:r>
      <w:r w:rsidR="004432C5">
        <w:t>, i</w:t>
      </w:r>
      <w:r>
        <w:t xml:space="preserve">nstitutional websites that include data are also presenting a greater number of public outreach characteristics, suggesting that this is not an either-or proposition. But there appears to be no consistent template, or approach, for how institutions are presenting archaeological information. The literature on different publics has been discussed earlier, but </w:t>
      </w:r>
      <w:r>
        <w:lastRenderedPageBreak/>
        <w:t xml:space="preserve">what are the data needs </w:t>
      </w:r>
      <w:r w:rsidR="00B53814">
        <w:t xml:space="preserve">of these different groups? The data needs of different publics </w:t>
      </w:r>
      <w:r>
        <w:t xml:space="preserve">would be an interesting </w:t>
      </w:r>
      <w:r w:rsidR="00B53814">
        <w:t>question f</w:t>
      </w:r>
      <w:r>
        <w:t>or further research. The role and use of digital data for non-archaeologists may be debated, and archaeologists certainly communicate to the public in many other ways – field schools, open houses, exhibits, public talks, books and other media - but perhaps public outreach could make better use of archaeological data.</w:t>
      </w:r>
    </w:p>
    <w:p w14:paraId="47B21F98" w14:textId="77777777" w:rsidR="002C5990" w:rsidRDefault="002C5990" w:rsidP="002C5990">
      <w:pPr>
        <w:pStyle w:val="Heading2"/>
      </w:pPr>
      <w:bookmarkStart w:id="40" w:name="_Toc419135423"/>
      <w:r>
        <w:t>Findings by institutional type</w:t>
      </w:r>
      <w:bookmarkEnd w:id="40"/>
    </w:p>
    <w:p w14:paraId="1772E02A" w14:textId="77777777" w:rsidR="002C5990" w:rsidRDefault="002C5990" w:rsidP="002C5990">
      <w:pPr>
        <w:rPr>
          <w:rFonts w:cs="Times New Roman"/>
        </w:rPr>
      </w:pPr>
      <w:r>
        <w:t xml:space="preserve">It is likely that different factors are </w:t>
      </w:r>
      <w:r w:rsidR="004432C5">
        <w:t xml:space="preserve">at </w:t>
      </w:r>
      <w:r>
        <w:t xml:space="preserve">play regarding how institutions </w:t>
      </w:r>
      <w:r w:rsidR="004432C5">
        <w:t>make</w:t>
      </w:r>
      <w:r>
        <w:t xml:space="preserve"> archaeological data available. At the </w:t>
      </w:r>
      <w:r w:rsidR="004432C5">
        <w:t>federal , as seen through an examination of</w:t>
      </w:r>
      <w:r>
        <w:t xml:space="preserve"> the National Park Service</w:t>
      </w:r>
      <w:r w:rsidR="004432C5">
        <w:t xml:space="preserve"> </w:t>
      </w:r>
      <w:r w:rsidR="004432C5">
        <w:rPr>
          <w:rFonts w:cs="Times New Roman"/>
        </w:rPr>
        <w:t xml:space="preserve">aggregate collections </w:t>
      </w:r>
      <w:r w:rsidR="004432C5">
        <w:t>website</w:t>
      </w:r>
      <w:r>
        <w:t xml:space="preserve">, individual </w:t>
      </w:r>
      <w:r>
        <w:rPr>
          <w:rFonts w:cs="Times New Roman"/>
        </w:rPr>
        <w:t>parks make decisions about what content, if any, to share (National Park Service (n.d. a). Of the 20 National Parks in Virginia with collections</w:t>
      </w:r>
      <w:r w:rsidR="004432C5">
        <w:rPr>
          <w:rFonts w:cs="Times New Roman"/>
        </w:rPr>
        <w:t>,</w:t>
      </w:r>
      <w:r>
        <w:rPr>
          <w:rFonts w:cs="Times New Roman"/>
        </w:rPr>
        <w:t xml:space="preserve"> only </w:t>
      </w:r>
      <w:r w:rsidR="004432C5">
        <w:rPr>
          <w:rFonts w:cs="Times New Roman"/>
        </w:rPr>
        <w:t>six</w:t>
      </w:r>
      <w:r w:rsidR="00350B89">
        <w:rPr>
          <w:rFonts w:cs="Times New Roman"/>
        </w:rPr>
        <w:t xml:space="preserve"> </w:t>
      </w:r>
      <w:r>
        <w:rPr>
          <w:rFonts w:cs="Times New Roman"/>
        </w:rPr>
        <w:t xml:space="preserve">have made their archaeological collections public (National Park Service, n.d.). </w:t>
      </w:r>
    </w:p>
    <w:p w14:paraId="2D0E6BD9" w14:textId="77777777" w:rsidR="002C5990" w:rsidRDefault="002C5990" w:rsidP="002C5990">
      <w:r>
        <w:rPr>
          <w:rFonts w:cs="Times New Roman"/>
        </w:rPr>
        <w:t>For other agencies, for example Loudoun County</w:t>
      </w:r>
      <w:r>
        <w:rPr>
          <w:rFonts w:ascii="Calibri" w:eastAsia="Times New Roman" w:hAnsi="Calibri" w:cs="Times New Roman"/>
        </w:rPr>
        <w:t xml:space="preserve">, </w:t>
      </w:r>
      <w:r>
        <w:rPr>
          <w:rFonts w:cs="Times New Roman"/>
        </w:rPr>
        <w:t>the focus of the websites is not on presenting research, or collections</w:t>
      </w:r>
      <w:r>
        <w:rPr>
          <w:rFonts w:ascii="Calibri" w:eastAsia="Times New Roman" w:hAnsi="Calibri" w:cs="Times New Roman"/>
          <w:color w:val="9C0006"/>
        </w:rPr>
        <w:t xml:space="preserve">, </w:t>
      </w:r>
      <w:r>
        <w:rPr>
          <w:rFonts w:cs="Times New Roman"/>
        </w:rPr>
        <w:t xml:space="preserve">and if archaeological content is present, it is buried within the </w:t>
      </w:r>
      <w:r>
        <w:t>website</w:t>
      </w:r>
      <w:r>
        <w:rPr>
          <w:rFonts w:cs="Times New Roman"/>
        </w:rPr>
        <w:t xml:space="preserve">. The Forest Service </w:t>
      </w:r>
      <w:r>
        <w:t xml:space="preserve">website </w:t>
      </w:r>
      <w:r>
        <w:rPr>
          <w:rFonts w:cs="Times New Roman"/>
        </w:rPr>
        <w:t xml:space="preserve">for the George Washington and Jefferson National Forests – an organization that employs an archaeological staff - provides no results, or menu links, when searching for archaeology or archeology. </w:t>
      </w:r>
      <w:r w:rsidRPr="00504F03">
        <w:rPr>
          <w:rFonts w:cs="Times New Roman"/>
        </w:rPr>
        <w:t>The Virginia state repository, V-CRIS, offers a huge number of</w:t>
      </w:r>
      <w:r>
        <w:rPr>
          <w:rFonts w:cs="Times New Roman"/>
        </w:rPr>
        <w:t xml:space="preserve"> archaeological</w:t>
      </w:r>
      <w:r w:rsidRPr="00504F03">
        <w:rPr>
          <w:rFonts w:cs="Times New Roman"/>
        </w:rPr>
        <w:t xml:space="preserve"> sites, though the information about them is limited and varied</w:t>
      </w:r>
      <w:r>
        <w:rPr>
          <w:rFonts w:cs="Times New Roman"/>
        </w:rPr>
        <w:t xml:space="preserve">, as they are </w:t>
      </w:r>
      <w:r w:rsidR="004432C5">
        <w:rPr>
          <w:rFonts w:cs="Times New Roman"/>
        </w:rPr>
        <w:t>include</w:t>
      </w:r>
      <w:r>
        <w:rPr>
          <w:rFonts w:cs="Times New Roman"/>
        </w:rPr>
        <w:t xml:space="preserve"> legacy information </w:t>
      </w:r>
      <w:r w:rsidR="004432C5">
        <w:rPr>
          <w:rFonts w:cs="Times New Roman"/>
        </w:rPr>
        <w:t>collected over</w:t>
      </w:r>
      <w:r>
        <w:rPr>
          <w:rFonts w:cs="Times New Roman"/>
        </w:rPr>
        <w:t xml:space="preserve"> many years. V-CRIS is also unusual in offering a GIS interface that allows queries by drawing shapes on a map – and the ability to download GIS shape files. The decision to monetize access to archaeological site data has been offset by their sharing some of this information through Open Context, and other parts of the Virginia Department of </w:t>
      </w:r>
      <w:r w:rsidR="004432C5">
        <w:rPr>
          <w:rFonts w:cs="Times New Roman"/>
        </w:rPr>
        <w:t xml:space="preserve">Historic </w:t>
      </w:r>
      <w:r>
        <w:rPr>
          <w:rFonts w:cs="Times New Roman"/>
        </w:rPr>
        <w:t>Resources website provide a broad range of contextual material, with a range of educational content.</w:t>
      </w:r>
      <w:r>
        <w:t xml:space="preserve"> </w:t>
      </w:r>
    </w:p>
    <w:p w14:paraId="1D4C2D57" w14:textId="1AE24CE0" w:rsidR="002C5990" w:rsidRDefault="002C5990" w:rsidP="002C5990">
      <w:pPr>
        <w:rPr>
          <w:rFonts w:cs="Times New Roman"/>
        </w:rPr>
      </w:pPr>
      <w:r>
        <w:rPr>
          <w:rFonts w:cs="Times New Roman"/>
        </w:rPr>
        <w:t xml:space="preserve">Archaeological data </w:t>
      </w:r>
      <w:r w:rsidR="001D06A1">
        <w:rPr>
          <w:rFonts w:cs="Times New Roman"/>
        </w:rPr>
        <w:t>were</w:t>
      </w:r>
      <w:r>
        <w:rPr>
          <w:rFonts w:cs="Times New Roman"/>
        </w:rPr>
        <w:t xml:space="preserve"> found on only a small number of </w:t>
      </w:r>
      <w:r w:rsidR="004432C5">
        <w:rPr>
          <w:rFonts w:cs="Times New Roman"/>
        </w:rPr>
        <w:t xml:space="preserve">university </w:t>
      </w:r>
      <w:r>
        <w:rPr>
          <w:rFonts w:cs="Times New Roman"/>
        </w:rPr>
        <w:t xml:space="preserve">and </w:t>
      </w:r>
      <w:r w:rsidR="004432C5">
        <w:rPr>
          <w:rFonts w:cs="Times New Roman"/>
        </w:rPr>
        <w:t xml:space="preserve">college </w:t>
      </w:r>
      <w:r>
        <w:rPr>
          <w:rFonts w:cs="Times New Roman"/>
        </w:rPr>
        <w:t>sites. The total figure of 8 can be compared to the 60 four</w:t>
      </w:r>
      <w:r w:rsidR="004432C5">
        <w:rPr>
          <w:rFonts w:cs="Times New Roman"/>
        </w:rPr>
        <w:t>-</w:t>
      </w:r>
      <w:r>
        <w:rPr>
          <w:rFonts w:cs="Times New Roman"/>
        </w:rPr>
        <w:t xml:space="preserve">year institutions listed on the State College of Higher </w:t>
      </w:r>
      <w:r>
        <w:rPr>
          <w:rFonts w:cs="Times New Roman"/>
        </w:rPr>
        <w:lastRenderedPageBreak/>
        <w:t>Education for Virginia website (</w:t>
      </w:r>
      <w:r w:rsidR="00B53814" w:rsidRPr="00B53814">
        <w:rPr>
          <w:rFonts w:cs="Times New Roman"/>
        </w:rPr>
        <w:t>http://www.schev.edu/students/collegelistalpha.asp</w:t>
      </w:r>
      <w:r>
        <w:rPr>
          <w:rFonts w:cs="Times New Roman"/>
        </w:rPr>
        <w:t>)</w:t>
      </w:r>
      <w:r w:rsidR="00B53814">
        <w:rPr>
          <w:rFonts w:cs="Times New Roman"/>
        </w:rPr>
        <w:t xml:space="preserve"> – though not all of these have archaeology/anthropology programs</w:t>
      </w:r>
      <w:r>
        <w:rPr>
          <w:rFonts w:cs="Times New Roman"/>
        </w:rPr>
        <w:t>.</w:t>
      </w:r>
    </w:p>
    <w:p w14:paraId="0E741D5A" w14:textId="77777777" w:rsidR="002C5990" w:rsidRDefault="002C5990" w:rsidP="002C5990">
      <w:pPr>
        <w:pStyle w:val="Heading2"/>
      </w:pPr>
      <w:bookmarkStart w:id="41" w:name="_Toc419135424"/>
      <w:r>
        <w:t>Aggregated websites</w:t>
      </w:r>
      <w:bookmarkEnd w:id="41"/>
    </w:p>
    <w:p w14:paraId="1796C8C2" w14:textId="77777777" w:rsidR="002C5990" w:rsidRDefault="002C5990" w:rsidP="002C5990">
      <w:r>
        <w:t>The sample for this study included three federated websites, providing discovery and access across multiple archaeological institutional sites. While the National Park Service web catalog included only limited data from a few parks, it does serve public outreach in showing that the National Parks have collections – when for most people they are places, not museum collections – and the content can be accessible in an open format. However the scholarly value is limited, particularly for other archaeologists, due to the lack of related contextual information. The other two websites,</w:t>
      </w:r>
      <w:r w:rsidR="00350B89">
        <w:t xml:space="preserve"> </w:t>
      </w:r>
      <w:r w:rsidR="00325533">
        <w:t>DAACS</w:t>
      </w:r>
      <w:r w:rsidR="004432C5">
        <w:t xml:space="preserve"> and </w:t>
      </w:r>
      <w:r w:rsidR="00325533" w:rsidRPr="00991556">
        <w:t>Comparative Archaeological Study of Colo</w:t>
      </w:r>
      <w:r w:rsidR="00325533">
        <w:t xml:space="preserve">nial Chesapeake Culture </w:t>
      </w:r>
      <w:r>
        <w:t xml:space="preserve">however, provide strong support for scholarship and open data. These websites provide thematic context for these data, and the ability to query across multiple </w:t>
      </w:r>
      <w:r>
        <w:rPr>
          <w:rFonts w:cs="Times New Roman"/>
        </w:rPr>
        <w:t xml:space="preserve">archaeological </w:t>
      </w:r>
      <w:r>
        <w:t>sites solving, at least in part, some complicated issues of interoperability. The majority of the interoperable data came from these two sites and their associated institutions.</w:t>
      </w:r>
    </w:p>
    <w:p w14:paraId="0EA083C3" w14:textId="77777777" w:rsidR="002C5990" w:rsidRDefault="002C5990" w:rsidP="002C5990">
      <w:pPr>
        <w:rPr>
          <w:rFonts w:cs="Times New Roman"/>
        </w:rPr>
      </w:pPr>
      <w:r>
        <w:rPr>
          <w:rFonts w:cs="Times New Roman"/>
        </w:rPr>
        <w:t>DAACS contains archaeological sites not just from Virginia but also from t</w:t>
      </w:r>
      <w:r w:rsidRPr="00C75D3E">
        <w:rPr>
          <w:rFonts w:cs="Times New Roman"/>
        </w:rPr>
        <w:t>he Caribbean, Maryland, South Carolina and Tennessee.</w:t>
      </w:r>
      <w:r>
        <w:rPr>
          <w:rFonts w:cs="Times New Roman"/>
        </w:rPr>
        <w:t xml:space="preserve"> The history of DAACS was discussed by Galle in an SHA blog (1012). She notes the website content was created </w:t>
      </w:r>
      <w:r w:rsidRPr="008B7D0C">
        <w:rPr>
          <w:rFonts w:cs="Times New Roman"/>
        </w:rPr>
        <w:t>by “</w:t>
      </w:r>
      <w:r w:rsidRPr="00350B89">
        <w:rPr>
          <w:rFonts w:cs="Helvetica"/>
          <w:shd w:val="clear" w:color="auto" w:fill="FFFFFF"/>
        </w:rPr>
        <w:t>physically reanalyzing the assemblages” (para 2)</w:t>
      </w:r>
      <w:r w:rsidRPr="00325533">
        <w:rPr>
          <w:rFonts w:cs="Times New Roman"/>
        </w:rPr>
        <w:t>,</w:t>
      </w:r>
      <w:r w:rsidRPr="008B7D0C">
        <w:rPr>
          <w:rFonts w:cs="Times New Roman"/>
        </w:rPr>
        <w:t xml:space="preserve"> according to protocols and data structures developed by DAACS</w:t>
      </w:r>
      <w:r w:rsidR="00325533">
        <w:rPr>
          <w:rFonts w:cs="Times New Roman"/>
        </w:rPr>
        <w:t xml:space="preserve"> staff </w:t>
      </w:r>
      <w:r w:rsidRPr="008B7D0C">
        <w:rPr>
          <w:rFonts w:cs="Times New Roman"/>
        </w:rPr>
        <w:t xml:space="preserve">and </w:t>
      </w:r>
      <w:r w:rsidR="00325533">
        <w:rPr>
          <w:rFonts w:cs="Times New Roman"/>
        </w:rPr>
        <w:t>the</w:t>
      </w:r>
      <w:r w:rsidR="00325533" w:rsidRPr="008B7D0C">
        <w:rPr>
          <w:rFonts w:cs="Times New Roman"/>
        </w:rPr>
        <w:t xml:space="preserve"> </w:t>
      </w:r>
      <w:r w:rsidRPr="008B7D0C">
        <w:rPr>
          <w:rFonts w:cs="Times New Roman"/>
        </w:rPr>
        <w:t xml:space="preserve">steering committee. </w:t>
      </w:r>
      <w:r w:rsidRPr="00C75D3E">
        <w:rPr>
          <w:rFonts w:cs="Times New Roman"/>
        </w:rPr>
        <w:t xml:space="preserve">Galle notes that “Many DAACS users go straight for the </w:t>
      </w:r>
      <w:r>
        <w:rPr>
          <w:rFonts w:cs="Times New Roman"/>
        </w:rPr>
        <w:t>a</w:t>
      </w:r>
      <w:r w:rsidRPr="00C75D3E">
        <w:rPr>
          <w:rFonts w:cs="Times New Roman"/>
        </w:rPr>
        <w:t>rchive’s meta-data”</w:t>
      </w:r>
      <w:r>
        <w:rPr>
          <w:rFonts w:cs="Times New Roman"/>
        </w:rPr>
        <w:t xml:space="preserve"> (para 4),</w:t>
      </w:r>
      <w:r w:rsidRPr="00C75D3E">
        <w:rPr>
          <w:rFonts w:cs="Times New Roman"/>
        </w:rPr>
        <w:t xml:space="preserve"> suggesting the </w:t>
      </w:r>
      <w:r>
        <w:t xml:space="preserve">website </w:t>
      </w:r>
      <w:r w:rsidRPr="00C75D3E">
        <w:rPr>
          <w:rFonts w:cs="Times New Roman"/>
        </w:rPr>
        <w:t>is being used as a de facto standard for cataloging. Galle also notes “the critical aspect of the DAACS program—providing the standardized data that are essential to any comparative archaeological study”</w:t>
      </w:r>
      <w:r>
        <w:rPr>
          <w:rFonts w:cs="Times New Roman"/>
        </w:rPr>
        <w:t xml:space="preserve"> (para 2)</w:t>
      </w:r>
      <w:r w:rsidRPr="00C75D3E">
        <w:rPr>
          <w:rFonts w:cs="Times New Roman"/>
        </w:rPr>
        <w:t xml:space="preserve"> </w:t>
      </w:r>
      <w:r>
        <w:t xml:space="preserve">DAACS is in many ways an exemplary model for archaeological data publishing. Its strict adherence to cataloging standards overcomes some of the problems of cross-site analysis. Its thematic context (comparative slavery) means the website is inherently contextual, and supported by a range of </w:t>
      </w:r>
      <w:r>
        <w:lastRenderedPageBreak/>
        <w:t>papers, manuscripts and an extensive bibliography. T</w:t>
      </w:r>
      <w:r>
        <w:rPr>
          <w:rFonts w:cs="Times New Roman"/>
        </w:rPr>
        <w:t xml:space="preserve">he regional and thematic nature of DAACS means that not all archaeological sites are suitable for inclusion and, because of the re-cataloging requirement, it may require more resources than </w:t>
      </w:r>
      <w:r w:rsidR="00325533">
        <w:rPr>
          <w:rFonts w:cs="Times New Roman"/>
        </w:rPr>
        <w:t xml:space="preserve">many </w:t>
      </w:r>
      <w:r>
        <w:rPr>
          <w:rFonts w:cs="Times New Roman"/>
        </w:rPr>
        <w:t xml:space="preserve">institutions are able to provide. </w:t>
      </w:r>
      <w:r w:rsidRPr="00C75D3E">
        <w:rPr>
          <w:rFonts w:cs="Times New Roman"/>
        </w:rPr>
        <w:t xml:space="preserve">DAACS also </w:t>
      </w:r>
      <w:r w:rsidR="00325533" w:rsidRPr="00C75D3E">
        <w:rPr>
          <w:rFonts w:cs="Times New Roman"/>
        </w:rPr>
        <w:t>include</w:t>
      </w:r>
      <w:r w:rsidR="00325533">
        <w:rPr>
          <w:rFonts w:cs="Times New Roman"/>
        </w:rPr>
        <w:t>s</w:t>
      </w:r>
      <w:r w:rsidR="00325533" w:rsidRPr="00C75D3E">
        <w:rPr>
          <w:rFonts w:cs="Times New Roman"/>
        </w:rPr>
        <w:t xml:space="preserve"> </w:t>
      </w:r>
      <w:r w:rsidRPr="00C75D3E">
        <w:rPr>
          <w:rFonts w:cs="Times New Roman"/>
        </w:rPr>
        <w:t xml:space="preserve">information on </w:t>
      </w:r>
      <w:r>
        <w:rPr>
          <w:rFonts w:cs="Times New Roman"/>
        </w:rPr>
        <w:t xml:space="preserve">archaeological </w:t>
      </w:r>
      <w:r w:rsidRPr="00C75D3E">
        <w:rPr>
          <w:rFonts w:cs="Times New Roman"/>
        </w:rPr>
        <w:t>sites associated with other institutions</w:t>
      </w:r>
      <w:r>
        <w:rPr>
          <w:rFonts w:cs="Times New Roman"/>
        </w:rPr>
        <w:t xml:space="preserve"> in this study</w:t>
      </w:r>
      <w:r w:rsidRPr="00C75D3E">
        <w:rPr>
          <w:rFonts w:cs="Times New Roman"/>
        </w:rPr>
        <w:t>.</w:t>
      </w:r>
      <w:r>
        <w:rPr>
          <w:rFonts w:cs="Times New Roman"/>
        </w:rPr>
        <w:t xml:space="preserve"> Some of t</w:t>
      </w:r>
      <w:r w:rsidRPr="00C75D3E">
        <w:rPr>
          <w:rFonts w:cs="Times New Roman"/>
        </w:rPr>
        <w:t xml:space="preserve">hese institutional </w:t>
      </w:r>
      <w:r>
        <w:rPr>
          <w:rFonts w:cs="Times New Roman"/>
        </w:rPr>
        <w:t xml:space="preserve">websites </w:t>
      </w:r>
      <w:r w:rsidRPr="00C75D3E">
        <w:rPr>
          <w:rFonts w:cs="Times New Roman"/>
        </w:rPr>
        <w:t xml:space="preserve">were not included in the data section of this </w:t>
      </w:r>
      <w:r>
        <w:rPr>
          <w:rFonts w:cs="Times New Roman"/>
        </w:rPr>
        <w:t>analysis,</w:t>
      </w:r>
      <w:r w:rsidRPr="00C75D3E">
        <w:rPr>
          <w:rFonts w:cs="Times New Roman"/>
        </w:rPr>
        <w:t xml:space="preserve"> because the </w:t>
      </w:r>
      <w:r>
        <w:rPr>
          <w:rFonts w:cs="Times New Roman"/>
        </w:rPr>
        <w:t xml:space="preserve">website did </w:t>
      </w:r>
      <w:r w:rsidRPr="00C75D3E">
        <w:rPr>
          <w:rFonts w:cs="Times New Roman"/>
        </w:rPr>
        <w:t xml:space="preserve">not </w:t>
      </w:r>
      <w:r>
        <w:rPr>
          <w:rFonts w:cs="Times New Roman"/>
        </w:rPr>
        <w:t xml:space="preserve">include a link to </w:t>
      </w:r>
      <w:r w:rsidRPr="00C75D3E">
        <w:rPr>
          <w:rFonts w:cs="Times New Roman"/>
        </w:rPr>
        <w:t>DAACS (James River Institute and the Fairfield Foundation).</w:t>
      </w:r>
      <w:r>
        <w:rPr>
          <w:rFonts w:cs="Times New Roman"/>
        </w:rPr>
        <w:t xml:space="preserve"> Adding links from the host institution websites would make these resources more findable, and it is unknown why these links were not provided. </w:t>
      </w:r>
    </w:p>
    <w:p w14:paraId="3EEB75AE" w14:textId="5CBB273E" w:rsidR="002C5990" w:rsidRDefault="002C5990" w:rsidP="002C5990">
      <w:pPr>
        <w:rPr>
          <w:rFonts w:ascii="Verdana" w:hAnsi="Verdana"/>
          <w:color w:val="111111"/>
          <w:sz w:val="18"/>
          <w:szCs w:val="18"/>
          <w:shd w:val="clear" w:color="auto" w:fill="FFFFFF"/>
        </w:rPr>
      </w:pPr>
      <w:r w:rsidRPr="00991556">
        <w:t>The Comparative Archaeological Study of Colonial Chesapeake Culture achieves similar goals with a regional and temporal focus. The comparative artifact catalogs are not as extensive as DAACS, and have been created without re-cataloging (Alston</w:t>
      </w:r>
      <w:r>
        <w:t>,</w:t>
      </w:r>
      <w:r w:rsidRPr="00991556">
        <w:t xml:space="preserve"> 2005). The project’s </w:t>
      </w:r>
      <w:r>
        <w:rPr>
          <w:rFonts w:cs="Times New Roman"/>
        </w:rPr>
        <w:t xml:space="preserve">archaeological </w:t>
      </w:r>
      <w:r w:rsidRPr="00991556">
        <w:t>sites involve some digitization from paper records and “</w:t>
      </w:r>
      <w:r w:rsidRPr="00991556">
        <w:rPr>
          <w:color w:val="111111"/>
          <w:shd w:val="clear" w:color="auto" w:fill="FFFFFF"/>
        </w:rPr>
        <w:t>compiling the context and artifact information from each site into a structured database with authorized fields and terms” (section: Databases and Using digital Technologies). This involved an “extensive modification of some of the original cataloguing field</w:t>
      </w:r>
      <w:r w:rsidR="00325533">
        <w:rPr>
          <w:color w:val="111111"/>
          <w:shd w:val="clear" w:color="auto" w:fill="FFFFFF"/>
        </w:rPr>
        <w:t>s</w:t>
      </w:r>
      <w:r w:rsidRPr="00991556">
        <w:rPr>
          <w:color w:val="111111"/>
          <w:shd w:val="clear" w:color="auto" w:fill="FFFFFF"/>
        </w:rPr>
        <w:t>” (</w:t>
      </w:r>
      <w:r>
        <w:rPr>
          <w:rFonts w:eastAsia="Times New Roman" w:cs="Times New Roman"/>
        </w:rPr>
        <w:t>Comparative Archaeological Study of Colonial Chesapeake Culture, 2009</w:t>
      </w:r>
      <w:r w:rsidRPr="00991556">
        <w:rPr>
          <w:color w:val="111111"/>
          <w:shd w:val="clear" w:color="auto" w:fill="FFFFFF"/>
        </w:rPr>
        <w:t xml:space="preserve">, section: Database glossary). </w:t>
      </w:r>
      <w:r>
        <w:rPr>
          <w:rFonts w:cs="Times New Roman"/>
        </w:rPr>
        <w:t>Data can be downloaded, and along with V-CRIS</w:t>
      </w:r>
      <w:r w:rsidR="00325533">
        <w:rPr>
          <w:rFonts w:cs="Times New Roman"/>
        </w:rPr>
        <w:t>,</w:t>
      </w:r>
      <w:r>
        <w:rPr>
          <w:rFonts w:cs="Times New Roman"/>
        </w:rPr>
        <w:t xml:space="preserve"> it was one of two websites allowing sharing of spatial data in an open format. </w:t>
      </w:r>
      <w:r w:rsidRPr="00991556">
        <w:rPr>
          <w:color w:val="111111"/>
          <w:shd w:val="clear" w:color="auto" w:fill="FFFFFF"/>
        </w:rPr>
        <w:t>The website provides a broad range of re-usable, open data, though it is more limited in public outreach characteristics</w:t>
      </w:r>
      <w:r>
        <w:rPr>
          <w:rFonts w:ascii="Verdana" w:hAnsi="Verdana"/>
          <w:color w:val="111111"/>
          <w:sz w:val="18"/>
          <w:szCs w:val="18"/>
          <w:shd w:val="clear" w:color="auto" w:fill="FFFFFF"/>
        </w:rPr>
        <w:t>.</w:t>
      </w:r>
    </w:p>
    <w:p w14:paraId="6A0E63A2" w14:textId="77777777" w:rsidR="002C5990" w:rsidRDefault="002C5990" w:rsidP="002C5990">
      <w:r>
        <w:t xml:space="preserve">Colonial Williamsburg has an interactive eWilliamsburg component that allows </w:t>
      </w:r>
      <w:r w:rsidR="00325533">
        <w:t>visitors to examine</w:t>
      </w:r>
      <w:r>
        <w:t xml:space="preserve"> buildings through a map interface, walk through the streets and buildings</w:t>
      </w:r>
      <w:r w:rsidR="00325533">
        <w:t>,</w:t>
      </w:r>
      <w:r>
        <w:t xml:space="preserve"> and see the documents that support the research for these buildings. While the virtual data </w:t>
      </w:r>
      <w:r w:rsidR="005C07DE">
        <w:t xml:space="preserve">are not </w:t>
      </w:r>
      <w:r>
        <w:t>easily accessible</w:t>
      </w:r>
      <w:r w:rsidR="00325533">
        <w:t>,</w:t>
      </w:r>
      <w:r>
        <w:t xml:space="preserve"> </w:t>
      </w:r>
      <w:r w:rsidR="00325533">
        <w:t xml:space="preserve">the site </w:t>
      </w:r>
      <w:r>
        <w:t xml:space="preserve">shows the potential for providing data on 3-D models of buildings. Colonial Williamsburg also has another area of the website dedicated to archaeology, with 25 </w:t>
      </w:r>
      <w:r>
        <w:rPr>
          <w:rFonts w:cs="Times New Roman"/>
        </w:rPr>
        <w:t xml:space="preserve">archaeological </w:t>
      </w:r>
      <w:r>
        <w:t>site reports, available as a mix of PDFs and web pages.</w:t>
      </w:r>
    </w:p>
    <w:p w14:paraId="45112C5F" w14:textId="77777777" w:rsidR="002C5990" w:rsidRDefault="002C5990" w:rsidP="002C5990">
      <w:pPr>
        <w:rPr>
          <w:rFonts w:ascii="Verdana" w:hAnsi="Verdana"/>
          <w:color w:val="111111"/>
          <w:sz w:val="18"/>
          <w:szCs w:val="18"/>
          <w:shd w:val="clear" w:color="auto" w:fill="FFFFFF"/>
        </w:rPr>
      </w:pPr>
      <w:r>
        <w:rPr>
          <w:rFonts w:cs="Times New Roman"/>
        </w:rPr>
        <w:lastRenderedPageBreak/>
        <w:t>When looking at individual archaeological sites</w:t>
      </w:r>
      <w:r w:rsidR="00325533">
        <w:rPr>
          <w:rFonts w:cs="Times New Roman"/>
        </w:rPr>
        <w:t>,</w:t>
      </w:r>
      <w:r>
        <w:rPr>
          <w:rFonts w:cs="Times New Roman"/>
        </w:rPr>
        <w:t xml:space="preserve"> the </w:t>
      </w:r>
      <w:r>
        <w:t xml:space="preserve">Mount Vernon Midden and </w:t>
      </w:r>
      <w:r>
        <w:rPr>
          <w:rFonts w:cs="Times New Roman"/>
        </w:rPr>
        <w:t xml:space="preserve">University of Tennessee </w:t>
      </w:r>
      <w:r>
        <w:t xml:space="preserve">website provide strong support for all aspects of this study. </w:t>
      </w:r>
      <w:r w:rsidR="00325533">
        <w:t xml:space="preserve">The Mount Vernon </w:t>
      </w:r>
      <w:r>
        <w:t>website include</w:t>
      </w:r>
      <w:r w:rsidR="00325533">
        <w:t>s</w:t>
      </w:r>
      <w:r>
        <w:t xml:space="preserve"> collections data linked through the DAACS website, and also contains a database of searchable objects. Information is available on </w:t>
      </w:r>
      <w:r>
        <w:rPr>
          <w:rFonts w:cs="Times New Roman"/>
        </w:rPr>
        <w:t xml:space="preserve">archaeological </w:t>
      </w:r>
      <w:r>
        <w:t xml:space="preserve">site and excavation units, thematic and temporal information to place objects in a broader context, </w:t>
      </w:r>
      <w:r w:rsidR="00325533">
        <w:t>and</w:t>
      </w:r>
      <w:r>
        <w:t xml:space="preserve"> references to books, articles, conference papers and reports. </w:t>
      </w:r>
    </w:p>
    <w:p w14:paraId="3EE00F47" w14:textId="77777777" w:rsidR="002C5990" w:rsidRDefault="002C5990" w:rsidP="002C5990">
      <w:pPr>
        <w:pStyle w:val="Heading2"/>
      </w:pPr>
      <w:bookmarkStart w:id="42" w:name="_Toc419135425"/>
      <w:r w:rsidRPr="00F73031">
        <w:t>Conclusion</w:t>
      </w:r>
      <w:r>
        <w:t>s</w:t>
      </w:r>
      <w:bookmarkEnd w:id="42"/>
    </w:p>
    <w:p w14:paraId="34B6FDAC" w14:textId="77777777" w:rsidR="002C5990" w:rsidRDefault="002C5990" w:rsidP="002C5990">
      <w:r>
        <w:t>Archaeologists are creating ever increasing amounts of digital content in a variety of formats. While this study has touched lightly on aspects of preservation, the lack of disseminated data suggests that only a portion of these data will survive into the future, and that a digital curation crisis has been added to the physical curation crisis. A principle of preservation technique is LOCKSS – lots of copies keep stuff safe – and increasing diss</w:t>
      </w:r>
      <w:r w:rsidR="001D06A1">
        <w:t>emination would allow for data</w:t>
      </w:r>
      <w:r>
        <w:t xml:space="preserve">sets to be minimally, informally archived and kept in multiple locations. It should also be said that archaeology is rare in that there can be a conflict between access and preservation. One of the reasons for the lack of </w:t>
      </w:r>
      <w:r>
        <w:rPr>
          <w:rFonts w:cs="Times New Roman"/>
        </w:rPr>
        <w:t>archaeological</w:t>
      </w:r>
      <w:r>
        <w:t xml:space="preserve"> site information on National Park websites is the very real fear of looting. This is also one of the considerations in restricting access to the state V-CRIS system. Providing information on </w:t>
      </w:r>
      <w:r>
        <w:rPr>
          <w:rFonts w:cs="Times New Roman"/>
        </w:rPr>
        <w:t xml:space="preserve">archaeological </w:t>
      </w:r>
      <w:r>
        <w:t>sites can endanger them, though there are ways to redact certain pieces of sensitive information.</w:t>
      </w:r>
    </w:p>
    <w:p w14:paraId="6B2E7205" w14:textId="77777777" w:rsidR="002C5990" w:rsidRDefault="002C5990" w:rsidP="002C5990">
      <w:r>
        <w:t>Why aren’t more data made available? The answer perhaps lies in a number of factors worthy of further study.</w:t>
      </w:r>
      <w:r w:rsidRPr="007F383F">
        <w:t xml:space="preserve"> </w:t>
      </w:r>
      <w:r>
        <w:t xml:space="preserve"> Th</w:t>
      </w:r>
      <w:r w:rsidR="00325533">
        <w:t>ey</w:t>
      </w:r>
      <w:r w:rsidR="00CA1079">
        <w:t xml:space="preserve"> </w:t>
      </w:r>
      <w:r>
        <w:t>include the documented lack of standards in data description that makes it hard to combine data from different excavations</w:t>
      </w:r>
      <w:r w:rsidR="00325533">
        <w:t>;</w:t>
      </w:r>
      <w:r w:rsidR="00CA1079">
        <w:t xml:space="preserve"> </w:t>
      </w:r>
      <w:r>
        <w:t>archaeologist</w:t>
      </w:r>
      <w:r w:rsidR="00325533">
        <w:t>s</w:t>
      </w:r>
      <w:r>
        <w:t>’ attitudes to data release</w:t>
      </w:r>
      <w:r w:rsidR="00325533">
        <w:t>―</w:t>
      </w:r>
      <w:r>
        <w:t xml:space="preserve"> though it is likely that archaeologists are only part of the decision about how to share digital data on institutional websites</w:t>
      </w:r>
      <w:r w:rsidR="00325533">
        <w:t>―;</w:t>
      </w:r>
      <w:r>
        <w:t xml:space="preserve"> </w:t>
      </w:r>
      <w:r w:rsidR="007B2D0C">
        <w:t xml:space="preserve">and </w:t>
      </w:r>
      <w:r>
        <w:t>funding issues that can focus on excavation rather than curation</w:t>
      </w:r>
      <w:r w:rsidR="007B2D0C">
        <w:t>.</w:t>
      </w:r>
      <w:r w:rsidR="00CA1079">
        <w:t xml:space="preserve"> </w:t>
      </w:r>
      <w:r w:rsidR="007B2D0C">
        <w:t>N</w:t>
      </w:r>
      <w:r>
        <w:t>ew requirements for data management plans may require greater attention to data curation and access</w:t>
      </w:r>
      <w:r w:rsidR="007B2D0C">
        <w:t xml:space="preserve"> in the future, he</w:t>
      </w:r>
      <w:r w:rsidR="00CA1079">
        <w:t xml:space="preserve">lping </w:t>
      </w:r>
      <w:r w:rsidR="007B2D0C">
        <w:t>to solve the latter problem.</w:t>
      </w:r>
      <w:r>
        <w:t xml:space="preserve"> Certainly, if funds are available, the presence of tDAR and Open Context </w:t>
      </w:r>
      <w:r>
        <w:lastRenderedPageBreak/>
        <w:t>provide new options for data preservation</w:t>
      </w:r>
      <w:r w:rsidR="007B2D0C">
        <w:t>.</w:t>
      </w:r>
      <w:r>
        <w:t xml:space="preserve"> Finally there is a lack of lightweight models for data publication, particularly for interoperable data. However, while there are technical issues in developing further metadata standards and in implementing trusted repositories, at a basic level putting up PDFs or spreadsheet data are immediately achievable goals. However</w:t>
      </w:r>
      <w:r w:rsidR="007B2D0C">
        <w:t>,</w:t>
      </w:r>
      <w:r>
        <w:t xml:space="preserve"> if only part of the archaeological data</w:t>
      </w:r>
      <w:r w:rsidR="007B2D0C">
        <w:t xml:space="preserve"> is</w:t>
      </w:r>
      <w:r w:rsidR="005C07DE">
        <w:t xml:space="preserve"> </w:t>
      </w:r>
      <w:r>
        <w:t xml:space="preserve">published -- artifact data without accompanying field notes, methods, image and site data -- then important </w:t>
      </w:r>
      <w:r w:rsidR="007B2D0C">
        <w:t xml:space="preserve">components </w:t>
      </w:r>
      <w:r>
        <w:t>of the contextual record has been lost.</w:t>
      </w:r>
    </w:p>
    <w:p w14:paraId="6FD90F0B" w14:textId="77777777" w:rsidR="002C5990" w:rsidRDefault="007B2D0C" w:rsidP="002C5990">
      <w:r>
        <w:t xml:space="preserve">Which </w:t>
      </w:r>
      <w:r w:rsidR="002C5990">
        <w:t xml:space="preserve">data should be made available, or prioritized for preservation and access, considering the data backlog? This study suggests the current situation falls far short of full access, but deciding </w:t>
      </w:r>
      <w:r>
        <w:t>on</w:t>
      </w:r>
      <w:r w:rsidR="002C5990">
        <w:t xml:space="preserve"> the collection criteria - or priorities – for future data dissemination should be a conscious decision based on vetted and established selection and appraisal criteria. Clearly there is much more that could be done.</w:t>
      </w:r>
    </w:p>
    <w:p w14:paraId="7523021E" w14:textId="77777777" w:rsidR="002C5990" w:rsidRDefault="002C5990" w:rsidP="002C5990">
      <w:r>
        <w:t>While basic access is relatively simple</w:t>
      </w:r>
      <w:r w:rsidR="007B2D0C">
        <w:t>,</w:t>
      </w:r>
      <w:r>
        <w:t xml:space="preserve"> access will become more complicated with the increasing introduction of new data formats: GIS and spatial data; 3</w:t>
      </w:r>
      <w:r w:rsidR="004C2B0D">
        <w:t>-</w:t>
      </w:r>
      <w:r>
        <w:t>D models; and virtual environments. The Virtual Curation Lab at Virginia Commonwealth is working on 3</w:t>
      </w:r>
      <w:r w:rsidR="004C2B0D">
        <w:t>-</w:t>
      </w:r>
      <w:r>
        <w:t xml:space="preserve">D scans of artifacts and currently no data </w:t>
      </w:r>
      <w:r w:rsidR="005C07DE">
        <w:t xml:space="preserve">are </w:t>
      </w:r>
      <w:r>
        <w:t>provided, though there is a reference to downloadable scans being made available in the future</w:t>
      </w:r>
      <w:r w:rsidR="007B2D0C">
        <w:t>,</w:t>
      </w:r>
      <w:r>
        <w:t xml:space="preserve"> hinting at the possibility of new, shared archaeological data types.</w:t>
      </w:r>
    </w:p>
    <w:p w14:paraId="5B15331B" w14:textId="77777777" w:rsidR="002C5990" w:rsidRDefault="002C5990" w:rsidP="002C5990">
      <w:r>
        <w:t>There was no support for Linked Open Data in the study, which leaves archaeological data unconnected to other datasets. Beyond immediate data interoperability is the availability of “machine-readable representations of data or [even] structures that facilitate linking and indexing by search engines” (Kansa &amp; Kansa 2011, p. 2). Spectrum, the standard for museum collections in the United Kingdom, has recently announced support for the CIDOC-CRM standard, which is an emerging model of presenting cultural data with “rich and contextual semantics necessary for meaningful data integration, cross collection exploration, research and collaboration” (CIDOC, 2015). The technologies, software and philosophies of sharing data are evolving, while the backlog of unshared data grows.</w:t>
      </w:r>
    </w:p>
    <w:p w14:paraId="57567689" w14:textId="77777777" w:rsidR="002C5990" w:rsidRDefault="002C5990" w:rsidP="002C5990">
      <w:r>
        <w:lastRenderedPageBreak/>
        <w:t xml:space="preserve">Archaeologists are concerned with separating themselves from the practice of pot-hunting. One of the </w:t>
      </w:r>
      <w:r w:rsidR="007B2D0C">
        <w:t xml:space="preserve">more easily understood </w:t>
      </w:r>
      <w:r>
        <w:t xml:space="preserve">differences between archaeologists, and “pot-hunters” who dig </w:t>
      </w:r>
      <w:r>
        <w:rPr>
          <w:rFonts w:cs="Times New Roman"/>
        </w:rPr>
        <w:t>archaeological</w:t>
      </w:r>
      <w:r>
        <w:t xml:space="preserve"> sites to collect artifacts, is data. Archaeologists undertake scientific excavations, and making data transparent could be considered part of archaeological advocacy. Making explicit the data upon which reports and summations are written supports the notion of archaeology as a scientific process, as well as serving the needs of other professionals </w:t>
      </w:r>
      <w:r w:rsidR="007B2D0C">
        <w:t xml:space="preserve">who </w:t>
      </w:r>
      <w:r>
        <w:t xml:space="preserve">can verify and build upon </w:t>
      </w:r>
      <w:r w:rsidR="007B2D0C">
        <w:t xml:space="preserve">those </w:t>
      </w:r>
      <w:r>
        <w:t xml:space="preserve">data. There are issues of data literacy, standards, and supporting metadata in using and making sense of data for multiple publics, but just making </w:t>
      </w:r>
      <w:r w:rsidR="007B2D0C">
        <w:t xml:space="preserve">them </w:t>
      </w:r>
      <w:r>
        <w:t>accessible shows the basis of archaeological conclusions, allowing for a more reflexive process. The data should be present on the website even if most visitors don’t look at the data tables.</w:t>
      </w:r>
    </w:p>
    <w:p w14:paraId="2B0E5CE8" w14:textId="77777777" w:rsidR="002C5990" w:rsidRDefault="002C5990" w:rsidP="002C5990">
      <w:r>
        <w:t>The extent to which various publics can benefit from data is yet to be seen, but much of these data are derived from public funds in a political climate calling for public access. Further studies would be needed to understand the effectiveness of this dissemination to scholarship, education, and in building support for archaeological projects and cultural resource preservation. Are archaeologists changing views about culture, history and preservation through public engagement? What is the role of data in these conversation</w:t>
      </w:r>
      <w:r w:rsidR="007B2D0C">
        <w:t>s</w:t>
      </w:r>
      <w:r>
        <w:t xml:space="preserve">? Archaeologists’ control of information raises ethical questions and considerations of authority, trust, provenance, and the role of gatekeepers. While this study is discipline specific, the questions raised concern the digital literacy needed to take advantage of data, regardless of discipline. What information needs to be provided with datasets to make them useful? If, as Nellie Kroes states, “Data is the new gold” (European Commission, 2011) then we might more broadly ask how well data </w:t>
      </w:r>
      <w:r w:rsidR="005C07DE">
        <w:t>are</w:t>
      </w:r>
      <w:r>
        <w:t xml:space="preserve"> able to provide value? Who is in a position to mine this gold? Making sense of data, creating value from data – by government, businesses, other publics and archaeologists – will require a degree of digital literacy; meaningful access requires a number of factors discussed earlier. Is open data democratic, in sharing the results with all, or ironically, is it elitist, providing more information to those </w:t>
      </w:r>
      <w:r>
        <w:lastRenderedPageBreak/>
        <w:t>with the tools to take advantage of it? It will require those serving up the data to think about the audiences they are trying to reach, and how best to present these data. This analysis of a particular type of data –archaeological – is a small step in trying to explore some of those considerations.</w:t>
      </w:r>
    </w:p>
    <w:p w14:paraId="610F02C7" w14:textId="6E5F51C9" w:rsidR="002C5990" w:rsidRDefault="002C5990" w:rsidP="002C5990">
      <w:r>
        <w:t xml:space="preserve">There are good examples of data sharing identified in this study. The Digital Archaeological Archive of Comparative Slavery and the Comparative Archaeological Study of Colonial Chesapeake Culture met most of the characteristics for scholarly access, open data and public outreach. These are exemplary examples of federated collections that allow for regional and thematic analysis. These websites are providing resources on archaeology sites that were excavated forty years ago, showing the potential long-term value of these datasets. Alexandria </w:t>
      </w:r>
      <w:r w:rsidR="007B2D0C">
        <w:t xml:space="preserve">Archaeology </w:t>
      </w:r>
      <w:r w:rsidR="0081511C">
        <w:t xml:space="preserve">Museum </w:t>
      </w:r>
      <w:r>
        <w:t xml:space="preserve">and Colonial Williamsburg provide information on multiple </w:t>
      </w:r>
      <w:r>
        <w:rPr>
          <w:rFonts w:cs="Times New Roman"/>
        </w:rPr>
        <w:t xml:space="preserve">archaeological </w:t>
      </w:r>
      <w:r>
        <w:t xml:space="preserve">sites, much of it accessible for multiple audiences, and Colonial Williamsburg’s work on virtual environments suggests how archaeological reports and data can be woven into the interpretive presentation fabric. On a single </w:t>
      </w:r>
      <w:r>
        <w:rPr>
          <w:rFonts w:cs="Times New Roman"/>
        </w:rPr>
        <w:t xml:space="preserve">archaeological </w:t>
      </w:r>
      <w:r>
        <w:t>site level, the Mount Vernon Midden website is an explicit attempt to serve the non-archaeology publics at a sophisticated level, showing the archaeological data in a rich, thematic contextual setting.</w:t>
      </w:r>
    </w:p>
    <w:p w14:paraId="17EA659C" w14:textId="77777777" w:rsidR="002C5990" w:rsidRDefault="002C5990" w:rsidP="002C5990">
      <w:r>
        <w:t xml:space="preserve">This quantitative content analysis of websites provides, at a moment in time, a benchmark to available data from archaeological projects in Virginia and an insight into what data </w:t>
      </w:r>
      <w:r w:rsidR="005C07DE">
        <w:t>are</w:t>
      </w:r>
      <w:r>
        <w:t xml:space="preserve"> unavailable. The instrument used could be re-used in analyzing websites from another state to get a broader picture of archaeology in North America. Hopefully the study may help in defining some of the website characteristics demanded of openness, scholarship and public outreach that will help archaeologists decide which types of data dissemination may be the most suitable for their needs.</w:t>
      </w:r>
    </w:p>
    <w:p w14:paraId="1648D8EE" w14:textId="77777777" w:rsidR="00EA0C93" w:rsidRDefault="00EA0C93" w:rsidP="007F383F">
      <w:r>
        <w:br w:type="page"/>
      </w:r>
    </w:p>
    <w:p w14:paraId="03B6F257" w14:textId="77777777" w:rsidR="002E461F" w:rsidRPr="00242AAB" w:rsidRDefault="002E461F" w:rsidP="002E461F">
      <w:pPr>
        <w:pStyle w:val="Heading1"/>
        <w:ind w:firstLine="0"/>
      </w:pPr>
      <w:bookmarkStart w:id="43" w:name="_Toc419135426"/>
      <w:r w:rsidRPr="00242AAB">
        <w:lastRenderedPageBreak/>
        <w:t>References</w:t>
      </w:r>
      <w:bookmarkEnd w:id="43"/>
    </w:p>
    <w:p w14:paraId="4B7D8E58" w14:textId="77777777" w:rsidR="00F71E85" w:rsidRDefault="00F71E85">
      <w:pPr>
        <w:spacing w:after="160" w:line="259" w:lineRule="auto"/>
        <w:ind w:firstLine="0"/>
        <w:rPr>
          <w:rFonts w:eastAsia="Times New Roman" w:cs="Times New Roman"/>
        </w:rPr>
      </w:pPr>
      <w:r>
        <w:rPr>
          <w:rFonts w:eastAsia="Times New Roman" w:cs="Times New Roman"/>
        </w:rPr>
        <w:br w:type="page"/>
      </w:r>
    </w:p>
    <w:p w14:paraId="1C7B98D9" w14:textId="6ECD0D21" w:rsidR="002D3517" w:rsidRPr="00B93AB3" w:rsidRDefault="006C400E" w:rsidP="002D3517">
      <w:pPr>
        <w:spacing w:before="100" w:beforeAutospacing="1" w:after="100" w:afterAutospacing="1" w:line="240" w:lineRule="auto"/>
        <w:ind w:left="475" w:hanging="475"/>
        <w:rPr>
          <w:rFonts w:eastAsia="Times New Roman" w:cs="Times New Roman"/>
        </w:rPr>
      </w:pPr>
      <w:r>
        <w:rPr>
          <w:rFonts w:eastAsia="Times New Roman" w:cs="Times New Roman"/>
        </w:rPr>
        <w:lastRenderedPageBreak/>
        <w:t>ACCORD. (2014). About a</w:t>
      </w:r>
      <w:r w:rsidR="002D3517" w:rsidRPr="00B93AB3">
        <w:rPr>
          <w:rFonts w:eastAsia="Times New Roman" w:cs="Times New Roman"/>
        </w:rPr>
        <w:t>ccord. Retrieved from http://accordproject.wordpress.com/about/</w:t>
      </w:r>
    </w:p>
    <w:p w14:paraId="4CA37ADF" w14:textId="77777777" w:rsidR="002D3517" w:rsidRPr="00975B92" w:rsidRDefault="002D3517" w:rsidP="002D3517">
      <w:pPr>
        <w:pStyle w:val="NormalWeb"/>
        <w:ind w:left="475" w:hanging="475"/>
        <w:rPr>
          <w:rFonts w:asciiTheme="minorHAnsi" w:hAnsiTheme="minorHAnsi"/>
          <w:sz w:val="22"/>
          <w:szCs w:val="22"/>
        </w:rPr>
      </w:pPr>
      <w:r w:rsidRPr="00B93AB3">
        <w:rPr>
          <w:rFonts w:asciiTheme="minorHAnsi" w:hAnsiTheme="minorHAnsi"/>
          <w:sz w:val="22"/>
          <w:szCs w:val="22"/>
        </w:rPr>
        <w:t xml:space="preserve">Advisory Council on </w:t>
      </w:r>
      <w:r w:rsidRPr="00975B92">
        <w:rPr>
          <w:rFonts w:asciiTheme="minorHAnsi" w:hAnsiTheme="minorHAnsi"/>
          <w:sz w:val="22"/>
          <w:szCs w:val="22"/>
        </w:rPr>
        <w:t>Historic Preservation</w:t>
      </w:r>
      <w:r w:rsidR="00072FCB">
        <w:rPr>
          <w:rFonts w:asciiTheme="minorHAnsi" w:hAnsiTheme="minorHAnsi"/>
          <w:sz w:val="22"/>
          <w:szCs w:val="22"/>
        </w:rPr>
        <w:t>.</w:t>
      </w:r>
      <w:r w:rsidRPr="00975B92">
        <w:rPr>
          <w:rFonts w:asciiTheme="minorHAnsi" w:hAnsiTheme="minorHAnsi"/>
          <w:sz w:val="22"/>
          <w:szCs w:val="22"/>
        </w:rPr>
        <w:t xml:space="preserve"> (2009). Section 106 </w:t>
      </w:r>
      <w:r w:rsidR="00072FCB">
        <w:rPr>
          <w:rFonts w:asciiTheme="minorHAnsi" w:hAnsiTheme="minorHAnsi"/>
          <w:sz w:val="22"/>
          <w:szCs w:val="22"/>
        </w:rPr>
        <w:t>a</w:t>
      </w:r>
      <w:r w:rsidRPr="00975B92">
        <w:rPr>
          <w:rFonts w:asciiTheme="minorHAnsi" w:hAnsiTheme="minorHAnsi"/>
          <w:sz w:val="22"/>
          <w:szCs w:val="22"/>
        </w:rPr>
        <w:t xml:space="preserve">rchaeology </w:t>
      </w:r>
      <w:r w:rsidR="006C400E">
        <w:rPr>
          <w:rFonts w:asciiTheme="minorHAnsi" w:hAnsiTheme="minorHAnsi"/>
          <w:sz w:val="22"/>
          <w:szCs w:val="22"/>
        </w:rPr>
        <w:t>g</w:t>
      </w:r>
      <w:r w:rsidRPr="00975B92">
        <w:rPr>
          <w:rFonts w:asciiTheme="minorHAnsi" w:hAnsiTheme="minorHAnsi"/>
          <w:sz w:val="22"/>
          <w:szCs w:val="22"/>
        </w:rPr>
        <w:t xml:space="preserve">uidance. </w:t>
      </w:r>
      <w:r w:rsidR="00EB633C" w:rsidRPr="00EB633C">
        <w:rPr>
          <w:rFonts w:asciiTheme="minorHAnsi" w:hAnsiTheme="minorHAnsi"/>
          <w:sz w:val="22"/>
          <w:szCs w:val="22"/>
        </w:rPr>
        <w:t>Retrieved from</w:t>
      </w:r>
      <w:r w:rsidRPr="00975B92">
        <w:rPr>
          <w:rFonts w:asciiTheme="minorHAnsi" w:hAnsiTheme="minorHAnsi"/>
          <w:sz w:val="22"/>
          <w:szCs w:val="22"/>
        </w:rPr>
        <w:t>:</w:t>
      </w:r>
      <w:r w:rsidR="00EB633C">
        <w:rPr>
          <w:rFonts w:asciiTheme="minorHAnsi" w:hAnsiTheme="minorHAnsi"/>
          <w:sz w:val="22"/>
          <w:szCs w:val="22"/>
        </w:rPr>
        <w:t xml:space="preserve"> </w:t>
      </w:r>
      <w:r w:rsidRPr="00975B92">
        <w:rPr>
          <w:rFonts w:asciiTheme="minorHAnsi" w:hAnsiTheme="minorHAnsi"/>
          <w:sz w:val="22"/>
          <w:szCs w:val="22"/>
        </w:rPr>
        <w:t>http:// http://www.achp.gov/docs/ACHP%20ARCHAEOLOGY%20GUIDANCE.pdf</w:t>
      </w:r>
    </w:p>
    <w:p w14:paraId="36ADA623" w14:textId="77777777" w:rsidR="002D3517" w:rsidRPr="00532841" w:rsidRDefault="002D3517" w:rsidP="002D3517">
      <w:pPr>
        <w:spacing w:before="100" w:beforeAutospacing="1" w:after="100" w:afterAutospacing="1" w:line="240" w:lineRule="auto"/>
        <w:ind w:left="475" w:hanging="475"/>
        <w:rPr>
          <w:rFonts w:eastAsia="Times New Roman" w:cs="Times New Roman"/>
        </w:rPr>
      </w:pPr>
      <w:r w:rsidRPr="00532841">
        <w:rPr>
          <w:rFonts w:eastAsia="Times New Roman" w:cs="Times New Roman"/>
        </w:rPr>
        <w:t>Agbe-Davies, A. S., Galle, J. E., Hauser, M. W., &amp; Neiman, F. D. (201</w:t>
      </w:r>
      <w:r w:rsidR="00D1713F">
        <w:rPr>
          <w:rFonts w:eastAsia="Times New Roman" w:cs="Times New Roman"/>
        </w:rPr>
        <w:t>4</w:t>
      </w:r>
      <w:r w:rsidRPr="00532841">
        <w:rPr>
          <w:rFonts w:eastAsia="Times New Roman" w:cs="Times New Roman"/>
        </w:rPr>
        <w:t xml:space="preserve">). Teaching with </w:t>
      </w:r>
      <w:r w:rsidR="006C400E">
        <w:rPr>
          <w:rFonts w:eastAsia="Times New Roman" w:cs="Times New Roman"/>
        </w:rPr>
        <w:t>d</w:t>
      </w:r>
      <w:r w:rsidRPr="00532841">
        <w:rPr>
          <w:rFonts w:eastAsia="Times New Roman" w:cs="Times New Roman"/>
        </w:rPr>
        <w:t xml:space="preserve">igital </w:t>
      </w:r>
      <w:r w:rsidR="006C400E">
        <w:rPr>
          <w:rFonts w:eastAsia="Times New Roman" w:cs="Times New Roman"/>
        </w:rPr>
        <w:t>a</w:t>
      </w:r>
      <w:r w:rsidRPr="00532841">
        <w:rPr>
          <w:rFonts w:eastAsia="Times New Roman" w:cs="Times New Roman"/>
        </w:rPr>
        <w:t xml:space="preserve">rchaeological </w:t>
      </w:r>
      <w:r w:rsidR="006C400E">
        <w:rPr>
          <w:rFonts w:eastAsia="Times New Roman" w:cs="Times New Roman"/>
        </w:rPr>
        <w:t>d</w:t>
      </w:r>
      <w:r w:rsidRPr="00532841">
        <w:rPr>
          <w:rFonts w:eastAsia="Times New Roman" w:cs="Times New Roman"/>
        </w:rPr>
        <w:t xml:space="preserve">ata: A </w:t>
      </w:r>
      <w:r w:rsidR="006C400E">
        <w:rPr>
          <w:rFonts w:eastAsia="Times New Roman" w:cs="Times New Roman"/>
        </w:rPr>
        <w:t>r</w:t>
      </w:r>
      <w:r w:rsidRPr="00532841">
        <w:rPr>
          <w:rFonts w:eastAsia="Times New Roman" w:cs="Times New Roman"/>
        </w:rPr>
        <w:t xml:space="preserve">esearch </w:t>
      </w:r>
      <w:r w:rsidR="006C400E">
        <w:rPr>
          <w:rFonts w:eastAsia="Times New Roman" w:cs="Times New Roman"/>
        </w:rPr>
        <w:t>a</w:t>
      </w:r>
      <w:r w:rsidRPr="00532841">
        <w:rPr>
          <w:rFonts w:eastAsia="Times New Roman" w:cs="Times New Roman"/>
        </w:rPr>
        <w:t xml:space="preserve">rchive in the </w:t>
      </w:r>
      <w:r w:rsidR="006C400E">
        <w:rPr>
          <w:rFonts w:eastAsia="Times New Roman" w:cs="Times New Roman"/>
        </w:rPr>
        <w:t>u</w:t>
      </w:r>
      <w:r w:rsidRPr="00532841">
        <w:rPr>
          <w:rFonts w:eastAsia="Times New Roman" w:cs="Times New Roman"/>
        </w:rPr>
        <w:t xml:space="preserve">niversity </w:t>
      </w:r>
      <w:r w:rsidR="006C400E">
        <w:rPr>
          <w:rFonts w:eastAsia="Times New Roman" w:cs="Times New Roman"/>
        </w:rPr>
        <w:t>c</w:t>
      </w:r>
      <w:r w:rsidRPr="00532841">
        <w:rPr>
          <w:rFonts w:eastAsia="Times New Roman" w:cs="Times New Roman"/>
        </w:rPr>
        <w:t xml:space="preserve">lassroom. </w:t>
      </w:r>
      <w:r w:rsidRPr="00532841">
        <w:rPr>
          <w:rFonts w:eastAsia="Times New Roman" w:cs="Times New Roman"/>
          <w:i/>
          <w:iCs/>
        </w:rPr>
        <w:t>Journal of Archaeological Method and Theory</w:t>
      </w:r>
      <w:r w:rsidR="007D2583">
        <w:rPr>
          <w:rFonts w:eastAsia="Times New Roman" w:cs="Times New Roman"/>
          <w:i/>
          <w:iCs/>
        </w:rPr>
        <w:t xml:space="preserve">, </w:t>
      </w:r>
      <w:r w:rsidR="007D2583" w:rsidRPr="007D2583">
        <w:rPr>
          <w:rFonts w:eastAsia="Times New Roman" w:cs="Times New Roman"/>
          <w:iCs/>
        </w:rPr>
        <w:t>21(4), 837-861</w:t>
      </w:r>
      <w:r w:rsidRPr="00532841">
        <w:rPr>
          <w:rFonts w:eastAsia="Times New Roman" w:cs="Times New Roman"/>
        </w:rPr>
        <w:t>. doi:10.1007/s10816-013-9178-3</w:t>
      </w:r>
    </w:p>
    <w:p w14:paraId="3ECB607C" w14:textId="77777777" w:rsidR="002D3517" w:rsidRPr="005F26FF" w:rsidRDefault="002D3517" w:rsidP="002D3517">
      <w:pPr>
        <w:pStyle w:val="NormalWeb"/>
        <w:ind w:left="475" w:hanging="475"/>
        <w:rPr>
          <w:rFonts w:asciiTheme="minorHAnsi" w:hAnsiTheme="minorHAnsi"/>
          <w:sz w:val="22"/>
          <w:szCs w:val="22"/>
        </w:rPr>
      </w:pPr>
      <w:r w:rsidRPr="00975B92">
        <w:rPr>
          <w:rFonts w:asciiTheme="minorHAnsi" w:hAnsiTheme="minorHAnsi"/>
          <w:sz w:val="22"/>
          <w:szCs w:val="22"/>
        </w:rPr>
        <w:t>Alexandria (2013, January 8). Alexandria Archaeology Museum. Retrieved from: http://alexandriava.gov</w:t>
      </w:r>
      <w:r w:rsidRPr="005C0BF7">
        <w:rPr>
          <w:rFonts w:asciiTheme="minorHAnsi" w:hAnsiTheme="minorHAnsi"/>
          <w:sz w:val="22"/>
          <w:szCs w:val="22"/>
        </w:rPr>
        <w:t>/historic/archaeology/?id=33502</w:t>
      </w:r>
    </w:p>
    <w:p w14:paraId="1B4151BC" w14:textId="77777777" w:rsidR="002D3517" w:rsidRPr="005F26FF" w:rsidRDefault="006C400E" w:rsidP="002D3517">
      <w:pPr>
        <w:spacing w:before="100" w:beforeAutospacing="1" w:after="100" w:afterAutospacing="1" w:line="240" w:lineRule="auto"/>
        <w:ind w:left="475" w:hanging="475"/>
        <w:rPr>
          <w:rFonts w:eastAsia="Times New Roman" w:cs="Times New Roman"/>
        </w:rPr>
      </w:pPr>
      <w:r>
        <w:rPr>
          <w:rFonts w:eastAsia="Times New Roman" w:cs="Times New Roman"/>
        </w:rPr>
        <w:t>Alston, C. L. (2005). Digital t</w:t>
      </w:r>
      <w:r w:rsidR="002D3517" w:rsidRPr="005F26FF">
        <w:rPr>
          <w:rFonts w:eastAsia="Times New Roman" w:cs="Times New Roman"/>
        </w:rPr>
        <w:t xml:space="preserve">echnology in </w:t>
      </w:r>
      <w:r>
        <w:rPr>
          <w:rFonts w:eastAsia="Times New Roman" w:cs="Times New Roman"/>
        </w:rPr>
        <w:t>c</w:t>
      </w:r>
      <w:r w:rsidR="002D3517" w:rsidRPr="005F26FF">
        <w:rPr>
          <w:rFonts w:eastAsia="Times New Roman" w:cs="Times New Roman"/>
        </w:rPr>
        <w:t xml:space="preserve">omparative </w:t>
      </w:r>
      <w:r>
        <w:rPr>
          <w:rFonts w:eastAsia="Times New Roman" w:cs="Times New Roman"/>
        </w:rPr>
        <w:t>s</w:t>
      </w:r>
      <w:r w:rsidR="002D3517" w:rsidRPr="005F26FF">
        <w:rPr>
          <w:rFonts w:eastAsia="Times New Roman" w:cs="Times New Roman"/>
        </w:rPr>
        <w:t>tudies. Retrieved from http://www.chesapeakearchaeology.org/Interpretations/SHAAlstonDigitalTechnology.cfm</w:t>
      </w:r>
    </w:p>
    <w:p w14:paraId="33E96739" w14:textId="77777777" w:rsidR="002D3517" w:rsidRPr="00B93AB3" w:rsidRDefault="002D3517" w:rsidP="002D3517">
      <w:pPr>
        <w:pStyle w:val="NormalWeb"/>
        <w:ind w:left="475" w:hanging="475"/>
        <w:rPr>
          <w:rFonts w:asciiTheme="minorHAnsi" w:hAnsiTheme="minorHAnsi"/>
          <w:sz w:val="22"/>
          <w:szCs w:val="22"/>
        </w:rPr>
      </w:pPr>
      <w:r w:rsidRPr="00B93AB3">
        <w:rPr>
          <w:rFonts w:asciiTheme="minorHAnsi" w:hAnsiTheme="minorHAnsi"/>
          <w:sz w:val="22"/>
          <w:szCs w:val="22"/>
        </w:rPr>
        <w:t xml:space="preserve">Anderson, D., Yerka, S., &amp; Kansa, E. (2013). </w:t>
      </w:r>
      <w:r w:rsidRPr="00B93AB3">
        <w:rPr>
          <w:rFonts w:asciiTheme="minorHAnsi" w:hAnsiTheme="minorHAnsi"/>
          <w:iCs/>
          <w:sz w:val="22"/>
          <w:szCs w:val="22"/>
        </w:rPr>
        <w:t xml:space="preserve">Developing the cyberinfrastructure for a national archaeological site database </w:t>
      </w:r>
      <w:r w:rsidR="006C400E">
        <w:rPr>
          <w:rFonts w:asciiTheme="minorHAnsi" w:hAnsiTheme="minorHAnsi"/>
          <w:iCs/>
          <w:sz w:val="22"/>
          <w:szCs w:val="22"/>
        </w:rPr>
        <w:t>p</w:t>
      </w:r>
      <w:r w:rsidRPr="00B93AB3">
        <w:rPr>
          <w:rFonts w:asciiTheme="minorHAnsi" w:hAnsiTheme="minorHAnsi"/>
          <w:iCs/>
          <w:sz w:val="22"/>
          <w:szCs w:val="22"/>
        </w:rPr>
        <w:t>roject</w:t>
      </w:r>
      <w:r w:rsidRPr="00B93AB3">
        <w:rPr>
          <w:rFonts w:asciiTheme="minorHAnsi" w:hAnsiTheme="minorHAnsi"/>
          <w:sz w:val="22"/>
          <w:szCs w:val="22"/>
        </w:rPr>
        <w:t xml:space="preserve">. </w:t>
      </w:r>
      <w:r w:rsidR="00EB633C" w:rsidRPr="00EB633C">
        <w:rPr>
          <w:rFonts w:asciiTheme="minorHAnsi" w:hAnsiTheme="minorHAnsi"/>
          <w:sz w:val="22"/>
          <w:szCs w:val="22"/>
        </w:rPr>
        <w:t>Retrieved from</w:t>
      </w:r>
      <w:r w:rsidRPr="00B93AB3">
        <w:rPr>
          <w:rFonts w:asciiTheme="minorHAnsi" w:hAnsiTheme="minorHAnsi"/>
          <w:sz w:val="22"/>
          <w:szCs w:val="22"/>
        </w:rPr>
        <w:t xml:space="preserve">: http://ux.opencontext.org/blog/wp-content/uploads/2012/09/DINAA-NASD-Technical-Proposal-2011.pdf </w:t>
      </w:r>
    </w:p>
    <w:p w14:paraId="1C29CBF4" w14:textId="77777777" w:rsidR="002D3517" w:rsidRPr="00B93AB3" w:rsidRDefault="002D3517" w:rsidP="002D3517">
      <w:pPr>
        <w:pStyle w:val="Default"/>
        <w:spacing w:before="100" w:beforeAutospacing="1" w:after="100" w:afterAutospacing="1"/>
        <w:ind w:left="475" w:hanging="475"/>
        <w:rPr>
          <w:rFonts w:asciiTheme="minorHAnsi" w:hAnsiTheme="minorHAnsi"/>
          <w:sz w:val="22"/>
          <w:szCs w:val="22"/>
        </w:rPr>
      </w:pPr>
      <w:r w:rsidRPr="00B93AB3">
        <w:rPr>
          <w:rFonts w:asciiTheme="minorHAnsi" w:hAnsiTheme="minorHAnsi" w:cs="Calibri"/>
          <w:sz w:val="22"/>
          <w:szCs w:val="22"/>
        </w:rPr>
        <w:t xml:space="preserve">Andrew W. Mellon Foundation (2008). President’s </w:t>
      </w:r>
      <w:r w:rsidR="006C400E">
        <w:rPr>
          <w:rFonts w:asciiTheme="minorHAnsi" w:hAnsiTheme="minorHAnsi" w:cs="Calibri"/>
          <w:sz w:val="22"/>
          <w:szCs w:val="22"/>
        </w:rPr>
        <w:t>r</w:t>
      </w:r>
      <w:r w:rsidRPr="00B93AB3">
        <w:rPr>
          <w:rFonts w:asciiTheme="minorHAnsi" w:hAnsiTheme="minorHAnsi" w:cs="Calibri"/>
          <w:sz w:val="22"/>
          <w:szCs w:val="22"/>
        </w:rPr>
        <w:t xml:space="preserve">eport 2008. </w:t>
      </w:r>
      <w:r w:rsidRPr="00B93AB3">
        <w:rPr>
          <w:rFonts w:asciiTheme="minorHAnsi" w:hAnsiTheme="minorHAnsi" w:cs="Calibri"/>
          <w:i/>
          <w:sz w:val="22"/>
          <w:szCs w:val="22"/>
        </w:rPr>
        <w:t>The Andrew W. Mellon Foundation.</w:t>
      </w:r>
      <w:r w:rsidRPr="00B93AB3">
        <w:rPr>
          <w:rFonts w:asciiTheme="minorHAnsi" w:hAnsiTheme="minorHAnsi" w:cs="Calibri"/>
          <w:sz w:val="22"/>
          <w:szCs w:val="22"/>
        </w:rPr>
        <w:t xml:space="preserve"> Retrieved from: http://www.mellon.org/news_publications/annual-reports-essays/presidents-reports/2008</w:t>
      </w:r>
    </w:p>
    <w:p w14:paraId="0A8205BE" w14:textId="77777777" w:rsidR="002D3517" w:rsidRPr="00B93AB3" w:rsidRDefault="002D3517" w:rsidP="002D3517">
      <w:pPr>
        <w:spacing w:before="100" w:beforeAutospacing="1" w:after="100" w:afterAutospacing="1" w:line="240" w:lineRule="auto"/>
        <w:ind w:left="475" w:hanging="475"/>
      </w:pPr>
      <w:r w:rsidRPr="00B93AB3">
        <w:rPr>
          <w:color w:val="000000"/>
        </w:rPr>
        <w:t>Archaeology Data Service &amp; Center for Digital Antiquity</w:t>
      </w:r>
      <w:r w:rsidRPr="00B93AB3">
        <w:rPr>
          <w:rFonts w:cs="Verdana"/>
        </w:rPr>
        <w:t xml:space="preserve"> (2013).</w:t>
      </w:r>
      <w:r w:rsidRPr="00B93AB3">
        <w:rPr>
          <w:rFonts w:cs="BCDNPA+TimesNewRoman"/>
        </w:rPr>
        <w:t xml:space="preserve"> </w:t>
      </w:r>
      <w:r w:rsidRPr="00B93AB3">
        <w:rPr>
          <w:i/>
        </w:rPr>
        <w:t xml:space="preserve">Caring for digital data in archaeology: A guide to good practice. </w:t>
      </w:r>
      <w:r w:rsidRPr="00B93AB3">
        <w:t>Oxford, UK: Oxbow Books.</w:t>
      </w:r>
    </w:p>
    <w:p w14:paraId="3923030B" w14:textId="77777777" w:rsidR="002D3517" w:rsidRPr="00B93AB3" w:rsidRDefault="002D3517" w:rsidP="002D3517">
      <w:pPr>
        <w:spacing w:before="100" w:beforeAutospacing="1" w:after="100" w:afterAutospacing="1" w:line="240" w:lineRule="auto"/>
        <w:ind w:left="475" w:hanging="475"/>
        <w:rPr>
          <w:rFonts w:eastAsia="Times New Roman" w:cs="Times New Roman"/>
        </w:rPr>
      </w:pPr>
      <w:r w:rsidRPr="00B93AB3">
        <w:rPr>
          <w:rFonts w:eastAsia="Times New Roman" w:cs="Times New Roman"/>
        </w:rPr>
        <w:t xml:space="preserve">Association for Library Collections and Technical Services. (2009). Definitions of </w:t>
      </w:r>
      <w:r w:rsidR="006C400E">
        <w:rPr>
          <w:rFonts w:eastAsia="Times New Roman" w:cs="Times New Roman"/>
        </w:rPr>
        <w:t>d</w:t>
      </w:r>
      <w:r w:rsidRPr="00B93AB3">
        <w:rPr>
          <w:rFonts w:eastAsia="Times New Roman" w:cs="Times New Roman"/>
        </w:rPr>
        <w:t xml:space="preserve">igital </w:t>
      </w:r>
      <w:r w:rsidR="006C400E">
        <w:rPr>
          <w:rFonts w:eastAsia="Times New Roman" w:cs="Times New Roman"/>
        </w:rPr>
        <w:t>p</w:t>
      </w:r>
      <w:r w:rsidRPr="00B93AB3">
        <w:rPr>
          <w:rFonts w:eastAsia="Times New Roman" w:cs="Times New Roman"/>
        </w:rPr>
        <w:t>reservation. Retrieved from</w:t>
      </w:r>
      <w:r w:rsidR="001901A7">
        <w:rPr>
          <w:rFonts w:eastAsia="Times New Roman" w:cs="Times New Roman"/>
        </w:rPr>
        <w:t>:</w:t>
      </w:r>
      <w:r w:rsidRPr="00B93AB3">
        <w:rPr>
          <w:rFonts w:eastAsia="Times New Roman" w:cs="Times New Roman"/>
        </w:rPr>
        <w:t xml:space="preserve"> http://www.ala.org/alcts/resources/preserv/2009def</w:t>
      </w:r>
    </w:p>
    <w:p w14:paraId="0F389F9B" w14:textId="77777777" w:rsidR="002D3517" w:rsidRPr="00B93AB3" w:rsidRDefault="002D3517" w:rsidP="002D3517">
      <w:pPr>
        <w:pStyle w:val="Default"/>
        <w:spacing w:before="100" w:beforeAutospacing="1" w:after="100" w:afterAutospacing="1"/>
        <w:ind w:left="475" w:hanging="475"/>
        <w:rPr>
          <w:rFonts w:asciiTheme="minorHAnsi" w:hAnsiTheme="minorHAnsi"/>
          <w:sz w:val="22"/>
          <w:szCs w:val="22"/>
        </w:rPr>
      </w:pPr>
      <w:r w:rsidRPr="00B93AB3">
        <w:rPr>
          <w:rFonts w:asciiTheme="minorHAnsi" w:hAnsiTheme="minorHAnsi"/>
          <w:sz w:val="22"/>
          <w:szCs w:val="22"/>
        </w:rPr>
        <w:t>Beagrie, N., &amp; Houghton, J. (2013)</w:t>
      </w:r>
      <w:r w:rsidR="00EE4102">
        <w:rPr>
          <w:rFonts w:asciiTheme="minorHAnsi" w:hAnsiTheme="minorHAnsi"/>
          <w:sz w:val="22"/>
          <w:szCs w:val="22"/>
        </w:rPr>
        <w:t xml:space="preserve">. </w:t>
      </w:r>
      <w:r w:rsidRPr="00B93AB3">
        <w:rPr>
          <w:rFonts w:asciiTheme="minorHAnsi" w:hAnsiTheme="minorHAnsi"/>
          <w:bCs/>
          <w:sz w:val="22"/>
          <w:szCs w:val="22"/>
        </w:rPr>
        <w:t>The value and impact of the Archaeology Data Service</w:t>
      </w:r>
      <w:r w:rsidRPr="00B93AB3">
        <w:rPr>
          <w:rFonts w:asciiTheme="minorHAnsi" w:hAnsiTheme="minorHAnsi" w:cstheme="minorBidi"/>
          <w:bCs/>
          <w:color w:val="auto"/>
          <w:sz w:val="22"/>
          <w:szCs w:val="22"/>
        </w:rPr>
        <w:t>, a</w:t>
      </w:r>
      <w:r w:rsidRPr="00B93AB3">
        <w:rPr>
          <w:rFonts w:asciiTheme="minorHAnsi" w:hAnsiTheme="minorHAnsi" w:cstheme="minorBidi"/>
          <w:bCs/>
          <w:iCs/>
          <w:color w:val="auto"/>
          <w:sz w:val="22"/>
          <w:szCs w:val="22"/>
        </w:rPr>
        <w:t xml:space="preserve"> study and methods for enhancing sustainability. </w:t>
      </w:r>
      <w:r w:rsidRPr="00B93AB3">
        <w:rPr>
          <w:rFonts w:asciiTheme="minorHAnsi" w:hAnsiTheme="minorHAnsi" w:cstheme="minorBidi"/>
          <w:bCs/>
          <w:i/>
          <w:iCs/>
          <w:color w:val="auto"/>
          <w:sz w:val="22"/>
          <w:szCs w:val="22"/>
        </w:rPr>
        <w:t>Jisc</w:t>
      </w:r>
      <w:r w:rsidRPr="00B93AB3">
        <w:rPr>
          <w:rFonts w:asciiTheme="minorHAnsi" w:hAnsiTheme="minorHAnsi" w:cstheme="minorBidi"/>
          <w:bCs/>
          <w:iCs/>
          <w:color w:val="auto"/>
          <w:sz w:val="22"/>
          <w:szCs w:val="22"/>
        </w:rPr>
        <w:t xml:space="preserve">.  Retrieved from: </w:t>
      </w:r>
      <w:r w:rsidRPr="00B93AB3">
        <w:rPr>
          <w:rFonts w:asciiTheme="minorHAnsi" w:hAnsiTheme="minorHAnsi" w:cstheme="minorBidi"/>
          <w:sz w:val="22"/>
          <w:szCs w:val="22"/>
        </w:rPr>
        <w:t>http://repository.jisc.ac.uk/5509/1/ADSReport_final.pdf</w:t>
      </w:r>
    </w:p>
    <w:p w14:paraId="0A4FB249" w14:textId="77777777" w:rsidR="0000210B" w:rsidRPr="00B93AB3" w:rsidRDefault="003F7CC1" w:rsidP="0000210B">
      <w:pPr>
        <w:pStyle w:val="NormalWeb"/>
        <w:ind w:left="475" w:hanging="475"/>
        <w:rPr>
          <w:rFonts w:asciiTheme="minorHAnsi" w:eastAsiaTheme="minorEastAsia" w:hAnsiTheme="minorHAnsi"/>
          <w:noProof/>
          <w:sz w:val="22"/>
          <w:szCs w:val="22"/>
        </w:rPr>
      </w:pPr>
      <w:r w:rsidRPr="00B93AB3">
        <w:rPr>
          <w:rFonts w:asciiTheme="minorHAnsi" w:hAnsiTheme="minorHAnsi"/>
          <w:sz w:val="22"/>
          <w:szCs w:val="22"/>
        </w:rPr>
        <w:fldChar w:fldCharType="begin" w:fldLock="1"/>
      </w:r>
      <w:r w:rsidR="0000210B" w:rsidRPr="00B93AB3">
        <w:rPr>
          <w:rFonts w:asciiTheme="minorHAnsi" w:hAnsiTheme="minorHAnsi"/>
          <w:sz w:val="22"/>
          <w:szCs w:val="22"/>
        </w:rPr>
        <w:instrText xml:space="preserve">ADDIN Mendeley Bibliography CSL_BIBLIOGRAPHY </w:instrText>
      </w:r>
      <w:r w:rsidRPr="00B93AB3">
        <w:rPr>
          <w:rFonts w:asciiTheme="minorHAnsi" w:hAnsiTheme="minorHAnsi"/>
          <w:sz w:val="22"/>
          <w:szCs w:val="22"/>
        </w:rPr>
        <w:fldChar w:fldCharType="separate"/>
      </w:r>
      <w:r w:rsidR="0000210B" w:rsidRPr="00B93AB3">
        <w:rPr>
          <w:rFonts w:asciiTheme="minorHAnsi" w:hAnsiTheme="minorHAnsi"/>
          <w:noProof/>
          <w:sz w:val="22"/>
          <w:szCs w:val="22"/>
        </w:rPr>
        <w:t xml:space="preserve">Beale, N. (2012). How community archaeology can make use of open data to achieve further its objectives. </w:t>
      </w:r>
      <w:r w:rsidR="0000210B" w:rsidRPr="00B93AB3">
        <w:rPr>
          <w:rFonts w:asciiTheme="minorHAnsi" w:hAnsiTheme="minorHAnsi"/>
          <w:i/>
          <w:iCs/>
          <w:noProof/>
          <w:sz w:val="22"/>
          <w:szCs w:val="22"/>
        </w:rPr>
        <w:t>World Archaeology</w:t>
      </w:r>
      <w:r w:rsidR="0000210B" w:rsidRPr="00B93AB3">
        <w:rPr>
          <w:rFonts w:asciiTheme="minorHAnsi" w:hAnsiTheme="minorHAnsi"/>
          <w:noProof/>
          <w:sz w:val="22"/>
          <w:szCs w:val="22"/>
        </w:rPr>
        <w:t xml:space="preserve">, </w:t>
      </w:r>
      <w:r w:rsidR="0000210B" w:rsidRPr="00B93AB3">
        <w:rPr>
          <w:rFonts w:asciiTheme="minorHAnsi" w:hAnsiTheme="minorHAnsi"/>
          <w:i/>
          <w:iCs/>
          <w:noProof/>
          <w:sz w:val="22"/>
          <w:szCs w:val="22"/>
        </w:rPr>
        <w:t>44</w:t>
      </w:r>
      <w:r w:rsidR="0000210B" w:rsidRPr="00B93AB3">
        <w:rPr>
          <w:rFonts w:asciiTheme="minorHAnsi" w:hAnsiTheme="minorHAnsi"/>
          <w:noProof/>
          <w:sz w:val="22"/>
          <w:szCs w:val="22"/>
        </w:rPr>
        <w:t>(4), 612–633. doi:10.1080/00438243.2012.743252</w:t>
      </w:r>
    </w:p>
    <w:p w14:paraId="2E775E1B" w14:textId="77777777" w:rsidR="002D3517" w:rsidRPr="00B93AB3" w:rsidRDefault="003F7CC1" w:rsidP="0000210B">
      <w:pPr>
        <w:spacing w:before="100" w:beforeAutospacing="1" w:after="100" w:afterAutospacing="1" w:line="240" w:lineRule="auto"/>
        <w:ind w:left="475" w:hanging="475"/>
      </w:pPr>
      <w:r w:rsidRPr="00B93AB3">
        <w:fldChar w:fldCharType="end"/>
      </w:r>
      <w:r w:rsidR="002D3517" w:rsidRPr="00B93AB3">
        <w:t xml:space="preserve">Beck, A., Bevan, A., &amp; Costa, S. (2012). </w:t>
      </w:r>
      <w:r w:rsidR="002D3517" w:rsidRPr="00B93AB3">
        <w:rPr>
          <w:lang w:val="it-IT"/>
        </w:rPr>
        <w:t xml:space="preserve">What does the Holy Grail look like? Defining </w:t>
      </w:r>
      <w:r w:rsidR="006C400E">
        <w:rPr>
          <w:lang w:val="it-IT"/>
        </w:rPr>
        <w:t>o</w:t>
      </w:r>
      <w:r w:rsidR="002D3517" w:rsidRPr="00B93AB3">
        <w:rPr>
          <w:lang w:val="it-IT"/>
        </w:rPr>
        <w:t xml:space="preserve">pen </w:t>
      </w:r>
      <w:r w:rsidR="006C400E">
        <w:rPr>
          <w:lang w:val="it-IT"/>
        </w:rPr>
        <w:t>d</w:t>
      </w:r>
      <w:r w:rsidR="002D3517" w:rsidRPr="00B93AB3">
        <w:rPr>
          <w:lang w:val="it-IT"/>
        </w:rPr>
        <w:t>ata in archaeology and the related issues. [</w:t>
      </w:r>
      <w:r w:rsidR="002D3517" w:rsidRPr="00B93AB3">
        <w:t>PowerPoint slides]. Retrieved from</w:t>
      </w:r>
      <w:r w:rsidR="001901A7">
        <w:t xml:space="preserve">: </w:t>
      </w:r>
      <w:r w:rsidR="002D3517" w:rsidRPr="00B93AB3">
        <w:t xml:space="preserve">http://www.slideshare.net/stefanocosta/what-does-the-holy-grail-look-like-defining-open-data-in-archaeology-and-the-related-issues </w:t>
      </w:r>
    </w:p>
    <w:p w14:paraId="34620581" w14:textId="77777777" w:rsidR="002D3517" w:rsidRPr="00B93AB3" w:rsidRDefault="002D3517" w:rsidP="002D3517">
      <w:pPr>
        <w:spacing w:before="100" w:beforeAutospacing="1" w:after="100" w:afterAutospacing="1" w:line="240" w:lineRule="auto"/>
        <w:ind w:left="475" w:hanging="475"/>
      </w:pPr>
      <w:r w:rsidRPr="00B93AB3">
        <w:t>Beck, A., &amp; Stott, D. (2013). Unleashing the potential of collaboration, archaeological detecting in the 21</w:t>
      </w:r>
      <w:r w:rsidRPr="00B93AB3">
        <w:rPr>
          <w:vertAlign w:val="superscript"/>
        </w:rPr>
        <w:t>st</w:t>
      </w:r>
      <w:r w:rsidRPr="00B93AB3">
        <w:t xml:space="preserve"> century</w:t>
      </w:r>
      <w:r w:rsidRPr="00B93AB3">
        <w:rPr>
          <w:lang w:val="it-IT"/>
        </w:rPr>
        <w:t>. [</w:t>
      </w:r>
      <w:r w:rsidRPr="00B93AB3">
        <w:t>PowerPoint slides]. Retrieved from</w:t>
      </w:r>
      <w:r w:rsidR="001901A7">
        <w:t>:</w:t>
      </w:r>
      <w:r w:rsidRPr="00B93AB3">
        <w:t xml:space="preserve"> http://www.slideshare.net/DARTProject/arb-presentation-dublin </w:t>
      </w:r>
      <w:hyperlink r:id="rId17" w:history="1"/>
    </w:p>
    <w:p w14:paraId="2F79FB95" w14:textId="77777777" w:rsidR="002D3517" w:rsidRPr="00B93AB3" w:rsidRDefault="002D3517" w:rsidP="002D3517">
      <w:pPr>
        <w:spacing w:before="100" w:beforeAutospacing="1" w:after="100" w:afterAutospacing="1" w:line="240" w:lineRule="auto"/>
        <w:ind w:left="475" w:hanging="475"/>
      </w:pPr>
      <w:r w:rsidRPr="00B93AB3">
        <w:t xml:space="preserve">Berners-Lee, T. (2010, February). The year open data went worldwide. TED talks. Retrieved from: http://www.ted.com/talks/tim_berners_lee_the_year_open_data_went_worldwide </w:t>
      </w:r>
    </w:p>
    <w:p w14:paraId="75B5552C" w14:textId="77777777" w:rsidR="002D3517" w:rsidRPr="00B93AB3" w:rsidRDefault="002D3517" w:rsidP="002D3517">
      <w:pPr>
        <w:spacing w:before="100" w:beforeAutospacing="1" w:after="100" w:afterAutospacing="1" w:line="240" w:lineRule="auto"/>
        <w:ind w:left="475" w:hanging="475"/>
      </w:pPr>
      <w:r w:rsidRPr="00B93AB3">
        <w:lastRenderedPageBreak/>
        <w:t>Bland, J. (2011, October 1). Costs and benefits of open data – Professor Trefethen. The Royal Society In Verba. Retrieved from: http://blogs.royalsociety.org/in-verba/2011/10/04/costs-and-benefits-of-open-data-professor-anne-trefethen/</w:t>
      </w:r>
    </w:p>
    <w:p w14:paraId="48917537" w14:textId="77777777" w:rsidR="002D3517" w:rsidRDefault="002D3517" w:rsidP="002D3517">
      <w:pPr>
        <w:spacing w:before="100" w:beforeAutospacing="1" w:after="100" w:afterAutospacing="1" w:line="240" w:lineRule="auto"/>
        <w:ind w:left="475" w:hanging="475"/>
        <w:rPr>
          <w:rFonts w:eastAsia="Times New Roman" w:cs="Times New Roman"/>
        </w:rPr>
      </w:pPr>
      <w:r w:rsidRPr="00B93AB3">
        <w:rPr>
          <w:rFonts w:cs="Arial"/>
          <w:color w:val="222222"/>
          <w:shd w:val="clear" w:color="auto" w:fill="FFFFFF"/>
        </w:rPr>
        <w:t>Borgman, C. L. (2010).</w:t>
      </w:r>
      <w:r w:rsidRPr="00B93AB3">
        <w:rPr>
          <w:rStyle w:val="apple-converted-space"/>
          <w:rFonts w:cs="Arial"/>
          <w:color w:val="222222"/>
          <w:shd w:val="clear" w:color="auto" w:fill="FFFFFF"/>
        </w:rPr>
        <w:t> </w:t>
      </w:r>
      <w:r w:rsidRPr="00B93AB3">
        <w:rPr>
          <w:rFonts w:cs="Arial"/>
          <w:i/>
          <w:iCs/>
          <w:color w:val="222222"/>
          <w:shd w:val="clear" w:color="auto" w:fill="FFFFFF"/>
        </w:rPr>
        <w:t>Scholarship in the digital age: Information, infrastructure, and the Internet</w:t>
      </w:r>
      <w:r w:rsidRPr="00B93AB3">
        <w:rPr>
          <w:rFonts w:cs="Arial"/>
          <w:color w:val="222222"/>
          <w:shd w:val="clear" w:color="auto" w:fill="FFFFFF"/>
        </w:rPr>
        <w:t>. Cambridge, MA: MIT Press.</w:t>
      </w:r>
      <w:r w:rsidRPr="00B93AB3">
        <w:rPr>
          <w:rFonts w:eastAsia="Times New Roman" w:cs="Times New Roman"/>
        </w:rPr>
        <w:t xml:space="preserve"> </w:t>
      </w:r>
    </w:p>
    <w:p w14:paraId="0F4A9F1E" w14:textId="77777777" w:rsidR="002D3517" w:rsidRPr="00B93AB3" w:rsidRDefault="002D3517" w:rsidP="002D3517">
      <w:pPr>
        <w:spacing w:before="100" w:beforeAutospacing="1" w:after="100" w:afterAutospacing="1" w:line="240" w:lineRule="auto"/>
        <w:ind w:left="475" w:hanging="475"/>
        <w:rPr>
          <w:rFonts w:eastAsia="Times New Roman" w:cs="Times New Roman"/>
        </w:rPr>
      </w:pPr>
      <w:r>
        <w:rPr>
          <w:rFonts w:eastAsia="Times New Roman" w:cs="Times New Roman"/>
        </w:rPr>
        <w:t>Borgman, C. L. (2015</w:t>
      </w:r>
      <w:r w:rsidRPr="00972593">
        <w:rPr>
          <w:rFonts w:eastAsia="Times New Roman" w:cs="Times New Roman"/>
        </w:rPr>
        <w:t>). If data sharing is the answer, what is the question? ERCIM News. Retrieved</w:t>
      </w:r>
      <w:r w:rsidR="001901A7">
        <w:rPr>
          <w:rFonts w:eastAsia="Times New Roman" w:cs="Times New Roman"/>
        </w:rPr>
        <w:t xml:space="preserve"> </w:t>
      </w:r>
      <w:r w:rsidRPr="00972593">
        <w:rPr>
          <w:rFonts w:eastAsia="Times New Roman" w:cs="Times New Roman"/>
        </w:rPr>
        <w:t>from</w:t>
      </w:r>
      <w:r w:rsidR="001901A7">
        <w:rPr>
          <w:rFonts w:eastAsia="Times New Roman" w:cs="Times New Roman"/>
        </w:rPr>
        <w:t xml:space="preserve">: </w:t>
      </w:r>
      <w:r w:rsidRPr="00972593">
        <w:rPr>
          <w:rFonts w:eastAsia="Times New Roman" w:cs="Times New Roman"/>
        </w:rPr>
        <w:t>http://ercim-news.ercim.eu/en100/special/if-data-sharing-is-the-answer-what-is-the-question</w:t>
      </w:r>
    </w:p>
    <w:p w14:paraId="3CC6F719" w14:textId="77777777" w:rsidR="002D3517" w:rsidRPr="00B93AB3" w:rsidRDefault="002D3517" w:rsidP="002D3517">
      <w:pPr>
        <w:spacing w:before="100" w:beforeAutospacing="1" w:after="100" w:afterAutospacing="1" w:line="240" w:lineRule="auto"/>
        <w:ind w:left="475" w:hanging="475"/>
        <w:rPr>
          <w:rFonts w:eastAsia="Times New Roman" w:cs="Times New Roman"/>
        </w:rPr>
      </w:pPr>
      <w:r w:rsidRPr="00B93AB3">
        <w:rPr>
          <w:rFonts w:eastAsia="Times New Roman" w:cs="Times New Roman"/>
        </w:rPr>
        <w:t xml:space="preserve">Breen, E. (2011, May 16). Popular Archaeology. </w:t>
      </w:r>
      <w:r w:rsidRPr="00B93AB3">
        <w:rPr>
          <w:rFonts w:eastAsia="Times New Roman" w:cs="Times New Roman"/>
          <w:iCs/>
        </w:rPr>
        <w:t>Mount Vernon’s archaeological collections online project</w:t>
      </w:r>
      <w:r w:rsidRPr="00B93AB3">
        <w:rPr>
          <w:rFonts w:eastAsia="Times New Roman" w:cs="Times New Roman"/>
        </w:rPr>
        <w:t xml:space="preserve">. Retrieved </w:t>
      </w:r>
      <w:r w:rsidR="001901A7">
        <w:rPr>
          <w:rFonts w:eastAsia="Times New Roman" w:cs="Times New Roman"/>
        </w:rPr>
        <w:t>f</w:t>
      </w:r>
      <w:r w:rsidRPr="00B93AB3">
        <w:rPr>
          <w:rFonts w:eastAsia="Times New Roman" w:cs="Times New Roman"/>
        </w:rPr>
        <w:t>rom</w:t>
      </w:r>
      <w:r w:rsidR="001901A7">
        <w:rPr>
          <w:rFonts w:eastAsia="Times New Roman" w:cs="Times New Roman"/>
        </w:rPr>
        <w:t>:</w:t>
      </w:r>
      <w:r w:rsidRPr="00B93AB3">
        <w:rPr>
          <w:rFonts w:eastAsia="Times New Roman" w:cs="Times New Roman"/>
        </w:rPr>
        <w:t xml:space="preserve"> http://popular-archaeology.com/issue/june-2011/article/mount-vernons-archaeological-collections-online-project</w:t>
      </w:r>
    </w:p>
    <w:p w14:paraId="38025293" w14:textId="77777777" w:rsidR="002D3517" w:rsidRPr="00B93AB3" w:rsidRDefault="002D3517" w:rsidP="002D3517">
      <w:pPr>
        <w:pStyle w:val="NormalWeb"/>
        <w:ind w:left="475" w:hanging="475"/>
        <w:rPr>
          <w:rFonts w:asciiTheme="minorHAnsi" w:hAnsiTheme="minorHAnsi"/>
          <w:sz w:val="22"/>
          <w:szCs w:val="22"/>
        </w:rPr>
      </w:pPr>
      <w:r w:rsidRPr="00B93AB3">
        <w:rPr>
          <w:rFonts w:asciiTheme="minorHAnsi" w:hAnsiTheme="minorHAnsi"/>
          <w:sz w:val="22"/>
          <w:szCs w:val="22"/>
        </w:rPr>
        <w:t xml:space="preserve">Canadian Archaeological Association (2014). </w:t>
      </w:r>
      <w:r w:rsidRPr="00B93AB3">
        <w:rPr>
          <w:rFonts w:asciiTheme="minorHAnsi" w:hAnsiTheme="minorHAnsi"/>
          <w:i/>
          <w:iCs/>
          <w:sz w:val="22"/>
          <w:szCs w:val="22"/>
        </w:rPr>
        <w:t>Position Paper: excavation of archaeological material in the popular media</w:t>
      </w:r>
      <w:r w:rsidRPr="00B93AB3">
        <w:rPr>
          <w:rFonts w:asciiTheme="minorHAnsi" w:hAnsiTheme="minorHAnsi"/>
          <w:sz w:val="22"/>
          <w:szCs w:val="22"/>
        </w:rPr>
        <w:t>. Retrieved from</w:t>
      </w:r>
      <w:r w:rsidR="001901A7">
        <w:rPr>
          <w:rFonts w:asciiTheme="minorHAnsi" w:hAnsiTheme="minorHAnsi"/>
          <w:sz w:val="22"/>
          <w:szCs w:val="22"/>
        </w:rPr>
        <w:t>:</w:t>
      </w:r>
      <w:r w:rsidRPr="00B93AB3">
        <w:rPr>
          <w:rFonts w:asciiTheme="minorHAnsi" w:hAnsiTheme="minorHAnsi"/>
          <w:sz w:val="22"/>
          <w:szCs w:val="22"/>
        </w:rPr>
        <w:t xml:space="preserve"> http://canadianarchaeology.com/caa/news-announcements/position-paper-excavation-archaeological-material-popular-media</w:t>
      </w:r>
    </w:p>
    <w:p w14:paraId="4C2698BC" w14:textId="77777777" w:rsidR="002D3517" w:rsidRPr="00B93AB3" w:rsidRDefault="002D3517" w:rsidP="002D3517">
      <w:pPr>
        <w:pStyle w:val="NormalWeb"/>
        <w:ind w:left="475" w:hanging="475"/>
        <w:rPr>
          <w:rFonts w:asciiTheme="minorHAnsi" w:hAnsiTheme="minorHAnsi"/>
          <w:sz w:val="22"/>
          <w:szCs w:val="22"/>
        </w:rPr>
      </w:pPr>
      <w:r w:rsidRPr="00B93AB3">
        <w:rPr>
          <w:rFonts w:asciiTheme="minorHAnsi" w:hAnsiTheme="minorHAnsi"/>
          <w:sz w:val="22"/>
          <w:szCs w:val="22"/>
        </w:rPr>
        <w:t xml:space="preserve"> Car, T., Raspor, S., Komsic, J., &amp; Markovic, S. (2012). Content analysis of hotel websites: case study of Croatia. </w:t>
      </w:r>
      <w:r w:rsidRPr="00B93AB3">
        <w:rPr>
          <w:rFonts w:asciiTheme="minorHAnsi" w:hAnsiTheme="minorHAnsi"/>
          <w:i/>
          <w:iCs/>
          <w:sz w:val="22"/>
          <w:szCs w:val="22"/>
        </w:rPr>
        <w:t>Studia UBB Negootia</w:t>
      </w:r>
      <w:r w:rsidRPr="00B93AB3">
        <w:rPr>
          <w:rFonts w:asciiTheme="minorHAnsi" w:hAnsiTheme="minorHAnsi"/>
          <w:sz w:val="22"/>
          <w:szCs w:val="22"/>
        </w:rPr>
        <w:t xml:space="preserve">, </w:t>
      </w:r>
      <w:r w:rsidRPr="00B93AB3">
        <w:rPr>
          <w:rFonts w:asciiTheme="minorHAnsi" w:hAnsiTheme="minorHAnsi"/>
          <w:i/>
          <w:iCs/>
          <w:sz w:val="22"/>
          <w:szCs w:val="22"/>
        </w:rPr>
        <w:t>LVII</w:t>
      </w:r>
      <w:r w:rsidRPr="00B93AB3">
        <w:rPr>
          <w:rFonts w:asciiTheme="minorHAnsi" w:hAnsiTheme="minorHAnsi"/>
          <w:sz w:val="22"/>
          <w:szCs w:val="22"/>
        </w:rPr>
        <w:t>(4), 27–37.</w:t>
      </w:r>
    </w:p>
    <w:p w14:paraId="7FBE3B23" w14:textId="77777777" w:rsidR="002D3517" w:rsidRPr="00B93AB3" w:rsidRDefault="002D3517" w:rsidP="002D3517">
      <w:pPr>
        <w:spacing w:before="100" w:beforeAutospacing="1" w:after="100" w:afterAutospacing="1" w:line="240" w:lineRule="auto"/>
        <w:ind w:left="475" w:hanging="475"/>
        <w:rPr>
          <w:rFonts w:cs="Arial"/>
          <w:color w:val="222222"/>
          <w:shd w:val="clear" w:color="auto" w:fill="FFFFFF"/>
        </w:rPr>
      </w:pPr>
      <w:r w:rsidRPr="00B93AB3">
        <w:rPr>
          <w:rFonts w:cs="Arial"/>
          <w:color w:val="222222"/>
          <w:shd w:val="clear" w:color="auto" w:fill="FFFFFF"/>
        </w:rPr>
        <w:t xml:space="preserve">Chenhall, R. G. (1971). The archaeological data bank: a progress report. </w:t>
      </w:r>
      <w:r w:rsidRPr="00B93AB3">
        <w:rPr>
          <w:rFonts w:cs="Arial"/>
          <w:i/>
          <w:iCs/>
          <w:color w:val="222222"/>
          <w:shd w:val="clear" w:color="auto" w:fill="FFFFFF"/>
        </w:rPr>
        <w:t>Computers and the Humanities</w:t>
      </w:r>
      <w:r w:rsidRPr="00B93AB3">
        <w:rPr>
          <w:rFonts w:cs="Arial"/>
          <w:color w:val="222222"/>
          <w:shd w:val="clear" w:color="auto" w:fill="FFFFFF"/>
        </w:rPr>
        <w:t>,</w:t>
      </w:r>
      <w:r w:rsidRPr="00B93AB3">
        <w:rPr>
          <w:rStyle w:val="apple-converted-space"/>
          <w:rFonts w:cs="Arial"/>
          <w:color w:val="222222"/>
          <w:shd w:val="clear" w:color="auto" w:fill="FFFFFF"/>
        </w:rPr>
        <w:t> </w:t>
      </w:r>
      <w:r w:rsidRPr="00B93AB3">
        <w:rPr>
          <w:rFonts w:cs="Arial"/>
          <w:i/>
          <w:iCs/>
          <w:color w:val="222222"/>
          <w:shd w:val="clear" w:color="auto" w:fill="FFFFFF"/>
        </w:rPr>
        <w:t>5</w:t>
      </w:r>
      <w:r w:rsidRPr="00B93AB3">
        <w:rPr>
          <w:rFonts w:cs="Arial"/>
          <w:color w:val="222222"/>
          <w:shd w:val="clear" w:color="auto" w:fill="FFFFFF"/>
        </w:rPr>
        <w:t>(3), 159-169.</w:t>
      </w:r>
    </w:p>
    <w:p w14:paraId="3FEF9B8F" w14:textId="77777777" w:rsidR="005A524C" w:rsidRDefault="005A524C" w:rsidP="002D3517">
      <w:pPr>
        <w:spacing w:before="100" w:beforeAutospacing="1" w:after="100" w:afterAutospacing="1" w:line="240" w:lineRule="auto"/>
        <w:ind w:left="475" w:hanging="475"/>
        <w:rPr>
          <w:rFonts w:eastAsia="Times New Roman" w:cs="Times New Roman"/>
        </w:rPr>
      </w:pPr>
      <w:r>
        <w:rPr>
          <w:rFonts w:eastAsia="Times New Roman" w:cs="Times New Roman"/>
        </w:rPr>
        <w:t xml:space="preserve">Comparative Archaeological Study of Colonial Chesapeake Culture (2009). Database glossary. Retrieved from: </w:t>
      </w:r>
      <w:r w:rsidRPr="00283E44">
        <w:rPr>
          <w:rFonts w:eastAsia="Times New Roman" w:cs="Times New Roman"/>
        </w:rPr>
        <w:t>http://www.chesapeakearchaeology.org/AboutTechnical/DatabaseStructure.cfm</w:t>
      </w:r>
      <w:r w:rsidRPr="00B93AB3">
        <w:rPr>
          <w:rFonts w:eastAsia="Times New Roman" w:cs="Times New Roman"/>
        </w:rPr>
        <w:t xml:space="preserve"> </w:t>
      </w:r>
    </w:p>
    <w:p w14:paraId="662FA1E0" w14:textId="77777777" w:rsidR="002D3517" w:rsidRPr="00B93AB3" w:rsidRDefault="002D3517" w:rsidP="002D3517">
      <w:pPr>
        <w:spacing w:before="100" w:beforeAutospacing="1" w:after="100" w:afterAutospacing="1" w:line="240" w:lineRule="auto"/>
        <w:ind w:left="475" w:hanging="475"/>
        <w:rPr>
          <w:rFonts w:eastAsia="Times New Roman" w:cs="Times New Roman"/>
        </w:rPr>
      </w:pPr>
      <w:r w:rsidRPr="00B93AB3">
        <w:rPr>
          <w:rFonts w:eastAsia="Times New Roman" w:cs="Times New Roman"/>
        </w:rPr>
        <w:t xml:space="preserve">Childs, S. T., &amp; Kagan, S. (2008). </w:t>
      </w:r>
      <w:r w:rsidRPr="00B93AB3">
        <w:rPr>
          <w:rFonts w:eastAsia="Times New Roman" w:cs="Times New Roman"/>
          <w:i/>
          <w:iCs/>
        </w:rPr>
        <w:t>A decade of study into repository fees for archeological curation</w:t>
      </w:r>
      <w:r w:rsidRPr="00B93AB3">
        <w:rPr>
          <w:rFonts w:eastAsia="Times New Roman" w:cs="Times New Roman"/>
        </w:rPr>
        <w:t>. Washington, DC. doi:10.6067/XCV8NS0T7S</w:t>
      </w:r>
    </w:p>
    <w:p w14:paraId="4C6201EA" w14:textId="77777777" w:rsidR="002D3517" w:rsidRDefault="006C400E" w:rsidP="002D3517">
      <w:pPr>
        <w:autoSpaceDE w:val="0"/>
        <w:autoSpaceDN w:val="0"/>
        <w:adjustRightInd w:val="0"/>
        <w:spacing w:before="100" w:beforeAutospacing="1" w:after="100" w:afterAutospacing="1" w:line="240" w:lineRule="auto"/>
        <w:ind w:left="475" w:hanging="475"/>
      </w:pPr>
      <w:r>
        <w:t>CIDOC (2015). CIDOC Conceptual r</w:t>
      </w:r>
      <w:r w:rsidR="002D3517">
        <w:t xml:space="preserve">eference </w:t>
      </w:r>
      <w:r>
        <w:t>m</w:t>
      </w:r>
      <w:r w:rsidR="002D3517">
        <w:t xml:space="preserve">odel (CRM) </w:t>
      </w:r>
      <w:r>
        <w:t>e</w:t>
      </w:r>
      <w:r w:rsidR="002D3517">
        <w:t xml:space="preserve">xtension for SPECTRUM. Retrieved from: </w:t>
      </w:r>
      <w:r w:rsidR="002D3517" w:rsidRPr="00ED7DDB">
        <w:t>http://www.cidoc-crm.org/docs/CRM-SPECTRUM-PressRelease-2015Feb.pdf</w:t>
      </w:r>
    </w:p>
    <w:p w14:paraId="66F04B4B" w14:textId="77777777" w:rsidR="00D01B2E" w:rsidRPr="00B93AB3" w:rsidRDefault="00D01B2E" w:rsidP="00D01B2E">
      <w:pPr>
        <w:autoSpaceDE w:val="0"/>
        <w:autoSpaceDN w:val="0"/>
        <w:adjustRightInd w:val="0"/>
        <w:spacing w:before="100" w:beforeAutospacing="1" w:after="100" w:afterAutospacing="1" w:line="240" w:lineRule="auto"/>
        <w:ind w:left="475" w:hanging="475"/>
        <w:rPr>
          <w:rFonts w:cs="Times New Roman"/>
        </w:rPr>
      </w:pPr>
      <w:r w:rsidRPr="00B93AB3">
        <w:rPr>
          <w:rFonts w:cs="Times New Roman"/>
        </w:rPr>
        <w:t>City of Manassas (n.d.) Mayfield Fort.  Retrieved from: http://www.manassascity.org/index.aspx?NID=220</w:t>
      </w:r>
    </w:p>
    <w:p w14:paraId="2B855B8E" w14:textId="77777777" w:rsidR="002D3517" w:rsidRPr="00B93AB3" w:rsidRDefault="002D3517" w:rsidP="002D3517">
      <w:pPr>
        <w:autoSpaceDE w:val="0"/>
        <w:autoSpaceDN w:val="0"/>
        <w:adjustRightInd w:val="0"/>
        <w:spacing w:before="100" w:beforeAutospacing="1" w:after="100" w:afterAutospacing="1" w:line="240" w:lineRule="auto"/>
        <w:ind w:left="475" w:hanging="475"/>
      </w:pPr>
      <w:r w:rsidRPr="00B93AB3">
        <w:t>Cole, R. (2012). Some observations on the practice of “</w:t>
      </w:r>
      <w:r w:rsidR="006C400E">
        <w:t>o</w:t>
      </w:r>
      <w:r w:rsidRPr="00B93AB3">
        <w:t xml:space="preserve">pen </w:t>
      </w:r>
      <w:r w:rsidR="006C400E">
        <w:t>d</w:t>
      </w:r>
      <w:r w:rsidRPr="00B93AB3">
        <w:t xml:space="preserve">ata” as opposed to its promise. </w:t>
      </w:r>
      <w:r w:rsidRPr="00B93AB3">
        <w:rPr>
          <w:rStyle w:val="Emphasis"/>
        </w:rPr>
        <w:t>The Journal Of Community Informatics, 8</w:t>
      </w:r>
      <w:r w:rsidRPr="00B93AB3">
        <w:t xml:space="preserve">(2). </w:t>
      </w:r>
      <w:r w:rsidRPr="00B93AB3">
        <w:br/>
        <w:t>Retrieved from</w:t>
      </w:r>
      <w:r w:rsidR="001901A7">
        <w:t>:</w:t>
      </w:r>
      <w:r w:rsidRPr="00B93AB3">
        <w:t xml:space="preserve"> http://ci-journal.net/index.php/ciej/article/view/920/917</w:t>
      </w:r>
    </w:p>
    <w:p w14:paraId="36163239" w14:textId="77777777" w:rsidR="00174E87" w:rsidRDefault="00174E87" w:rsidP="00174E87">
      <w:pPr>
        <w:spacing w:before="100" w:beforeAutospacing="1" w:after="100" w:afterAutospacing="1" w:line="240" w:lineRule="auto"/>
        <w:ind w:left="475" w:hanging="475"/>
        <w:rPr>
          <w:rFonts w:eastAsia="Times New Roman" w:cs="Times New Roman"/>
        </w:rPr>
      </w:pPr>
      <w:r>
        <w:rPr>
          <w:rFonts w:eastAsia="Times New Roman" w:cs="Times New Roman"/>
        </w:rPr>
        <w:t xml:space="preserve">Costa, S. (2014). </w:t>
      </w:r>
      <w:r w:rsidRPr="005D5B12">
        <w:rPr>
          <w:rFonts w:eastAsia="Times New Roman" w:cs="Times New Roman"/>
        </w:rPr>
        <w:t>Open licenses for archaeological data matter: the case of AustArch</w:t>
      </w:r>
      <w:r>
        <w:rPr>
          <w:rFonts w:eastAsia="Times New Roman" w:cs="Times New Roman"/>
        </w:rPr>
        <w:t>. [</w:t>
      </w:r>
      <w:r w:rsidR="00940DE5" w:rsidRPr="00B93AB3">
        <w:t>Blog post</w:t>
      </w:r>
      <w:r>
        <w:rPr>
          <w:rFonts w:eastAsia="Times New Roman" w:cs="Times New Roman"/>
        </w:rPr>
        <w:t xml:space="preserve">]. Retrieved from: </w:t>
      </w:r>
      <w:r w:rsidRPr="005D5B12">
        <w:rPr>
          <w:rFonts w:eastAsia="Times New Roman" w:cs="Times New Roman"/>
        </w:rPr>
        <w:t>http://archaeology.okfn.org/</w:t>
      </w:r>
    </w:p>
    <w:p w14:paraId="0C91942B" w14:textId="77777777" w:rsidR="002D3517" w:rsidRPr="00B93AB3" w:rsidRDefault="002D3517" w:rsidP="002D3517">
      <w:pPr>
        <w:spacing w:before="100" w:beforeAutospacing="1" w:after="100" w:afterAutospacing="1" w:line="240" w:lineRule="auto"/>
        <w:ind w:left="475" w:hanging="475"/>
        <w:rPr>
          <w:rFonts w:eastAsia="Times New Roman" w:cs="Times New Roman"/>
        </w:rPr>
      </w:pPr>
      <w:r w:rsidRPr="00B93AB3">
        <w:rPr>
          <w:rFonts w:eastAsia="Times New Roman" w:cs="Times New Roman"/>
        </w:rPr>
        <w:t>Culture Embossed (201</w:t>
      </w:r>
      <w:r w:rsidR="007B7568">
        <w:rPr>
          <w:rFonts w:eastAsia="Times New Roman" w:cs="Times New Roman"/>
        </w:rPr>
        <w:t>2</w:t>
      </w:r>
      <w:r w:rsidRPr="00B93AB3">
        <w:rPr>
          <w:rFonts w:eastAsia="Times New Roman" w:cs="Times New Roman"/>
        </w:rPr>
        <w:t>). About Culture Embossed. Retrieved from</w:t>
      </w:r>
      <w:r w:rsidR="001901A7">
        <w:rPr>
          <w:rFonts w:eastAsia="Times New Roman" w:cs="Times New Roman"/>
        </w:rPr>
        <w:t>:</w:t>
      </w:r>
      <w:r w:rsidRPr="00B93AB3">
        <w:rPr>
          <w:rFonts w:eastAsia="Times New Roman" w:cs="Times New Roman"/>
        </w:rPr>
        <w:t xml:space="preserve"> http://cova-inc.org/wineseals/project-description.html</w:t>
      </w:r>
    </w:p>
    <w:p w14:paraId="47EDF8D5" w14:textId="77777777" w:rsidR="002D3517" w:rsidRDefault="002D3517" w:rsidP="002D3517">
      <w:pPr>
        <w:pStyle w:val="NormalWeb"/>
        <w:ind w:left="475" w:hanging="475"/>
        <w:rPr>
          <w:rFonts w:asciiTheme="minorHAnsi" w:hAnsiTheme="minorHAnsi" w:cs="Arial"/>
          <w:color w:val="222222"/>
          <w:sz w:val="22"/>
          <w:szCs w:val="22"/>
          <w:shd w:val="clear" w:color="auto" w:fill="FFFFFF"/>
        </w:rPr>
      </w:pPr>
      <w:r>
        <w:rPr>
          <w:rFonts w:asciiTheme="minorHAnsi" w:hAnsiTheme="minorHAnsi" w:cs="Arial"/>
          <w:color w:val="222222"/>
          <w:sz w:val="22"/>
          <w:szCs w:val="22"/>
          <w:shd w:val="clear" w:color="auto" w:fill="FFFFFF"/>
        </w:rPr>
        <w:lastRenderedPageBreak/>
        <w:t xml:space="preserve">DAACS (2014). </w:t>
      </w:r>
      <w:r w:rsidRPr="00642933">
        <w:rPr>
          <w:rFonts w:asciiTheme="minorHAnsi" w:hAnsiTheme="minorHAnsi" w:cs="Arial"/>
          <w:color w:val="222222"/>
          <w:sz w:val="22"/>
          <w:szCs w:val="22"/>
          <w:shd w:val="clear" w:color="auto" w:fill="FFFFFF"/>
        </w:rPr>
        <w:t>DAACS receives grant from Mellon Foundation for innovative collaborative project known as The DAACS Research Consortium</w:t>
      </w:r>
      <w:r>
        <w:rPr>
          <w:rFonts w:asciiTheme="minorHAnsi" w:hAnsiTheme="minorHAnsi" w:cs="Arial"/>
          <w:color w:val="222222"/>
          <w:sz w:val="22"/>
          <w:szCs w:val="22"/>
          <w:shd w:val="clear" w:color="auto" w:fill="FFFFFF"/>
        </w:rPr>
        <w:t xml:space="preserve">.  Retrieved from: </w:t>
      </w:r>
      <w:r w:rsidRPr="00642933">
        <w:rPr>
          <w:rFonts w:asciiTheme="minorHAnsi" w:hAnsiTheme="minorHAnsi" w:cs="Arial"/>
          <w:color w:val="222222"/>
          <w:sz w:val="22"/>
          <w:szCs w:val="22"/>
          <w:shd w:val="clear" w:color="auto" w:fill="FFFFFF"/>
        </w:rPr>
        <w:t>http://www.daacs.org/2013/10/04/daacs-receives-grant-from-mellon-foundation-for-innovative-collaborative-project-known-as-the-daacs-research-consortium/</w:t>
      </w:r>
    </w:p>
    <w:p w14:paraId="0F6FDA99" w14:textId="77777777" w:rsidR="002D3517" w:rsidRPr="00B93AB3" w:rsidRDefault="002D3517" w:rsidP="002D3517">
      <w:pPr>
        <w:pStyle w:val="NormalWeb"/>
        <w:ind w:left="475" w:hanging="475"/>
        <w:rPr>
          <w:rFonts w:asciiTheme="minorHAnsi" w:hAnsiTheme="minorHAnsi"/>
          <w:sz w:val="22"/>
          <w:szCs w:val="22"/>
        </w:rPr>
      </w:pPr>
      <w:r w:rsidRPr="00B93AB3">
        <w:rPr>
          <w:rFonts w:asciiTheme="minorHAnsi" w:hAnsiTheme="minorHAnsi" w:cs="Arial"/>
          <w:color w:val="222222"/>
          <w:sz w:val="22"/>
          <w:szCs w:val="22"/>
          <w:shd w:val="clear" w:color="auto" w:fill="FFFFFF"/>
        </w:rPr>
        <w:t>Denning, K. (2004). The storm of progress’ and archaeology for an online public.</w:t>
      </w:r>
      <w:r w:rsidRPr="00B93AB3">
        <w:rPr>
          <w:rStyle w:val="apple-converted-space"/>
          <w:rFonts w:asciiTheme="minorHAnsi" w:hAnsiTheme="minorHAnsi" w:cs="Arial"/>
          <w:color w:val="222222"/>
          <w:sz w:val="22"/>
          <w:szCs w:val="22"/>
          <w:shd w:val="clear" w:color="auto" w:fill="FFFFFF"/>
        </w:rPr>
        <w:t> </w:t>
      </w:r>
      <w:r w:rsidRPr="00B93AB3">
        <w:rPr>
          <w:rFonts w:asciiTheme="minorHAnsi" w:hAnsiTheme="minorHAnsi" w:cs="Arial"/>
          <w:i/>
          <w:iCs/>
          <w:color w:val="222222"/>
          <w:sz w:val="22"/>
          <w:szCs w:val="22"/>
          <w:shd w:val="clear" w:color="auto" w:fill="FFFFFF"/>
        </w:rPr>
        <w:t>Internet Archaeology</w:t>
      </w:r>
      <w:r w:rsidRPr="00B93AB3">
        <w:rPr>
          <w:rFonts w:asciiTheme="minorHAnsi" w:hAnsiTheme="minorHAnsi" w:cs="Arial"/>
          <w:color w:val="222222"/>
          <w:sz w:val="22"/>
          <w:szCs w:val="22"/>
          <w:shd w:val="clear" w:color="auto" w:fill="FFFFFF"/>
        </w:rPr>
        <w:t>,</w:t>
      </w:r>
      <w:r w:rsidRPr="00B93AB3">
        <w:rPr>
          <w:rStyle w:val="apple-converted-space"/>
          <w:rFonts w:asciiTheme="minorHAnsi" w:hAnsiTheme="minorHAnsi" w:cs="Arial"/>
          <w:color w:val="222222"/>
          <w:sz w:val="22"/>
          <w:szCs w:val="22"/>
          <w:shd w:val="clear" w:color="auto" w:fill="FFFFFF"/>
        </w:rPr>
        <w:t> </w:t>
      </w:r>
      <w:r w:rsidRPr="00B93AB3">
        <w:rPr>
          <w:rFonts w:asciiTheme="minorHAnsi" w:hAnsiTheme="minorHAnsi" w:cs="Arial"/>
          <w:i/>
          <w:iCs/>
          <w:color w:val="222222"/>
          <w:sz w:val="22"/>
          <w:szCs w:val="22"/>
          <w:shd w:val="clear" w:color="auto" w:fill="FFFFFF"/>
        </w:rPr>
        <w:t>15</w:t>
      </w:r>
      <w:r w:rsidRPr="00B93AB3">
        <w:rPr>
          <w:rFonts w:asciiTheme="minorHAnsi" w:hAnsiTheme="minorHAnsi" w:cs="Arial"/>
          <w:color w:val="222222"/>
          <w:sz w:val="22"/>
          <w:szCs w:val="22"/>
          <w:shd w:val="clear" w:color="auto" w:fill="FFFFFF"/>
        </w:rPr>
        <w:t>, 322-349.</w:t>
      </w:r>
      <w:r w:rsidRPr="00B93AB3">
        <w:rPr>
          <w:rFonts w:asciiTheme="minorHAnsi" w:hAnsiTheme="minorHAnsi"/>
          <w:sz w:val="22"/>
          <w:szCs w:val="22"/>
        </w:rPr>
        <w:t xml:space="preserve"> Retrieved from: http://intarch.ac.uk/journal/issue15/denning_toc.html </w:t>
      </w:r>
    </w:p>
    <w:p w14:paraId="5121E38B" w14:textId="77777777" w:rsidR="002D3517" w:rsidRPr="00B93AB3" w:rsidRDefault="002D3517" w:rsidP="002D3517">
      <w:pPr>
        <w:pStyle w:val="NormalWeb"/>
        <w:ind w:left="475" w:hanging="475"/>
        <w:rPr>
          <w:rFonts w:asciiTheme="minorHAnsi" w:hAnsiTheme="minorHAnsi"/>
          <w:sz w:val="22"/>
          <w:szCs w:val="22"/>
        </w:rPr>
      </w:pPr>
      <w:r w:rsidRPr="00B93AB3">
        <w:rPr>
          <w:rFonts w:asciiTheme="minorHAnsi" w:hAnsiTheme="minorHAnsi"/>
          <w:sz w:val="22"/>
          <w:szCs w:val="22"/>
        </w:rPr>
        <w:t>Doerr, M., &amp; Oldman, D. (2013). The costs of cultural heritage data services: the CIDOC CRM or aggregator formats? [Blog post] Retrieved from</w:t>
      </w:r>
      <w:r w:rsidR="001901A7">
        <w:rPr>
          <w:rFonts w:asciiTheme="minorHAnsi" w:hAnsiTheme="minorHAnsi"/>
          <w:sz w:val="22"/>
          <w:szCs w:val="22"/>
        </w:rPr>
        <w:t xml:space="preserve">: </w:t>
      </w:r>
      <w:r w:rsidRPr="00B93AB3">
        <w:rPr>
          <w:rFonts w:asciiTheme="minorHAnsi" w:hAnsiTheme="minorHAnsi"/>
          <w:sz w:val="22"/>
          <w:szCs w:val="22"/>
        </w:rPr>
        <w:t xml:space="preserve">http://www.oldman.me.uk/blog/costsofculturalheritage/ </w:t>
      </w:r>
    </w:p>
    <w:p w14:paraId="1C231BAC" w14:textId="77777777" w:rsidR="002D3517" w:rsidRPr="00B93AB3" w:rsidRDefault="002D3517" w:rsidP="002D3517">
      <w:pPr>
        <w:spacing w:before="100" w:beforeAutospacing="1" w:after="100" w:afterAutospacing="1" w:line="240" w:lineRule="auto"/>
        <w:ind w:left="475" w:hanging="475"/>
        <w:rPr>
          <w:rFonts w:eastAsia="Times New Roman" w:cs="Times New Roman"/>
        </w:rPr>
      </w:pPr>
      <w:r w:rsidRPr="00B93AB3">
        <w:rPr>
          <w:rFonts w:eastAsia="Times New Roman" w:cs="Times New Roman"/>
        </w:rPr>
        <w:t xml:space="preserve">Dunn, S., &amp; Hedges, M. (2012). </w:t>
      </w:r>
      <w:r w:rsidRPr="00B93AB3">
        <w:rPr>
          <w:rFonts w:eastAsia="Times New Roman" w:cs="Times New Roman"/>
          <w:i/>
          <w:iCs/>
        </w:rPr>
        <w:t>Crowd-sourcing scoping study engaging the crowd with humanities research centre for e-research , Department of digital humanities King ’ s College London</w:t>
      </w:r>
      <w:r w:rsidRPr="00B93AB3">
        <w:rPr>
          <w:rFonts w:eastAsia="Times New Roman" w:cs="Times New Roman"/>
        </w:rPr>
        <w:t>. Retrieved from</w:t>
      </w:r>
      <w:r w:rsidR="001901A7">
        <w:rPr>
          <w:rFonts w:eastAsia="Times New Roman" w:cs="Times New Roman"/>
        </w:rPr>
        <w:t>:</w:t>
      </w:r>
      <w:r w:rsidRPr="00B93AB3">
        <w:rPr>
          <w:rFonts w:eastAsia="Times New Roman" w:cs="Times New Roman"/>
        </w:rPr>
        <w:t xml:space="preserve"> http://crowds.cerch.kcl.ac.uk/wp-content/uploads/2012/12/Crowdsourcing-connected-communities.pdf</w:t>
      </w:r>
    </w:p>
    <w:p w14:paraId="09E9569A" w14:textId="77777777" w:rsidR="002D3517" w:rsidRDefault="002D3517" w:rsidP="002D3517">
      <w:pPr>
        <w:pStyle w:val="Default"/>
        <w:spacing w:before="100" w:beforeAutospacing="1" w:after="100" w:afterAutospacing="1"/>
        <w:ind w:left="475" w:hanging="475"/>
        <w:rPr>
          <w:rFonts w:asciiTheme="minorHAnsi" w:hAnsiTheme="minorHAnsi" w:cs="Tahoma"/>
          <w:sz w:val="22"/>
          <w:szCs w:val="22"/>
        </w:rPr>
      </w:pPr>
      <w:r w:rsidRPr="00B93AB3">
        <w:rPr>
          <w:rFonts w:asciiTheme="minorHAnsi" w:hAnsiTheme="minorHAnsi" w:cs="Arial"/>
          <w:color w:val="222222"/>
          <w:sz w:val="22"/>
          <w:szCs w:val="22"/>
          <w:shd w:val="clear" w:color="auto" w:fill="FFFFFF"/>
        </w:rPr>
        <w:t xml:space="preserve">European Commission (2011). European </w:t>
      </w:r>
      <w:r w:rsidR="00C875C7">
        <w:rPr>
          <w:rFonts w:asciiTheme="minorHAnsi" w:hAnsiTheme="minorHAnsi" w:cs="Arial"/>
          <w:color w:val="222222"/>
          <w:sz w:val="22"/>
          <w:szCs w:val="22"/>
          <w:shd w:val="clear" w:color="auto" w:fill="FFFFFF"/>
        </w:rPr>
        <w:t>p</w:t>
      </w:r>
      <w:r w:rsidRPr="00B93AB3">
        <w:rPr>
          <w:rFonts w:asciiTheme="minorHAnsi" w:hAnsiTheme="minorHAnsi" w:cs="Arial"/>
          <w:color w:val="222222"/>
          <w:sz w:val="22"/>
          <w:szCs w:val="22"/>
          <w:shd w:val="clear" w:color="auto" w:fill="FFFFFF"/>
        </w:rPr>
        <w:t xml:space="preserve">ress </w:t>
      </w:r>
      <w:r w:rsidR="00C875C7">
        <w:rPr>
          <w:rFonts w:asciiTheme="minorHAnsi" w:hAnsiTheme="minorHAnsi" w:cs="Arial"/>
          <w:color w:val="222222"/>
          <w:sz w:val="22"/>
          <w:szCs w:val="22"/>
          <w:shd w:val="clear" w:color="auto" w:fill="FFFFFF"/>
        </w:rPr>
        <w:t>r</w:t>
      </w:r>
      <w:r w:rsidRPr="00B93AB3">
        <w:rPr>
          <w:rFonts w:asciiTheme="minorHAnsi" w:hAnsiTheme="minorHAnsi" w:cs="Arial"/>
          <w:color w:val="222222"/>
          <w:sz w:val="22"/>
          <w:szCs w:val="22"/>
          <w:shd w:val="clear" w:color="auto" w:fill="FFFFFF"/>
        </w:rPr>
        <w:t xml:space="preserve">elease </w:t>
      </w:r>
      <w:r w:rsidR="00C875C7">
        <w:rPr>
          <w:rFonts w:asciiTheme="minorHAnsi" w:hAnsiTheme="minorHAnsi" w:cs="Arial"/>
          <w:color w:val="222222"/>
          <w:sz w:val="22"/>
          <w:szCs w:val="22"/>
          <w:shd w:val="clear" w:color="auto" w:fill="FFFFFF"/>
        </w:rPr>
        <w:t>d</w:t>
      </w:r>
      <w:r w:rsidRPr="00B93AB3">
        <w:rPr>
          <w:rFonts w:asciiTheme="minorHAnsi" w:hAnsiTheme="minorHAnsi" w:cs="Arial"/>
          <w:color w:val="222222"/>
          <w:sz w:val="22"/>
          <w:szCs w:val="22"/>
          <w:shd w:val="clear" w:color="auto" w:fill="FFFFFF"/>
        </w:rPr>
        <w:t xml:space="preserve">atabase. Retrieved from: </w:t>
      </w:r>
      <w:r w:rsidRPr="00881CDA">
        <w:rPr>
          <w:rFonts w:asciiTheme="minorHAnsi" w:hAnsiTheme="minorHAnsi" w:cs="Tahoma"/>
          <w:sz w:val="22"/>
          <w:szCs w:val="22"/>
        </w:rPr>
        <w:t>http://europa.eu/rapid/press-release_SPEECH-11-872_en.htm?locale=en</w:t>
      </w:r>
    </w:p>
    <w:p w14:paraId="57ABFF80" w14:textId="77777777" w:rsidR="002D3517" w:rsidRDefault="002D3517" w:rsidP="002D3517">
      <w:pPr>
        <w:pStyle w:val="Default"/>
        <w:spacing w:before="100" w:beforeAutospacing="1" w:after="100" w:afterAutospacing="1"/>
        <w:ind w:left="475" w:hanging="475"/>
        <w:rPr>
          <w:rFonts w:asciiTheme="minorHAnsi" w:hAnsiTheme="minorHAnsi" w:cs="Arial"/>
          <w:color w:val="222222"/>
          <w:sz w:val="22"/>
          <w:szCs w:val="22"/>
          <w:shd w:val="clear" w:color="auto" w:fill="FFFFFF"/>
        </w:rPr>
      </w:pPr>
      <w:r>
        <w:rPr>
          <w:rFonts w:asciiTheme="minorHAnsi" w:hAnsiTheme="minorHAnsi" w:cs="Arial"/>
          <w:color w:val="222222"/>
          <w:sz w:val="22"/>
          <w:szCs w:val="22"/>
          <w:shd w:val="clear" w:color="auto" w:fill="FFFFFF"/>
        </w:rPr>
        <w:t xml:space="preserve">Fairfax County (n.d.). </w:t>
      </w:r>
      <w:r w:rsidRPr="00902F1C">
        <w:rPr>
          <w:rFonts w:asciiTheme="minorHAnsi" w:hAnsiTheme="minorHAnsi" w:cs="Arial"/>
          <w:color w:val="222222"/>
          <w:sz w:val="22"/>
          <w:szCs w:val="22"/>
          <w:shd w:val="clear" w:color="auto" w:fill="FFFFFF"/>
        </w:rPr>
        <w:t xml:space="preserve">Cultural </w:t>
      </w:r>
      <w:r w:rsidR="00C875C7">
        <w:rPr>
          <w:rFonts w:asciiTheme="minorHAnsi" w:hAnsiTheme="minorHAnsi" w:cs="Arial"/>
          <w:color w:val="222222"/>
          <w:sz w:val="22"/>
          <w:szCs w:val="22"/>
          <w:shd w:val="clear" w:color="auto" w:fill="FFFFFF"/>
        </w:rPr>
        <w:t>r</w:t>
      </w:r>
      <w:r w:rsidRPr="00902F1C">
        <w:rPr>
          <w:rFonts w:asciiTheme="minorHAnsi" w:hAnsiTheme="minorHAnsi" w:cs="Arial"/>
          <w:color w:val="222222"/>
          <w:sz w:val="22"/>
          <w:szCs w:val="22"/>
          <w:shd w:val="clear" w:color="auto" w:fill="FFFFFF"/>
        </w:rPr>
        <w:t xml:space="preserve">esource </w:t>
      </w:r>
      <w:r w:rsidR="00C875C7">
        <w:rPr>
          <w:rFonts w:asciiTheme="minorHAnsi" w:hAnsiTheme="minorHAnsi" w:cs="Arial"/>
          <w:color w:val="222222"/>
          <w:sz w:val="22"/>
          <w:szCs w:val="22"/>
          <w:shd w:val="clear" w:color="auto" w:fill="FFFFFF"/>
        </w:rPr>
        <w:t>m</w:t>
      </w:r>
      <w:r w:rsidRPr="00902F1C">
        <w:rPr>
          <w:rFonts w:asciiTheme="minorHAnsi" w:hAnsiTheme="minorHAnsi" w:cs="Arial"/>
          <w:color w:val="222222"/>
          <w:sz w:val="22"/>
          <w:szCs w:val="22"/>
          <w:shd w:val="clear" w:color="auto" w:fill="FFFFFF"/>
        </w:rPr>
        <w:t xml:space="preserve">anagement and </w:t>
      </w:r>
      <w:r w:rsidR="00C875C7">
        <w:rPr>
          <w:rFonts w:asciiTheme="minorHAnsi" w:hAnsiTheme="minorHAnsi" w:cs="Arial"/>
          <w:color w:val="222222"/>
          <w:sz w:val="22"/>
          <w:szCs w:val="22"/>
          <w:shd w:val="clear" w:color="auto" w:fill="FFFFFF"/>
        </w:rPr>
        <w:t>p</w:t>
      </w:r>
      <w:r w:rsidRPr="00902F1C">
        <w:rPr>
          <w:rFonts w:asciiTheme="minorHAnsi" w:hAnsiTheme="minorHAnsi" w:cs="Arial"/>
          <w:color w:val="222222"/>
          <w:sz w:val="22"/>
          <w:szCs w:val="22"/>
          <w:shd w:val="clear" w:color="auto" w:fill="FFFFFF"/>
        </w:rPr>
        <w:t>rotection</w:t>
      </w:r>
      <w:r>
        <w:rPr>
          <w:rFonts w:asciiTheme="minorHAnsi" w:hAnsiTheme="minorHAnsi" w:cs="Arial"/>
          <w:color w:val="222222"/>
          <w:sz w:val="22"/>
          <w:szCs w:val="22"/>
          <w:shd w:val="clear" w:color="auto" w:fill="FFFFFF"/>
        </w:rPr>
        <w:t xml:space="preserve">. Retrieved from: </w:t>
      </w:r>
      <w:r w:rsidRPr="00BA3962">
        <w:rPr>
          <w:rFonts w:asciiTheme="minorHAnsi" w:hAnsiTheme="minorHAnsi" w:cs="Arial"/>
          <w:color w:val="222222"/>
          <w:sz w:val="22"/>
          <w:szCs w:val="22"/>
          <w:shd w:val="clear" w:color="auto" w:fill="FFFFFF"/>
        </w:rPr>
        <w:t>http://www.fairfaxcounty.gov/parks/resource-management/resources-crp.htm</w:t>
      </w:r>
    </w:p>
    <w:p w14:paraId="7C75BC1F" w14:textId="77777777" w:rsidR="002D3517" w:rsidRPr="00B93AB3" w:rsidRDefault="002D3517" w:rsidP="002D3517">
      <w:pPr>
        <w:pStyle w:val="Default"/>
        <w:spacing w:before="100" w:beforeAutospacing="1" w:after="100" w:afterAutospacing="1"/>
        <w:ind w:left="475" w:hanging="475"/>
        <w:rPr>
          <w:rFonts w:asciiTheme="minorHAnsi" w:hAnsiTheme="minorHAnsi" w:cs="Arial"/>
          <w:color w:val="222222"/>
          <w:sz w:val="22"/>
          <w:szCs w:val="22"/>
          <w:shd w:val="clear" w:color="auto" w:fill="FFFFFF"/>
        </w:rPr>
      </w:pPr>
      <w:r>
        <w:rPr>
          <w:rFonts w:asciiTheme="minorHAnsi" w:hAnsiTheme="minorHAnsi" w:cs="Arial"/>
          <w:color w:val="222222"/>
          <w:sz w:val="22"/>
          <w:szCs w:val="22"/>
          <w:shd w:val="clear" w:color="auto" w:fill="FFFFFF"/>
        </w:rPr>
        <w:t xml:space="preserve">Fort Lee (2014). Cultural </w:t>
      </w:r>
      <w:r w:rsidR="00C875C7">
        <w:rPr>
          <w:rFonts w:asciiTheme="minorHAnsi" w:hAnsiTheme="minorHAnsi" w:cs="Arial"/>
          <w:color w:val="222222"/>
          <w:sz w:val="22"/>
          <w:szCs w:val="22"/>
          <w:shd w:val="clear" w:color="auto" w:fill="FFFFFF"/>
        </w:rPr>
        <w:t>r</w:t>
      </w:r>
      <w:r>
        <w:rPr>
          <w:rFonts w:asciiTheme="minorHAnsi" w:hAnsiTheme="minorHAnsi" w:cs="Arial"/>
          <w:color w:val="222222"/>
          <w:sz w:val="22"/>
          <w:szCs w:val="22"/>
          <w:shd w:val="clear" w:color="auto" w:fill="FFFFFF"/>
        </w:rPr>
        <w:t xml:space="preserve">esource </w:t>
      </w:r>
      <w:r w:rsidR="00C875C7">
        <w:rPr>
          <w:rFonts w:asciiTheme="minorHAnsi" w:hAnsiTheme="minorHAnsi" w:cs="Arial"/>
          <w:color w:val="222222"/>
          <w:sz w:val="22"/>
          <w:szCs w:val="22"/>
          <w:shd w:val="clear" w:color="auto" w:fill="FFFFFF"/>
        </w:rPr>
        <w:t>p</w:t>
      </w:r>
      <w:r>
        <w:rPr>
          <w:rFonts w:asciiTheme="minorHAnsi" w:hAnsiTheme="minorHAnsi" w:cs="Arial"/>
          <w:color w:val="222222"/>
          <w:sz w:val="22"/>
          <w:szCs w:val="22"/>
          <w:shd w:val="clear" w:color="auto" w:fill="FFFFFF"/>
        </w:rPr>
        <w:t xml:space="preserve">rogram </w:t>
      </w:r>
      <w:r w:rsidR="00C875C7">
        <w:rPr>
          <w:rFonts w:asciiTheme="minorHAnsi" w:hAnsiTheme="minorHAnsi" w:cs="Arial"/>
          <w:color w:val="222222"/>
          <w:sz w:val="22"/>
          <w:szCs w:val="22"/>
          <w:shd w:val="clear" w:color="auto" w:fill="FFFFFF"/>
        </w:rPr>
        <w:t>a</w:t>
      </w:r>
      <w:r>
        <w:rPr>
          <w:rFonts w:asciiTheme="minorHAnsi" w:hAnsiTheme="minorHAnsi" w:cs="Arial"/>
          <w:color w:val="222222"/>
          <w:sz w:val="22"/>
          <w:szCs w:val="22"/>
          <w:shd w:val="clear" w:color="auto" w:fill="FFFFFF"/>
        </w:rPr>
        <w:t xml:space="preserve">rea. Retrieved from: </w:t>
      </w:r>
      <w:r w:rsidRPr="005271BB">
        <w:rPr>
          <w:rFonts w:asciiTheme="minorHAnsi" w:hAnsiTheme="minorHAnsi" w:cs="Arial"/>
          <w:color w:val="222222"/>
          <w:sz w:val="22"/>
          <w:szCs w:val="22"/>
          <w:shd w:val="clear" w:color="auto" w:fill="FFFFFF"/>
        </w:rPr>
        <w:t>http://www.lee.army.mil/dpw/emd/cultural.resources.aspx</w:t>
      </w:r>
      <w:r>
        <w:rPr>
          <w:rFonts w:asciiTheme="minorHAnsi" w:hAnsiTheme="minorHAnsi" w:cs="Arial"/>
          <w:color w:val="222222"/>
          <w:sz w:val="22"/>
          <w:szCs w:val="22"/>
          <w:shd w:val="clear" w:color="auto" w:fill="FFFFFF"/>
        </w:rPr>
        <w:t xml:space="preserve"> </w:t>
      </w:r>
    </w:p>
    <w:p w14:paraId="4BBEDD4F" w14:textId="77777777" w:rsidR="002D3517" w:rsidRPr="00B93AB3" w:rsidRDefault="002D3517" w:rsidP="002D3517">
      <w:pPr>
        <w:pStyle w:val="Default"/>
        <w:spacing w:before="100" w:beforeAutospacing="1" w:after="100" w:afterAutospacing="1"/>
        <w:ind w:left="475" w:hanging="475"/>
        <w:rPr>
          <w:rFonts w:asciiTheme="minorHAnsi" w:hAnsiTheme="minorHAnsi"/>
          <w:sz w:val="22"/>
          <w:szCs w:val="22"/>
        </w:rPr>
      </w:pPr>
      <w:r w:rsidRPr="00B93AB3">
        <w:rPr>
          <w:rFonts w:asciiTheme="minorHAnsi" w:hAnsiTheme="minorHAnsi" w:cs="Arial"/>
          <w:color w:val="222222"/>
          <w:sz w:val="22"/>
          <w:szCs w:val="22"/>
          <w:shd w:val="clear" w:color="auto" w:fill="FFFFFF"/>
        </w:rPr>
        <w:t xml:space="preserve">Falkingham, G. (2005). A whiter shade of grey: a new approach to archaeological grey literature using the XML version of the TEI guidelines. </w:t>
      </w:r>
      <w:r w:rsidRPr="00B93AB3">
        <w:rPr>
          <w:rFonts w:asciiTheme="minorHAnsi" w:hAnsiTheme="minorHAnsi" w:cs="Arial"/>
          <w:i/>
          <w:iCs/>
          <w:color w:val="222222"/>
          <w:sz w:val="22"/>
          <w:szCs w:val="22"/>
          <w:shd w:val="clear" w:color="auto" w:fill="FFFFFF"/>
        </w:rPr>
        <w:t>Internet Archaeology</w:t>
      </w:r>
      <w:r w:rsidRPr="00B93AB3">
        <w:rPr>
          <w:rFonts w:asciiTheme="minorHAnsi" w:hAnsiTheme="minorHAnsi" w:cs="Arial"/>
          <w:color w:val="222222"/>
          <w:sz w:val="22"/>
          <w:szCs w:val="22"/>
          <w:shd w:val="clear" w:color="auto" w:fill="FFFFFF"/>
        </w:rPr>
        <w:t>,</w:t>
      </w:r>
      <w:r w:rsidRPr="00B93AB3">
        <w:rPr>
          <w:rStyle w:val="apple-converted-space"/>
          <w:rFonts w:asciiTheme="minorHAnsi" w:hAnsiTheme="minorHAnsi" w:cs="Arial"/>
          <w:color w:val="222222"/>
          <w:sz w:val="22"/>
          <w:szCs w:val="22"/>
          <w:shd w:val="clear" w:color="auto" w:fill="FFFFFF"/>
        </w:rPr>
        <w:t> </w:t>
      </w:r>
      <w:r w:rsidRPr="00B93AB3">
        <w:rPr>
          <w:rFonts w:asciiTheme="minorHAnsi" w:hAnsiTheme="minorHAnsi" w:cs="Arial"/>
          <w:i/>
          <w:iCs/>
          <w:color w:val="222222"/>
          <w:sz w:val="22"/>
          <w:szCs w:val="22"/>
          <w:shd w:val="clear" w:color="auto" w:fill="FFFFFF"/>
        </w:rPr>
        <w:t>17</w:t>
      </w:r>
      <w:r w:rsidRPr="00B93AB3">
        <w:rPr>
          <w:rFonts w:asciiTheme="minorHAnsi" w:hAnsiTheme="minorHAnsi" w:cs="Arial"/>
          <w:color w:val="222222"/>
          <w:sz w:val="22"/>
          <w:szCs w:val="22"/>
          <w:shd w:val="clear" w:color="auto" w:fill="FFFFFF"/>
        </w:rPr>
        <w:t>.</w:t>
      </w:r>
      <w:r w:rsidRPr="00B93AB3">
        <w:rPr>
          <w:rFonts w:asciiTheme="minorHAnsi" w:hAnsiTheme="minorHAnsi"/>
          <w:sz w:val="22"/>
          <w:szCs w:val="22"/>
        </w:rPr>
        <w:t xml:space="preserve"> Retrieved from: http://intarch.ac.uk/journal/issue17/5/toc.html </w:t>
      </w:r>
    </w:p>
    <w:p w14:paraId="743CF6D7" w14:textId="77777777" w:rsidR="002D3517" w:rsidRPr="00B93AB3" w:rsidRDefault="002D3517" w:rsidP="002D3517">
      <w:pPr>
        <w:pStyle w:val="Default"/>
        <w:spacing w:before="100" w:beforeAutospacing="1" w:after="100" w:afterAutospacing="1"/>
        <w:ind w:left="475" w:hanging="475"/>
        <w:rPr>
          <w:rFonts w:asciiTheme="minorHAnsi" w:hAnsiTheme="minorHAnsi"/>
          <w:sz w:val="22"/>
          <w:szCs w:val="22"/>
        </w:rPr>
      </w:pPr>
      <w:r w:rsidRPr="00B93AB3">
        <w:rPr>
          <w:rFonts w:asciiTheme="minorHAnsi" w:hAnsiTheme="minorHAnsi"/>
          <w:sz w:val="22"/>
          <w:szCs w:val="22"/>
        </w:rPr>
        <w:t>Faniel, I., Kansa, E., Kansa, S., Barrera-Gomez, J., &amp; Yakel, E. (2013). The challenges of digging data: A study of context in archaeological data reuse.</w:t>
      </w:r>
      <w:r w:rsidRPr="00B93AB3">
        <w:rPr>
          <w:rFonts w:asciiTheme="minorHAnsi" w:hAnsiTheme="minorHAnsi"/>
          <w:i/>
          <w:sz w:val="22"/>
          <w:szCs w:val="22"/>
        </w:rPr>
        <w:t xml:space="preserve"> JCDL Proceedings of the 13th ACM/IEEE-CS Joint Conference on Digital Libraries, </w:t>
      </w:r>
      <w:r w:rsidRPr="00B93AB3">
        <w:rPr>
          <w:rFonts w:asciiTheme="minorHAnsi" w:hAnsiTheme="minorHAnsi"/>
          <w:sz w:val="22"/>
          <w:szCs w:val="22"/>
        </w:rPr>
        <w:t>295-304. New York, NY: ACM. doi:10.1145/2467696.2467712.</w:t>
      </w:r>
    </w:p>
    <w:p w14:paraId="61D67975" w14:textId="77777777" w:rsidR="002D3517" w:rsidRPr="00B93AB3" w:rsidRDefault="002D3517" w:rsidP="002D3517">
      <w:pPr>
        <w:spacing w:before="100" w:beforeAutospacing="1" w:after="100" w:afterAutospacing="1" w:line="240" w:lineRule="auto"/>
        <w:ind w:left="475" w:hanging="475"/>
      </w:pPr>
      <w:r w:rsidRPr="00B93AB3">
        <w:t xml:space="preserve">Fantoni, S. F., Stein, R., &amp; Bowman, G. (2012). Exploring the relationship between visitor motivation and engagement in online museum audiences. </w:t>
      </w:r>
      <w:r w:rsidRPr="00B93AB3">
        <w:rPr>
          <w:i/>
        </w:rPr>
        <w:t>Museums and the Web 2012: Proceedings</w:t>
      </w:r>
      <w:r w:rsidRPr="00B93AB3">
        <w:t xml:space="preserve">. Toronto: Archives &amp; Museum Informatics. Consulted October 15, 2013. </w:t>
      </w:r>
      <w:r w:rsidR="001901A7" w:rsidRPr="00EB633C">
        <w:rPr>
          <w:rFonts w:eastAsia="Times New Roman" w:cs="Times New Roman"/>
        </w:rPr>
        <w:t>Retrieved from</w:t>
      </w:r>
      <w:r w:rsidRPr="00B93AB3">
        <w:t>: http://www.museumsandtheweb.com/mw2012/papers/exploring_the_relationship_between_visitor_mot.html</w:t>
      </w:r>
    </w:p>
    <w:p w14:paraId="7BFE784F" w14:textId="77777777" w:rsidR="002D3517" w:rsidRPr="00B93AB3" w:rsidRDefault="002D3517" w:rsidP="002D3517">
      <w:pPr>
        <w:spacing w:before="100" w:beforeAutospacing="1" w:after="100" w:afterAutospacing="1" w:line="240" w:lineRule="auto"/>
        <w:ind w:left="475" w:hanging="475"/>
      </w:pPr>
      <w:r w:rsidRPr="00B93AB3">
        <w:t>Freeman, M. (2011, April 12). Should you object? Mount Vernon midden archaeology. [Blog post]. Retrieved from:  http://storiespast.blogspot.com/2011/04/should-you-object-mount-vernon-midden.html</w:t>
      </w:r>
    </w:p>
    <w:p w14:paraId="6C5A63BC" w14:textId="77777777" w:rsidR="002D3517" w:rsidRDefault="002D3517" w:rsidP="002D3517">
      <w:pPr>
        <w:spacing w:before="100" w:beforeAutospacing="1" w:after="100" w:afterAutospacing="1" w:line="240" w:lineRule="auto"/>
        <w:ind w:left="475" w:hanging="475"/>
      </w:pPr>
      <w:r w:rsidRPr="00B93AB3">
        <w:t xml:space="preserve">Freeman, M. (2013). NPS web catalog study. Unpublished. </w:t>
      </w:r>
      <w:r w:rsidR="001901A7" w:rsidRPr="00EB633C">
        <w:rPr>
          <w:rFonts w:eastAsia="Times New Roman" w:cs="Times New Roman"/>
        </w:rPr>
        <w:t>Retrieved from</w:t>
      </w:r>
      <w:r w:rsidRPr="00B93AB3">
        <w:t xml:space="preserve">: </w:t>
      </w:r>
      <w:r w:rsidRPr="00B44D78">
        <w:t>https://www.academia.edu/5790012/NPS_Web_Catalog_Study</w:t>
      </w:r>
      <w:r w:rsidRPr="00B93AB3">
        <w:t xml:space="preserve"> </w:t>
      </w:r>
    </w:p>
    <w:p w14:paraId="62B11902" w14:textId="77777777" w:rsidR="002D3517" w:rsidRPr="00B93AB3" w:rsidRDefault="002D3517" w:rsidP="002D3517">
      <w:pPr>
        <w:spacing w:before="100" w:beforeAutospacing="1" w:after="100" w:afterAutospacing="1" w:line="240" w:lineRule="auto"/>
        <w:ind w:left="475" w:hanging="475"/>
      </w:pPr>
      <w:r>
        <w:lastRenderedPageBreak/>
        <w:t>Freeman, M. (2015</w:t>
      </w:r>
      <w:r w:rsidRPr="00B93AB3">
        <w:t xml:space="preserve">). </w:t>
      </w:r>
      <w:r>
        <w:t>Digital Archaeology; A new specialization</w:t>
      </w:r>
      <w:r w:rsidRPr="00B93AB3">
        <w:t xml:space="preserve">. </w:t>
      </w:r>
      <w:r w:rsidR="001901A7" w:rsidRPr="00EB633C">
        <w:rPr>
          <w:rFonts w:eastAsia="Times New Roman" w:cs="Times New Roman"/>
        </w:rPr>
        <w:t>Retrieved from</w:t>
      </w:r>
      <w:r w:rsidRPr="00B93AB3">
        <w:t>: https://www.academia.e</w:t>
      </w:r>
      <w:r>
        <w:t>du/</w:t>
      </w:r>
      <w:r w:rsidRPr="00B93AB3">
        <w:t xml:space="preserve"> </w:t>
      </w:r>
    </w:p>
    <w:p w14:paraId="3F19495A" w14:textId="77777777" w:rsidR="002D3517" w:rsidRPr="00C53886" w:rsidRDefault="002D3517" w:rsidP="002D3517">
      <w:pPr>
        <w:spacing w:before="100" w:beforeAutospacing="1" w:after="100" w:afterAutospacing="1" w:line="240" w:lineRule="auto"/>
        <w:ind w:left="475" w:hanging="475"/>
      </w:pPr>
      <w:r>
        <w:t xml:space="preserve">Galle, G. (2012, May 29). </w:t>
      </w:r>
      <w:r w:rsidRPr="00E52BCC">
        <w:t>Will today’s graduate training in Historical Archaeology predict the future of digital research archives?</w:t>
      </w:r>
      <w:r w:rsidR="00940DE5">
        <w:t xml:space="preserve"> [Blog p</w:t>
      </w:r>
      <w:r>
        <w:t xml:space="preserve">ost]. Retrieved from: </w:t>
      </w:r>
      <w:r w:rsidRPr="00C53886">
        <w:t>http://www.sha.org/blog/index.php/2012/05/will-todays-graduate-training-in-historical-archaeology-predict-the-future-of-digital-research-archives/</w:t>
      </w:r>
    </w:p>
    <w:p w14:paraId="481FE38D" w14:textId="77777777" w:rsidR="002D3517" w:rsidRPr="00B93AB3" w:rsidRDefault="002D3517" w:rsidP="002D3517">
      <w:pPr>
        <w:spacing w:before="100" w:beforeAutospacing="1" w:after="100" w:afterAutospacing="1" w:line="240" w:lineRule="auto"/>
        <w:ind w:left="475" w:hanging="475"/>
      </w:pPr>
      <w:r w:rsidRPr="00B93AB3">
        <w:t xml:space="preserve">Gurstein, M. (2011). Open data: empowering the empowered or effective data use for everyone?. </w:t>
      </w:r>
      <w:r w:rsidRPr="00B93AB3">
        <w:rPr>
          <w:rStyle w:val="Emphasis"/>
        </w:rPr>
        <w:t>First Monday, 16</w:t>
      </w:r>
      <w:r w:rsidRPr="00B93AB3">
        <w:t>(2). doi:10.5210/fm.v16i2.3316</w:t>
      </w:r>
    </w:p>
    <w:p w14:paraId="0A697A9B" w14:textId="77777777" w:rsidR="002D3517" w:rsidRPr="00F0022F" w:rsidRDefault="00DE27C6" w:rsidP="002D3517">
      <w:pPr>
        <w:autoSpaceDE w:val="0"/>
        <w:autoSpaceDN w:val="0"/>
        <w:adjustRightInd w:val="0"/>
        <w:spacing w:before="100" w:beforeAutospacing="1" w:after="100" w:afterAutospacing="1" w:line="240" w:lineRule="auto"/>
        <w:ind w:left="475" w:hanging="475"/>
        <w:rPr>
          <w:rFonts w:ascii="Calibri" w:hAnsi="Calibri"/>
        </w:rPr>
      </w:pPr>
      <w:r>
        <w:t>Hamma, K.</w:t>
      </w:r>
      <w:r w:rsidR="002D3517" w:rsidRPr="00B93AB3">
        <w:t xml:space="preserve"> (2004). The </w:t>
      </w:r>
      <w:r w:rsidR="002D3517" w:rsidRPr="00F0022F">
        <w:rPr>
          <w:rFonts w:ascii="Calibri" w:hAnsi="Calibri"/>
        </w:rPr>
        <w:t xml:space="preserve">role of museums in online teaching, learning, and research. </w:t>
      </w:r>
      <w:r w:rsidR="002D3517" w:rsidRPr="00F0022F">
        <w:rPr>
          <w:rFonts w:ascii="Calibri" w:hAnsi="Calibri"/>
          <w:i/>
          <w:iCs/>
        </w:rPr>
        <w:t>First Monday</w:t>
      </w:r>
      <w:r w:rsidR="002D3517" w:rsidRPr="00F0022F">
        <w:rPr>
          <w:rFonts w:ascii="Calibri" w:hAnsi="Calibri"/>
        </w:rPr>
        <w:t xml:space="preserve">. </w:t>
      </w:r>
      <w:r w:rsidR="002D3517" w:rsidRPr="00F0022F">
        <w:rPr>
          <w:rFonts w:ascii="Calibri" w:hAnsi="Calibri"/>
          <w:i/>
        </w:rPr>
        <w:t>9(5).</w:t>
      </w:r>
      <w:r w:rsidR="002D3517" w:rsidRPr="00F0022F">
        <w:rPr>
          <w:rFonts w:ascii="Calibri" w:hAnsi="Calibri"/>
        </w:rPr>
        <w:t xml:space="preserve"> Retrieved from</w:t>
      </w:r>
      <w:r w:rsidR="001901A7">
        <w:rPr>
          <w:rFonts w:ascii="Calibri" w:hAnsi="Calibri"/>
        </w:rPr>
        <w:t>:</w:t>
      </w:r>
      <w:r w:rsidR="002D3517" w:rsidRPr="00F0022F">
        <w:rPr>
          <w:rFonts w:ascii="Calibri" w:hAnsi="Calibri"/>
        </w:rPr>
        <w:t xml:space="preserve"> http://firstmonday.org/ojs/index.php/fm/rt/printerFriendly/1146/1066  </w:t>
      </w:r>
    </w:p>
    <w:p w14:paraId="0B9152BF" w14:textId="77777777" w:rsidR="002D3517" w:rsidRPr="00F0022F" w:rsidRDefault="002D3517" w:rsidP="002D3517">
      <w:pPr>
        <w:pStyle w:val="NormalWeb"/>
        <w:ind w:left="475" w:hanging="475"/>
        <w:rPr>
          <w:rFonts w:ascii="Calibri" w:hAnsi="Calibri"/>
          <w:sz w:val="22"/>
          <w:szCs w:val="22"/>
        </w:rPr>
      </w:pPr>
      <w:r w:rsidRPr="00F0022F">
        <w:rPr>
          <w:rFonts w:ascii="Calibri" w:hAnsi="Calibri"/>
          <w:sz w:val="22"/>
          <w:szCs w:val="22"/>
        </w:rPr>
        <w:t>Hank</w:t>
      </w:r>
      <w:r w:rsidR="00C875C7">
        <w:rPr>
          <w:rFonts w:ascii="Calibri" w:hAnsi="Calibri"/>
          <w:sz w:val="22"/>
          <w:szCs w:val="22"/>
        </w:rPr>
        <w:t>, C. (2013). Communications in blogademia: An Assessment of s</w:t>
      </w:r>
      <w:r w:rsidRPr="00F0022F">
        <w:rPr>
          <w:rFonts w:ascii="Calibri" w:hAnsi="Calibri"/>
          <w:sz w:val="22"/>
          <w:szCs w:val="22"/>
        </w:rPr>
        <w:t xml:space="preserve">cholar </w:t>
      </w:r>
      <w:r w:rsidR="00C875C7">
        <w:rPr>
          <w:rFonts w:ascii="Calibri" w:hAnsi="Calibri"/>
          <w:sz w:val="22"/>
          <w:szCs w:val="22"/>
        </w:rPr>
        <w:t>b</w:t>
      </w:r>
      <w:r w:rsidRPr="00F0022F">
        <w:rPr>
          <w:rFonts w:ascii="Calibri" w:hAnsi="Calibri"/>
          <w:sz w:val="22"/>
          <w:szCs w:val="22"/>
        </w:rPr>
        <w:t xml:space="preserve">logs’ </w:t>
      </w:r>
      <w:r w:rsidR="00C875C7">
        <w:rPr>
          <w:rFonts w:ascii="Calibri" w:hAnsi="Calibri"/>
          <w:sz w:val="22"/>
          <w:szCs w:val="22"/>
        </w:rPr>
        <w:t>a</w:t>
      </w:r>
      <w:r w:rsidRPr="00F0022F">
        <w:rPr>
          <w:rFonts w:ascii="Calibri" w:hAnsi="Calibri"/>
          <w:sz w:val="22"/>
          <w:szCs w:val="22"/>
        </w:rPr>
        <w:t xml:space="preserve">ttributes and </w:t>
      </w:r>
      <w:r w:rsidR="00C875C7">
        <w:rPr>
          <w:rFonts w:ascii="Calibri" w:hAnsi="Calibri"/>
          <w:sz w:val="22"/>
          <w:szCs w:val="22"/>
        </w:rPr>
        <w:t>f</w:t>
      </w:r>
      <w:r w:rsidRPr="00F0022F">
        <w:rPr>
          <w:rFonts w:ascii="Calibri" w:hAnsi="Calibri"/>
          <w:sz w:val="22"/>
          <w:szCs w:val="22"/>
        </w:rPr>
        <w:t xml:space="preserve">unctions. </w:t>
      </w:r>
      <w:r w:rsidRPr="00F0022F">
        <w:rPr>
          <w:rFonts w:ascii="Calibri" w:hAnsi="Calibri"/>
          <w:i/>
          <w:iCs/>
          <w:sz w:val="22"/>
          <w:szCs w:val="22"/>
        </w:rPr>
        <w:t>New Review of Information Networking</w:t>
      </w:r>
      <w:r w:rsidRPr="00F0022F">
        <w:rPr>
          <w:rFonts w:ascii="Calibri" w:hAnsi="Calibri"/>
          <w:sz w:val="22"/>
          <w:szCs w:val="22"/>
        </w:rPr>
        <w:t xml:space="preserve">, </w:t>
      </w:r>
      <w:r w:rsidRPr="00F0022F">
        <w:rPr>
          <w:rFonts w:ascii="Calibri" w:hAnsi="Calibri"/>
          <w:i/>
          <w:iCs/>
          <w:sz w:val="22"/>
          <w:szCs w:val="22"/>
        </w:rPr>
        <w:t>18</w:t>
      </w:r>
      <w:r w:rsidRPr="00F0022F">
        <w:rPr>
          <w:rFonts w:ascii="Calibri" w:hAnsi="Calibri"/>
          <w:sz w:val="22"/>
          <w:szCs w:val="22"/>
        </w:rPr>
        <w:t>(2), 51–69. doi:10.1080/13614576.2013.802179</w:t>
      </w:r>
    </w:p>
    <w:p w14:paraId="612012F8" w14:textId="77777777" w:rsidR="00184EE4" w:rsidRPr="00313989" w:rsidRDefault="00184EE4" w:rsidP="00184EE4">
      <w:pPr>
        <w:spacing w:before="100" w:beforeAutospacing="1" w:after="100" w:afterAutospacing="1" w:line="240" w:lineRule="auto"/>
        <w:ind w:left="480" w:hanging="480"/>
        <w:rPr>
          <w:rFonts w:eastAsia="Times New Roman" w:cs="Times New Roman"/>
        </w:rPr>
      </w:pPr>
      <w:r w:rsidRPr="00313989">
        <w:rPr>
          <w:rFonts w:eastAsia="Times New Roman" w:cs="Times New Roman"/>
        </w:rPr>
        <w:t xml:space="preserve">Harley, D., Accord, S. K., Earl-Novell, S., Lawrence, S., &amp; King, C. J. (2010). </w:t>
      </w:r>
      <w:r w:rsidRPr="00313989">
        <w:rPr>
          <w:rFonts w:eastAsia="Times New Roman" w:cs="Times New Roman"/>
          <w:i/>
          <w:iCs/>
        </w:rPr>
        <w:t>Assessing the Future Landscape of Scholarly Communication: An Exploration of Faculty Values and Needs in Seven Disciplines</w:t>
      </w:r>
      <w:r w:rsidRPr="00313989">
        <w:rPr>
          <w:rFonts w:eastAsia="Times New Roman" w:cs="Times New Roman"/>
        </w:rPr>
        <w:t>. UC Berkeley. Retrieved from</w:t>
      </w:r>
      <w:r w:rsidR="001901A7">
        <w:rPr>
          <w:rFonts w:eastAsia="Times New Roman" w:cs="Times New Roman"/>
        </w:rPr>
        <w:t>:</w:t>
      </w:r>
      <w:r w:rsidRPr="00313989">
        <w:rPr>
          <w:rFonts w:eastAsia="Times New Roman" w:cs="Times New Roman"/>
        </w:rPr>
        <w:t xml:space="preserve"> http://escholarship.org/uc/item/15x7385g</w:t>
      </w:r>
    </w:p>
    <w:p w14:paraId="2684AD08" w14:textId="77777777" w:rsidR="002D3517" w:rsidRPr="00B93AB3" w:rsidRDefault="002D3517" w:rsidP="002D3517">
      <w:pPr>
        <w:autoSpaceDE w:val="0"/>
        <w:autoSpaceDN w:val="0"/>
        <w:adjustRightInd w:val="0"/>
        <w:spacing w:before="100" w:beforeAutospacing="1" w:after="100" w:afterAutospacing="1" w:line="240" w:lineRule="auto"/>
        <w:ind w:left="475" w:hanging="475"/>
      </w:pPr>
      <w:r w:rsidRPr="00B93AB3">
        <w:t xml:space="preserve">Heritage Bytes (2012). Developing the </w:t>
      </w:r>
      <w:r w:rsidR="00C875C7">
        <w:t>c</w:t>
      </w:r>
      <w:r w:rsidRPr="00B93AB3">
        <w:t>yberinfrastructure for a national</w:t>
      </w:r>
      <w:r w:rsidR="00940DE5">
        <w:t xml:space="preserve"> archaeological site database. [</w:t>
      </w:r>
      <w:r w:rsidR="00940DE5" w:rsidRPr="00B93AB3">
        <w:t>Blog post</w:t>
      </w:r>
      <w:r w:rsidR="00940DE5">
        <w:t xml:space="preserve">] </w:t>
      </w:r>
      <w:r w:rsidRPr="00B93AB3">
        <w:t>Retrieved from</w:t>
      </w:r>
      <w:r w:rsidR="001901A7">
        <w:t>:</w:t>
      </w:r>
      <w:r w:rsidRPr="00B93AB3">
        <w:t xml:space="preserve"> http://ux.opencontext.org/blog/wp-content/uploads/2012/09/DINAA-NASD-Technical-Proposal-2011.pdf</w:t>
      </w:r>
    </w:p>
    <w:p w14:paraId="4AEEC5D3" w14:textId="77777777" w:rsidR="002D3517" w:rsidRPr="00B93AB3" w:rsidRDefault="002D3517" w:rsidP="002D3517">
      <w:pPr>
        <w:spacing w:before="100" w:beforeAutospacing="1" w:after="100" w:afterAutospacing="1" w:line="240" w:lineRule="auto"/>
        <w:ind w:left="475" w:hanging="475"/>
      </w:pPr>
      <w:r w:rsidRPr="00B93AB3">
        <w:t xml:space="preserve">Jamestown (2014). </w:t>
      </w:r>
      <w:r w:rsidRPr="00B93AB3">
        <w:rPr>
          <w:rStyle w:val="watch-title"/>
          <w:rFonts w:cs="Arial"/>
          <w:bCs/>
          <w:color w:val="222222"/>
          <w:bdr w:val="none" w:sz="0" w:space="0" w:color="auto" w:frame="1"/>
        </w:rPr>
        <w:t>Public archaeology enhanced by today's technology. [Video] Retrieved from</w:t>
      </w:r>
      <w:r w:rsidR="001901A7">
        <w:rPr>
          <w:rStyle w:val="watch-title"/>
          <w:rFonts w:cs="Arial"/>
          <w:bCs/>
          <w:color w:val="222222"/>
          <w:bdr w:val="none" w:sz="0" w:space="0" w:color="auto" w:frame="1"/>
        </w:rPr>
        <w:t xml:space="preserve">: </w:t>
      </w:r>
      <w:r w:rsidRPr="00B93AB3">
        <w:t>http://www.youtube.com/watch?v=0sPa2nq09SE&amp;list=UUVtdK0zt6-tj4FlWOEHfJiw</w:t>
      </w:r>
    </w:p>
    <w:p w14:paraId="45281927" w14:textId="77777777" w:rsidR="002D3517" w:rsidRPr="00B93AB3" w:rsidRDefault="002D3517" w:rsidP="002D3517">
      <w:pPr>
        <w:pStyle w:val="NormalWeb"/>
        <w:ind w:left="475" w:hanging="475"/>
        <w:rPr>
          <w:rFonts w:asciiTheme="minorHAnsi" w:hAnsiTheme="minorHAnsi"/>
          <w:sz w:val="22"/>
          <w:szCs w:val="22"/>
        </w:rPr>
      </w:pPr>
      <w:r w:rsidRPr="00B93AB3">
        <w:rPr>
          <w:rFonts w:asciiTheme="minorHAnsi" w:hAnsiTheme="minorHAnsi"/>
          <w:sz w:val="22"/>
          <w:szCs w:val="22"/>
        </w:rPr>
        <w:t xml:space="preserve">Jeffrey, S. (2012). A new </w:t>
      </w:r>
      <w:r w:rsidR="00C875C7">
        <w:rPr>
          <w:rFonts w:asciiTheme="minorHAnsi" w:hAnsiTheme="minorHAnsi"/>
          <w:sz w:val="22"/>
          <w:szCs w:val="22"/>
        </w:rPr>
        <w:t>d</w:t>
      </w:r>
      <w:r w:rsidRPr="00B93AB3">
        <w:rPr>
          <w:rFonts w:asciiTheme="minorHAnsi" w:hAnsiTheme="minorHAnsi"/>
          <w:sz w:val="22"/>
          <w:szCs w:val="22"/>
        </w:rPr>
        <w:t xml:space="preserve">igital </w:t>
      </w:r>
      <w:r w:rsidR="00C875C7">
        <w:rPr>
          <w:rFonts w:asciiTheme="minorHAnsi" w:hAnsiTheme="minorHAnsi"/>
          <w:sz w:val="22"/>
          <w:szCs w:val="22"/>
        </w:rPr>
        <w:t>d</w:t>
      </w:r>
      <w:r w:rsidRPr="00B93AB3">
        <w:rPr>
          <w:rFonts w:asciiTheme="minorHAnsi" w:hAnsiTheme="minorHAnsi"/>
          <w:sz w:val="22"/>
          <w:szCs w:val="22"/>
        </w:rPr>
        <w:t xml:space="preserve">ark </w:t>
      </w:r>
      <w:r w:rsidR="00C875C7">
        <w:rPr>
          <w:rFonts w:asciiTheme="minorHAnsi" w:hAnsiTheme="minorHAnsi"/>
          <w:sz w:val="22"/>
          <w:szCs w:val="22"/>
        </w:rPr>
        <w:t>a</w:t>
      </w:r>
      <w:r w:rsidRPr="00B93AB3">
        <w:rPr>
          <w:rFonts w:asciiTheme="minorHAnsi" w:hAnsiTheme="minorHAnsi"/>
          <w:sz w:val="22"/>
          <w:szCs w:val="22"/>
        </w:rPr>
        <w:t xml:space="preserve">ge? Collaborative web tools, social media and long-term preservation. </w:t>
      </w:r>
      <w:r w:rsidRPr="00B93AB3">
        <w:rPr>
          <w:rFonts w:asciiTheme="minorHAnsi" w:hAnsiTheme="minorHAnsi"/>
          <w:i/>
          <w:iCs/>
          <w:sz w:val="22"/>
          <w:szCs w:val="22"/>
        </w:rPr>
        <w:t>World Archaeology</w:t>
      </w:r>
      <w:r w:rsidRPr="00B93AB3">
        <w:rPr>
          <w:rFonts w:asciiTheme="minorHAnsi" w:hAnsiTheme="minorHAnsi"/>
          <w:sz w:val="22"/>
          <w:szCs w:val="22"/>
        </w:rPr>
        <w:t xml:space="preserve">, </w:t>
      </w:r>
      <w:r w:rsidRPr="00B93AB3">
        <w:rPr>
          <w:rFonts w:asciiTheme="minorHAnsi" w:hAnsiTheme="minorHAnsi"/>
          <w:i/>
          <w:iCs/>
          <w:sz w:val="22"/>
          <w:szCs w:val="22"/>
        </w:rPr>
        <w:t>44</w:t>
      </w:r>
      <w:r w:rsidRPr="00B93AB3">
        <w:rPr>
          <w:rFonts w:asciiTheme="minorHAnsi" w:hAnsiTheme="minorHAnsi"/>
          <w:i/>
          <w:sz w:val="22"/>
          <w:szCs w:val="22"/>
        </w:rPr>
        <w:t>(4)</w:t>
      </w:r>
      <w:r w:rsidRPr="00B93AB3">
        <w:rPr>
          <w:rFonts w:asciiTheme="minorHAnsi" w:hAnsiTheme="minorHAnsi"/>
          <w:sz w:val="22"/>
          <w:szCs w:val="22"/>
        </w:rPr>
        <w:t>, 553–570. doi:10.1080/00438243.2012.737579</w:t>
      </w:r>
    </w:p>
    <w:p w14:paraId="2E59BD6B" w14:textId="77777777" w:rsidR="005227A3" w:rsidRDefault="005227A3" w:rsidP="002D3517">
      <w:pPr>
        <w:spacing w:before="100" w:beforeAutospacing="1" w:after="100" w:afterAutospacing="1" w:line="240" w:lineRule="auto"/>
        <w:ind w:left="475" w:hanging="475"/>
        <w:rPr>
          <w:shd w:val="clear" w:color="auto" w:fill="FFFFFF"/>
        </w:rPr>
      </w:pPr>
      <w:r w:rsidRPr="005227A3">
        <w:rPr>
          <w:shd w:val="clear" w:color="auto" w:fill="FFFFFF"/>
        </w:rPr>
        <w:t>JOAD. (n.d.).  Why share archaeology data (image). Retrieved from</w:t>
      </w:r>
      <w:r w:rsidR="001901A7">
        <w:rPr>
          <w:shd w:val="clear" w:color="auto" w:fill="FFFFFF"/>
        </w:rPr>
        <w:t xml:space="preserve">: </w:t>
      </w:r>
      <w:r w:rsidRPr="005227A3">
        <w:rPr>
          <w:shd w:val="clear" w:color="auto" w:fill="FFFFFF"/>
        </w:rPr>
        <w:t>http://openarchaeologydata.metajnl.com/about.html</w:t>
      </w:r>
      <w:r>
        <w:rPr>
          <w:shd w:val="clear" w:color="auto" w:fill="FFFFFF"/>
        </w:rPr>
        <w:t xml:space="preserve"> </w:t>
      </w:r>
    </w:p>
    <w:p w14:paraId="43C479F4" w14:textId="77777777" w:rsidR="002D3517" w:rsidRPr="00B93AB3" w:rsidRDefault="002D3517" w:rsidP="002D3517">
      <w:pPr>
        <w:spacing w:before="100" w:beforeAutospacing="1" w:after="100" w:afterAutospacing="1" w:line="240" w:lineRule="auto"/>
        <w:ind w:left="475" w:hanging="475"/>
      </w:pPr>
      <w:r w:rsidRPr="00B93AB3">
        <w:rPr>
          <w:shd w:val="clear" w:color="auto" w:fill="FFFFFF"/>
        </w:rPr>
        <w:t xml:space="preserve">Jones, S., MacSween, A., Jeffrey, S., Morris, R. </w:t>
      </w:r>
      <w:r w:rsidR="00DE27C6">
        <w:rPr>
          <w:shd w:val="clear" w:color="auto" w:fill="FFFFFF"/>
        </w:rPr>
        <w:t>,</w:t>
      </w:r>
      <w:r w:rsidRPr="00B93AB3">
        <w:rPr>
          <w:shd w:val="clear" w:color="auto" w:fill="FFFFFF"/>
        </w:rPr>
        <w:t xml:space="preserve"> </w:t>
      </w:r>
      <w:r w:rsidR="00DE27C6">
        <w:rPr>
          <w:shd w:val="clear" w:color="auto" w:fill="FFFFFF"/>
        </w:rPr>
        <w:t xml:space="preserve">&amp; </w:t>
      </w:r>
      <w:r w:rsidRPr="00B93AB3">
        <w:rPr>
          <w:shd w:val="clear" w:color="auto" w:fill="FFFFFF"/>
        </w:rPr>
        <w:t xml:space="preserve">Heyworth, M. (2003). </w:t>
      </w:r>
      <w:r w:rsidRPr="00B93AB3">
        <w:rPr>
          <w:rStyle w:val="apple-converted-space"/>
          <w:color w:val="000000"/>
          <w:shd w:val="clear" w:color="auto" w:fill="FFFFFF"/>
        </w:rPr>
        <w:t> </w:t>
      </w:r>
      <w:r w:rsidRPr="00B93AB3">
        <w:rPr>
          <w:color w:val="000000"/>
          <w:shd w:val="clear" w:color="auto" w:fill="FFFFFF"/>
        </w:rPr>
        <w:t xml:space="preserve">'From the </w:t>
      </w:r>
      <w:r w:rsidR="00C875C7">
        <w:rPr>
          <w:color w:val="000000"/>
          <w:shd w:val="clear" w:color="auto" w:fill="FFFFFF"/>
        </w:rPr>
        <w:t>g</w:t>
      </w:r>
      <w:r w:rsidRPr="00B93AB3">
        <w:rPr>
          <w:color w:val="000000"/>
          <w:shd w:val="clear" w:color="auto" w:fill="FFFFFF"/>
        </w:rPr>
        <w:t xml:space="preserve">round </w:t>
      </w:r>
      <w:r w:rsidR="001901A7">
        <w:rPr>
          <w:color w:val="000000"/>
          <w:shd w:val="clear" w:color="auto" w:fill="FFFFFF"/>
        </w:rPr>
        <w:t>u</w:t>
      </w:r>
      <w:r w:rsidRPr="00B93AB3">
        <w:rPr>
          <w:color w:val="000000"/>
          <w:shd w:val="clear" w:color="auto" w:fill="FFFFFF"/>
        </w:rPr>
        <w:t>p</w:t>
      </w:r>
      <w:r w:rsidRPr="00B93AB3">
        <w:rPr>
          <w:rStyle w:val="apple-converted-space"/>
          <w:color w:val="000000"/>
          <w:shd w:val="clear" w:color="auto" w:fill="FFFFFF"/>
        </w:rPr>
        <w:t> </w:t>
      </w:r>
      <w:r w:rsidRPr="00B93AB3">
        <w:rPr>
          <w:color w:val="000000"/>
        </w:rPr>
        <w:br/>
      </w:r>
      <w:r w:rsidR="00C875C7">
        <w:rPr>
          <w:color w:val="000000"/>
          <w:shd w:val="clear" w:color="auto" w:fill="FFFFFF"/>
        </w:rPr>
        <w:t>t</w:t>
      </w:r>
      <w:r w:rsidRPr="00B93AB3">
        <w:rPr>
          <w:color w:val="000000"/>
          <w:shd w:val="clear" w:color="auto" w:fill="FFFFFF"/>
        </w:rPr>
        <w:t xml:space="preserve">he </w:t>
      </w:r>
      <w:r w:rsidR="00C875C7">
        <w:rPr>
          <w:color w:val="000000"/>
          <w:shd w:val="clear" w:color="auto" w:fill="FFFFFF"/>
        </w:rPr>
        <w:t>p</w:t>
      </w:r>
      <w:r w:rsidRPr="00B93AB3">
        <w:rPr>
          <w:color w:val="000000"/>
          <w:shd w:val="clear" w:color="auto" w:fill="FFFFFF"/>
        </w:rPr>
        <w:t xml:space="preserve">ublication of </w:t>
      </w:r>
      <w:r w:rsidR="00C875C7">
        <w:rPr>
          <w:color w:val="000000"/>
          <w:shd w:val="clear" w:color="auto" w:fill="FFFFFF"/>
        </w:rPr>
        <w:t>a</w:t>
      </w:r>
      <w:r w:rsidRPr="00B93AB3">
        <w:rPr>
          <w:color w:val="000000"/>
          <w:shd w:val="clear" w:color="auto" w:fill="FFFFFF"/>
        </w:rPr>
        <w:t xml:space="preserve">rchaeological </w:t>
      </w:r>
      <w:r w:rsidR="00C875C7">
        <w:rPr>
          <w:color w:val="000000"/>
          <w:shd w:val="clear" w:color="auto" w:fill="FFFFFF"/>
        </w:rPr>
        <w:t>projects: a user needs survey</w:t>
      </w:r>
      <w:r w:rsidRPr="00B93AB3">
        <w:rPr>
          <w:color w:val="000000"/>
          <w:shd w:val="clear" w:color="auto" w:fill="FFFFFF"/>
        </w:rPr>
        <w:t>', Internet Archaeology</w:t>
      </w:r>
      <w:r w:rsidRPr="00B93AB3">
        <w:rPr>
          <w:rStyle w:val="apple-converted-space"/>
          <w:color w:val="000000"/>
          <w:shd w:val="clear" w:color="auto" w:fill="FFFFFF"/>
        </w:rPr>
        <w:t> </w:t>
      </w:r>
      <w:r w:rsidRPr="00B93AB3">
        <w:rPr>
          <w:rStyle w:val="Strong"/>
          <w:color w:val="000000"/>
          <w:shd w:val="clear" w:color="auto" w:fill="FFFFFF"/>
        </w:rPr>
        <w:t xml:space="preserve">14. </w:t>
      </w:r>
      <w:r w:rsidRPr="00B93AB3">
        <w:rPr>
          <w:shd w:val="clear" w:color="auto" w:fill="FFFFFF"/>
        </w:rPr>
        <w:t>Retrieved from: http://intarch.ac.uk/journal/issue14/puns_index.html.</w:t>
      </w:r>
    </w:p>
    <w:p w14:paraId="63875570" w14:textId="77777777" w:rsidR="002D3517" w:rsidRPr="00B93AB3" w:rsidRDefault="002D3517" w:rsidP="002D3517">
      <w:pPr>
        <w:pStyle w:val="NormalWeb"/>
        <w:ind w:left="475" w:hanging="475"/>
        <w:rPr>
          <w:rFonts w:asciiTheme="minorHAnsi" w:hAnsiTheme="minorHAnsi"/>
          <w:color w:val="000000"/>
          <w:sz w:val="22"/>
          <w:szCs w:val="22"/>
          <w:shd w:val="clear" w:color="auto" w:fill="FFFFFF"/>
        </w:rPr>
      </w:pPr>
      <w:r w:rsidRPr="00B93AB3">
        <w:rPr>
          <w:rFonts w:asciiTheme="minorHAnsi" w:hAnsiTheme="minorHAnsi"/>
          <w:color w:val="000000"/>
          <w:sz w:val="22"/>
          <w:szCs w:val="22"/>
          <w:shd w:val="clear" w:color="auto" w:fill="FFFFFF"/>
        </w:rPr>
        <w:t xml:space="preserve">Kansa, E. (2005). A community approach to data integration: authorship and building meaningful links across diverse archaeological data sets. </w:t>
      </w:r>
      <w:r w:rsidRPr="00B93AB3">
        <w:rPr>
          <w:rStyle w:val="Emphasis"/>
          <w:rFonts w:asciiTheme="minorHAnsi" w:hAnsiTheme="minorHAnsi"/>
          <w:color w:val="000000"/>
          <w:sz w:val="22"/>
          <w:szCs w:val="22"/>
          <w:shd w:val="clear" w:color="auto" w:fill="FFFFFF"/>
        </w:rPr>
        <w:t>Geosphere</w:t>
      </w:r>
      <w:r w:rsidRPr="00B93AB3">
        <w:rPr>
          <w:rStyle w:val="apple-converted-space"/>
          <w:rFonts w:asciiTheme="minorHAnsi" w:hAnsiTheme="minorHAnsi"/>
          <w:color w:val="000000"/>
          <w:sz w:val="22"/>
          <w:szCs w:val="22"/>
          <w:shd w:val="clear" w:color="auto" w:fill="FFFFFF"/>
        </w:rPr>
        <w:t> </w:t>
      </w:r>
      <w:r w:rsidRPr="00B93AB3">
        <w:rPr>
          <w:rStyle w:val="Strong"/>
          <w:rFonts w:asciiTheme="minorHAnsi" w:hAnsiTheme="minorHAnsi"/>
          <w:color w:val="000000"/>
          <w:sz w:val="22"/>
          <w:szCs w:val="22"/>
          <w:shd w:val="clear" w:color="auto" w:fill="FFFFFF"/>
        </w:rPr>
        <w:t>1</w:t>
      </w:r>
      <w:r w:rsidRPr="00B93AB3">
        <w:rPr>
          <w:rFonts w:asciiTheme="minorHAnsi" w:hAnsiTheme="minorHAnsi"/>
          <w:color w:val="000000"/>
          <w:sz w:val="22"/>
          <w:szCs w:val="22"/>
          <w:shd w:val="clear" w:color="auto" w:fill="FFFFFF"/>
        </w:rPr>
        <w:t>(2), 97-109. Retrieved from: http://geosphere.gsapubs.org/content/1/2/97.full.pdf+html</w:t>
      </w:r>
    </w:p>
    <w:p w14:paraId="59E594AF" w14:textId="77777777" w:rsidR="002D3517" w:rsidRPr="00B93AB3" w:rsidRDefault="002D3517" w:rsidP="002D3517">
      <w:pPr>
        <w:pStyle w:val="NormalWeb"/>
        <w:ind w:left="475" w:hanging="475"/>
        <w:rPr>
          <w:rFonts w:asciiTheme="minorHAnsi" w:hAnsiTheme="minorHAnsi"/>
          <w:sz w:val="22"/>
          <w:szCs w:val="22"/>
        </w:rPr>
      </w:pPr>
      <w:r w:rsidRPr="00B93AB3">
        <w:rPr>
          <w:rFonts w:asciiTheme="minorHAnsi" w:hAnsiTheme="minorHAnsi"/>
          <w:sz w:val="22"/>
          <w:szCs w:val="22"/>
        </w:rPr>
        <w:t xml:space="preserve">Kansa, E. (2012). Openness and archaeology’s information ecosystem. </w:t>
      </w:r>
      <w:r w:rsidRPr="00B93AB3">
        <w:rPr>
          <w:rFonts w:asciiTheme="minorHAnsi" w:hAnsiTheme="minorHAnsi"/>
          <w:i/>
          <w:iCs/>
          <w:sz w:val="22"/>
          <w:szCs w:val="22"/>
        </w:rPr>
        <w:t>World Archaeology</w:t>
      </w:r>
      <w:r w:rsidRPr="00B93AB3">
        <w:rPr>
          <w:rFonts w:asciiTheme="minorHAnsi" w:hAnsiTheme="minorHAnsi"/>
          <w:sz w:val="22"/>
          <w:szCs w:val="22"/>
        </w:rPr>
        <w:t xml:space="preserve">, </w:t>
      </w:r>
      <w:r w:rsidRPr="00B93AB3">
        <w:rPr>
          <w:rFonts w:asciiTheme="minorHAnsi" w:hAnsiTheme="minorHAnsi"/>
          <w:i/>
          <w:iCs/>
          <w:sz w:val="22"/>
          <w:szCs w:val="22"/>
        </w:rPr>
        <w:t>44</w:t>
      </w:r>
      <w:r w:rsidRPr="00B93AB3">
        <w:rPr>
          <w:rFonts w:asciiTheme="minorHAnsi" w:hAnsiTheme="minorHAnsi"/>
          <w:sz w:val="22"/>
          <w:szCs w:val="22"/>
        </w:rPr>
        <w:t>(4), 498–520. doi:10.1080/00438243.2012.737575</w:t>
      </w:r>
    </w:p>
    <w:p w14:paraId="5785E619" w14:textId="77777777" w:rsidR="002D3517" w:rsidRPr="00B93AB3" w:rsidRDefault="002D3517" w:rsidP="002D3517">
      <w:pPr>
        <w:pStyle w:val="NormalWeb"/>
        <w:ind w:left="475" w:hanging="475"/>
        <w:rPr>
          <w:rFonts w:asciiTheme="minorHAnsi" w:hAnsiTheme="minorHAnsi"/>
          <w:sz w:val="22"/>
          <w:szCs w:val="22"/>
        </w:rPr>
      </w:pPr>
      <w:r w:rsidRPr="00B93AB3">
        <w:rPr>
          <w:rFonts w:asciiTheme="minorHAnsi" w:hAnsiTheme="minorHAnsi"/>
          <w:sz w:val="22"/>
          <w:szCs w:val="22"/>
        </w:rPr>
        <w:lastRenderedPageBreak/>
        <w:t xml:space="preserve">Kansa, E., &amp; Kansa, S.  (2010). Publishing data in Open Context: methods and perspectives. </w:t>
      </w:r>
      <w:r w:rsidRPr="00B93AB3">
        <w:rPr>
          <w:rFonts w:asciiTheme="minorHAnsi" w:hAnsiTheme="minorHAnsi"/>
          <w:i/>
          <w:iCs/>
          <w:sz w:val="22"/>
          <w:szCs w:val="22"/>
        </w:rPr>
        <w:t>CSA Newsletter</w:t>
      </w:r>
      <w:r w:rsidRPr="00B93AB3">
        <w:rPr>
          <w:rFonts w:asciiTheme="minorHAnsi" w:hAnsiTheme="minorHAnsi"/>
          <w:sz w:val="22"/>
          <w:szCs w:val="22"/>
        </w:rPr>
        <w:t xml:space="preserve">, </w:t>
      </w:r>
      <w:r w:rsidRPr="00B93AB3">
        <w:rPr>
          <w:rFonts w:asciiTheme="minorHAnsi" w:hAnsiTheme="minorHAnsi"/>
          <w:i/>
          <w:iCs/>
          <w:sz w:val="22"/>
          <w:szCs w:val="22"/>
        </w:rPr>
        <w:t>XXIII</w:t>
      </w:r>
      <w:r w:rsidRPr="00B93AB3">
        <w:rPr>
          <w:rFonts w:asciiTheme="minorHAnsi" w:hAnsiTheme="minorHAnsi"/>
          <w:sz w:val="22"/>
          <w:szCs w:val="22"/>
        </w:rPr>
        <w:t>(2). Retrieved from</w:t>
      </w:r>
      <w:r w:rsidR="0082108E">
        <w:rPr>
          <w:rFonts w:asciiTheme="minorHAnsi" w:hAnsiTheme="minorHAnsi"/>
          <w:sz w:val="22"/>
          <w:szCs w:val="22"/>
        </w:rPr>
        <w:t>:</w:t>
      </w:r>
      <w:r w:rsidRPr="00B93AB3">
        <w:rPr>
          <w:rFonts w:asciiTheme="minorHAnsi" w:hAnsiTheme="minorHAnsi"/>
          <w:sz w:val="22"/>
          <w:szCs w:val="22"/>
        </w:rPr>
        <w:t xml:space="preserve"> http://csanet.org/newsletter/fall10/nlf1001.html</w:t>
      </w:r>
    </w:p>
    <w:p w14:paraId="46D935D5" w14:textId="77777777" w:rsidR="002D3517" w:rsidRPr="00B93AB3" w:rsidRDefault="002D3517" w:rsidP="002D3517">
      <w:pPr>
        <w:autoSpaceDE w:val="0"/>
        <w:autoSpaceDN w:val="0"/>
        <w:adjustRightInd w:val="0"/>
        <w:spacing w:before="100" w:beforeAutospacing="1" w:after="100" w:afterAutospacing="1" w:line="240" w:lineRule="auto"/>
        <w:ind w:left="475" w:hanging="475"/>
      </w:pPr>
      <w:r w:rsidRPr="00B93AB3">
        <w:t xml:space="preserve">Kansa, S (2012). Digital Index of North American Archaeology (DINAA). </w:t>
      </w:r>
      <w:r w:rsidRPr="00B93AB3">
        <w:rPr>
          <w:i/>
        </w:rPr>
        <w:t>Heritage Bytes: updates and news about Open Context.</w:t>
      </w:r>
      <w:r w:rsidRPr="00B93AB3">
        <w:t xml:space="preserve"> [blog post] Retrieved from</w:t>
      </w:r>
      <w:r w:rsidR="0082108E">
        <w:t>:</w:t>
      </w:r>
      <w:r w:rsidRPr="00B93AB3">
        <w:t xml:space="preserve"> http://ux.opencontext.org/blog/archaeology-site-data (accessed 1 November 2013).</w:t>
      </w:r>
    </w:p>
    <w:p w14:paraId="15F303AC" w14:textId="77777777" w:rsidR="002D3517" w:rsidRPr="00B93AB3" w:rsidRDefault="002D3517" w:rsidP="002D3517">
      <w:pPr>
        <w:pStyle w:val="Default"/>
        <w:spacing w:before="100" w:beforeAutospacing="1" w:after="100" w:afterAutospacing="1"/>
        <w:ind w:left="475" w:hanging="475"/>
        <w:rPr>
          <w:rFonts w:asciiTheme="minorHAnsi" w:eastAsia="Times New Roman" w:hAnsiTheme="minorHAnsi"/>
          <w:sz w:val="22"/>
          <w:szCs w:val="22"/>
        </w:rPr>
      </w:pPr>
      <w:r w:rsidRPr="00B93AB3">
        <w:rPr>
          <w:rFonts w:asciiTheme="minorHAnsi" w:hAnsiTheme="minorHAnsi"/>
          <w:sz w:val="22"/>
          <w:szCs w:val="22"/>
        </w:rPr>
        <w:t xml:space="preserve">Kansa, S., &amp; Kansa, E. (2011). </w:t>
      </w:r>
      <w:r w:rsidRPr="00B93AB3">
        <w:rPr>
          <w:rFonts w:asciiTheme="minorHAnsi" w:hAnsiTheme="minorHAnsi"/>
          <w:bCs/>
          <w:sz w:val="22"/>
          <w:szCs w:val="22"/>
        </w:rPr>
        <w:t>Enhancing humanities research productivity in a collaborative data sharing environment.</w:t>
      </w:r>
      <w:r w:rsidRPr="00B93AB3">
        <w:rPr>
          <w:rFonts w:asciiTheme="minorHAnsi" w:hAnsiTheme="minorHAnsi"/>
          <w:b/>
          <w:bCs/>
          <w:sz w:val="22"/>
          <w:szCs w:val="22"/>
        </w:rPr>
        <w:t xml:space="preserve"> </w:t>
      </w:r>
      <w:r w:rsidRPr="00B93AB3">
        <w:rPr>
          <w:rFonts w:asciiTheme="minorHAnsi" w:hAnsiTheme="minorHAnsi"/>
          <w:sz w:val="22"/>
          <w:szCs w:val="22"/>
        </w:rPr>
        <w:t xml:space="preserve"> </w:t>
      </w:r>
      <w:r w:rsidRPr="00B93AB3">
        <w:rPr>
          <w:rFonts w:asciiTheme="minorHAnsi" w:hAnsiTheme="minorHAnsi"/>
          <w:i/>
          <w:sz w:val="22"/>
          <w:szCs w:val="22"/>
        </w:rPr>
        <w:t>White Paper NEH Division of Preservation and Access</w:t>
      </w:r>
      <w:r w:rsidRPr="00B93AB3">
        <w:rPr>
          <w:rFonts w:asciiTheme="minorHAnsi" w:hAnsiTheme="minorHAnsi"/>
          <w:sz w:val="22"/>
          <w:szCs w:val="22"/>
        </w:rPr>
        <w:t xml:space="preserve">. </w:t>
      </w:r>
      <w:r w:rsidRPr="00B93AB3">
        <w:rPr>
          <w:rFonts w:asciiTheme="minorHAnsi" w:eastAsia="Times New Roman" w:hAnsiTheme="minorHAnsi"/>
          <w:sz w:val="22"/>
          <w:szCs w:val="22"/>
        </w:rPr>
        <w:t>Retrieved from</w:t>
      </w:r>
      <w:r w:rsidR="0082108E">
        <w:rPr>
          <w:rFonts w:asciiTheme="minorHAnsi" w:eastAsia="Times New Roman" w:hAnsiTheme="minorHAnsi"/>
          <w:sz w:val="22"/>
          <w:szCs w:val="22"/>
        </w:rPr>
        <w:t xml:space="preserve">: </w:t>
      </w:r>
      <w:r w:rsidRPr="00B93AB3">
        <w:rPr>
          <w:rFonts w:asciiTheme="minorHAnsi" w:hAnsiTheme="minorHAnsi"/>
          <w:sz w:val="22"/>
          <w:szCs w:val="22"/>
        </w:rPr>
        <w:t>http://ux.opencontext.org/blog/wp-content/uploads/2011/06/white_paper_PK_50072.pdf</w:t>
      </w:r>
      <w:r w:rsidRPr="00B93AB3">
        <w:rPr>
          <w:rFonts w:asciiTheme="minorHAnsi" w:eastAsia="Times New Roman" w:hAnsiTheme="minorHAnsi"/>
          <w:sz w:val="22"/>
          <w:szCs w:val="22"/>
        </w:rPr>
        <w:t xml:space="preserve"> </w:t>
      </w:r>
    </w:p>
    <w:p w14:paraId="26E0A86A" w14:textId="77777777" w:rsidR="002D3517" w:rsidRPr="00B93AB3" w:rsidRDefault="002D3517" w:rsidP="002D3517">
      <w:pPr>
        <w:pStyle w:val="NormalWeb"/>
        <w:ind w:left="475" w:hanging="475"/>
        <w:rPr>
          <w:rFonts w:asciiTheme="minorHAnsi" w:hAnsiTheme="minorHAnsi"/>
          <w:sz w:val="22"/>
          <w:szCs w:val="22"/>
        </w:rPr>
      </w:pPr>
      <w:r w:rsidRPr="00B93AB3">
        <w:rPr>
          <w:rFonts w:asciiTheme="minorHAnsi" w:hAnsiTheme="minorHAnsi"/>
          <w:sz w:val="22"/>
          <w:szCs w:val="22"/>
        </w:rPr>
        <w:t>Kansa, S. W., Kansa, E. C., &amp; Arbuckle, B. (2013). Publishing and pushing</w:t>
      </w:r>
      <w:r w:rsidRPr="00B93AB3">
        <w:rPr>
          <w:rFonts w:asciiTheme="minorHAnsi" w:hAnsiTheme="minorHAnsi" w:cs="Arial"/>
          <w:sz w:val="22"/>
          <w:szCs w:val="22"/>
        </w:rPr>
        <w:t> </w:t>
      </w:r>
      <w:r w:rsidRPr="00B93AB3">
        <w:rPr>
          <w:rFonts w:asciiTheme="minorHAnsi" w:hAnsiTheme="minorHAnsi"/>
          <w:sz w:val="22"/>
          <w:szCs w:val="22"/>
        </w:rPr>
        <w:t xml:space="preserve">: mixing models for communicating research data in archaeology. </w:t>
      </w:r>
      <w:r w:rsidRPr="00B93AB3">
        <w:rPr>
          <w:rFonts w:asciiTheme="minorHAnsi" w:hAnsiTheme="minorHAnsi"/>
          <w:i/>
          <w:iCs/>
          <w:sz w:val="22"/>
          <w:szCs w:val="22"/>
        </w:rPr>
        <w:t>International Journal for Digital Curation</w:t>
      </w:r>
      <w:r w:rsidRPr="00B93AB3">
        <w:rPr>
          <w:rFonts w:asciiTheme="minorHAnsi" w:hAnsiTheme="minorHAnsi"/>
          <w:sz w:val="22"/>
          <w:szCs w:val="22"/>
        </w:rPr>
        <w:t xml:space="preserve">. </w:t>
      </w:r>
      <w:r w:rsidRPr="00B93AB3">
        <w:rPr>
          <w:rFonts w:asciiTheme="minorHAnsi" w:hAnsiTheme="minorHAnsi"/>
          <w:i/>
          <w:sz w:val="22"/>
          <w:szCs w:val="22"/>
        </w:rPr>
        <w:t>9</w:t>
      </w:r>
      <w:r w:rsidRPr="00B93AB3">
        <w:rPr>
          <w:rFonts w:asciiTheme="minorHAnsi" w:hAnsiTheme="minorHAnsi"/>
          <w:i/>
          <w:iCs/>
          <w:sz w:val="22"/>
          <w:szCs w:val="22"/>
        </w:rPr>
        <w:t>,</w:t>
      </w:r>
      <w:r w:rsidRPr="00B93AB3">
        <w:rPr>
          <w:rFonts w:asciiTheme="minorHAnsi" w:hAnsiTheme="minorHAnsi"/>
          <w:sz w:val="22"/>
          <w:szCs w:val="22"/>
        </w:rPr>
        <w:t xml:space="preserve"> 1–15.</w:t>
      </w:r>
    </w:p>
    <w:p w14:paraId="13A9B690" w14:textId="77777777" w:rsidR="002D3517" w:rsidRPr="00B93AB3" w:rsidRDefault="002D3517" w:rsidP="002D3517">
      <w:pPr>
        <w:pStyle w:val="NormalWeb"/>
        <w:ind w:left="475" w:hanging="475"/>
        <w:rPr>
          <w:rFonts w:asciiTheme="minorHAnsi" w:hAnsiTheme="minorHAnsi"/>
          <w:sz w:val="22"/>
          <w:szCs w:val="22"/>
        </w:rPr>
      </w:pPr>
      <w:r w:rsidRPr="00B93AB3">
        <w:rPr>
          <w:rFonts w:asciiTheme="minorHAnsi" w:hAnsiTheme="minorHAnsi"/>
          <w:sz w:val="22"/>
          <w:szCs w:val="22"/>
        </w:rPr>
        <w:t xml:space="preserve">Kintigh, K. (2006). The promise and challenge of archaeological data integration. </w:t>
      </w:r>
      <w:r w:rsidRPr="00B93AB3">
        <w:rPr>
          <w:rFonts w:asciiTheme="minorHAnsi" w:hAnsiTheme="minorHAnsi"/>
          <w:i/>
          <w:iCs/>
          <w:sz w:val="22"/>
          <w:szCs w:val="22"/>
        </w:rPr>
        <w:t>American Antiquity</w:t>
      </w:r>
      <w:r w:rsidRPr="00B93AB3">
        <w:rPr>
          <w:rFonts w:asciiTheme="minorHAnsi" w:hAnsiTheme="minorHAnsi"/>
          <w:sz w:val="22"/>
          <w:szCs w:val="22"/>
        </w:rPr>
        <w:t xml:space="preserve">, </w:t>
      </w:r>
      <w:r w:rsidRPr="00B93AB3">
        <w:rPr>
          <w:rFonts w:asciiTheme="minorHAnsi" w:hAnsiTheme="minorHAnsi"/>
          <w:i/>
          <w:iCs/>
          <w:sz w:val="22"/>
          <w:szCs w:val="22"/>
        </w:rPr>
        <w:t>71</w:t>
      </w:r>
      <w:r w:rsidRPr="00B93AB3">
        <w:rPr>
          <w:rFonts w:asciiTheme="minorHAnsi" w:hAnsiTheme="minorHAnsi"/>
          <w:i/>
          <w:sz w:val="22"/>
          <w:szCs w:val="22"/>
        </w:rPr>
        <w:t>(3)</w:t>
      </w:r>
      <w:r w:rsidRPr="00B93AB3">
        <w:rPr>
          <w:rFonts w:asciiTheme="minorHAnsi" w:hAnsiTheme="minorHAnsi"/>
          <w:sz w:val="22"/>
          <w:szCs w:val="22"/>
        </w:rPr>
        <w:t>, 567–578. doi:10.2307/40035365</w:t>
      </w:r>
    </w:p>
    <w:p w14:paraId="70CD73CC" w14:textId="77777777" w:rsidR="002D3517" w:rsidRPr="00B93AB3" w:rsidRDefault="00DE27C6" w:rsidP="002D3517">
      <w:pPr>
        <w:spacing w:before="100" w:beforeAutospacing="1" w:after="100" w:afterAutospacing="1" w:line="240" w:lineRule="auto"/>
        <w:ind w:left="475" w:hanging="475"/>
      </w:pPr>
      <w:r>
        <w:t>Kintigh, K.</w:t>
      </w:r>
      <w:r w:rsidR="002D3517" w:rsidRPr="00B93AB3">
        <w:t xml:space="preserve"> W., </w:t>
      </w:r>
      <w:r>
        <w:t xml:space="preserve">&amp; </w:t>
      </w:r>
      <w:r w:rsidR="002D3517" w:rsidRPr="00B93AB3">
        <w:t xml:space="preserve">Altschul </w:t>
      </w:r>
      <w:r>
        <w:t xml:space="preserve">, J H. </w:t>
      </w:r>
      <w:r w:rsidR="002D3517" w:rsidRPr="00B93AB3">
        <w:t>(2010). Sustaining the digital archaeological record. Heritage Management. 3(2):264- 274.</w:t>
      </w:r>
    </w:p>
    <w:p w14:paraId="14E04FE0" w14:textId="77777777" w:rsidR="002D3517" w:rsidRPr="00B93AB3" w:rsidRDefault="002D3517" w:rsidP="002D3517">
      <w:pPr>
        <w:spacing w:before="100" w:beforeAutospacing="1" w:after="100" w:afterAutospacing="1" w:line="240" w:lineRule="auto"/>
        <w:ind w:left="475" w:hanging="475"/>
        <w:rPr>
          <w:rFonts w:eastAsia="Times New Roman" w:cs="Times New Roman"/>
        </w:rPr>
      </w:pPr>
      <w:r w:rsidRPr="00B93AB3">
        <w:rPr>
          <w:rFonts w:eastAsia="Times New Roman" w:cs="Times New Roman"/>
        </w:rPr>
        <w:t xml:space="preserve">Kintigh, K. W., Altschul, J. H., Beaudry, M. C., Drennan, R. D., Kinzig, A. P., Kohler, T. (2014). Grand challenges for archaeology. </w:t>
      </w:r>
      <w:r w:rsidRPr="00B93AB3">
        <w:rPr>
          <w:rFonts w:eastAsia="Times New Roman" w:cs="Times New Roman"/>
          <w:i/>
          <w:iCs/>
        </w:rPr>
        <w:t>Proceedings of the National Academy of Sciences of the United States of America</w:t>
      </w:r>
      <w:r w:rsidRPr="00B93AB3">
        <w:rPr>
          <w:rFonts w:eastAsia="Times New Roman" w:cs="Times New Roman"/>
        </w:rPr>
        <w:t xml:space="preserve">, </w:t>
      </w:r>
      <w:r w:rsidRPr="00B93AB3">
        <w:rPr>
          <w:rFonts w:eastAsia="Times New Roman" w:cs="Times New Roman"/>
          <w:i/>
          <w:iCs/>
        </w:rPr>
        <w:t>111</w:t>
      </w:r>
      <w:r w:rsidRPr="00B93AB3">
        <w:rPr>
          <w:rFonts w:eastAsia="Times New Roman" w:cs="Times New Roman"/>
        </w:rPr>
        <w:t>(3), 879–80. doi:10.1073/pnas.1324000111</w:t>
      </w:r>
    </w:p>
    <w:p w14:paraId="7C64F41A" w14:textId="77777777" w:rsidR="00987818" w:rsidRPr="00B93AB3" w:rsidRDefault="00987818" w:rsidP="00987818">
      <w:pPr>
        <w:spacing w:before="100" w:beforeAutospacing="1" w:after="100" w:afterAutospacing="1" w:line="240" w:lineRule="auto"/>
        <w:ind w:left="475" w:hanging="475"/>
        <w:rPr>
          <w:rFonts w:eastAsia="Times New Roman" w:cs="Times New Roman"/>
        </w:rPr>
      </w:pPr>
      <w:r>
        <w:rPr>
          <w:rFonts w:eastAsia="Times New Roman" w:cs="Times New Roman"/>
        </w:rPr>
        <w:t>LATC (2012). Five s</w:t>
      </w:r>
      <w:r w:rsidRPr="00B93AB3">
        <w:rPr>
          <w:rFonts w:eastAsia="Times New Roman" w:cs="Times New Roman"/>
        </w:rPr>
        <w:t xml:space="preserve">tar </w:t>
      </w:r>
      <w:r>
        <w:rPr>
          <w:rFonts w:eastAsia="Times New Roman" w:cs="Times New Roman"/>
        </w:rPr>
        <w:t>open d</w:t>
      </w:r>
      <w:r w:rsidRPr="00B93AB3">
        <w:rPr>
          <w:rFonts w:eastAsia="Times New Roman" w:cs="Times New Roman"/>
        </w:rPr>
        <w:t>ata. Retrieved from</w:t>
      </w:r>
      <w:r w:rsidR="0082108E">
        <w:rPr>
          <w:rFonts w:eastAsia="Times New Roman" w:cs="Times New Roman"/>
        </w:rPr>
        <w:t>:</w:t>
      </w:r>
      <w:r w:rsidRPr="00B93AB3">
        <w:rPr>
          <w:rFonts w:eastAsia="Times New Roman" w:cs="Times New Roman"/>
        </w:rPr>
        <w:t xml:space="preserve"> http://5stardata.info/</w:t>
      </w:r>
    </w:p>
    <w:p w14:paraId="47F57E55" w14:textId="77777777" w:rsidR="002D3517" w:rsidRPr="00B93AB3" w:rsidRDefault="002D3517" w:rsidP="002D3517">
      <w:pPr>
        <w:spacing w:before="100" w:beforeAutospacing="1" w:after="100" w:afterAutospacing="1" w:line="240" w:lineRule="auto"/>
        <w:ind w:left="475" w:hanging="475"/>
      </w:pPr>
      <w:r w:rsidRPr="00B93AB3">
        <w:t>Limp, F., Payne, A., Simons, K., Winters, S.,</w:t>
      </w:r>
      <w:r w:rsidR="006C400E">
        <w:t xml:space="preserve"> &amp; </w:t>
      </w:r>
      <w:r w:rsidRPr="00B93AB3">
        <w:t xml:space="preserve">Cothren, J. (2011). Developing a 3-D </w:t>
      </w:r>
      <w:r w:rsidR="00C875C7">
        <w:t>d</w:t>
      </w:r>
      <w:r w:rsidRPr="00B93AB3">
        <w:t xml:space="preserve">igital </w:t>
      </w:r>
      <w:r w:rsidR="00C875C7">
        <w:t>h</w:t>
      </w:r>
      <w:r w:rsidRPr="00B93AB3">
        <w:t xml:space="preserve">eritage </w:t>
      </w:r>
      <w:r w:rsidR="00C875C7">
        <w:t>e</w:t>
      </w:r>
      <w:r w:rsidRPr="00B93AB3">
        <w:t xml:space="preserve">cosystem: from object to representation and the role of a virtual museum in the 21st century. Internet Archaeology, (30). </w:t>
      </w:r>
      <w:r w:rsidRPr="00B93AB3">
        <w:rPr>
          <w:shd w:val="clear" w:color="auto" w:fill="FFFFFF"/>
        </w:rPr>
        <w:t>http://dx.doi.org/10.11141/ia.30.1</w:t>
      </w:r>
    </w:p>
    <w:p w14:paraId="2FFC6A82" w14:textId="77777777" w:rsidR="002D3517" w:rsidRPr="00B93AB3" w:rsidRDefault="002D3517" w:rsidP="002D3517">
      <w:pPr>
        <w:autoSpaceDE w:val="0"/>
        <w:autoSpaceDN w:val="0"/>
        <w:adjustRightInd w:val="0"/>
        <w:spacing w:before="100" w:beforeAutospacing="1" w:after="100" w:afterAutospacing="1" w:line="240" w:lineRule="auto"/>
        <w:ind w:left="475" w:hanging="475"/>
        <w:rPr>
          <w:rFonts w:cs="Times New Roman"/>
        </w:rPr>
      </w:pPr>
      <w:r w:rsidRPr="00B93AB3">
        <w:rPr>
          <w:rFonts w:cs="Times New Roman"/>
        </w:rPr>
        <w:t xml:space="preserve">Marquardt, W., Montet-White, A., &amp; Scholtz, S. (1982) Resolving the crisis in archaeological collections Curation. </w:t>
      </w:r>
      <w:r w:rsidRPr="00B93AB3">
        <w:rPr>
          <w:rFonts w:cs="Times New Roman"/>
          <w:i/>
          <w:iCs/>
        </w:rPr>
        <w:t xml:space="preserve">American Antiquity </w:t>
      </w:r>
      <w:r w:rsidRPr="00B93AB3">
        <w:rPr>
          <w:rFonts w:cs="Times New Roman"/>
          <w:i/>
        </w:rPr>
        <w:t>47(2)</w:t>
      </w:r>
      <w:r w:rsidRPr="00B93AB3">
        <w:rPr>
          <w:rFonts w:cs="Times New Roman"/>
        </w:rPr>
        <w:t>, 409-418</w:t>
      </w:r>
    </w:p>
    <w:p w14:paraId="018EB8B9" w14:textId="77777777" w:rsidR="002D3517" w:rsidRPr="00B93AB3" w:rsidRDefault="002D3517" w:rsidP="002D3517">
      <w:pPr>
        <w:spacing w:before="100" w:beforeAutospacing="1" w:after="100" w:afterAutospacing="1" w:line="240" w:lineRule="auto"/>
        <w:ind w:left="475" w:hanging="475"/>
      </w:pPr>
      <w:r w:rsidRPr="00B93AB3">
        <w:t xml:space="preserve">McDavid, C. (1999). </w:t>
      </w:r>
      <w:r w:rsidRPr="00B93AB3">
        <w:rPr>
          <w:bCs/>
          <w:color w:val="000000"/>
          <w:shd w:val="clear" w:color="auto" w:fill="FFFFFF"/>
        </w:rPr>
        <w:t xml:space="preserve">From real space to cyberspace: contemporary conversations about the archaeology of slavery and tenancy. </w:t>
      </w:r>
      <w:r w:rsidRPr="00B93AB3">
        <w:rPr>
          <w:color w:val="000000"/>
          <w:shd w:val="clear" w:color="auto" w:fill="FFFFFF"/>
        </w:rPr>
        <w:t xml:space="preserve">Internet Archaeology, (35). </w:t>
      </w:r>
      <w:r w:rsidRPr="00B93AB3">
        <w:rPr>
          <w:shd w:val="clear" w:color="auto" w:fill="FFFFFF"/>
        </w:rPr>
        <w:t>http://dx.doi.org/10.11141/ia.6.4</w:t>
      </w:r>
    </w:p>
    <w:p w14:paraId="5B514D39" w14:textId="77777777" w:rsidR="002D3517" w:rsidRPr="00B93AB3" w:rsidRDefault="002D3517" w:rsidP="002D3517">
      <w:pPr>
        <w:autoSpaceDE w:val="0"/>
        <w:autoSpaceDN w:val="0"/>
        <w:adjustRightInd w:val="0"/>
        <w:spacing w:before="100" w:beforeAutospacing="1" w:after="100" w:afterAutospacing="1" w:line="240" w:lineRule="auto"/>
        <w:ind w:left="475" w:hanging="475"/>
      </w:pPr>
      <w:r w:rsidRPr="00B93AB3">
        <w:t xml:space="preserve">McManamon, F., Kintigh, K., &amp; Brin, A. (2010). Digital Antiquity and the digital archaeological record (tDAR): Broadening access and ensuring long-term preservation for digital archaeological data. </w:t>
      </w:r>
      <w:r w:rsidRPr="00B93AB3">
        <w:rPr>
          <w:i/>
          <w:iCs/>
        </w:rPr>
        <w:t>CSA Newsletter</w:t>
      </w:r>
      <w:r w:rsidRPr="00B93AB3">
        <w:t xml:space="preserve">, </w:t>
      </w:r>
      <w:r w:rsidRPr="00B93AB3">
        <w:rPr>
          <w:i/>
          <w:iCs/>
        </w:rPr>
        <w:t>XXIII</w:t>
      </w:r>
      <w:r w:rsidRPr="00B93AB3">
        <w:rPr>
          <w:i/>
        </w:rPr>
        <w:t>(2)</w:t>
      </w:r>
      <w:r w:rsidRPr="00B93AB3">
        <w:t>. Retrieved from</w:t>
      </w:r>
      <w:r w:rsidR="00940DE5">
        <w:t>:</w:t>
      </w:r>
      <w:r w:rsidRPr="00B93AB3">
        <w:t xml:space="preserve"> http://csanet.org/newsletter/fall10/nlf1002.html</w:t>
      </w:r>
    </w:p>
    <w:p w14:paraId="590C7081" w14:textId="77777777" w:rsidR="002D3517" w:rsidRPr="00B93AB3" w:rsidRDefault="002D3517" w:rsidP="002D3517">
      <w:pPr>
        <w:spacing w:before="100" w:beforeAutospacing="1" w:after="100" w:afterAutospacing="1" w:line="240" w:lineRule="auto"/>
        <w:ind w:left="475" w:hanging="475"/>
        <w:rPr>
          <w:rFonts w:cs="Arial"/>
          <w:color w:val="222222"/>
          <w:shd w:val="clear" w:color="auto" w:fill="FFFFFF"/>
        </w:rPr>
      </w:pPr>
      <w:r w:rsidRPr="00B93AB3">
        <w:rPr>
          <w:rFonts w:cs="Arial"/>
          <w:color w:val="222222"/>
          <w:shd w:val="clear" w:color="auto" w:fill="FFFFFF"/>
        </w:rPr>
        <w:t>McMillan, S. J. (2000). The microscope and the moving target: The challenge of applying content analysis to the World Wide Web.</w:t>
      </w:r>
      <w:r w:rsidRPr="00B93AB3">
        <w:rPr>
          <w:rStyle w:val="apple-converted-space"/>
          <w:rFonts w:cs="Arial"/>
          <w:color w:val="222222"/>
          <w:shd w:val="clear" w:color="auto" w:fill="FFFFFF"/>
        </w:rPr>
        <w:t> </w:t>
      </w:r>
      <w:r w:rsidRPr="00B93AB3">
        <w:rPr>
          <w:rFonts w:cs="Arial"/>
          <w:i/>
          <w:iCs/>
          <w:color w:val="222222"/>
          <w:shd w:val="clear" w:color="auto" w:fill="FFFFFF"/>
        </w:rPr>
        <w:t>Journalism &amp; Mass Communication Quarterly</w:t>
      </w:r>
      <w:r w:rsidRPr="00B93AB3">
        <w:rPr>
          <w:rFonts w:cs="Arial"/>
          <w:color w:val="222222"/>
          <w:shd w:val="clear" w:color="auto" w:fill="FFFFFF"/>
        </w:rPr>
        <w:t>,</w:t>
      </w:r>
      <w:r w:rsidRPr="00B93AB3">
        <w:rPr>
          <w:rStyle w:val="apple-converted-space"/>
          <w:rFonts w:cs="Arial"/>
          <w:color w:val="222222"/>
          <w:shd w:val="clear" w:color="auto" w:fill="FFFFFF"/>
        </w:rPr>
        <w:t> </w:t>
      </w:r>
      <w:r w:rsidRPr="00B93AB3">
        <w:rPr>
          <w:rFonts w:cs="Arial"/>
          <w:i/>
          <w:iCs/>
          <w:color w:val="222222"/>
          <w:shd w:val="clear" w:color="auto" w:fill="FFFFFF"/>
        </w:rPr>
        <w:t>77</w:t>
      </w:r>
      <w:r w:rsidRPr="00B93AB3">
        <w:rPr>
          <w:rFonts w:cs="Arial"/>
          <w:color w:val="222222"/>
          <w:shd w:val="clear" w:color="auto" w:fill="FFFFFF"/>
        </w:rPr>
        <w:t>(1), 80-98.</w:t>
      </w:r>
    </w:p>
    <w:p w14:paraId="4D44E046" w14:textId="77777777" w:rsidR="002D3517" w:rsidRPr="00B93AB3" w:rsidRDefault="002D3517" w:rsidP="002D3517">
      <w:pPr>
        <w:spacing w:before="100" w:beforeAutospacing="1" w:after="100" w:afterAutospacing="1" w:line="240" w:lineRule="auto"/>
        <w:ind w:left="475" w:hanging="475"/>
        <w:rPr>
          <w:rFonts w:eastAsia="Times New Roman" w:cs="Tahoma"/>
          <w:color w:val="000000"/>
        </w:rPr>
      </w:pPr>
      <w:r w:rsidRPr="00B93AB3">
        <w:rPr>
          <w:rFonts w:eastAsia="Times New Roman" w:cs="Tahoma"/>
          <w:color w:val="000000"/>
        </w:rPr>
        <w:t>McMillan, L., Hatch, D., &amp; Heath, B. (</w:t>
      </w:r>
      <w:r w:rsidR="006C400E">
        <w:rPr>
          <w:rFonts w:eastAsia="Times New Roman" w:cs="Times New Roman"/>
          <w:color w:val="000000"/>
        </w:rPr>
        <w:t>in press</w:t>
      </w:r>
      <w:r w:rsidRPr="00B93AB3">
        <w:rPr>
          <w:rFonts w:eastAsia="Times New Roman" w:cs="Times New Roman"/>
          <w:color w:val="000000"/>
        </w:rPr>
        <w:t xml:space="preserve">). Dating methods and techniques at the John Hallowes site (44WM6): A 17th-Century Example. </w:t>
      </w:r>
      <w:r w:rsidRPr="00B93AB3">
        <w:rPr>
          <w:rFonts w:eastAsia="Times New Roman" w:cs="Times New Roman"/>
          <w:i/>
          <w:iCs/>
          <w:color w:val="000000"/>
        </w:rPr>
        <w:t>Northeast Historical Archaeology.</w:t>
      </w:r>
    </w:p>
    <w:p w14:paraId="665CCE58" w14:textId="77777777" w:rsidR="002D3517" w:rsidRPr="00B93AB3" w:rsidRDefault="002D3517" w:rsidP="002D3517">
      <w:pPr>
        <w:spacing w:before="100" w:beforeAutospacing="1" w:after="100" w:afterAutospacing="1" w:line="240" w:lineRule="auto"/>
        <w:ind w:left="475" w:hanging="475"/>
        <w:rPr>
          <w:rFonts w:eastAsia="Times New Roman" w:cs="Times New Roman"/>
        </w:rPr>
      </w:pPr>
      <w:r w:rsidRPr="00B93AB3">
        <w:rPr>
          <w:rFonts w:eastAsia="Times New Roman" w:cs="Times New Roman"/>
        </w:rPr>
        <w:lastRenderedPageBreak/>
        <w:t xml:space="preserve">Meho, L. I., &amp; Tibbo, H. R. (2003). Modeling the information-seeking behavior of social scientists: Ellis’s study revisited. </w:t>
      </w:r>
      <w:r w:rsidRPr="00B93AB3">
        <w:rPr>
          <w:rFonts w:eastAsia="Times New Roman" w:cs="Times New Roman"/>
          <w:i/>
          <w:iCs/>
        </w:rPr>
        <w:t>Journal of the American Society for Information Science and Technology</w:t>
      </w:r>
      <w:r w:rsidRPr="00B93AB3">
        <w:rPr>
          <w:rFonts w:eastAsia="Times New Roman" w:cs="Times New Roman"/>
        </w:rPr>
        <w:t xml:space="preserve">, </w:t>
      </w:r>
      <w:r w:rsidRPr="00B93AB3">
        <w:rPr>
          <w:rFonts w:eastAsia="Times New Roman" w:cs="Times New Roman"/>
          <w:i/>
          <w:iCs/>
        </w:rPr>
        <w:t>54</w:t>
      </w:r>
      <w:r w:rsidRPr="00B93AB3">
        <w:rPr>
          <w:rFonts w:eastAsia="Times New Roman" w:cs="Times New Roman"/>
        </w:rPr>
        <w:t>(6), 570–587. doi:10.1002/asi.10244</w:t>
      </w:r>
    </w:p>
    <w:p w14:paraId="1164FBE9" w14:textId="77777777" w:rsidR="002D3517" w:rsidRDefault="002D3517" w:rsidP="002D3517">
      <w:pPr>
        <w:autoSpaceDE w:val="0"/>
        <w:autoSpaceDN w:val="0"/>
        <w:adjustRightInd w:val="0"/>
        <w:spacing w:before="100" w:beforeAutospacing="1" w:after="100" w:afterAutospacing="1" w:line="240" w:lineRule="auto"/>
        <w:ind w:left="475" w:hanging="475"/>
        <w:rPr>
          <w:color w:val="000000"/>
          <w:shd w:val="clear" w:color="auto" w:fill="FFFFFF"/>
        </w:rPr>
      </w:pPr>
      <w:r>
        <w:rPr>
          <w:color w:val="000000"/>
          <w:shd w:val="clear" w:color="auto" w:fill="FFFFFF"/>
        </w:rPr>
        <w:t xml:space="preserve">Montpelier (2015). Topics. [Blog post] Retrieved from: </w:t>
      </w:r>
      <w:r w:rsidRPr="00C319B5">
        <w:rPr>
          <w:color w:val="000000"/>
          <w:shd w:val="clear" w:color="auto" w:fill="FFFFFF"/>
        </w:rPr>
        <w:t>http://www.montpelier.org/blogs/tags/Archaeology</w:t>
      </w:r>
    </w:p>
    <w:p w14:paraId="6A20C95F" w14:textId="77777777" w:rsidR="002D3517" w:rsidRPr="00B93AB3" w:rsidRDefault="002D3517" w:rsidP="002D3517">
      <w:pPr>
        <w:autoSpaceDE w:val="0"/>
        <w:autoSpaceDN w:val="0"/>
        <w:adjustRightInd w:val="0"/>
        <w:spacing w:before="100" w:beforeAutospacing="1" w:after="100" w:afterAutospacing="1" w:line="240" w:lineRule="auto"/>
        <w:ind w:left="475" w:hanging="475"/>
        <w:rPr>
          <w:color w:val="000000"/>
          <w:shd w:val="clear" w:color="auto" w:fill="FFFFFF"/>
        </w:rPr>
      </w:pPr>
      <w:r w:rsidRPr="00B93AB3">
        <w:rPr>
          <w:color w:val="000000"/>
          <w:shd w:val="clear" w:color="auto" w:fill="FFFFFF"/>
        </w:rPr>
        <w:t xml:space="preserve">Morrison, W., Thomas, R. </w:t>
      </w:r>
      <w:r w:rsidR="006C400E">
        <w:rPr>
          <w:color w:val="000000"/>
          <w:shd w:val="clear" w:color="auto" w:fill="FFFFFF"/>
        </w:rPr>
        <w:t>&amp;</w:t>
      </w:r>
      <w:r w:rsidR="00C875C7">
        <w:rPr>
          <w:color w:val="000000"/>
          <w:shd w:val="clear" w:color="auto" w:fill="FFFFFF"/>
        </w:rPr>
        <w:t xml:space="preserve"> Gosden, C. (2014). Laying b</w:t>
      </w:r>
      <w:r w:rsidRPr="00B93AB3">
        <w:rPr>
          <w:color w:val="000000"/>
          <w:shd w:val="clear" w:color="auto" w:fill="FFFFFF"/>
        </w:rPr>
        <w:t xml:space="preserve">are the </w:t>
      </w:r>
      <w:r w:rsidR="00C875C7">
        <w:rPr>
          <w:color w:val="000000"/>
          <w:shd w:val="clear" w:color="auto" w:fill="FFFFFF"/>
        </w:rPr>
        <w:t>l</w:t>
      </w:r>
      <w:r w:rsidRPr="00B93AB3">
        <w:rPr>
          <w:color w:val="000000"/>
          <w:shd w:val="clear" w:color="auto" w:fill="FFFFFF"/>
        </w:rPr>
        <w:t>andscape: commercial archaeology and the potential of digital spatial data. Internet Archaeology, (36). doi:10.11141/ia.36.9</w:t>
      </w:r>
    </w:p>
    <w:p w14:paraId="06DA3667" w14:textId="77777777" w:rsidR="00854589" w:rsidRPr="00854589" w:rsidRDefault="002D3517" w:rsidP="00854589">
      <w:pPr>
        <w:autoSpaceDE w:val="0"/>
        <w:autoSpaceDN w:val="0"/>
        <w:adjustRightInd w:val="0"/>
        <w:spacing w:before="100" w:beforeAutospacing="1" w:after="100" w:afterAutospacing="1" w:line="240" w:lineRule="auto"/>
        <w:ind w:left="475" w:hanging="475"/>
        <w:rPr>
          <w:rFonts w:cs="Times New Roman"/>
          <w:bCs/>
        </w:rPr>
      </w:pPr>
      <w:r w:rsidRPr="00B93AB3">
        <w:rPr>
          <w:rFonts w:cs="Verdana"/>
          <w:bCs/>
        </w:rPr>
        <w:t xml:space="preserve">Moyer, Teresa S. (2006). Technical Brief 19: archeological collections and the public: using resources for the public benefit. </w:t>
      </w:r>
      <w:r w:rsidRPr="00B93AB3">
        <w:rPr>
          <w:rFonts w:cs="Times New Roman"/>
          <w:bCs/>
        </w:rPr>
        <w:t>DOI Departmental Consulting Archeologist/NPS Archeology Program, Nation</w:t>
      </w:r>
      <w:r w:rsidR="00854589">
        <w:rPr>
          <w:rFonts w:cs="Times New Roman"/>
          <w:bCs/>
        </w:rPr>
        <w:t>al Park Service, Washington, DC</w:t>
      </w:r>
    </w:p>
    <w:p w14:paraId="7C65CEAD" w14:textId="77777777" w:rsidR="00854589" w:rsidRPr="00DA51A1" w:rsidRDefault="00854589" w:rsidP="00854589">
      <w:pPr>
        <w:pStyle w:val="NormalWeb"/>
        <w:spacing w:before="0" w:beforeAutospacing="0" w:after="200" w:afterAutospacing="0"/>
        <w:ind w:left="475" w:hanging="475"/>
        <w:rPr>
          <w:rFonts w:asciiTheme="minorHAnsi" w:hAnsiTheme="minorHAnsi"/>
          <w:sz w:val="22"/>
          <w:szCs w:val="22"/>
        </w:rPr>
      </w:pPr>
      <w:r w:rsidRPr="00DA51A1">
        <w:rPr>
          <w:rFonts w:asciiTheme="minorHAnsi" w:hAnsiTheme="minorHAnsi"/>
          <w:sz w:val="22"/>
          <w:szCs w:val="22"/>
        </w:rPr>
        <w:t xml:space="preserve">Museum of the Middle Appalachians </w:t>
      </w:r>
      <w:r>
        <w:rPr>
          <w:rFonts w:asciiTheme="minorHAnsi" w:hAnsiTheme="minorHAnsi"/>
          <w:sz w:val="22"/>
          <w:szCs w:val="22"/>
        </w:rPr>
        <w:t xml:space="preserve">(n.d.). </w:t>
      </w:r>
      <w:r w:rsidRPr="00DA51A1">
        <w:rPr>
          <w:rFonts w:asciiTheme="minorHAnsi" w:hAnsiTheme="minorHAnsi"/>
          <w:sz w:val="22"/>
          <w:szCs w:val="22"/>
        </w:rPr>
        <w:t xml:space="preserve">Woodland Indians </w:t>
      </w:r>
      <w:r w:rsidR="00C875C7">
        <w:rPr>
          <w:rFonts w:asciiTheme="minorHAnsi" w:hAnsiTheme="minorHAnsi"/>
          <w:sz w:val="22"/>
          <w:szCs w:val="22"/>
        </w:rPr>
        <w:t>m</w:t>
      </w:r>
      <w:r w:rsidRPr="00DA51A1">
        <w:rPr>
          <w:rFonts w:asciiTheme="minorHAnsi" w:hAnsiTheme="minorHAnsi"/>
          <w:sz w:val="22"/>
          <w:szCs w:val="22"/>
        </w:rPr>
        <w:t xml:space="preserve">useum of the </w:t>
      </w:r>
      <w:r w:rsidR="00C875C7">
        <w:rPr>
          <w:rFonts w:asciiTheme="minorHAnsi" w:hAnsiTheme="minorHAnsi"/>
          <w:sz w:val="22"/>
          <w:szCs w:val="22"/>
        </w:rPr>
        <w:t>m</w:t>
      </w:r>
      <w:r w:rsidRPr="00DA51A1">
        <w:rPr>
          <w:rFonts w:asciiTheme="minorHAnsi" w:hAnsiTheme="minorHAnsi"/>
          <w:sz w:val="22"/>
          <w:szCs w:val="22"/>
        </w:rPr>
        <w:t xml:space="preserve">iddle </w:t>
      </w:r>
      <w:r w:rsidR="00940DE5">
        <w:rPr>
          <w:rFonts w:asciiTheme="minorHAnsi" w:hAnsiTheme="minorHAnsi"/>
          <w:sz w:val="22"/>
          <w:szCs w:val="22"/>
        </w:rPr>
        <w:t>A</w:t>
      </w:r>
      <w:r w:rsidR="00940DE5" w:rsidRPr="00DA51A1">
        <w:rPr>
          <w:rFonts w:asciiTheme="minorHAnsi" w:hAnsiTheme="minorHAnsi"/>
          <w:sz w:val="22"/>
          <w:szCs w:val="22"/>
        </w:rPr>
        <w:t>ppalachians</w:t>
      </w:r>
      <w:r>
        <w:rPr>
          <w:rFonts w:asciiTheme="minorHAnsi" w:hAnsiTheme="minorHAnsi"/>
          <w:sz w:val="22"/>
          <w:szCs w:val="22"/>
        </w:rPr>
        <w:t xml:space="preserve">. Retrieved from: </w:t>
      </w:r>
      <w:r w:rsidRPr="00DA51A1">
        <w:rPr>
          <w:rFonts w:asciiTheme="minorHAnsi" w:hAnsiTheme="minorHAnsi"/>
          <w:sz w:val="22"/>
          <w:szCs w:val="22"/>
        </w:rPr>
        <w:t>http://www.museum-mid-app.org/native-american-villages.htm</w:t>
      </w:r>
      <w:r>
        <w:rPr>
          <w:rFonts w:asciiTheme="minorHAnsi" w:hAnsiTheme="minorHAnsi"/>
          <w:sz w:val="22"/>
          <w:szCs w:val="22"/>
        </w:rPr>
        <w:t xml:space="preserve"> </w:t>
      </w:r>
    </w:p>
    <w:p w14:paraId="68B6CB11" w14:textId="77777777" w:rsidR="002D3517" w:rsidRPr="00B93AB3" w:rsidRDefault="002D3517" w:rsidP="002D3517">
      <w:pPr>
        <w:spacing w:before="100" w:beforeAutospacing="1" w:after="100" w:afterAutospacing="1" w:line="240" w:lineRule="auto"/>
        <w:ind w:left="475" w:hanging="475"/>
      </w:pPr>
      <w:r w:rsidRPr="00B93AB3">
        <w:t xml:space="preserve">Mullins, Paul (2013, October 4). Archaeological personalities and the profession’s future. [Blog post]. Retrieved from:  http://www.sha.org/blog/index.php/2013/10/archaeological-personalities-and-the-professions-future/#more-3264 </w:t>
      </w:r>
    </w:p>
    <w:p w14:paraId="47992DB5" w14:textId="77777777" w:rsidR="002D3517" w:rsidRPr="00B93AB3" w:rsidRDefault="002D3517" w:rsidP="002D3517">
      <w:pPr>
        <w:pStyle w:val="NormalWeb"/>
        <w:ind w:left="475" w:hanging="475"/>
        <w:rPr>
          <w:rFonts w:asciiTheme="minorHAnsi" w:hAnsiTheme="minorHAnsi"/>
          <w:sz w:val="22"/>
          <w:szCs w:val="22"/>
        </w:rPr>
      </w:pPr>
      <w:r w:rsidRPr="00B93AB3">
        <w:rPr>
          <w:rFonts w:asciiTheme="minorHAnsi" w:hAnsiTheme="minorHAnsi"/>
          <w:sz w:val="22"/>
          <w:szCs w:val="22"/>
        </w:rPr>
        <w:t xml:space="preserve">National Endowment for the Humanities (2011). Data </w:t>
      </w:r>
      <w:r w:rsidR="00C875C7">
        <w:rPr>
          <w:rFonts w:asciiTheme="minorHAnsi" w:hAnsiTheme="minorHAnsi"/>
          <w:sz w:val="22"/>
          <w:szCs w:val="22"/>
        </w:rPr>
        <w:t>m</w:t>
      </w:r>
      <w:r w:rsidRPr="00B93AB3">
        <w:rPr>
          <w:rFonts w:asciiTheme="minorHAnsi" w:hAnsiTheme="minorHAnsi"/>
          <w:sz w:val="22"/>
          <w:szCs w:val="22"/>
        </w:rPr>
        <w:t xml:space="preserve">anagement </w:t>
      </w:r>
      <w:r w:rsidR="00C875C7">
        <w:rPr>
          <w:rFonts w:asciiTheme="minorHAnsi" w:hAnsiTheme="minorHAnsi"/>
          <w:sz w:val="22"/>
          <w:szCs w:val="22"/>
        </w:rPr>
        <w:t>p</w:t>
      </w:r>
      <w:r w:rsidRPr="00B93AB3">
        <w:rPr>
          <w:rFonts w:asciiTheme="minorHAnsi" w:hAnsiTheme="minorHAnsi"/>
          <w:sz w:val="22"/>
          <w:szCs w:val="22"/>
        </w:rPr>
        <w:t xml:space="preserve">lans for NEH Office of </w:t>
      </w:r>
      <w:r w:rsidR="00C875C7">
        <w:rPr>
          <w:rFonts w:asciiTheme="minorHAnsi" w:hAnsiTheme="minorHAnsi"/>
          <w:sz w:val="22"/>
          <w:szCs w:val="22"/>
        </w:rPr>
        <w:t>d</w:t>
      </w:r>
      <w:r w:rsidRPr="00B93AB3">
        <w:rPr>
          <w:rFonts w:asciiTheme="minorHAnsi" w:hAnsiTheme="minorHAnsi"/>
          <w:sz w:val="22"/>
          <w:szCs w:val="22"/>
        </w:rPr>
        <w:t xml:space="preserve">igital </w:t>
      </w:r>
      <w:r w:rsidR="00C875C7">
        <w:rPr>
          <w:rFonts w:asciiTheme="minorHAnsi" w:hAnsiTheme="minorHAnsi"/>
          <w:sz w:val="22"/>
          <w:szCs w:val="22"/>
        </w:rPr>
        <w:t>h</w:t>
      </w:r>
      <w:r w:rsidRPr="00B93AB3">
        <w:rPr>
          <w:rFonts w:asciiTheme="minorHAnsi" w:hAnsiTheme="minorHAnsi"/>
          <w:sz w:val="22"/>
          <w:szCs w:val="22"/>
        </w:rPr>
        <w:t xml:space="preserve">umanities </w:t>
      </w:r>
      <w:r w:rsidR="00C875C7">
        <w:rPr>
          <w:rFonts w:asciiTheme="minorHAnsi" w:hAnsiTheme="minorHAnsi"/>
          <w:sz w:val="22"/>
          <w:szCs w:val="22"/>
        </w:rPr>
        <w:t>p</w:t>
      </w:r>
      <w:r w:rsidRPr="00B93AB3">
        <w:rPr>
          <w:rFonts w:asciiTheme="minorHAnsi" w:hAnsiTheme="minorHAnsi"/>
          <w:sz w:val="22"/>
          <w:szCs w:val="22"/>
        </w:rPr>
        <w:t xml:space="preserve">roposals and </w:t>
      </w:r>
      <w:r w:rsidR="00C875C7">
        <w:rPr>
          <w:rFonts w:asciiTheme="minorHAnsi" w:hAnsiTheme="minorHAnsi"/>
          <w:sz w:val="22"/>
          <w:szCs w:val="22"/>
        </w:rPr>
        <w:t>a</w:t>
      </w:r>
      <w:r w:rsidRPr="00B93AB3">
        <w:rPr>
          <w:rFonts w:asciiTheme="minorHAnsi" w:hAnsiTheme="minorHAnsi"/>
          <w:sz w:val="22"/>
          <w:szCs w:val="22"/>
        </w:rPr>
        <w:t>wards. Retrieved from</w:t>
      </w:r>
      <w:r w:rsidR="00940DE5">
        <w:rPr>
          <w:rFonts w:asciiTheme="minorHAnsi" w:hAnsiTheme="minorHAnsi"/>
          <w:sz w:val="22"/>
          <w:szCs w:val="22"/>
        </w:rPr>
        <w:t xml:space="preserve">: </w:t>
      </w:r>
      <w:r w:rsidRPr="00B93AB3">
        <w:rPr>
          <w:rFonts w:asciiTheme="minorHAnsi" w:hAnsiTheme="minorHAnsi"/>
          <w:sz w:val="22"/>
          <w:szCs w:val="22"/>
        </w:rPr>
        <w:t>http://www.neh.gov/files/grants/data_management_plans_2014.pdf</w:t>
      </w:r>
    </w:p>
    <w:p w14:paraId="5A7B4D1F" w14:textId="77777777" w:rsidR="002D3517" w:rsidRPr="00B93AB3" w:rsidRDefault="002D3517" w:rsidP="002D3517">
      <w:pPr>
        <w:pStyle w:val="NormalWeb"/>
        <w:ind w:left="475" w:hanging="475"/>
        <w:rPr>
          <w:rFonts w:asciiTheme="minorHAnsi" w:hAnsiTheme="minorHAnsi"/>
          <w:sz w:val="22"/>
          <w:szCs w:val="22"/>
        </w:rPr>
      </w:pPr>
      <w:r w:rsidRPr="00B93AB3">
        <w:rPr>
          <w:rFonts w:asciiTheme="minorHAnsi" w:hAnsiTheme="minorHAnsi"/>
          <w:sz w:val="22"/>
          <w:szCs w:val="22"/>
        </w:rPr>
        <w:t xml:space="preserve">National Park Service (n.d.). </w:t>
      </w:r>
      <w:r w:rsidRPr="00B93AB3">
        <w:rPr>
          <w:rFonts w:asciiTheme="minorHAnsi" w:hAnsiTheme="minorHAnsi"/>
          <w:bCs/>
          <w:color w:val="000000"/>
          <w:sz w:val="22"/>
          <w:szCs w:val="22"/>
          <w:shd w:val="clear" w:color="auto" w:fill="FFFFFF"/>
        </w:rPr>
        <w:t xml:space="preserve">Part 79--Curation of </w:t>
      </w:r>
      <w:r w:rsidR="00C875C7">
        <w:rPr>
          <w:rFonts w:asciiTheme="minorHAnsi" w:hAnsiTheme="minorHAnsi"/>
          <w:bCs/>
          <w:color w:val="000000"/>
          <w:sz w:val="22"/>
          <w:szCs w:val="22"/>
          <w:shd w:val="clear" w:color="auto" w:fill="FFFFFF"/>
        </w:rPr>
        <w:t>f</w:t>
      </w:r>
      <w:r w:rsidRPr="00B93AB3">
        <w:rPr>
          <w:rFonts w:asciiTheme="minorHAnsi" w:hAnsiTheme="minorHAnsi"/>
          <w:bCs/>
          <w:color w:val="000000"/>
          <w:sz w:val="22"/>
          <w:szCs w:val="22"/>
          <w:shd w:val="clear" w:color="auto" w:fill="FFFFFF"/>
        </w:rPr>
        <w:t>ederally-</w:t>
      </w:r>
      <w:r w:rsidR="00C875C7">
        <w:rPr>
          <w:rFonts w:asciiTheme="minorHAnsi" w:hAnsiTheme="minorHAnsi"/>
          <w:bCs/>
          <w:color w:val="000000"/>
          <w:sz w:val="22"/>
          <w:szCs w:val="22"/>
          <w:shd w:val="clear" w:color="auto" w:fill="FFFFFF"/>
        </w:rPr>
        <w:t>o</w:t>
      </w:r>
      <w:r w:rsidRPr="00B93AB3">
        <w:rPr>
          <w:rFonts w:asciiTheme="minorHAnsi" w:hAnsiTheme="minorHAnsi"/>
          <w:bCs/>
          <w:color w:val="000000"/>
          <w:sz w:val="22"/>
          <w:szCs w:val="22"/>
          <w:shd w:val="clear" w:color="auto" w:fill="FFFFFF"/>
        </w:rPr>
        <w:t xml:space="preserve">wned and </w:t>
      </w:r>
      <w:r w:rsidR="00C875C7">
        <w:rPr>
          <w:rFonts w:asciiTheme="minorHAnsi" w:hAnsiTheme="minorHAnsi"/>
          <w:bCs/>
          <w:color w:val="000000"/>
          <w:sz w:val="22"/>
          <w:szCs w:val="22"/>
          <w:shd w:val="clear" w:color="auto" w:fill="FFFFFF"/>
        </w:rPr>
        <w:t>a</w:t>
      </w:r>
      <w:r w:rsidRPr="00B93AB3">
        <w:rPr>
          <w:rFonts w:asciiTheme="minorHAnsi" w:hAnsiTheme="minorHAnsi"/>
          <w:bCs/>
          <w:color w:val="000000"/>
          <w:sz w:val="22"/>
          <w:szCs w:val="22"/>
          <w:shd w:val="clear" w:color="auto" w:fill="FFFFFF"/>
        </w:rPr>
        <w:t xml:space="preserve">dministered </w:t>
      </w:r>
      <w:r w:rsidR="00C875C7">
        <w:rPr>
          <w:rFonts w:asciiTheme="minorHAnsi" w:hAnsiTheme="minorHAnsi"/>
          <w:bCs/>
          <w:color w:val="000000"/>
          <w:sz w:val="22"/>
          <w:szCs w:val="22"/>
          <w:shd w:val="clear" w:color="auto" w:fill="FFFFFF"/>
        </w:rPr>
        <w:t>a</w:t>
      </w:r>
      <w:r w:rsidRPr="00B93AB3">
        <w:rPr>
          <w:rFonts w:asciiTheme="minorHAnsi" w:hAnsiTheme="minorHAnsi"/>
          <w:bCs/>
          <w:color w:val="000000"/>
          <w:sz w:val="22"/>
          <w:szCs w:val="22"/>
          <w:shd w:val="clear" w:color="auto" w:fill="FFFFFF"/>
        </w:rPr>
        <w:t>rcheological</w:t>
      </w:r>
      <w:r w:rsidR="00C875C7">
        <w:rPr>
          <w:rFonts w:asciiTheme="minorHAnsi" w:hAnsiTheme="minorHAnsi"/>
          <w:bCs/>
          <w:color w:val="000000"/>
          <w:sz w:val="22"/>
          <w:szCs w:val="22"/>
          <w:shd w:val="clear" w:color="auto" w:fill="FFFFFF"/>
        </w:rPr>
        <w:t xml:space="preserve"> collections. </w:t>
      </w:r>
      <w:r w:rsidRPr="00B93AB3">
        <w:rPr>
          <w:rFonts w:asciiTheme="minorHAnsi" w:hAnsiTheme="minorHAnsi"/>
          <w:sz w:val="22"/>
          <w:szCs w:val="22"/>
        </w:rPr>
        <w:t>Retrieved from</w:t>
      </w:r>
      <w:r w:rsidR="00940DE5">
        <w:rPr>
          <w:rFonts w:asciiTheme="minorHAnsi" w:hAnsiTheme="minorHAnsi"/>
          <w:sz w:val="22"/>
          <w:szCs w:val="22"/>
        </w:rPr>
        <w:t>:</w:t>
      </w:r>
      <w:r w:rsidRPr="00B93AB3">
        <w:rPr>
          <w:rFonts w:asciiTheme="minorHAnsi" w:hAnsiTheme="minorHAnsi"/>
          <w:sz w:val="22"/>
          <w:szCs w:val="22"/>
        </w:rPr>
        <w:t xml:space="preserve"> http://www.nps.gov/archeology/tools/36cfr79.htm</w:t>
      </w:r>
    </w:p>
    <w:p w14:paraId="474A8C55" w14:textId="77777777" w:rsidR="0043199E" w:rsidRPr="00B93AB3" w:rsidRDefault="0043199E" w:rsidP="0043199E">
      <w:pPr>
        <w:pStyle w:val="NormalWeb"/>
        <w:ind w:left="475" w:hanging="475"/>
        <w:rPr>
          <w:rFonts w:asciiTheme="minorHAnsi" w:hAnsiTheme="minorHAnsi"/>
          <w:sz w:val="22"/>
          <w:szCs w:val="22"/>
        </w:rPr>
      </w:pPr>
      <w:r w:rsidRPr="00B93AB3">
        <w:rPr>
          <w:rFonts w:asciiTheme="minorHAnsi" w:hAnsiTheme="minorHAnsi"/>
          <w:sz w:val="22"/>
          <w:szCs w:val="22"/>
        </w:rPr>
        <w:t>National Park Service (n.d.</w:t>
      </w:r>
      <w:r>
        <w:rPr>
          <w:rFonts w:asciiTheme="minorHAnsi" w:hAnsiTheme="minorHAnsi"/>
          <w:sz w:val="22"/>
          <w:szCs w:val="22"/>
        </w:rPr>
        <w:t xml:space="preserve"> a</w:t>
      </w:r>
      <w:r w:rsidRPr="00B93AB3">
        <w:rPr>
          <w:rFonts w:asciiTheme="minorHAnsi" w:hAnsiTheme="minorHAnsi"/>
          <w:sz w:val="22"/>
          <w:szCs w:val="22"/>
        </w:rPr>
        <w:t xml:space="preserve">). </w:t>
      </w:r>
      <w:r>
        <w:rPr>
          <w:rFonts w:asciiTheme="minorHAnsi" w:hAnsiTheme="minorHAnsi"/>
          <w:sz w:val="22"/>
          <w:szCs w:val="22"/>
        </w:rPr>
        <w:t>Parks.</w:t>
      </w:r>
      <w:r>
        <w:rPr>
          <w:rFonts w:asciiTheme="minorHAnsi" w:hAnsiTheme="minorHAnsi"/>
          <w:bCs/>
          <w:color w:val="000000"/>
          <w:sz w:val="22"/>
          <w:szCs w:val="22"/>
          <w:shd w:val="clear" w:color="auto" w:fill="FFFFFF"/>
        </w:rPr>
        <w:t xml:space="preserve"> </w:t>
      </w:r>
      <w:r w:rsidRPr="00B93AB3">
        <w:rPr>
          <w:rFonts w:asciiTheme="minorHAnsi" w:hAnsiTheme="minorHAnsi"/>
          <w:b/>
          <w:bCs/>
          <w:color w:val="000000"/>
          <w:sz w:val="22"/>
          <w:szCs w:val="22"/>
          <w:shd w:val="clear" w:color="auto" w:fill="FFFFFF"/>
        </w:rPr>
        <w:t xml:space="preserve"> </w:t>
      </w:r>
      <w:r w:rsidRPr="00B93AB3">
        <w:rPr>
          <w:rFonts w:asciiTheme="minorHAnsi" w:hAnsiTheme="minorHAnsi"/>
          <w:sz w:val="22"/>
          <w:szCs w:val="22"/>
        </w:rPr>
        <w:t>Retrieved from</w:t>
      </w:r>
      <w:r>
        <w:rPr>
          <w:rFonts w:asciiTheme="minorHAnsi" w:hAnsiTheme="minorHAnsi"/>
          <w:sz w:val="22"/>
          <w:szCs w:val="22"/>
        </w:rPr>
        <w:t xml:space="preserve">: </w:t>
      </w:r>
      <w:r w:rsidRPr="0043199E">
        <w:rPr>
          <w:rFonts w:asciiTheme="minorHAnsi" w:hAnsiTheme="minorHAnsi"/>
          <w:sz w:val="22"/>
          <w:szCs w:val="22"/>
        </w:rPr>
        <w:t>http://museum.nps.gov/ParkPList.aspx</w:t>
      </w:r>
    </w:p>
    <w:p w14:paraId="11F66C34" w14:textId="77777777" w:rsidR="00C80868" w:rsidRPr="00B93AB3" w:rsidRDefault="00C80868" w:rsidP="00C80868">
      <w:pPr>
        <w:pStyle w:val="NormalWeb"/>
        <w:ind w:left="475" w:hanging="475"/>
        <w:rPr>
          <w:rFonts w:asciiTheme="minorHAnsi" w:hAnsiTheme="minorHAnsi"/>
          <w:sz w:val="22"/>
          <w:szCs w:val="22"/>
        </w:rPr>
      </w:pPr>
      <w:r w:rsidRPr="00B93AB3">
        <w:rPr>
          <w:rFonts w:asciiTheme="minorHAnsi" w:hAnsiTheme="minorHAnsi"/>
          <w:sz w:val="22"/>
          <w:szCs w:val="22"/>
        </w:rPr>
        <w:t>National Park Service (n.d.</w:t>
      </w:r>
      <w:r>
        <w:rPr>
          <w:rFonts w:asciiTheme="minorHAnsi" w:hAnsiTheme="minorHAnsi"/>
          <w:sz w:val="22"/>
          <w:szCs w:val="22"/>
        </w:rPr>
        <w:t xml:space="preserve"> </w:t>
      </w:r>
      <w:r w:rsidR="0043199E">
        <w:rPr>
          <w:rFonts w:asciiTheme="minorHAnsi" w:hAnsiTheme="minorHAnsi"/>
          <w:sz w:val="22"/>
          <w:szCs w:val="22"/>
        </w:rPr>
        <w:t>b</w:t>
      </w:r>
      <w:r w:rsidRPr="00B93AB3">
        <w:rPr>
          <w:rFonts w:asciiTheme="minorHAnsi" w:hAnsiTheme="minorHAnsi"/>
          <w:sz w:val="22"/>
          <w:szCs w:val="22"/>
        </w:rPr>
        <w:t xml:space="preserve">). </w:t>
      </w:r>
      <w:r>
        <w:rPr>
          <w:rFonts w:asciiTheme="minorHAnsi" w:hAnsiTheme="minorHAnsi"/>
          <w:sz w:val="22"/>
          <w:szCs w:val="22"/>
        </w:rPr>
        <w:t>FAQ.</w:t>
      </w:r>
      <w:r>
        <w:rPr>
          <w:rFonts w:asciiTheme="minorHAnsi" w:hAnsiTheme="minorHAnsi"/>
          <w:bCs/>
          <w:color w:val="000000"/>
          <w:sz w:val="22"/>
          <w:szCs w:val="22"/>
          <w:shd w:val="clear" w:color="auto" w:fill="FFFFFF"/>
        </w:rPr>
        <w:t xml:space="preserve"> </w:t>
      </w:r>
      <w:r w:rsidRPr="00B93AB3">
        <w:rPr>
          <w:rFonts w:asciiTheme="minorHAnsi" w:hAnsiTheme="minorHAnsi"/>
          <w:b/>
          <w:bCs/>
          <w:color w:val="000000"/>
          <w:sz w:val="22"/>
          <w:szCs w:val="22"/>
          <w:shd w:val="clear" w:color="auto" w:fill="FFFFFF"/>
        </w:rPr>
        <w:t xml:space="preserve"> </w:t>
      </w:r>
      <w:r w:rsidRPr="00B93AB3">
        <w:rPr>
          <w:rFonts w:asciiTheme="minorHAnsi" w:hAnsiTheme="minorHAnsi"/>
          <w:sz w:val="22"/>
          <w:szCs w:val="22"/>
        </w:rPr>
        <w:t>Retrieved from</w:t>
      </w:r>
      <w:r>
        <w:rPr>
          <w:rFonts w:asciiTheme="minorHAnsi" w:hAnsiTheme="minorHAnsi"/>
          <w:sz w:val="22"/>
          <w:szCs w:val="22"/>
        </w:rPr>
        <w:t>:</w:t>
      </w:r>
      <w:r w:rsidRPr="00B93AB3">
        <w:rPr>
          <w:rFonts w:asciiTheme="minorHAnsi" w:hAnsiTheme="minorHAnsi"/>
          <w:sz w:val="22"/>
          <w:szCs w:val="22"/>
        </w:rPr>
        <w:t xml:space="preserve"> </w:t>
      </w:r>
      <w:r w:rsidRPr="00C80868">
        <w:rPr>
          <w:rFonts w:asciiTheme="minorHAnsi" w:hAnsiTheme="minorHAnsi"/>
          <w:sz w:val="22"/>
          <w:szCs w:val="22"/>
        </w:rPr>
        <w:t>http://museum.nps.gov/ParkFaq.aspx</w:t>
      </w:r>
    </w:p>
    <w:p w14:paraId="35A1B9C5" w14:textId="77777777" w:rsidR="002D3517" w:rsidRPr="00B93AB3" w:rsidRDefault="002D3517" w:rsidP="002D3517">
      <w:pPr>
        <w:pStyle w:val="NormalWeb"/>
        <w:ind w:left="475" w:hanging="475"/>
        <w:rPr>
          <w:rFonts w:asciiTheme="minorHAnsi" w:hAnsiTheme="minorHAnsi"/>
          <w:sz w:val="22"/>
          <w:szCs w:val="22"/>
        </w:rPr>
      </w:pPr>
      <w:r w:rsidRPr="00B93AB3">
        <w:rPr>
          <w:rFonts w:asciiTheme="minorHAnsi" w:hAnsiTheme="minorHAnsi"/>
          <w:sz w:val="22"/>
          <w:szCs w:val="22"/>
        </w:rPr>
        <w:t>National Science Foundation (n.d.). Archaeology - senior award Info. Retrieved from</w:t>
      </w:r>
      <w:r w:rsidR="00940DE5">
        <w:rPr>
          <w:rFonts w:asciiTheme="minorHAnsi" w:hAnsiTheme="minorHAnsi"/>
          <w:sz w:val="22"/>
          <w:szCs w:val="22"/>
        </w:rPr>
        <w:t xml:space="preserve">: </w:t>
      </w:r>
      <w:r w:rsidRPr="00B93AB3">
        <w:rPr>
          <w:rFonts w:asciiTheme="minorHAnsi" w:hAnsiTheme="minorHAnsi"/>
          <w:sz w:val="22"/>
          <w:szCs w:val="22"/>
        </w:rPr>
        <w:t xml:space="preserve">http://www.nsf.gov/sbe/bcs/arch/senior.jsp </w:t>
      </w:r>
    </w:p>
    <w:p w14:paraId="18607ADC" w14:textId="77777777" w:rsidR="002D3517" w:rsidRPr="00B93AB3" w:rsidRDefault="002D3517" w:rsidP="002D3517">
      <w:pPr>
        <w:pStyle w:val="NormalWeb"/>
        <w:ind w:left="475" w:hanging="475"/>
        <w:rPr>
          <w:rFonts w:asciiTheme="minorHAnsi" w:hAnsiTheme="minorHAnsi"/>
          <w:sz w:val="22"/>
          <w:szCs w:val="22"/>
        </w:rPr>
      </w:pPr>
      <w:r w:rsidRPr="00B93AB3">
        <w:rPr>
          <w:rFonts w:asciiTheme="minorHAnsi" w:hAnsiTheme="minorHAnsi"/>
          <w:sz w:val="22"/>
          <w:szCs w:val="22"/>
        </w:rPr>
        <w:t>National Science Foundation. (2013). GPG Chapter II. Retrieved from</w:t>
      </w:r>
      <w:r w:rsidR="00940DE5">
        <w:rPr>
          <w:rFonts w:asciiTheme="minorHAnsi" w:hAnsiTheme="minorHAnsi"/>
          <w:sz w:val="22"/>
          <w:szCs w:val="22"/>
        </w:rPr>
        <w:t xml:space="preserve">; </w:t>
      </w:r>
      <w:r w:rsidRPr="00B93AB3">
        <w:rPr>
          <w:rFonts w:asciiTheme="minorHAnsi" w:hAnsiTheme="minorHAnsi"/>
          <w:sz w:val="22"/>
          <w:szCs w:val="22"/>
        </w:rPr>
        <w:t>http://www.nsf.gov/pubs/policydocs/pappguide/nsf13001/gpg_2.jsp#IIC2j</w:t>
      </w:r>
    </w:p>
    <w:p w14:paraId="4855F78E" w14:textId="77777777" w:rsidR="002D3517" w:rsidRPr="00B93AB3" w:rsidRDefault="00467CD6" w:rsidP="002D3517">
      <w:pPr>
        <w:pStyle w:val="NormalWeb"/>
        <w:ind w:left="475" w:hanging="475"/>
        <w:rPr>
          <w:rFonts w:asciiTheme="minorHAnsi" w:hAnsiTheme="minorHAnsi"/>
          <w:color w:val="000000"/>
          <w:sz w:val="22"/>
          <w:szCs w:val="22"/>
          <w:shd w:val="clear" w:color="auto" w:fill="FFFFFF"/>
        </w:rPr>
      </w:pPr>
      <w:r>
        <w:rPr>
          <w:rFonts w:ascii="Calibri" w:hAnsi="Calibri"/>
        </w:rPr>
        <w:t>Nebbia</w:t>
      </w:r>
      <w:r w:rsidR="002D3517" w:rsidRPr="00B93AB3">
        <w:rPr>
          <w:rFonts w:asciiTheme="minorHAnsi" w:hAnsiTheme="minorHAnsi"/>
          <w:color w:val="000000"/>
          <w:sz w:val="22"/>
          <w:szCs w:val="22"/>
          <w:shd w:val="clear" w:color="auto" w:fill="FFFFFF"/>
        </w:rPr>
        <w:t>, M. (2014</w:t>
      </w:r>
      <w:r w:rsidR="00DC5D24">
        <w:rPr>
          <w:rFonts w:asciiTheme="minorHAnsi" w:hAnsiTheme="minorHAnsi"/>
          <w:color w:val="000000"/>
          <w:sz w:val="22"/>
          <w:szCs w:val="22"/>
          <w:shd w:val="clear" w:color="auto" w:fill="FFFFFF"/>
        </w:rPr>
        <w:t xml:space="preserve">). Review of Gabii </w:t>
      </w:r>
      <w:r w:rsidR="00C875C7">
        <w:rPr>
          <w:rFonts w:asciiTheme="minorHAnsi" w:hAnsiTheme="minorHAnsi"/>
          <w:color w:val="000000"/>
          <w:sz w:val="22"/>
          <w:szCs w:val="22"/>
          <w:shd w:val="clear" w:color="auto" w:fill="FFFFFF"/>
        </w:rPr>
        <w:t>g</w:t>
      </w:r>
      <w:r w:rsidR="00DC5D24">
        <w:rPr>
          <w:rFonts w:asciiTheme="minorHAnsi" w:hAnsiTheme="minorHAnsi"/>
          <w:color w:val="000000"/>
          <w:sz w:val="22"/>
          <w:szCs w:val="22"/>
          <w:shd w:val="clear" w:color="auto" w:fill="FFFFFF"/>
        </w:rPr>
        <w:t xml:space="preserve">oes </w:t>
      </w:r>
      <w:r w:rsidR="00C875C7">
        <w:rPr>
          <w:rFonts w:asciiTheme="minorHAnsi" w:hAnsiTheme="minorHAnsi"/>
          <w:color w:val="000000"/>
          <w:sz w:val="22"/>
          <w:szCs w:val="22"/>
          <w:shd w:val="clear" w:color="auto" w:fill="FFFFFF"/>
        </w:rPr>
        <w:t>d</w:t>
      </w:r>
      <w:r w:rsidR="00DC5D24">
        <w:rPr>
          <w:rFonts w:asciiTheme="minorHAnsi" w:hAnsiTheme="minorHAnsi"/>
          <w:color w:val="000000"/>
          <w:sz w:val="22"/>
          <w:szCs w:val="22"/>
          <w:shd w:val="clear" w:color="auto" w:fill="FFFFFF"/>
        </w:rPr>
        <w:t>igital</w:t>
      </w:r>
      <w:r w:rsidR="002D3517" w:rsidRPr="00B93AB3">
        <w:rPr>
          <w:rFonts w:asciiTheme="minorHAnsi" w:hAnsiTheme="minorHAnsi"/>
          <w:color w:val="000000"/>
          <w:sz w:val="22"/>
          <w:szCs w:val="22"/>
          <w:shd w:val="clear" w:color="auto" w:fill="FFFFFF"/>
        </w:rPr>
        <w:t xml:space="preserve">. Internet Archaeology (36). </w:t>
      </w:r>
      <w:r w:rsidR="002D3517" w:rsidRPr="00B93AB3">
        <w:rPr>
          <w:rFonts w:asciiTheme="minorHAnsi" w:hAnsiTheme="minorHAnsi"/>
          <w:sz w:val="22"/>
          <w:szCs w:val="22"/>
          <w:shd w:val="clear" w:color="auto" w:fill="FFFFFF"/>
        </w:rPr>
        <w:t xml:space="preserve">http://dx.doi.org/10.11141/ia.36.3 </w:t>
      </w:r>
    </w:p>
    <w:p w14:paraId="2506CDD1" w14:textId="77777777" w:rsidR="002D3517" w:rsidRPr="00B93AB3" w:rsidRDefault="002D3517" w:rsidP="002D3517">
      <w:pPr>
        <w:pStyle w:val="NormalWeb"/>
        <w:ind w:left="475" w:hanging="475"/>
        <w:rPr>
          <w:rFonts w:asciiTheme="minorHAnsi" w:hAnsiTheme="minorHAnsi"/>
          <w:sz w:val="22"/>
          <w:szCs w:val="22"/>
        </w:rPr>
      </w:pPr>
      <w:r w:rsidRPr="00B93AB3">
        <w:rPr>
          <w:rFonts w:asciiTheme="minorHAnsi" w:hAnsiTheme="minorHAnsi"/>
          <w:sz w:val="22"/>
          <w:szCs w:val="22"/>
        </w:rPr>
        <w:t>Neuendorf, K. A. (2002). The content analysis guide. Sage Press.</w:t>
      </w:r>
    </w:p>
    <w:p w14:paraId="11128C7E" w14:textId="77777777" w:rsidR="002D3517" w:rsidRPr="00B93AB3" w:rsidRDefault="002D3517" w:rsidP="002D3517">
      <w:pPr>
        <w:pStyle w:val="NormalWeb"/>
        <w:ind w:left="475" w:hanging="475"/>
        <w:rPr>
          <w:rFonts w:asciiTheme="minorHAnsi" w:hAnsiTheme="minorHAnsi"/>
          <w:sz w:val="22"/>
          <w:szCs w:val="22"/>
        </w:rPr>
      </w:pPr>
      <w:r w:rsidRPr="00B93AB3">
        <w:rPr>
          <w:rFonts w:asciiTheme="minorHAnsi" w:hAnsiTheme="minorHAnsi" w:cs="Arial"/>
          <w:color w:val="222222"/>
          <w:sz w:val="22"/>
          <w:szCs w:val="22"/>
          <w:shd w:val="clear" w:color="auto" w:fill="FFFFFF"/>
        </w:rPr>
        <w:t>Neuman, W. L. (2013).</w:t>
      </w:r>
      <w:r w:rsidRPr="00B93AB3">
        <w:rPr>
          <w:rStyle w:val="apple-converted-space"/>
          <w:rFonts w:asciiTheme="minorHAnsi" w:hAnsiTheme="minorHAnsi" w:cs="Arial"/>
          <w:color w:val="222222"/>
          <w:sz w:val="22"/>
          <w:szCs w:val="22"/>
          <w:shd w:val="clear" w:color="auto" w:fill="FFFFFF"/>
        </w:rPr>
        <w:t> </w:t>
      </w:r>
      <w:r w:rsidRPr="00B93AB3">
        <w:rPr>
          <w:rFonts w:asciiTheme="minorHAnsi" w:hAnsiTheme="minorHAnsi" w:cs="Arial"/>
          <w:i/>
          <w:iCs/>
          <w:color w:val="222222"/>
          <w:sz w:val="22"/>
          <w:szCs w:val="22"/>
          <w:shd w:val="clear" w:color="auto" w:fill="FFFFFF"/>
        </w:rPr>
        <w:t>Social Research Methods: Pearson New International Edition</w:t>
      </w:r>
      <w:r w:rsidRPr="00B93AB3">
        <w:rPr>
          <w:rFonts w:asciiTheme="minorHAnsi" w:hAnsiTheme="minorHAnsi" w:cs="Arial"/>
          <w:color w:val="222222"/>
          <w:sz w:val="22"/>
          <w:szCs w:val="22"/>
          <w:shd w:val="clear" w:color="auto" w:fill="FFFFFF"/>
        </w:rPr>
        <w:t>. Pearson Education Limited.</w:t>
      </w:r>
      <w:r w:rsidRPr="00B93AB3">
        <w:rPr>
          <w:rFonts w:asciiTheme="minorHAnsi" w:hAnsiTheme="minorHAnsi"/>
          <w:sz w:val="22"/>
          <w:szCs w:val="22"/>
        </w:rPr>
        <w:t xml:space="preserve"> </w:t>
      </w:r>
    </w:p>
    <w:p w14:paraId="0FA46EC8" w14:textId="77777777" w:rsidR="00613CEF" w:rsidRPr="00D06D8A" w:rsidRDefault="00613CEF" w:rsidP="00613CEF">
      <w:pPr>
        <w:pStyle w:val="NormalWeb"/>
        <w:spacing w:before="0" w:beforeAutospacing="0" w:after="200" w:afterAutospacing="0"/>
        <w:ind w:left="475" w:hanging="475"/>
        <w:rPr>
          <w:rFonts w:asciiTheme="minorHAnsi" w:hAnsiTheme="minorHAnsi"/>
          <w:sz w:val="22"/>
          <w:szCs w:val="22"/>
        </w:rPr>
      </w:pPr>
      <w:r w:rsidRPr="00D06D8A">
        <w:rPr>
          <w:rFonts w:asciiTheme="minorHAnsi" w:hAnsiTheme="minorHAnsi"/>
          <w:sz w:val="22"/>
          <w:szCs w:val="22"/>
        </w:rPr>
        <w:lastRenderedPageBreak/>
        <w:t>Northumberland Historical Society (n.d.) Explore Our Collections. Retrieved from: www.northumberlandcountyhistoricalsociety.org/page.asp?tid=152</w:t>
      </w:r>
    </w:p>
    <w:p w14:paraId="323A9A31" w14:textId="77777777" w:rsidR="002D3517" w:rsidRPr="00B93AB3" w:rsidRDefault="002D3517" w:rsidP="002D3517">
      <w:pPr>
        <w:pStyle w:val="NormalWeb"/>
        <w:ind w:left="475" w:hanging="475"/>
        <w:rPr>
          <w:rFonts w:asciiTheme="minorHAnsi" w:hAnsiTheme="minorHAnsi"/>
          <w:sz w:val="22"/>
          <w:szCs w:val="22"/>
        </w:rPr>
      </w:pPr>
      <w:r w:rsidRPr="00B93AB3">
        <w:rPr>
          <w:rFonts w:asciiTheme="minorHAnsi" w:hAnsiTheme="minorHAnsi"/>
          <w:sz w:val="22"/>
          <w:szCs w:val="22"/>
        </w:rPr>
        <w:t xml:space="preserve">Open </w:t>
      </w:r>
      <w:r w:rsidR="00800EF8">
        <w:rPr>
          <w:rFonts w:asciiTheme="minorHAnsi" w:hAnsiTheme="minorHAnsi"/>
          <w:sz w:val="22"/>
          <w:szCs w:val="22"/>
        </w:rPr>
        <w:t>Knowledge</w:t>
      </w:r>
      <w:r w:rsidRPr="00B93AB3">
        <w:rPr>
          <w:rFonts w:asciiTheme="minorHAnsi" w:hAnsiTheme="minorHAnsi"/>
          <w:sz w:val="22"/>
          <w:szCs w:val="22"/>
        </w:rPr>
        <w:t>. (n.d.). Open definition. Retrieved from</w:t>
      </w:r>
      <w:r w:rsidR="00940DE5">
        <w:rPr>
          <w:rFonts w:asciiTheme="minorHAnsi" w:hAnsiTheme="minorHAnsi"/>
          <w:sz w:val="22"/>
          <w:szCs w:val="22"/>
        </w:rPr>
        <w:t>:</w:t>
      </w:r>
      <w:r w:rsidRPr="00B93AB3">
        <w:rPr>
          <w:rFonts w:asciiTheme="minorHAnsi" w:hAnsiTheme="minorHAnsi"/>
          <w:sz w:val="22"/>
          <w:szCs w:val="22"/>
        </w:rPr>
        <w:t xml:space="preserve"> </w:t>
      </w:r>
      <w:r w:rsidR="00800EF8" w:rsidRPr="00800EF8">
        <w:rPr>
          <w:rFonts w:asciiTheme="minorHAnsi" w:hAnsiTheme="minorHAnsi"/>
          <w:sz w:val="22"/>
          <w:szCs w:val="22"/>
        </w:rPr>
        <w:t>http://opendefinition.org/od/</w:t>
      </w:r>
      <w:r w:rsidR="00800EF8">
        <w:rPr>
          <w:rFonts w:asciiTheme="minorHAnsi" w:hAnsiTheme="minorHAnsi"/>
          <w:sz w:val="22"/>
          <w:szCs w:val="22"/>
        </w:rPr>
        <w:t xml:space="preserve"> </w:t>
      </w:r>
    </w:p>
    <w:p w14:paraId="0D3A11BC" w14:textId="77777777" w:rsidR="002D3517" w:rsidRPr="00B93AB3" w:rsidRDefault="002D3517" w:rsidP="002D3517">
      <w:pPr>
        <w:pStyle w:val="NormalWeb"/>
        <w:ind w:left="475" w:hanging="475"/>
        <w:rPr>
          <w:rFonts w:asciiTheme="minorHAnsi" w:hAnsiTheme="minorHAnsi"/>
          <w:sz w:val="22"/>
          <w:szCs w:val="22"/>
        </w:rPr>
      </w:pPr>
      <w:r w:rsidRPr="00B93AB3">
        <w:rPr>
          <w:rFonts w:asciiTheme="minorHAnsi" w:hAnsiTheme="minorHAnsi"/>
          <w:sz w:val="22"/>
          <w:szCs w:val="22"/>
        </w:rPr>
        <w:t>Open Government Data. (n.d.). The annotated principles of open governm</w:t>
      </w:r>
      <w:r w:rsidR="00940DE5">
        <w:rPr>
          <w:rFonts w:asciiTheme="minorHAnsi" w:hAnsiTheme="minorHAnsi"/>
          <w:sz w:val="22"/>
          <w:szCs w:val="22"/>
        </w:rPr>
        <w:t xml:space="preserve">ent data. Retrieved </w:t>
      </w:r>
      <w:r w:rsidRPr="00B93AB3">
        <w:rPr>
          <w:rFonts w:asciiTheme="minorHAnsi" w:hAnsiTheme="minorHAnsi"/>
          <w:sz w:val="22"/>
          <w:szCs w:val="22"/>
        </w:rPr>
        <w:t>from</w:t>
      </w:r>
      <w:r w:rsidR="00940DE5">
        <w:rPr>
          <w:rFonts w:asciiTheme="minorHAnsi" w:hAnsiTheme="minorHAnsi"/>
          <w:sz w:val="22"/>
          <w:szCs w:val="22"/>
        </w:rPr>
        <w:t xml:space="preserve">; </w:t>
      </w:r>
      <w:r w:rsidRPr="00B93AB3">
        <w:rPr>
          <w:rFonts w:asciiTheme="minorHAnsi" w:hAnsiTheme="minorHAnsi"/>
          <w:sz w:val="22"/>
          <w:szCs w:val="22"/>
        </w:rPr>
        <w:t>http://opengovdata.org/</w:t>
      </w:r>
    </w:p>
    <w:p w14:paraId="07C71B2A" w14:textId="77777777" w:rsidR="002D3517" w:rsidRPr="00B93AB3" w:rsidRDefault="002D3517" w:rsidP="002D3517">
      <w:pPr>
        <w:pStyle w:val="NormalWeb"/>
        <w:ind w:left="475" w:hanging="475"/>
        <w:rPr>
          <w:rFonts w:asciiTheme="minorHAnsi" w:hAnsiTheme="minorHAnsi" w:cs="Calibri"/>
          <w:sz w:val="22"/>
          <w:szCs w:val="22"/>
        </w:rPr>
      </w:pPr>
      <w:r w:rsidRPr="00B93AB3">
        <w:rPr>
          <w:rFonts w:asciiTheme="minorHAnsi" w:hAnsiTheme="minorHAnsi"/>
          <w:sz w:val="22"/>
          <w:szCs w:val="22"/>
        </w:rPr>
        <w:t xml:space="preserve">Peacock, D., &amp; Brownbill, J. (2007). “Audiences, visitors, users: reconceptualising users of museum online content and services.” In J. Trant and D. Bearman (eds.). Museums and the Web 2007: Proceedings. Toronto: Archives &amp; Museum Informatics. </w:t>
      </w:r>
      <w:r w:rsidR="00940DE5" w:rsidRPr="00EB633C">
        <w:rPr>
          <w:rFonts w:asciiTheme="minorHAnsi" w:hAnsiTheme="minorHAnsi"/>
          <w:sz w:val="22"/>
          <w:szCs w:val="22"/>
        </w:rPr>
        <w:t>Retrieved from</w:t>
      </w:r>
      <w:r w:rsidRPr="00B93AB3">
        <w:rPr>
          <w:rFonts w:asciiTheme="minorHAnsi" w:hAnsiTheme="minorHAnsi"/>
          <w:sz w:val="22"/>
          <w:szCs w:val="22"/>
        </w:rPr>
        <w:t>:</w:t>
      </w:r>
      <w:r w:rsidR="00940DE5">
        <w:rPr>
          <w:rFonts w:asciiTheme="minorHAnsi" w:hAnsiTheme="minorHAnsi"/>
          <w:sz w:val="22"/>
          <w:szCs w:val="22"/>
        </w:rPr>
        <w:t xml:space="preserve"> </w:t>
      </w:r>
      <w:r w:rsidRPr="00B93AB3">
        <w:rPr>
          <w:rFonts w:asciiTheme="minorHAnsi" w:hAnsiTheme="minorHAnsi"/>
          <w:sz w:val="22"/>
          <w:szCs w:val="22"/>
        </w:rPr>
        <w:t>http://www.archimuse.com/mw2007/papers/peacock/peacock.html</w:t>
      </w:r>
    </w:p>
    <w:p w14:paraId="7C69C0C5" w14:textId="77777777" w:rsidR="002D3517" w:rsidRPr="00B93AB3" w:rsidRDefault="002D3517" w:rsidP="002D3517">
      <w:pPr>
        <w:autoSpaceDE w:val="0"/>
        <w:autoSpaceDN w:val="0"/>
        <w:adjustRightInd w:val="0"/>
        <w:spacing w:before="100" w:beforeAutospacing="1" w:after="100" w:afterAutospacing="1" w:line="240" w:lineRule="auto"/>
        <w:ind w:left="475" w:hanging="475"/>
        <w:rPr>
          <w:color w:val="000000"/>
          <w:shd w:val="clear" w:color="auto" w:fill="FFFFFF"/>
        </w:rPr>
      </w:pPr>
      <w:r w:rsidRPr="00B93AB3">
        <w:rPr>
          <w:color w:val="000000"/>
          <w:shd w:val="clear" w:color="auto" w:fill="FFFFFF"/>
        </w:rPr>
        <w:t xml:space="preserve">Pilaar Birch, S. (2013). Using </w:t>
      </w:r>
      <w:r w:rsidR="00C875C7">
        <w:rPr>
          <w:color w:val="000000"/>
          <w:shd w:val="clear" w:color="auto" w:fill="FFFFFF"/>
        </w:rPr>
        <w:t>s</w:t>
      </w:r>
      <w:r w:rsidRPr="00B93AB3">
        <w:rPr>
          <w:color w:val="000000"/>
          <w:shd w:val="clear" w:color="auto" w:fill="FFFFFF"/>
        </w:rPr>
        <w:t xml:space="preserve">ocial </w:t>
      </w:r>
      <w:r w:rsidR="00C875C7">
        <w:rPr>
          <w:color w:val="000000"/>
          <w:shd w:val="clear" w:color="auto" w:fill="FFFFFF"/>
        </w:rPr>
        <w:t>m</w:t>
      </w:r>
      <w:r w:rsidRPr="00B93AB3">
        <w:rPr>
          <w:color w:val="000000"/>
          <w:shd w:val="clear" w:color="auto" w:fill="FFFFFF"/>
        </w:rPr>
        <w:t xml:space="preserve">edia for </w:t>
      </w:r>
      <w:r w:rsidR="00C875C7">
        <w:rPr>
          <w:color w:val="000000"/>
          <w:shd w:val="clear" w:color="auto" w:fill="FFFFFF"/>
        </w:rPr>
        <w:t>r</w:t>
      </w:r>
      <w:r w:rsidRPr="00B93AB3">
        <w:rPr>
          <w:color w:val="000000"/>
          <w:shd w:val="clear" w:color="auto" w:fill="FFFFFF"/>
        </w:rPr>
        <w:t xml:space="preserve">esearch </w:t>
      </w:r>
      <w:r w:rsidR="00C875C7">
        <w:rPr>
          <w:color w:val="000000"/>
          <w:shd w:val="clear" w:color="auto" w:fill="FFFFFF"/>
        </w:rPr>
        <w:t>d</w:t>
      </w:r>
      <w:r w:rsidRPr="00B93AB3">
        <w:rPr>
          <w:color w:val="000000"/>
          <w:shd w:val="clear" w:color="auto" w:fill="FFFFFF"/>
        </w:rPr>
        <w:t xml:space="preserve">issemination: The </w:t>
      </w:r>
      <w:r w:rsidR="00C875C7">
        <w:rPr>
          <w:color w:val="000000"/>
          <w:shd w:val="clear" w:color="auto" w:fill="FFFFFF"/>
        </w:rPr>
        <w:t>d</w:t>
      </w:r>
      <w:r w:rsidRPr="00B93AB3">
        <w:rPr>
          <w:color w:val="000000"/>
          <w:shd w:val="clear" w:color="auto" w:fill="FFFFFF"/>
        </w:rPr>
        <w:t xml:space="preserve">igital </w:t>
      </w:r>
      <w:r w:rsidR="00C875C7">
        <w:rPr>
          <w:color w:val="000000"/>
          <w:shd w:val="clear" w:color="auto" w:fill="FFFFFF"/>
        </w:rPr>
        <w:t>r</w:t>
      </w:r>
      <w:r w:rsidRPr="00B93AB3">
        <w:rPr>
          <w:color w:val="000000"/>
          <w:shd w:val="clear" w:color="auto" w:fill="FFFFFF"/>
        </w:rPr>
        <w:t xml:space="preserve">esearch </w:t>
      </w:r>
      <w:r w:rsidR="00C875C7">
        <w:rPr>
          <w:color w:val="000000"/>
          <w:shd w:val="clear" w:color="auto" w:fill="FFFFFF"/>
        </w:rPr>
        <w:t>v</w:t>
      </w:r>
      <w:r w:rsidRPr="00B93AB3">
        <w:rPr>
          <w:color w:val="000000"/>
          <w:shd w:val="clear" w:color="auto" w:fill="FFFFFF"/>
        </w:rPr>
        <w:t xml:space="preserve">ideo </w:t>
      </w:r>
      <w:r w:rsidR="00C875C7">
        <w:rPr>
          <w:color w:val="000000"/>
          <w:shd w:val="clear" w:color="auto" w:fill="FFFFFF"/>
        </w:rPr>
        <w:t>p</w:t>
      </w:r>
      <w:r w:rsidRPr="00B93AB3">
        <w:rPr>
          <w:color w:val="000000"/>
          <w:shd w:val="clear" w:color="auto" w:fill="FFFFFF"/>
        </w:rPr>
        <w:t>roject. Internet Archaeology, (35). Council for British Archaeology. doi:10.11141/ia.35.4</w:t>
      </w:r>
    </w:p>
    <w:p w14:paraId="00152D59" w14:textId="77777777" w:rsidR="00854364" w:rsidRPr="006B6AE9" w:rsidRDefault="00854364" w:rsidP="00854364">
      <w:pPr>
        <w:spacing w:before="100" w:beforeAutospacing="1" w:after="100" w:afterAutospacing="1" w:line="240" w:lineRule="auto"/>
        <w:ind w:left="480" w:hanging="480"/>
        <w:rPr>
          <w:rFonts w:eastAsia="Times New Roman" w:cs="Times New Roman"/>
        </w:rPr>
      </w:pPr>
      <w:r w:rsidRPr="006B6AE9">
        <w:rPr>
          <w:rFonts w:eastAsia="Times New Roman" w:cs="Times New Roman"/>
        </w:rPr>
        <w:t xml:space="preserve">Prithviraj, K. R., &amp; Sampath Kumar, B. T. (2014). Corrosion of URLs: Implications for electronic publishing. </w:t>
      </w:r>
      <w:r w:rsidRPr="006B6AE9">
        <w:rPr>
          <w:rFonts w:eastAsia="Times New Roman" w:cs="Times New Roman"/>
          <w:i/>
          <w:iCs/>
        </w:rPr>
        <w:t>IFLA Journal</w:t>
      </w:r>
      <w:r w:rsidRPr="006B6AE9">
        <w:rPr>
          <w:rFonts w:eastAsia="Times New Roman" w:cs="Times New Roman"/>
        </w:rPr>
        <w:t xml:space="preserve">, </w:t>
      </w:r>
      <w:r w:rsidRPr="006B6AE9">
        <w:rPr>
          <w:rFonts w:eastAsia="Times New Roman" w:cs="Times New Roman"/>
          <w:i/>
          <w:iCs/>
        </w:rPr>
        <w:t>40</w:t>
      </w:r>
      <w:r w:rsidRPr="006B6AE9">
        <w:rPr>
          <w:rFonts w:eastAsia="Times New Roman" w:cs="Times New Roman"/>
        </w:rPr>
        <w:t>(1), 35–47. doi:10.1177/0340035214526529</w:t>
      </w:r>
    </w:p>
    <w:p w14:paraId="47795279" w14:textId="77777777" w:rsidR="002D3517" w:rsidRPr="00B93AB3" w:rsidRDefault="002D3517" w:rsidP="002D3517">
      <w:pPr>
        <w:autoSpaceDE w:val="0"/>
        <w:autoSpaceDN w:val="0"/>
        <w:adjustRightInd w:val="0"/>
        <w:spacing w:before="100" w:beforeAutospacing="1" w:after="100" w:afterAutospacing="1" w:line="240" w:lineRule="auto"/>
        <w:ind w:left="475" w:hanging="475"/>
        <w:rPr>
          <w:rFonts w:cs="Arial"/>
          <w:color w:val="222222"/>
          <w:shd w:val="clear" w:color="auto" w:fill="FFFFFF"/>
        </w:rPr>
      </w:pPr>
      <w:r w:rsidRPr="00B93AB3">
        <w:rPr>
          <w:rFonts w:cs="Arial"/>
          <w:color w:val="222222"/>
          <w:shd w:val="clear" w:color="auto" w:fill="FFFFFF"/>
        </w:rPr>
        <w:t xml:space="preserve">Punch, K (2005). </w:t>
      </w:r>
      <w:r w:rsidRPr="00B93AB3">
        <w:rPr>
          <w:rFonts w:cs="Arial"/>
          <w:i/>
          <w:color w:val="222222"/>
          <w:shd w:val="clear" w:color="auto" w:fill="FFFFFF"/>
        </w:rPr>
        <w:t>Introduction to Social Research Quantitative and Qualitative Approaches</w:t>
      </w:r>
      <w:r w:rsidRPr="00B93AB3">
        <w:rPr>
          <w:rFonts w:cs="Arial"/>
          <w:color w:val="222222"/>
          <w:shd w:val="clear" w:color="auto" w:fill="FFFFFF"/>
        </w:rPr>
        <w:t xml:space="preserve">. Sage. </w:t>
      </w:r>
    </w:p>
    <w:p w14:paraId="145DCD12" w14:textId="77777777" w:rsidR="002D3517" w:rsidRPr="00B93AB3" w:rsidRDefault="002D3517" w:rsidP="002D3517">
      <w:pPr>
        <w:autoSpaceDE w:val="0"/>
        <w:autoSpaceDN w:val="0"/>
        <w:adjustRightInd w:val="0"/>
        <w:spacing w:before="100" w:beforeAutospacing="1" w:after="100" w:afterAutospacing="1" w:line="240" w:lineRule="auto"/>
        <w:ind w:left="475" w:hanging="475"/>
        <w:rPr>
          <w:rFonts w:cs="Calibri"/>
        </w:rPr>
      </w:pPr>
      <w:r w:rsidRPr="00B93AB3">
        <w:rPr>
          <w:rFonts w:cs="Arial"/>
          <w:color w:val="222222"/>
          <w:shd w:val="clear" w:color="auto" w:fill="FFFFFF"/>
        </w:rPr>
        <w:t>Richards, J. D. (2004). Online archives.</w:t>
      </w:r>
      <w:r w:rsidRPr="00B93AB3">
        <w:rPr>
          <w:rStyle w:val="apple-converted-space"/>
          <w:rFonts w:cs="Arial"/>
          <w:color w:val="222222"/>
          <w:shd w:val="clear" w:color="auto" w:fill="FFFFFF"/>
        </w:rPr>
        <w:t> </w:t>
      </w:r>
      <w:r w:rsidRPr="00B93AB3">
        <w:rPr>
          <w:rFonts w:cs="Arial"/>
          <w:i/>
          <w:iCs/>
          <w:color w:val="222222"/>
          <w:shd w:val="clear" w:color="auto" w:fill="FFFFFF"/>
        </w:rPr>
        <w:t>Internet Archaeology</w:t>
      </w:r>
      <w:r w:rsidRPr="00B93AB3">
        <w:rPr>
          <w:rFonts w:cs="Arial"/>
          <w:color w:val="222222"/>
          <w:shd w:val="clear" w:color="auto" w:fill="FFFFFF"/>
        </w:rPr>
        <w:t>.</w:t>
      </w:r>
      <w:r w:rsidRPr="00B93AB3">
        <w:rPr>
          <w:rFonts w:cs="Calibri"/>
        </w:rPr>
        <w:t xml:space="preserve">  Retrieved from: </w:t>
      </w:r>
      <w:r w:rsidR="0091739A" w:rsidRPr="0091739A">
        <w:rPr>
          <w:rFonts w:cs="Calibri"/>
        </w:rPr>
        <w:t>http://intarch.ac.uk/journal/issue15/7/jr1.html</w:t>
      </w:r>
      <w:r w:rsidR="0091739A">
        <w:rPr>
          <w:rFonts w:cs="Calibri"/>
        </w:rPr>
        <w:t xml:space="preserve"> </w:t>
      </w:r>
    </w:p>
    <w:p w14:paraId="6D90D5DF" w14:textId="77777777" w:rsidR="002D3517" w:rsidRPr="00B93AB3" w:rsidRDefault="002D3517" w:rsidP="002D3517">
      <w:pPr>
        <w:autoSpaceDE w:val="0"/>
        <w:autoSpaceDN w:val="0"/>
        <w:adjustRightInd w:val="0"/>
        <w:spacing w:before="100" w:beforeAutospacing="1" w:after="100" w:afterAutospacing="1" w:line="240" w:lineRule="auto"/>
        <w:ind w:left="475" w:hanging="475"/>
        <w:rPr>
          <w:rFonts w:cs="Calibri"/>
        </w:rPr>
      </w:pPr>
      <w:r w:rsidRPr="00B93AB3">
        <w:rPr>
          <w:rFonts w:cs="Calibri"/>
        </w:rPr>
        <w:t>Richards, J. (2014). Towards a history of archaeological computer. Proceedings from CAA 2014 Concepts Methods Tools. Paris, France.</w:t>
      </w:r>
    </w:p>
    <w:p w14:paraId="6869BDE7" w14:textId="77777777" w:rsidR="002D3517" w:rsidRPr="00B93AB3" w:rsidRDefault="002D3517" w:rsidP="002D3517">
      <w:pPr>
        <w:autoSpaceDE w:val="0"/>
        <w:autoSpaceDN w:val="0"/>
        <w:adjustRightInd w:val="0"/>
        <w:spacing w:before="100" w:beforeAutospacing="1" w:after="100" w:afterAutospacing="1" w:line="240" w:lineRule="auto"/>
        <w:ind w:left="475" w:hanging="475"/>
        <w:rPr>
          <w:shd w:val="clear" w:color="auto" w:fill="FFFFFF"/>
        </w:rPr>
      </w:pPr>
      <w:r w:rsidRPr="00B93AB3">
        <w:rPr>
          <w:shd w:val="clear" w:color="auto" w:fill="FFFFFF"/>
        </w:rPr>
        <w:t>Richards</w:t>
      </w:r>
      <w:bookmarkStart w:id="44" w:name="RichardsRob"/>
      <w:r w:rsidRPr="00B93AB3">
        <w:rPr>
          <w:shd w:val="clear" w:color="auto" w:fill="FFFFFF"/>
        </w:rPr>
        <w:t xml:space="preserve">, J.D. </w:t>
      </w:r>
      <w:r w:rsidR="006C400E">
        <w:rPr>
          <w:shd w:val="clear" w:color="auto" w:fill="FFFFFF"/>
        </w:rPr>
        <w:t>&amp;</w:t>
      </w:r>
      <w:r w:rsidRPr="00B93AB3">
        <w:rPr>
          <w:shd w:val="clear" w:color="auto" w:fill="FFFFFF"/>
        </w:rPr>
        <w:t xml:space="preserve"> Robinson, D. (eds) 2000</w:t>
      </w:r>
      <w:r w:rsidRPr="00B93AB3">
        <w:rPr>
          <w:rStyle w:val="apple-converted-space"/>
          <w:shd w:val="clear" w:color="auto" w:fill="FFFFFF"/>
        </w:rPr>
        <w:t> </w:t>
      </w:r>
      <w:r w:rsidRPr="00B93AB3">
        <w:rPr>
          <w:rStyle w:val="Emphasis"/>
          <w:shd w:val="clear" w:color="auto" w:fill="FFFFFF"/>
        </w:rPr>
        <w:t>Digital Archives from Excavation and Fieldwork: Guide to Good Practice</w:t>
      </w:r>
      <w:r w:rsidRPr="00B93AB3">
        <w:rPr>
          <w:shd w:val="clear" w:color="auto" w:fill="FFFFFF"/>
        </w:rPr>
        <w:t>, Second Edition. AHDS Guides to Good Practice</w:t>
      </w:r>
      <w:r w:rsidR="00940DE5">
        <w:rPr>
          <w:shd w:val="clear" w:color="auto" w:fill="FFFFFF"/>
        </w:rPr>
        <w:t xml:space="preserve">. </w:t>
      </w:r>
      <w:r w:rsidR="00940DE5" w:rsidRPr="00EB633C">
        <w:rPr>
          <w:rFonts w:eastAsia="Times New Roman" w:cs="Times New Roman"/>
        </w:rPr>
        <w:t>Retrieved from</w:t>
      </w:r>
      <w:r w:rsidR="00940DE5">
        <w:rPr>
          <w:rFonts w:eastAsia="Times New Roman" w:cs="Times New Roman"/>
        </w:rPr>
        <w:t xml:space="preserve">: </w:t>
      </w:r>
      <w:bookmarkEnd w:id="44"/>
      <w:r w:rsidRPr="00B93AB3">
        <w:rPr>
          <w:shd w:val="clear" w:color="auto" w:fill="FFFFFF"/>
        </w:rPr>
        <w:t>http://ads.ahds.ac.uk</w:t>
      </w:r>
      <w:r w:rsidR="00940DE5">
        <w:rPr>
          <w:shd w:val="clear" w:color="auto" w:fill="FFFFFF"/>
        </w:rPr>
        <w:t>/project/goodguides/excavation.</w:t>
      </w:r>
    </w:p>
    <w:p w14:paraId="3BA7245B" w14:textId="77777777" w:rsidR="002D3517" w:rsidRPr="00B93AB3" w:rsidRDefault="002D3517" w:rsidP="002D3517">
      <w:pPr>
        <w:spacing w:before="100" w:beforeAutospacing="1" w:after="100" w:afterAutospacing="1" w:line="240" w:lineRule="auto"/>
        <w:ind w:left="475" w:hanging="475"/>
        <w:rPr>
          <w:shd w:val="clear" w:color="auto" w:fill="FFFFFF"/>
        </w:rPr>
      </w:pPr>
      <w:r w:rsidRPr="00B93AB3">
        <w:rPr>
          <w:shd w:val="clear" w:color="auto" w:fill="FFFFFF"/>
        </w:rPr>
        <w:t>Richardson, L</w:t>
      </w:r>
      <w:r>
        <w:rPr>
          <w:shd w:val="clear" w:color="auto" w:fill="FFFFFF"/>
        </w:rPr>
        <w:t>orna</w:t>
      </w:r>
      <w:r w:rsidRPr="00B93AB3">
        <w:rPr>
          <w:shd w:val="clear" w:color="auto" w:fill="FFFFFF"/>
        </w:rPr>
        <w:t xml:space="preserve">. (2014). Understanding </w:t>
      </w:r>
      <w:r w:rsidR="00C875C7">
        <w:rPr>
          <w:shd w:val="clear" w:color="auto" w:fill="FFFFFF"/>
        </w:rPr>
        <w:t>a</w:t>
      </w:r>
      <w:r w:rsidRPr="00B93AB3">
        <w:rPr>
          <w:shd w:val="clear" w:color="auto" w:fill="FFFFFF"/>
        </w:rPr>
        <w:t xml:space="preserve">rchaeological </w:t>
      </w:r>
      <w:r w:rsidR="00C875C7">
        <w:rPr>
          <w:shd w:val="clear" w:color="auto" w:fill="FFFFFF"/>
        </w:rPr>
        <w:t>a</w:t>
      </w:r>
      <w:r w:rsidRPr="00B93AB3">
        <w:rPr>
          <w:shd w:val="clear" w:color="auto" w:fill="FFFFFF"/>
        </w:rPr>
        <w:t xml:space="preserve">uthority in a </w:t>
      </w:r>
      <w:r w:rsidR="00C875C7">
        <w:rPr>
          <w:shd w:val="clear" w:color="auto" w:fill="FFFFFF"/>
        </w:rPr>
        <w:t xml:space="preserve">digital context. </w:t>
      </w:r>
      <w:r w:rsidRPr="00B93AB3">
        <w:rPr>
          <w:shd w:val="clear" w:color="auto" w:fill="FFFFFF"/>
        </w:rPr>
        <w:t>Internet Archaeology 38. http://dx.doi.org/10.11141/ia.38.1</w:t>
      </w:r>
    </w:p>
    <w:p w14:paraId="162A7DF2" w14:textId="77777777" w:rsidR="002D3517" w:rsidRPr="00B93AB3" w:rsidRDefault="002D3517" w:rsidP="002D3517">
      <w:pPr>
        <w:spacing w:before="100" w:beforeAutospacing="1" w:after="100" w:afterAutospacing="1" w:line="240" w:lineRule="auto"/>
        <w:ind w:left="475" w:hanging="475"/>
        <w:rPr>
          <w:shd w:val="clear" w:color="auto" w:fill="FFFFFF"/>
        </w:rPr>
      </w:pPr>
      <w:r w:rsidRPr="00B93AB3">
        <w:rPr>
          <w:shd w:val="clear" w:color="auto" w:fill="FFFFFF"/>
        </w:rPr>
        <w:t xml:space="preserve">Rosewell Foundation (n.d.) History of Rosewell. Retrieved from: http://www.rosewell.co/history-of-rosewell.html </w:t>
      </w:r>
    </w:p>
    <w:p w14:paraId="772E59F1" w14:textId="77777777" w:rsidR="002D3517" w:rsidRPr="00B93AB3" w:rsidRDefault="002D3517" w:rsidP="002D3517">
      <w:pPr>
        <w:autoSpaceDE w:val="0"/>
        <w:autoSpaceDN w:val="0"/>
        <w:adjustRightInd w:val="0"/>
        <w:spacing w:before="100" w:beforeAutospacing="1" w:after="100" w:afterAutospacing="1" w:line="240" w:lineRule="auto"/>
        <w:ind w:left="475" w:hanging="475"/>
        <w:rPr>
          <w:rFonts w:cs="Calibri"/>
        </w:rPr>
      </w:pPr>
      <w:r w:rsidRPr="00B93AB3">
        <w:rPr>
          <w:rFonts w:cs="Calibri"/>
        </w:rPr>
        <w:t xml:space="preserve">Sarraf, S. (1999). A survey of museums on the web: who uses museum websites? </w:t>
      </w:r>
      <w:r w:rsidRPr="00B93AB3">
        <w:rPr>
          <w:rFonts w:cs="Calibri,Italic"/>
          <w:i/>
          <w:iCs/>
        </w:rPr>
        <w:t xml:space="preserve">Curator: The Museum Journal 42.3. </w:t>
      </w:r>
      <w:r w:rsidRPr="00B93AB3">
        <w:rPr>
          <w:rFonts w:cs="Calibri"/>
        </w:rPr>
        <w:t>Blackwell Publishing Ltd</w:t>
      </w:r>
    </w:p>
    <w:p w14:paraId="483D791F" w14:textId="77777777" w:rsidR="002D3517" w:rsidRPr="00B93AB3" w:rsidRDefault="002D3517" w:rsidP="002D3517">
      <w:pPr>
        <w:spacing w:before="100" w:beforeAutospacing="1" w:after="100" w:afterAutospacing="1" w:line="240" w:lineRule="auto"/>
        <w:ind w:left="475" w:hanging="475"/>
        <w:rPr>
          <w:color w:val="000000"/>
          <w:shd w:val="clear" w:color="auto" w:fill="FFFFFF"/>
        </w:rPr>
      </w:pPr>
      <w:r w:rsidRPr="00B93AB3">
        <w:rPr>
          <w:color w:val="000000"/>
          <w:shd w:val="clear" w:color="auto" w:fill="FFFFFF"/>
        </w:rPr>
        <w:t xml:space="preserve">Scott, S. (2013). Pioneers, publishers and the dissemination of archaeological knowledge: A study of publishing in British archaeology 1816-1851. Internet Archaeology, (35). Council for British Archaeology. doi:10.11141/ia.35.1 Retrieved from: http://intarch.ac.uk/journal/issue35/scott_index.html </w:t>
      </w:r>
    </w:p>
    <w:p w14:paraId="795C7CCA" w14:textId="77777777" w:rsidR="002D3517" w:rsidRPr="00B93AB3" w:rsidRDefault="002D3517" w:rsidP="002D3517">
      <w:pPr>
        <w:spacing w:before="100" w:beforeAutospacing="1" w:after="100" w:afterAutospacing="1" w:line="240" w:lineRule="auto"/>
        <w:ind w:left="475" w:hanging="475"/>
      </w:pPr>
      <w:r w:rsidRPr="00B93AB3">
        <w:rPr>
          <w:color w:val="000000"/>
          <w:shd w:val="clear" w:color="auto" w:fill="FFFFFF"/>
        </w:rPr>
        <w:t>Shanks M., &amp; Witmore C. (2012). 'Archaeology 2.0? Review of</w:t>
      </w:r>
      <w:r w:rsidRPr="00B93AB3">
        <w:rPr>
          <w:rStyle w:val="apple-converted-space"/>
          <w:color w:val="000000"/>
          <w:shd w:val="clear" w:color="auto" w:fill="FFFFFF"/>
        </w:rPr>
        <w:t> </w:t>
      </w:r>
      <w:r w:rsidRPr="00B93AB3">
        <w:rPr>
          <w:rStyle w:val="Emphasis"/>
          <w:color w:val="000000"/>
          <w:shd w:val="clear" w:color="auto" w:fill="FFFFFF"/>
        </w:rPr>
        <w:t>Archaeology 2.0: New Approaches to Communication and Collaboration</w:t>
      </w:r>
      <w:r w:rsidRPr="00B93AB3">
        <w:rPr>
          <w:rStyle w:val="apple-converted-space"/>
          <w:color w:val="000000"/>
          <w:shd w:val="clear" w:color="auto" w:fill="FFFFFF"/>
        </w:rPr>
        <w:t> </w:t>
      </w:r>
      <w:r w:rsidRPr="00B93AB3">
        <w:rPr>
          <w:color w:val="000000"/>
          <w:shd w:val="clear" w:color="auto" w:fill="FFFFFF"/>
        </w:rPr>
        <w:t xml:space="preserve">[Web Book]', Internet </w:t>
      </w:r>
      <w:r w:rsidRPr="00B93AB3">
        <w:rPr>
          <w:color w:val="000000"/>
          <w:shd w:val="clear" w:color="auto" w:fill="FFFFFF"/>
        </w:rPr>
        <w:lastRenderedPageBreak/>
        <w:t>Archaeology</w:t>
      </w:r>
      <w:r w:rsidRPr="00B93AB3">
        <w:rPr>
          <w:rStyle w:val="apple-converted-space"/>
          <w:color w:val="000000"/>
          <w:shd w:val="clear" w:color="auto" w:fill="FFFFFF"/>
        </w:rPr>
        <w:t> </w:t>
      </w:r>
      <w:r w:rsidRPr="00B93AB3">
        <w:rPr>
          <w:rStyle w:val="Strong"/>
          <w:color w:val="000000"/>
          <w:shd w:val="clear" w:color="auto" w:fill="FFFFFF"/>
        </w:rPr>
        <w:t>32</w:t>
      </w:r>
      <w:r w:rsidRPr="00B93AB3">
        <w:rPr>
          <w:color w:val="000000"/>
          <w:shd w:val="clear" w:color="auto" w:fill="FFFFFF"/>
        </w:rPr>
        <w:t>.</w:t>
      </w:r>
      <w:r w:rsidRPr="00B93AB3">
        <w:rPr>
          <w:rStyle w:val="apple-converted-space"/>
          <w:color w:val="000000"/>
          <w:shd w:val="clear" w:color="auto" w:fill="FFFFFF"/>
        </w:rPr>
        <w:t> </w:t>
      </w:r>
      <w:r w:rsidRPr="00B93AB3">
        <w:rPr>
          <w:shd w:val="clear" w:color="auto" w:fill="FFFFFF"/>
        </w:rPr>
        <w:t>http://dx.doi.org/10.11141/ia.32.7 Retrieved from: http://intarch.ac.uk/journal/issue17/5/toc.html</w:t>
      </w:r>
    </w:p>
    <w:p w14:paraId="6C2C4C1D" w14:textId="77777777" w:rsidR="009A74D5" w:rsidRPr="001A5EE9" w:rsidRDefault="009A74D5" w:rsidP="009A74D5">
      <w:pPr>
        <w:spacing w:before="100" w:beforeAutospacing="1" w:after="100" w:afterAutospacing="1" w:line="240" w:lineRule="auto"/>
        <w:ind w:left="480" w:hanging="480"/>
        <w:rPr>
          <w:rFonts w:eastAsia="Times New Roman" w:cs="Times New Roman"/>
        </w:rPr>
      </w:pPr>
      <w:r w:rsidRPr="001A5EE9">
        <w:rPr>
          <w:rFonts w:eastAsia="Times New Roman" w:cs="Times New Roman"/>
        </w:rPr>
        <w:t xml:space="preserve">Simmhan, Y. L., Plale, B., &amp; Gannon, D. (2005). A Survey of Data Provenance in e-Science. </w:t>
      </w:r>
      <w:r w:rsidRPr="001A5EE9">
        <w:rPr>
          <w:rFonts w:eastAsia="Times New Roman" w:cs="Times New Roman"/>
          <w:i/>
          <w:iCs/>
        </w:rPr>
        <w:t>SIGMOD Record</w:t>
      </w:r>
      <w:r w:rsidRPr="001A5EE9">
        <w:rPr>
          <w:rFonts w:eastAsia="Times New Roman" w:cs="Times New Roman"/>
        </w:rPr>
        <w:t xml:space="preserve">, </w:t>
      </w:r>
      <w:r w:rsidRPr="001A5EE9">
        <w:rPr>
          <w:rFonts w:eastAsia="Times New Roman" w:cs="Times New Roman"/>
          <w:i/>
          <w:iCs/>
        </w:rPr>
        <w:t>34</w:t>
      </w:r>
      <w:r w:rsidRPr="001A5EE9">
        <w:rPr>
          <w:rFonts w:eastAsia="Times New Roman" w:cs="Times New Roman"/>
        </w:rPr>
        <w:t>(3), 31–36. doi:10.1145/1084805.1084812</w:t>
      </w:r>
    </w:p>
    <w:p w14:paraId="7A70E2C0" w14:textId="77777777" w:rsidR="002D3517" w:rsidRPr="00B93AB3" w:rsidRDefault="002D3517" w:rsidP="002D3517">
      <w:pPr>
        <w:spacing w:before="100" w:beforeAutospacing="1" w:after="100" w:afterAutospacing="1" w:line="240" w:lineRule="auto"/>
        <w:ind w:left="475" w:hanging="475"/>
      </w:pPr>
      <w:r w:rsidRPr="00B93AB3">
        <w:rPr>
          <w:rFonts w:eastAsia="Times New Roman" w:cs="Times New Roman"/>
        </w:rPr>
        <w:t xml:space="preserve">Society for American Archaeology. (n.d.). Principles of archaeological ethics. Retrieved March 14, 2014, from </w:t>
      </w:r>
      <w:r w:rsidRPr="00B93AB3">
        <w:t>http://www.saa.org/AbouttheSociety/PrinciplesofArchaeologicalEthics/tabid/203/Default.aspx</w:t>
      </w:r>
    </w:p>
    <w:p w14:paraId="57B7E772" w14:textId="77777777" w:rsidR="00295DA7" w:rsidRDefault="00295DA7" w:rsidP="00295DA7">
      <w:pPr>
        <w:spacing w:before="100" w:beforeAutospacing="1" w:after="100" w:afterAutospacing="1" w:line="240" w:lineRule="auto"/>
        <w:ind w:left="475" w:hanging="475"/>
      </w:pPr>
      <w:r w:rsidRPr="00B93AB3">
        <w:rPr>
          <w:rFonts w:eastAsia="Times New Roman" w:cs="Times New Roman"/>
        </w:rPr>
        <w:t>Society for Historical Archaeology. (2003). SHA - ethics statement. Retrieved from</w:t>
      </w:r>
      <w:r w:rsidR="00940DE5">
        <w:rPr>
          <w:rFonts w:eastAsia="Times New Roman" w:cs="Times New Roman"/>
        </w:rPr>
        <w:t xml:space="preserve">: </w:t>
      </w:r>
      <w:r w:rsidRPr="00DF1610">
        <w:t>http://www.sha.org/index.php/view/page/ethics</w:t>
      </w:r>
    </w:p>
    <w:p w14:paraId="4536D874" w14:textId="77777777" w:rsidR="00295DA7" w:rsidRDefault="00295DA7" w:rsidP="00295DA7">
      <w:pPr>
        <w:spacing w:before="100" w:beforeAutospacing="1" w:after="100" w:afterAutospacing="1" w:line="240" w:lineRule="auto"/>
        <w:ind w:left="475" w:hanging="475"/>
      </w:pPr>
      <w:r w:rsidRPr="00B93AB3">
        <w:rPr>
          <w:rFonts w:eastAsia="Times New Roman" w:cs="Times New Roman"/>
        </w:rPr>
        <w:t xml:space="preserve">Society </w:t>
      </w:r>
      <w:r>
        <w:rPr>
          <w:rFonts w:eastAsia="Times New Roman" w:cs="Times New Roman"/>
        </w:rPr>
        <w:t>for Historical Archaeology. (201</w:t>
      </w:r>
      <w:r w:rsidRPr="00B93AB3">
        <w:rPr>
          <w:rFonts w:eastAsia="Times New Roman" w:cs="Times New Roman"/>
        </w:rPr>
        <w:t xml:space="preserve">3). </w:t>
      </w:r>
      <w:r>
        <w:rPr>
          <w:rFonts w:eastAsia="Times New Roman" w:cs="Times New Roman"/>
        </w:rPr>
        <w:t>Awards and Awardees</w:t>
      </w:r>
      <w:r w:rsidRPr="00B93AB3">
        <w:rPr>
          <w:rFonts w:eastAsia="Times New Roman" w:cs="Times New Roman"/>
        </w:rPr>
        <w:t>. Retrieved from</w:t>
      </w:r>
      <w:r w:rsidR="00940DE5">
        <w:rPr>
          <w:rFonts w:eastAsia="Times New Roman" w:cs="Times New Roman"/>
        </w:rPr>
        <w:t xml:space="preserve">: </w:t>
      </w:r>
      <w:r w:rsidRPr="00DF1610">
        <w:t>http://www.sha.org/index.php/view/page/awards_awardees</w:t>
      </w:r>
      <w:r>
        <w:t xml:space="preserve"> </w:t>
      </w:r>
    </w:p>
    <w:p w14:paraId="641AC463" w14:textId="77777777" w:rsidR="002D3517" w:rsidRPr="00B93AB3" w:rsidRDefault="002D3517" w:rsidP="002D3517">
      <w:pPr>
        <w:spacing w:before="100" w:beforeAutospacing="1" w:after="100" w:afterAutospacing="1" w:line="240" w:lineRule="auto"/>
        <w:ind w:left="475" w:hanging="475"/>
        <w:rPr>
          <w:rFonts w:eastAsia="Times New Roman" w:cs="Times New Roman"/>
        </w:rPr>
      </w:pPr>
      <w:r w:rsidRPr="00B93AB3">
        <w:rPr>
          <w:rFonts w:eastAsia="Times New Roman" w:cs="Times New Roman"/>
        </w:rPr>
        <w:t>Society for Historical Archaeology. (</w:t>
      </w:r>
      <w:r w:rsidR="00EE67EE">
        <w:rPr>
          <w:rFonts w:eastAsia="Times New Roman" w:cs="Times New Roman"/>
        </w:rPr>
        <w:t>in press</w:t>
      </w:r>
      <w:r w:rsidRPr="00B93AB3">
        <w:rPr>
          <w:rFonts w:eastAsia="Times New Roman" w:cs="Times New Roman"/>
        </w:rPr>
        <w:t xml:space="preserve">). </w:t>
      </w:r>
      <w:r w:rsidR="00EE67EE">
        <w:rPr>
          <w:rFonts w:eastAsia="Times New Roman" w:cs="Times New Roman"/>
        </w:rPr>
        <w:t xml:space="preserve">SHA 2014 survey. </w:t>
      </w:r>
      <w:r w:rsidRPr="00B93AB3">
        <w:rPr>
          <w:rFonts w:eastAsia="Times New Roman" w:cs="Times New Roman"/>
        </w:rPr>
        <w:t>SHA</w:t>
      </w:r>
      <w:r>
        <w:rPr>
          <w:rFonts w:eastAsia="Times New Roman" w:cs="Times New Roman"/>
        </w:rPr>
        <w:t xml:space="preserve"> Newsletter</w:t>
      </w:r>
    </w:p>
    <w:p w14:paraId="71ECF988" w14:textId="77777777" w:rsidR="002D3517" w:rsidRPr="00B93AB3" w:rsidRDefault="002D3517" w:rsidP="002D3517">
      <w:pPr>
        <w:autoSpaceDE w:val="0"/>
        <w:autoSpaceDN w:val="0"/>
        <w:adjustRightInd w:val="0"/>
        <w:spacing w:before="100" w:beforeAutospacing="1" w:after="100" w:afterAutospacing="1" w:line="240" w:lineRule="auto"/>
        <w:ind w:left="475" w:hanging="475"/>
      </w:pPr>
      <w:r w:rsidRPr="00B93AB3">
        <w:t xml:space="preserve">Sullivan, L., &amp; Childs, S. (2003). </w:t>
      </w:r>
      <w:r w:rsidRPr="00B93AB3">
        <w:rPr>
          <w:i/>
          <w:iCs/>
        </w:rPr>
        <w:t>Curating archaeological collections: from the field to the repository</w:t>
      </w:r>
      <w:r w:rsidRPr="00B93AB3">
        <w:t xml:space="preserve"> (Vol. 6). Rowman, Altamira.</w:t>
      </w:r>
    </w:p>
    <w:p w14:paraId="2B2DC201" w14:textId="77777777" w:rsidR="002D3517" w:rsidRPr="00B93AB3" w:rsidRDefault="002D3517" w:rsidP="002D3517">
      <w:pPr>
        <w:autoSpaceDE w:val="0"/>
        <w:autoSpaceDN w:val="0"/>
        <w:adjustRightInd w:val="0"/>
        <w:spacing w:before="100" w:beforeAutospacing="1" w:after="100" w:afterAutospacing="1" w:line="240" w:lineRule="auto"/>
        <w:ind w:left="475" w:hanging="475"/>
      </w:pPr>
      <w:r w:rsidRPr="00B93AB3">
        <w:t>tDAR (2014). Teaching. Retrieved from: http://www.tdar.org/why-tdar/access/teaching/</w:t>
      </w:r>
    </w:p>
    <w:p w14:paraId="157873E9" w14:textId="77777777" w:rsidR="002D3517" w:rsidRPr="00B93AB3" w:rsidRDefault="002D3517" w:rsidP="002D3517">
      <w:pPr>
        <w:spacing w:before="100" w:beforeAutospacing="1" w:after="100" w:afterAutospacing="1" w:line="240" w:lineRule="auto"/>
        <w:ind w:left="475" w:hanging="475"/>
        <w:rPr>
          <w:rFonts w:eastAsia="Times New Roman" w:cs="Times New Roman"/>
        </w:rPr>
      </w:pPr>
      <w:r w:rsidRPr="00B93AB3">
        <w:rPr>
          <w:rFonts w:eastAsia="Times New Roman" w:cs="Times New Roman"/>
        </w:rPr>
        <w:t xml:space="preserve">Tschan, R. (2002). A comparison of Jenkinson and Schellenberg on appraisal. </w:t>
      </w:r>
      <w:r w:rsidRPr="00B93AB3">
        <w:rPr>
          <w:rFonts w:eastAsia="Times New Roman" w:cs="Times New Roman"/>
          <w:i/>
          <w:iCs/>
        </w:rPr>
        <w:t>The American Archivist</w:t>
      </w:r>
      <w:r w:rsidRPr="00B93AB3">
        <w:rPr>
          <w:rFonts w:eastAsia="Times New Roman" w:cs="Times New Roman"/>
        </w:rPr>
        <w:t xml:space="preserve">, </w:t>
      </w:r>
      <w:r w:rsidRPr="00B93AB3">
        <w:rPr>
          <w:rFonts w:eastAsia="Times New Roman" w:cs="Times New Roman"/>
          <w:i/>
          <w:iCs/>
        </w:rPr>
        <w:t>65</w:t>
      </w:r>
      <w:r w:rsidRPr="00B93AB3">
        <w:rPr>
          <w:rFonts w:eastAsia="Times New Roman" w:cs="Times New Roman"/>
        </w:rPr>
        <w:t>(2), 176–195.</w:t>
      </w:r>
    </w:p>
    <w:p w14:paraId="4903796D" w14:textId="77777777" w:rsidR="002D3517" w:rsidRPr="00B93AB3" w:rsidRDefault="002D3517" w:rsidP="002D3517">
      <w:pPr>
        <w:pStyle w:val="NormalWeb"/>
        <w:ind w:left="475" w:hanging="475"/>
        <w:rPr>
          <w:rFonts w:asciiTheme="minorHAnsi" w:hAnsiTheme="minorHAnsi"/>
          <w:sz w:val="22"/>
          <w:szCs w:val="22"/>
        </w:rPr>
      </w:pPr>
      <w:r w:rsidRPr="00B93AB3">
        <w:rPr>
          <w:rFonts w:asciiTheme="minorHAnsi" w:hAnsiTheme="minorHAnsi"/>
          <w:sz w:val="22"/>
          <w:szCs w:val="22"/>
        </w:rPr>
        <w:t>Warner, M. (2014). Turning Inwards: Collections-driven research and the vitality of the discipline. Paper presented at the annual meeting of the Society for Historical Archaeologists, Quebec, 2014.</w:t>
      </w:r>
    </w:p>
    <w:p w14:paraId="255624E3" w14:textId="77777777" w:rsidR="002D3517" w:rsidRPr="00B93AB3" w:rsidRDefault="002D3517" w:rsidP="002D3517">
      <w:pPr>
        <w:pStyle w:val="NormalWeb"/>
        <w:ind w:left="475" w:hanging="475"/>
        <w:rPr>
          <w:rFonts w:asciiTheme="minorHAnsi" w:hAnsiTheme="minorHAnsi"/>
          <w:sz w:val="22"/>
          <w:szCs w:val="22"/>
        </w:rPr>
      </w:pPr>
      <w:r w:rsidRPr="00B93AB3">
        <w:rPr>
          <w:rFonts w:asciiTheme="minorHAnsi" w:hAnsiTheme="minorHAnsi"/>
          <w:sz w:val="22"/>
          <w:szCs w:val="22"/>
        </w:rPr>
        <w:t>Watts, J. (2011). Policies, preservation, and access to digital resources : The Digital Antiquity 2010 National Repositories Survey. doi:10.6067/XCV8CC1022</w:t>
      </w:r>
    </w:p>
    <w:p w14:paraId="74D1ED95" w14:textId="77777777" w:rsidR="002D3517" w:rsidRPr="00B93AB3" w:rsidRDefault="002D3517" w:rsidP="002D3517">
      <w:pPr>
        <w:spacing w:before="100" w:beforeAutospacing="1" w:after="100" w:afterAutospacing="1" w:line="240" w:lineRule="auto"/>
        <w:ind w:left="475" w:hanging="475"/>
        <w:rPr>
          <w:b/>
          <w:shd w:val="clear" w:color="auto" w:fill="FFFFFF"/>
        </w:rPr>
      </w:pPr>
      <w:r w:rsidRPr="00B93AB3">
        <w:rPr>
          <w:shd w:val="clear" w:color="auto" w:fill="FFFFFF"/>
        </w:rPr>
        <w:t>Weare, C.</w:t>
      </w:r>
      <w:r w:rsidR="00C875C7">
        <w:rPr>
          <w:shd w:val="clear" w:color="auto" w:fill="FFFFFF"/>
        </w:rPr>
        <w:t>, &amp; Lin, W. Y. (2000). Content a</w:t>
      </w:r>
      <w:r w:rsidRPr="00B93AB3">
        <w:rPr>
          <w:shd w:val="clear" w:color="auto" w:fill="FFFFFF"/>
        </w:rPr>
        <w:t xml:space="preserve">nalysis of the </w:t>
      </w:r>
      <w:r w:rsidR="00C875C7">
        <w:rPr>
          <w:shd w:val="clear" w:color="auto" w:fill="FFFFFF"/>
        </w:rPr>
        <w:t>w</w:t>
      </w:r>
      <w:r w:rsidRPr="00B93AB3">
        <w:rPr>
          <w:shd w:val="clear" w:color="auto" w:fill="FFFFFF"/>
        </w:rPr>
        <w:t xml:space="preserve">orld </w:t>
      </w:r>
      <w:r w:rsidR="00C875C7">
        <w:rPr>
          <w:shd w:val="clear" w:color="auto" w:fill="FFFFFF"/>
        </w:rPr>
        <w:t>w</w:t>
      </w:r>
      <w:r w:rsidRPr="00B93AB3">
        <w:rPr>
          <w:shd w:val="clear" w:color="auto" w:fill="FFFFFF"/>
        </w:rPr>
        <w:t xml:space="preserve">ide </w:t>
      </w:r>
      <w:r w:rsidR="00C875C7">
        <w:rPr>
          <w:shd w:val="clear" w:color="auto" w:fill="FFFFFF"/>
        </w:rPr>
        <w:t>w</w:t>
      </w:r>
      <w:r w:rsidRPr="00B93AB3">
        <w:rPr>
          <w:shd w:val="clear" w:color="auto" w:fill="FFFFFF"/>
        </w:rPr>
        <w:t xml:space="preserve">eb </w:t>
      </w:r>
      <w:r w:rsidR="00C875C7">
        <w:rPr>
          <w:shd w:val="clear" w:color="auto" w:fill="FFFFFF"/>
        </w:rPr>
        <w:t>o</w:t>
      </w:r>
      <w:r w:rsidRPr="00B93AB3">
        <w:rPr>
          <w:shd w:val="clear" w:color="auto" w:fill="FFFFFF"/>
        </w:rPr>
        <w:t xml:space="preserve">pportunities and </w:t>
      </w:r>
      <w:r w:rsidR="00C875C7">
        <w:rPr>
          <w:shd w:val="clear" w:color="auto" w:fill="FFFFFF"/>
        </w:rPr>
        <w:t>c</w:t>
      </w:r>
      <w:r w:rsidRPr="00B93AB3">
        <w:rPr>
          <w:shd w:val="clear" w:color="auto" w:fill="FFFFFF"/>
        </w:rPr>
        <w:t>hallenges.</w:t>
      </w:r>
      <w:r w:rsidRPr="00B93AB3">
        <w:rPr>
          <w:rStyle w:val="apple-converted-space"/>
          <w:rFonts w:cs="Arial"/>
          <w:color w:val="222222"/>
          <w:shd w:val="clear" w:color="auto" w:fill="FFFFFF"/>
        </w:rPr>
        <w:t> </w:t>
      </w:r>
      <w:r w:rsidRPr="00B93AB3">
        <w:rPr>
          <w:i/>
          <w:iCs/>
          <w:shd w:val="clear" w:color="auto" w:fill="FFFFFF"/>
        </w:rPr>
        <w:t>Social Science Computer Review</w:t>
      </w:r>
      <w:r w:rsidRPr="00B93AB3">
        <w:rPr>
          <w:shd w:val="clear" w:color="auto" w:fill="FFFFFF"/>
        </w:rPr>
        <w:t>,</w:t>
      </w:r>
      <w:r w:rsidRPr="00B93AB3">
        <w:rPr>
          <w:rStyle w:val="apple-converted-space"/>
          <w:rFonts w:cs="Arial"/>
          <w:color w:val="222222"/>
          <w:shd w:val="clear" w:color="auto" w:fill="FFFFFF"/>
        </w:rPr>
        <w:t> </w:t>
      </w:r>
      <w:r w:rsidRPr="00B93AB3">
        <w:rPr>
          <w:i/>
          <w:iCs/>
          <w:shd w:val="clear" w:color="auto" w:fill="FFFFFF"/>
        </w:rPr>
        <w:t>18</w:t>
      </w:r>
      <w:r w:rsidRPr="00B93AB3">
        <w:rPr>
          <w:shd w:val="clear" w:color="auto" w:fill="FFFFFF"/>
        </w:rPr>
        <w:t>(3), 272-292.</w:t>
      </w:r>
    </w:p>
    <w:p w14:paraId="34945428" w14:textId="77777777" w:rsidR="002D3517" w:rsidRPr="00B93AB3" w:rsidRDefault="002D3517" w:rsidP="002D3517">
      <w:pPr>
        <w:autoSpaceDE w:val="0"/>
        <w:autoSpaceDN w:val="0"/>
        <w:adjustRightInd w:val="0"/>
        <w:spacing w:before="100" w:beforeAutospacing="1" w:after="100" w:afterAutospacing="1" w:line="240" w:lineRule="auto"/>
        <w:ind w:left="475" w:hanging="475"/>
      </w:pPr>
      <w:r w:rsidRPr="00B93AB3">
        <w:t xml:space="preserve">White, E. C., &amp; Breen, E. (2012). </w:t>
      </w:r>
      <w:r w:rsidRPr="00B93AB3">
        <w:rPr>
          <w:i/>
          <w:iCs/>
        </w:rPr>
        <w:t>A survey of archaeological repositories in Virginia</w:t>
      </w:r>
      <w:r w:rsidRPr="00B93AB3">
        <w:t>. Retrieved from</w:t>
      </w:r>
      <w:r w:rsidR="00940DE5">
        <w:t xml:space="preserve">: </w:t>
      </w:r>
      <w:r w:rsidRPr="00B93AB3">
        <w:t>http://www.cova-inc.org/resources/COVAcollectionsSurvey.pdf</w:t>
      </w:r>
    </w:p>
    <w:p w14:paraId="396D5314" w14:textId="77777777" w:rsidR="002D3517" w:rsidRPr="00B93AB3" w:rsidRDefault="002D3517" w:rsidP="002D3517">
      <w:pPr>
        <w:autoSpaceDE w:val="0"/>
        <w:autoSpaceDN w:val="0"/>
        <w:adjustRightInd w:val="0"/>
        <w:spacing w:before="100" w:beforeAutospacing="1" w:after="100" w:afterAutospacing="1" w:line="240" w:lineRule="auto"/>
        <w:ind w:left="475" w:hanging="475"/>
      </w:pPr>
      <w:r w:rsidRPr="00B93AB3">
        <w:t xml:space="preserve">White House (2013). Open Government Initiative. </w:t>
      </w:r>
      <w:r w:rsidR="00940DE5" w:rsidRPr="00EB633C">
        <w:rPr>
          <w:rFonts w:eastAsia="Times New Roman" w:cs="Times New Roman"/>
        </w:rPr>
        <w:t>Retrieved from</w:t>
      </w:r>
      <w:r w:rsidR="00940DE5">
        <w:rPr>
          <w:rFonts w:eastAsia="Times New Roman" w:cs="Times New Roman"/>
        </w:rPr>
        <w:t>:</w:t>
      </w:r>
      <w:r w:rsidR="00940DE5" w:rsidRPr="00B93AB3">
        <w:t xml:space="preserve"> </w:t>
      </w:r>
      <w:r w:rsidRPr="00B93AB3">
        <w:t>http://www.whitehouse.gov/open</w:t>
      </w:r>
    </w:p>
    <w:p w14:paraId="32190A39" w14:textId="77777777" w:rsidR="002D3517" w:rsidRPr="00B93AB3" w:rsidRDefault="002D3517" w:rsidP="002D3517">
      <w:pPr>
        <w:autoSpaceDE w:val="0"/>
        <w:autoSpaceDN w:val="0"/>
        <w:adjustRightInd w:val="0"/>
        <w:spacing w:before="100" w:beforeAutospacing="1" w:after="100" w:afterAutospacing="1" w:line="240" w:lineRule="auto"/>
        <w:ind w:left="475" w:hanging="475"/>
        <w:rPr>
          <w:rStyle w:val="Hyperlink"/>
        </w:rPr>
      </w:pPr>
      <w:r w:rsidRPr="00B93AB3">
        <w:t xml:space="preserve">White House (2013a). </w:t>
      </w:r>
      <w:r w:rsidRPr="00B93AB3">
        <w:rPr>
          <w:rFonts w:cs="Times New Roman"/>
        </w:rPr>
        <w:t xml:space="preserve">Increasing </w:t>
      </w:r>
      <w:r w:rsidR="00C875C7">
        <w:rPr>
          <w:rFonts w:cs="Times New Roman"/>
        </w:rPr>
        <w:t>a</w:t>
      </w:r>
      <w:r w:rsidRPr="00B93AB3">
        <w:rPr>
          <w:rFonts w:cs="Times New Roman"/>
        </w:rPr>
        <w:t xml:space="preserve">ccess to the </w:t>
      </w:r>
      <w:r w:rsidR="00C875C7">
        <w:rPr>
          <w:rFonts w:cs="Times New Roman"/>
        </w:rPr>
        <w:t>r</w:t>
      </w:r>
      <w:r w:rsidRPr="00B93AB3">
        <w:rPr>
          <w:rFonts w:cs="Times New Roman"/>
        </w:rPr>
        <w:t xml:space="preserve">esults of </w:t>
      </w:r>
      <w:r w:rsidR="00C875C7">
        <w:rPr>
          <w:rFonts w:cs="Times New Roman"/>
        </w:rPr>
        <w:t>f</w:t>
      </w:r>
      <w:r w:rsidRPr="00B93AB3">
        <w:rPr>
          <w:rFonts w:cs="Times New Roman"/>
        </w:rPr>
        <w:t xml:space="preserve">ederally </w:t>
      </w:r>
      <w:r w:rsidR="00C875C7">
        <w:rPr>
          <w:rFonts w:cs="Times New Roman"/>
        </w:rPr>
        <w:t>f</w:t>
      </w:r>
      <w:r w:rsidRPr="00B93AB3">
        <w:rPr>
          <w:rFonts w:cs="Times New Roman"/>
        </w:rPr>
        <w:t xml:space="preserve">unded </w:t>
      </w:r>
      <w:r w:rsidR="00C875C7">
        <w:rPr>
          <w:rFonts w:cs="Times New Roman"/>
        </w:rPr>
        <w:t>s</w:t>
      </w:r>
      <w:r w:rsidRPr="00B93AB3">
        <w:rPr>
          <w:rFonts w:cs="Times New Roman"/>
        </w:rPr>
        <w:t xml:space="preserve">cientific </w:t>
      </w:r>
      <w:r w:rsidR="00C875C7">
        <w:rPr>
          <w:rFonts w:cs="Times New Roman"/>
        </w:rPr>
        <w:t>r</w:t>
      </w:r>
      <w:r w:rsidRPr="00B93AB3">
        <w:rPr>
          <w:rFonts w:cs="Times New Roman"/>
        </w:rPr>
        <w:t>esearch</w:t>
      </w:r>
      <w:r w:rsidRPr="00B93AB3">
        <w:t>. Retrieved from: http://www.whitehouse.gov/sites/default/files/microsites/ostp/ostp_public_access_memo_2013.pdf</w:t>
      </w:r>
    </w:p>
    <w:p w14:paraId="05A9EC06" w14:textId="77777777" w:rsidR="002D3517" w:rsidRDefault="002D3517" w:rsidP="002D3517">
      <w:pPr>
        <w:autoSpaceDE w:val="0"/>
        <w:autoSpaceDN w:val="0"/>
        <w:adjustRightInd w:val="0"/>
        <w:spacing w:before="100" w:beforeAutospacing="1" w:after="100" w:afterAutospacing="1" w:line="240" w:lineRule="auto"/>
        <w:ind w:left="475" w:hanging="475"/>
        <w:rPr>
          <w:color w:val="000000"/>
          <w:shd w:val="clear" w:color="auto" w:fill="FFFFFF"/>
        </w:rPr>
      </w:pPr>
      <w:r>
        <w:rPr>
          <w:color w:val="000000"/>
          <w:shd w:val="clear" w:color="auto" w:fill="FFFFFF"/>
        </w:rPr>
        <w:t xml:space="preserve">William and Mary (2015). Archaeology at the Brafferton. [Blog post] Retrieved from: </w:t>
      </w:r>
      <w:r w:rsidRPr="00C319B5">
        <w:rPr>
          <w:color w:val="000000"/>
          <w:shd w:val="clear" w:color="auto" w:fill="FFFFFF"/>
        </w:rPr>
        <w:t>http://www.wm.edu/sites/braffertonproject/archaeology/index.php</w:t>
      </w:r>
    </w:p>
    <w:p w14:paraId="62D06850" w14:textId="77777777" w:rsidR="002D3517" w:rsidRPr="00393038" w:rsidRDefault="002D3517" w:rsidP="002D3517">
      <w:pPr>
        <w:autoSpaceDE w:val="0"/>
        <w:autoSpaceDN w:val="0"/>
        <w:adjustRightInd w:val="0"/>
        <w:spacing w:before="100" w:beforeAutospacing="1" w:after="100" w:afterAutospacing="1" w:line="240" w:lineRule="auto"/>
        <w:ind w:left="475" w:hanging="475"/>
        <w:rPr>
          <w:rFonts w:ascii="Calibri" w:hAnsi="Calibri"/>
        </w:rPr>
      </w:pPr>
      <w:r w:rsidRPr="00393038">
        <w:rPr>
          <w:rFonts w:ascii="Calibri" w:hAnsi="Calibri"/>
          <w:color w:val="000000"/>
          <w:shd w:val="clear" w:color="auto" w:fill="FFFFFF"/>
        </w:rPr>
        <w:lastRenderedPageBreak/>
        <w:t>Winters, J. (2006). Editorial</w:t>
      </w:r>
      <w:r>
        <w:rPr>
          <w:rFonts w:ascii="Calibri" w:hAnsi="Calibri"/>
          <w:color w:val="000000"/>
          <w:shd w:val="clear" w:color="auto" w:fill="FFFFFF"/>
        </w:rPr>
        <w:t xml:space="preserve">. </w:t>
      </w:r>
      <w:r w:rsidRPr="00393038">
        <w:rPr>
          <w:rFonts w:ascii="Calibri" w:hAnsi="Calibri"/>
          <w:color w:val="000000"/>
          <w:shd w:val="clear" w:color="auto" w:fill="FFFFFF"/>
        </w:rPr>
        <w:t>Internet Archaeology</w:t>
      </w:r>
      <w:r w:rsidRPr="00393038">
        <w:rPr>
          <w:rStyle w:val="apple-converted-space"/>
          <w:rFonts w:ascii="Calibri" w:hAnsi="Calibri"/>
          <w:color w:val="000000"/>
          <w:shd w:val="clear" w:color="auto" w:fill="FFFFFF"/>
        </w:rPr>
        <w:t xml:space="preserve"> (19)</w:t>
      </w:r>
      <w:r w:rsidRPr="00393038">
        <w:rPr>
          <w:rFonts w:ascii="Calibri" w:hAnsi="Calibri"/>
          <w:color w:val="000000"/>
          <w:shd w:val="clear" w:color="auto" w:fill="FFFFFF"/>
        </w:rPr>
        <w:t>.</w:t>
      </w:r>
      <w:r w:rsidRPr="00393038">
        <w:rPr>
          <w:rStyle w:val="apple-converted-space"/>
          <w:rFonts w:ascii="Calibri" w:hAnsi="Calibri"/>
          <w:color w:val="000000"/>
          <w:shd w:val="clear" w:color="auto" w:fill="FFFFFF"/>
        </w:rPr>
        <w:t> doi:</w:t>
      </w:r>
      <w:r w:rsidRPr="00393038">
        <w:rPr>
          <w:rFonts w:ascii="Calibri" w:hAnsi="Calibri"/>
          <w:shd w:val="clear" w:color="auto" w:fill="FFFFFF"/>
        </w:rPr>
        <w:t>10.11141/ia.19.8</w:t>
      </w:r>
    </w:p>
    <w:p w14:paraId="703E9F80" w14:textId="77777777" w:rsidR="002D3517" w:rsidRPr="00B93AB3" w:rsidRDefault="002D3517" w:rsidP="002D3517">
      <w:pPr>
        <w:autoSpaceDE w:val="0"/>
        <w:autoSpaceDN w:val="0"/>
        <w:adjustRightInd w:val="0"/>
        <w:spacing w:before="100" w:beforeAutospacing="1" w:after="100" w:afterAutospacing="1" w:line="240" w:lineRule="auto"/>
        <w:ind w:left="475" w:hanging="475"/>
      </w:pPr>
      <w:r>
        <w:rPr>
          <w:color w:val="000000"/>
          <w:shd w:val="clear" w:color="auto" w:fill="FFFFFF"/>
        </w:rPr>
        <w:t xml:space="preserve">Winters, </w:t>
      </w:r>
      <w:r w:rsidRPr="00B93AB3">
        <w:rPr>
          <w:color w:val="000000"/>
          <w:shd w:val="clear" w:color="auto" w:fill="FFFFFF"/>
        </w:rPr>
        <w:t>J. (2013). Editorial. Internet Archaeology, (35). doi:10.11141/ia.35.12</w:t>
      </w:r>
    </w:p>
    <w:p w14:paraId="2D79D48F" w14:textId="77777777" w:rsidR="00C875C7" w:rsidRDefault="00C875C7">
      <w:pPr>
        <w:spacing w:after="160" w:line="259" w:lineRule="auto"/>
        <w:ind w:firstLine="0"/>
        <w:rPr>
          <w:rFonts w:eastAsia="Times New Roman" w:cs="Times New Roman"/>
          <w:b/>
          <w:bCs/>
          <w:kern w:val="36"/>
          <w:sz w:val="36"/>
          <w:szCs w:val="48"/>
        </w:rPr>
      </w:pPr>
      <w:r>
        <w:br w:type="page"/>
      </w:r>
    </w:p>
    <w:p w14:paraId="2ACA9A6A" w14:textId="3992A32F" w:rsidR="00F71E85" w:rsidRDefault="00F71E85" w:rsidP="00186811">
      <w:pPr>
        <w:pStyle w:val="Heading1"/>
        <w:ind w:firstLine="0"/>
      </w:pPr>
      <w:bookmarkStart w:id="45" w:name="_Toc419135427"/>
      <w:r>
        <w:lastRenderedPageBreak/>
        <w:t>Appendices</w:t>
      </w:r>
    </w:p>
    <w:p w14:paraId="7722840A" w14:textId="77777777" w:rsidR="00F71E85" w:rsidRDefault="00F71E85">
      <w:pPr>
        <w:spacing w:after="160" w:line="259" w:lineRule="auto"/>
        <w:ind w:firstLine="0"/>
        <w:rPr>
          <w:rFonts w:eastAsia="Times New Roman" w:cs="Times New Roman"/>
          <w:b/>
          <w:bCs/>
          <w:kern w:val="36"/>
          <w:sz w:val="36"/>
          <w:szCs w:val="48"/>
        </w:rPr>
      </w:pPr>
      <w:r>
        <w:br w:type="page"/>
      </w:r>
    </w:p>
    <w:p w14:paraId="35DC2A85" w14:textId="498B1146" w:rsidR="00D60034" w:rsidRDefault="00D60034" w:rsidP="00F71E85">
      <w:pPr>
        <w:pStyle w:val="Heading2"/>
      </w:pPr>
      <w:r>
        <w:lastRenderedPageBreak/>
        <w:t xml:space="preserve">Appendix </w:t>
      </w:r>
      <w:r w:rsidR="00F84B1A">
        <w:t>A</w:t>
      </w:r>
      <w:r>
        <w:t xml:space="preserve"> – </w:t>
      </w:r>
      <w:r w:rsidR="00A77479">
        <w:t xml:space="preserve">institutional websites holding </w:t>
      </w:r>
      <w:r w:rsidR="008C766E">
        <w:t xml:space="preserve">archaeology </w:t>
      </w:r>
      <w:r w:rsidR="00A77479">
        <w:t>collections</w:t>
      </w:r>
      <w:bookmarkEnd w:id="45"/>
    </w:p>
    <w:tbl>
      <w:tblPr>
        <w:tblW w:w="9576" w:type="dxa"/>
        <w:shd w:val="clear" w:color="auto" w:fill="FFFFFF" w:themeFill="background1"/>
        <w:tblLayout w:type="fixed"/>
        <w:tblLook w:val="04A0" w:firstRow="1" w:lastRow="0" w:firstColumn="1" w:lastColumn="0" w:noHBand="0" w:noVBand="1"/>
      </w:tblPr>
      <w:tblGrid>
        <w:gridCol w:w="9576"/>
      </w:tblGrid>
      <w:tr w:rsidR="004C137A" w:rsidRPr="008C766E" w14:paraId="26260BB8" w14:textId="77777777" w:rsidTr="009168EE">
        <w:trPr>
          <w:trHeight w:val="300"/>
        </w:trPr>
        <w:tc>
          <w:tcPr>
            <w:tcW w:w="9576" w:type="dxa"/>
            <w:shd w:val="clear" w:color="auto" w:fill="FFFFFF" w:themeFill="background1"/>
            <w:noWrap/>
            <w:vAlign w:val="bottom"/>
          </w:tcPr>
          <w:tbl>
            <w:tblPr>
              <w:tblW w:w="10656" w:type="dxa"/>
              <w:shd w:val="clear" w:color="auto" w:fill="FFFFFF" w:themeFill="background1"/>
              <w:tblLayout w:type="fixed"/>
              <w:tblLook w:val="04A0" w:firstRow="1" w:lastRow="0" w:firstColumn="1" w:lastColumn="0" w:noHBand="0" w:noVBand="1"/>
            </w:tblPr>
            <w:tblGrid>
              <w:gridCol w:w="4101"/>
              <w:gridCol w:w="6555"/>
            </w:tblGrid>
            <w:tr w:rsidR="005D1710" w:rsidRPr="005D1710" w14:paraId="35D36C85" w14:textId="77777777" w:rsidTr="009168EE">
              <w:trPr>
                <w:trHeight w:val="300"/>
              </w:trPr>
              <w:tc>
                <w:tcPr>
                  <w:tcW w:w="4320" w:type="dxa"/>
                  <w:shd w:val="clear" w:color="auto" w:fill="FFFFFF" w:themeFill="background1"/>
                  <w:noWrap/>
                  <w:hideMark/>
                </w:tcPr>
                <w:p w14:paraId="5A580F79"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Repository Name</w:t>
                  </w:r>
                </w:p>
              </w:tc>
              <w:tc>
                <w:tcPr>
                  <w:tcW w:w="6912" w:type="dxa"/>
                  <w:shd w:val="clear" w:color="auto" w:fill="FFFFFF" w:themeFill="background1"/>
                  <w:noWrap/>
                  <w:hideMark/>
                </w:tcPr>
                <w:p w14:paraId="7F568904"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URL</w:t>
                  </w:r>
                </w:p>
              </w:tc>
            </w:tr>
            <w:tr w:rsidR="005D1710" w:rsidRPr="005D1710" w14:paraId="4BDF4A65" w14:textId="77777777" w:rsidTr="009168EE">
              <w:trPr>
                <w:trHeight w:val="300"/>
              </w:trPr>
              <w:tc>
                <w:tcPr>
                  <w:tcW w:w="4320" w:type="dxa"/>
                  <w:shd w:val="clear" w:color="auto" w:fill="FFFFFF" w:themeFill="background1"/>
                  <w:noWrap/>
                  <w:hideMark/>
                </w:tcPr>
                <w:p w14:paraId="0AF6ECC8"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African American Heritage Sites</w:t>
                  </w:r>
                </w:p>
              </w:tc>
              <w:tc>
                <w:tcPr>
                  <w:tcW w:w="6912" w:type="dxa"/>
                  <w:shd w:val="clear" w:color="auto" w:fill="FFFFFF" w:themeFill="background1"/>
                  <w:noWrap/>
                  <w:hideMark/>
                </w:tcPr>
                <w:p w14:paraId="3DE66C8E"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www.visithampton.com</w:t>
                  </w:r>
                </w:p>
              </w:tc>
            </w:tr>
            <w:tr w:rsidR="005D1710" w:rsidRPr="005D1710" w14:paraId="29A6A33A" w14:textId="77777777" w:rsidTr="009168EE">
              <w:trPr>
                <w:trHeight w:val="300"/>
              </w:trPr>
              <w:tc>
                <w:tcPr>
                  <w:tcW w:w="4320" w:type="dxa"/>
                  <w:shd w:val="clear" w:color="auto" w:fill="FFFFFF" w:themeFill="background1"/>
                  <w:noWrap/>
                  <w:hideMark/>
                </w:tcPr>
                <w:p w14:paraId="5035D11E"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Alexandria Archaeology Museum</w:t>
                  </w:r>
                </w:p>
              </w:tc>
              <w:tc>
                <w:tcPr>
                  <w:tcW w:w="6912" w:type="dxa"/>
                  <w:shd w:val="clear" w:color="auto" w:fill="FFFFFF" w:themeFill="background1"/>
                  <w:noWrap/>
                  <w:hideMark/>
                </w:tcPr>
                <w:p w14:paraId="3BA4503A"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www.alexandriaarchaeology.org</w:t>
                  </w:r>
                </w:p>
              </w:tc>
            </w:tr>
            <w:tr w:rsidR="005D1710" w:rsidRPr="005D1710" w14:paraId="579610A8" w14:textId="77777777" w:rsidTr="009168EE">
              <w:trPr>
                <w:trHeight w:val="300"/>
              </w:trPr>
              <w:tc>
                <w:tcPr>
                  <w:tcW w:w="4320" w:type="dxa"/>
                  <w:shd w:val="clear" w:color="auto" w:fill="FFFFFF" w:themeFill="background1"/>
                  <w:noWrap/>
                  <w:hideMark/>
                </w:tcPr>
                <w:p w14:paraId="78D0BFF5"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Alexandria Black History Museum and African-American Heritage Park</w:t>
                  </w:r>
                </w:p>
              </w:tc>
              <w:tc>
                <w:tcPr>
                  <w:tcW w:w="6912" w:type="dxa"/>
                  <w:shd w:val="clear" w:color="auto" w:fill="FFFFFF" w:themeFill="background1"/>
                  <w:noWrap/>
                  <w:hideMark/>
                </w:tcPr>
                <w:p w14:paraId="7B611CAD"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oha.alexandriava.gov/bhrc/</w:t>
                  </w:r>
                </w:p>
              </w:tc>
            </w:tr>
            <w:tr w:rsidR="005D1710" w:rsidRPr="005D1710" w14:paraId="0E48340A" w14:textId="77777777" w:rsidTr="009168EE">
              <w:trPr>
                <w:trHeight w:val="300"/>
              </w:trPr>
              <w:tc>
                <w:tcPr>
                  <w:tcW w:w="4320" w:type="dxa"/>
                  <w:shd w:val="clear" w:color="auto" w:fill="FFFFFF" w:themeFill="background1"/>
                  <w:noWrap/>
                  <w:hideMark/>
                </w:tcPr>
                <w:p w14:paraId="3309E7F4"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Alexandria Canal Lift Lock and Pool No. 1</w:t>
                  </w:r>
                </w:p>
              </w:tc>
              <w:tc>
                <w:tcPr>
                  <w:tcW w:w="6912" w:type="dxa"/>
                  <w:shd w:val="clear" w:color="auto" w:fill="FFFFFF" w:themeFill="background1"/>
                  <w:noWrap/>
                  <w:hideMark/>
                </w:tcPr>
                <w:p w14:paraId="1E145D33"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oha.alexandriava.gov/oha-main/oha-alexandria-canal.html</w:t>
                  </w:r>
                </w:p>
              </w:tc>
            </w:tr>
            <w:tr w:rsidR="005D1710" w:rsidRPr="005D1710" w14:paraId="7CE93C1F" w14:textId="77777777" w:rsidTr="009168EE">
              <w:trPr>
                <w:trHeight w:val="300"/>
              </w:trPr>
              <w:tc>
                <w:tcPr>
                  <w:tcW w:w="4320" w:type="dxa"/>
                  <w:shd w:val="clear" w:color="auto" w:fill="FFFFFF" w:themeFill="background1"/>
                  <w:noWrap/>
                  <w:hideMark/>
                </w:tcPr>
                <w:p w14:paraId="03011431"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Amazement Square</w:t>
                  </w:r>
                </w:p>
              </w:tc>
              <w:tc>
                <w:tcPr>
                  <w:tcW w:w="6912" w:type="dxa"/>
                  <w:shd w:val="clear" w:color="auto" w:fill="FFFFFF" w:themeFill="background1"/>
                  <w:noWrap/>
                  <w:hideMark/>
                </w:tcPr>
                <w:p w14:paraId="5B7043E3"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www.amazementsquare.org</w:t>
                  </w:r>
                </w:p>
              </w:tc>
            </w:tr>
            <w:tr w:rsidR="005D1710" w:rsidRPr="005D1710" w14:paraId="7A3BB501" w14:textId="77777777" w:rsidTr="009168EE">
              <w:trPr>
                <w:trHeight w:val="300"/>
              </w:trPr>
              <w:tc>
                <w:tcPr>
                  <w:tcW w:w="4320" w:type="dxa"/>
                  <w:shd w:val="clear" w:color="auto" w:fill="FFFFFF" w:themeFill="background1"/>
                  <w:noWrap/>
                  <w:hideMark/>
                </w:tcPr>
                <w:p w14:paraId="1AB46E3F"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Anthony A. Burke</w:t>
                  </w:r>
                </w:p>
              </w:tc>
              <w:tc>
                <w:tcPr>
                  <w:tcW w:w="6912" w:type="dxa"/>
                  <w:shd w:val="clear" w:color="auto" w:fill="FFFFFF" w:themeFill="background1"/>
                  <w:noWrap/>
                  <w:hideMark/>
                </w:tcPr>
                <w:p w14:paraId="16F61977" w14:textId="77777777" w:rsidR="005D1710" w:rsidRPr="005D1710" w:rsidRDefault="005D1710" w:rsidP="005D1710">
                  <w:pPr>
                    <w:spacing w:line="240" w:lineRule="auto"/>
                    <w:ind w:firstLine="0"/>
                    <w:rPr>
                      <w:rFonts w:ascii="Calibri" w:eastAsia="Times New Roman" w:hAnsi="Calibri" w:cs="Times New Roman"/>
                      <w:color w:val="000000"/>
                    </w:rPr>
                  </w:pPr>
                </w:p>
              </w:tc>
            </w:tr>
            <w:tr w:rsidR="005D1710" w:rsidRPr="005D1710" w14:paraId="46740711" w14:textId="77777777" w:rsidTr="009168EE">
              <w:trPr>
                <w:trHeight w:val="300"/>
              </w:trPr>
              <w:tc>
                <w:tcPr>
                  <w:tcW w:w="4320" w:type="dxa"/>
                  <w:shd w:val="clear" w:color="auto" w:fill="FFFFFF" w:themeFill="background1"/>
                  <w:noWrap/>
                  <w:hideMark/>
                </w:tcPr>
                <w:p w14:paraId="5F9BF234" w14:textId="77777777" w:rsidR="005D1710" w:rsidRPr="005D1710" w:rsidRDefault="00BB14D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Appo</w:t>
                  </w:r>
                  <w:r w:rsidRPr="005D1710">
                    <w:rPr>
                      <w:rFonts w:ascii="Calibri" w:eastAsia="Times New Roman" w:hAnsi="Calibri" w:cs="Times New Roman"/>
                      <w:color w:val="000000"/>
                    </w:rPr>
                    <w:t>mattox</w:t>
                  </w:r>
                  <w:r w:rsidR="005D1710" w:rsidRPr="005D1710">
                    <w:rPr>
                      <w:rFonts w:ascii="Calibri" w:eastAsia="Times New Roman" w:hAnsi="Calibri" w:cs="Times New Roman"/>
                      <w:color w:val="000000"/>
                    </w:rPr>
                    <w:t xml:space="preserve"> Court House National Historical Park</w:t>
                  </w:r>
                </w:p>
              </w:tc>
              <w:tc>
                <w:tcPr>
                  <w:tcW w:w="6912" w:type="dxa"/>
                  <w:shd w:val="clear" w:color="auto" w:fill="FFFFFF" w:themeFill="background1"/>
                  <w:noWrap/>
                  <w:hideMark/>
                </w:tcPr>
                <w:p w14:paraId="7CA7A50E"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www.nps.gov/apco/</w:t>
                  </w:r>
                </w:p>
              </w:tc>
            </w:tr>
            <w:tr w:rsidR="005D1710" w:rsidRPr="005D1710" w14:paraId="43A7C67A" w14:textId="77777777" w:rsidTr="009168EE">
              <w:trPr>
                <w:trHeight w:val="300"/>
              </w:trPr>
              <w:tc>
                <w:tcPr>
                  <w:tcW w:w="4320" w:type="dxa"/>
                  <w:shd w:val="clear" w:color="auto" w:fill="FFFFFF" w:themeFill="background1"/>
                  <w:noWrap/>
                  <w:hideMark/>
                </w:tcPr>
                <w:p w14:paraId="6C3FF01D"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Arlington House, The Robert E. Lee Memorial</w:t>
                  </w:r>
                </w:p>
              </w:tc>
              <w:tc>
                <w:tcPr>
                  <w:tcW w:w="6912" w:type="dxa"/>
                  <w:shd w:val="clear" w:color="auto" w:fill="FFFFFF" w:themeFill="background1"/>
                  <w:noWrap/>
                  <w:hideMark/>
                </w:tcPr>
                <w:p w14:paraId="6BEB79AD"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www.nps.gov/arho</w:t>
                  </w:r>
                </w:p>
              </w:tc>
            </w:tr>
            <w:tr w:rsidR="005D1710" w:rsidRPr="005D1710" w14:paraId="6E58ED20" w14:textId="77777777" w:rsidTr="009168EE">
              <w:trPr>
                <w:trHeight w:val="300"/>
              </w:trPr>
              <w:tc>
                <w:tcPr>
                  <w:tcW w:w="4320" w:type="dxa"/>
                  <w:shd w:val="clear" w:color="auto" w:fill="FFFFFF" w:themeFill="background1"/>
                  <w:noWrap/>
                  <w:hideMark/>
                </w:tcPr>
                <w:p w14:paraId="16760E10"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Assateague Island National Seashore</w:t>
                  </w:r>
                </w:p>
              </w:tc>
              <w:tc>
                <w:tcPr>
                  <w:tcW w:w="6912" w:type="dxa"/>
                  <w:shd w:val="clear" w:color="auto" w:fill="FFFFFF" w:themeFill="background1"/>
                  <w:noWrap/>
                  <w:hideMark/>
                </w:tcPr>
                <w:p w14:paraId="4A064A30"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www.nps.gov/asis/</w:t>
                  </w:r>
                </w:p>
              </w:tc>
            </w:tr>
            <w:tr w:rsidR="005D1710" w:rsidRPr="005D1710" w14:paraId="5635B595" w14:textId="77777777" w:rsidTr="009168EE">
              <w:trPr>
                <w:trHeight w:val="300"/>
              </w:trPr>
              <w:tc>
                <w:tcPr>
                  <w:tcW w:w="4320" w:type="dxa"/>
                  <w:shd w:val="clear" w:color="auto" w:fill="FFFFFF" w:themeFill="background1"/>
                  <w:noWrap/>
                  <w:hideMark/>
                </w:tcPr>
                <w:p w14:paraId="648DCEB9"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Avoca Museum</w:t>
                  </w:r>
                </w:p>
              </w:tc>
              <w:tc>
                <w:tcPr>
                  <w:tcW w:w="6912" w:type="dxa"/>
                  <w:shd w:val="clear" w:color="auto" w:fill="FFFFFF" w:themeFill="background1"/>
                  <w:noWrap/>
                  <w:hideMark/>
                </w:tcPr>
                <w:p w14:paraId="2F4070D7"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www.avocamuseum.org</w:t>
                  </w:r>
                </w:p>
              </w:tc>
            </w:tr>
            <w:tr w:rsidR="005D1710" w:rsidRPr="005D1710" w14:paraId="170563E0" w14:textId="77777777" w:rsidTr="009168EE">
              <w:trPr>
                <w:trHeight w:val="300"/>
              </w:trPr>
              <w:tc>
                <w:tcPr>
                  <w:tcW w:w="4320" w:type="dxa"/>
                  <w:shd w:val="clear" w:color="auto" w:fill="FFFFFF" w:themeFill="background1"/>
                  <w:noWrap/>
                  <w:hideMark/>
                </w:tcPr>
                <w:p w14:paraId="6583E7EC"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Bassett History Center</w:t>
                  </w:r>
                </w:p>
              </w:tc>
              <w:tc>
                <w:tcPr>
                  <w:tcW w:w="6912" w:type="dxa"/>
                  <w:shd w:val="clear" w:color="auto" w:fill="FFFFFF" w:themeFill="background1"/>
                  <w:noWrap/>
                  <w:hideMark/>
                </w:tcPr>
                <w:p w14:paraId="10653DED"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www.bassetthistoricalcenter.com</w:t>
                  </w:r>
                </w:p>
              </w:tc>
            </w:tr>
            <w:tr w:rsidR="005D1710" w:rsidRPr="005D1710" w14:paraId="0B01BF66" w14:textId="77777777" w:rsidTr="009168EE">
              <w:trPr>
                <w:trHeight w:val="300"/>
              </w:trPr>
              <w:tc>
                <w:tcPr>
                  <w:tcW w:w="4320" w:type="dxa"/>
                  <w:shd w:val="clear" w:color="auto" w:fill="FFFFFF" w:themeFill="background1"/>
                  <w:noWrap/>
                  <w:hideMark/>
                </w:tcPr>
                <w:p w14:paraId="44D53362"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Bedford City/County Museum</w:t>
                  </w:r>
                </w:p>
              </w:tc>
              <w:tc>
                <w:tcPr>
                  <w:tcW w:w="6912" w:type="dxa"/>
                  <w:shd w:val="clear" w:color="auto" w:fill="FFFFFF" w:themeFill="background1"/>
                  <w:noWrap/>
                  <w:hideMark/>
                </w:tcPr>
                <w:p w14:paraId="42211A7B"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www.bedfordvamuseum.org</w:t>
                  </w:r>
                </w:p>
              </w:tc>
            </w:tr>
            <w:tr w:rsidR="005D1710" w:rsidRPr="005D1710" w14:paraId="41C0ED66" w14:textId="77777777" w:rsidTr="009168EE">
              <w:trPr>
                <w:trHeight w:val="300"/>
              </w:trPr>
              <w:tc>
                <w:tcPr>
                  <w:tcW w:w="4320" w:type="dxa"/>
                  <w:shd w:val="clear" w:color="auto" w:fill="FFFFFF" w:themeFill="background1"/>
                  <w:noWrap/>
                  <w:hideMark/>
                </w:tcPr>
                <w:p w14:paraId="5D184FF2"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Belvoir Plantation Historic Site</w:t>
                  </w:r>
                </w:p>
              </w:tc>
              <w:tc>
                <w:tcPr>
                  <w:tcW w:w="6912" w:type="dxa"/>
                  <w:shd w:val="clear" w:color="auto" w:fill="FFFFFF" w:themeFill="background1"/>
                  <w:noWrap/>
                  <w:hideMark/>
                </w:tcPr>
                <w:p w14:paraId="08BFD0FB"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www.belvoir.army.mil/history.asp?id=Antebellum</w:t>
                  </w:r>
                </w:p>
              </w:tc>
            </w:tr>
            <w:tr w:rsidR="005D1710" w:rsidRPr="005D1710" w14:paraId="166DE960" w14:textId="77777777" w:rsidTr="009168EE">
              <w:trPr>
                <w:trHeight w:val="300"/>
              </w:trPr>
              <w:tc>
                <w:tcPr>
                  <w:tcW w:w="4320" w:type="dxa"/>
                  <w:shd w:val="clear" w:color="auto" w:fill="FFFFFF" w:themeFill="background1"/>
                  <w:noWrap/>
                  <w:hideMark/>
                </w:tcPr>
                <w:p w14:paraId="21602F15"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Black History Museum and Cultural Center of Virginia</w:t>
                  </w:r>
                </w:p>
              </w:tc>
              <w:tc>
                <w:tcPr>
                  <w:tcW w:w="6912" w:type="dxa"/>
                  <w:shd w:val="clear" w:color="auto" w:fill="FFFFFF" w:themeFill="background1"/>
                  <w:noWrap/>
                  <w:hideMark/>
                </w:tcPr>
                <w:p w14:paraId="01FB07FB"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www.blackhistorymuseum.org</w:t>
                  </w:r>
                </w:p>
              </w:tc>
            </w:tr>
            <w:tr w:rsidR="005D1710" w:rsidRPr="005D1710" w14:paraId="71395B4D" w14:textId="77777777" w:rsidTr="009168EE">
              <w:trPr>
                <w:trHeight w:val="300"/>
              </w:trPr>
              <w:tc>
                <w:tcPr>
                  <w:tcW w:w="4320" w:type="dxa"/>
                  <w:shd w:val="clear" w:color="auto" w:fill="FFFFFF" w:themeFill="background1"/>
                  <w:noWrap/>
                  <w:hideMark/>
                </w:tcPr>
                <w:p w14:paraId="119EBC68"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Blue Ridge NPS</w:t>
                  </w:r>
                </w:p>
              </w:tc>
              <w:tc>
                <w:tcPr>
                  <w:tcW w:w="6912" w:type="dxa"/>
                  <w:shd w:val="clear" w:color="auto" w:fill="FFFFFF" w:themeFill="background1"/>
                  <w:noWrap/>
                  <w:hideMark/>
                </w:tcPr>
                <w:p w14:paraId="11AE9290" w14:textId="77777777" w:rsidR="005D1710" w:rsidRPr="005D1710" w:rsidRDefault="00CF0DB5" w:rsidP="005D1710">
                  <w:pPr>
                    <w:spacing w:line="240" w:lineRule="auto"/>
                    <w:ind w:firstLine="0"/>
                    <w:rPr>
                      <w:rFonts w:ascii="Calibri" w:eastAsia="Times New Roman" w:hAnsi="Calibri" w:cs="Times New Roman"/>
                      <w:color w:val="000000"/>
                    </w:rPr>
                  </w:pPr>
                  <w:hyperlink r:id="rId18" w:history="1">
                    <w:r w:rsidR="005D1710" w:rsidRPr="005D1710">
                      <w:rPr>
                        <w:rFonts w:ascii="Calibri" w:eastAsia="Times New Roman" w:hAnsi="Calibri" w:cs="Times New Roman"/>
                        <w:color w:val="000000"/>
                      </w:rPr>
                      <w:t>www.nps.gov/blri</w:t>
                    </w:r>
                  </w:hyperlink>
                </w:p>
              </w:tc>
            </w:tr>
            <w:tr w:rsidR="005D1710" w:rsidRPr="005D1710" w14:paraId="588E4E2B" w14:textId="77777777" w:rsidTr="009168EE">
              <w:trPr>
                <w:trHeight w:val="300"/>
              </w:trPr>
              <w:tc>
                <w:tcPr>
                  <w:tcW w:w="4320" w:type="dxa"/>
                  <w:shd w:val="clear" w:color="auto" w:fill="FFFFFF" w:themeFill="background1"/>
                  <w:noWrap/>
                  <w:hideMark/>
                </w:tcPr>
                <w:p w14:paraId="407093A1"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Booker T. Washington National Monument</w:t>
                  </w:r>
                </w:p>
              </w:tc>
              <w:tc>
                <w:tcPr>
                  <w:tcW w:w="6912" w:type="dxa"/>
                  <w:shd w:val="clear" w:color="auto" w:fill="FFFFFF" w:themeFill="background1"/>
                  <w:noWrap/>
                  <w:hideMark/>
                </w:tcPr>
                <w:p w14:paraId="39DC6EAA"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ww.nps.gov/bowa/index.htm</w:t>
                  </w:r>
                </w:p>
              </w:tc>
            </w:tr>
            <w:tr w:rsidR="005D1710" w:rsidRPr="005D1710" w14:paraId="58BE4FF5" w14:textId="77777777" w:rsidTr="009168EE">
              <w:trPr>
                <w:trHeight w:val="300"/>
              </w:trPr>
              <w:tc>
                <w:tcPr>
                  <w:tcW w:w="4320" w:type="dxa"/>
                  <w:shd w:val="clear" w:color="auto" w:fill="FFFFFF" w:themeFill="background1"/>
                  <w:noWrap/>
                  <w:hideMark/>
                </w:tcPr>
                <w:p w14:paraId="66599C5D"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Browning &amp; Associates, Ltd.</w:t>
                  </w:r>
                </w:p>
              </w:tc>
              <w:tc>
                <w:tcPr>
                  <w:tcW w:w="6912" w:type="dxa"/>
                  <w:shd w:val="clear" w:color="auto" w:fill="FFFFFF" w:themeFill="background1"/>
                  <w:noWrap/>
                  <w:hideMark/>
                </w:tcPr>
                <w:p w14:paraId="16D08656" w14:textId="77777777" w:rsidR="005D1710" w:rsidRPr="005D1710" w:rsidRDefault="005D1710" w:rsidP="005D1710">
                  <w:pPr>
                    <w:spacing w:line="240" w:lineRule="auto"/>
                    <w:ind w:firstLine="0"/>
                    <w:rPr>
                      <w:rFonts w:ascii="Calibri" w:eastAsia="Times New Roman" w:hAnsi="Calibri" w:cs="Times New Roman"/>
                      <w:color w:val="000000"/>
                    </w:rPr>
                  </w:pPr>
                </w:p>
              </w:tc>
            </w:tr>
            <w:tr w:rsidR="005D1710" w:rsidRPr="005D1710" w14:paraId="69F3519B" w14:textId="77777777" w:rsidTr="009168EE">
              <w:trPr>
                <w:trHeight w:val="300"/>
              </w:trPr>
              <w:tc>
                <w:tcPr>
                  <w:tcW w:w="4320" w:type="dxa"/>
                  <w:shd w:val="clear" w:color="auto" w:fill="FFFFFF" w:themeFill="background1"/>
                  <w:noWrap/>
                  <w:hideMark/>
                </w:tcPr>
                <w:p w14:paraId="180E451F"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Brunswick County Museum</w:t>
                  </w:r>
                </w:p>
              </w:tc>
              <w:tc>
                <w:tcPr>
                  <w:tcW w:w="6912" w:type="dxa"/>
                  <w:shd w:val="clear" w:color="auto" w:fill="FFFFFF" w:themeFill="background1"/>
                  <w:noWrap/>
                  <w:hideMark/>
                </w:tcPr>
                <w:p w14:paraId="767E64F0"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www.tourbrunswick.org/brunswick_county_museum.htm</w:t>
                  </w:r>
                </w:p>
              </w:tc>
            </w:tr>
            <w:tr w:rsidR="005D1710" w:rsidRPr="005D1710" w14:paraId="3C8AA92A" w14:textId="77777777" w:rsidTr="009168EE">
              <w:trPr>
                <w:trHeight w:val="300"/>
              </w:trPr>
              <w:tc>
                <w:tcPr>
                  <w:tcW w:w="4320" w:type="dxa"/>
                  <w:shd w:val="clear" w:color="auto" w:fill="FFFFFF" w:themeFill="background1"/>
                  <w:noWrap/>
                  <w:hideMark/>
                </w:tcPr>
                <w:p w14:paraId="368EA26B"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Camp Roosevelt (Forest Service)</w:t>
                  </w:r>
                </w:p>
              </w:tc>
              <w:tc>
                <w:tcPr>
                  <w:tcW w:w="6912" w:type="dxa"/>
                  <w:shd w:val="clear" w:color="auto" w:fill="FFFFFF" w:themeFill="background1"/>
                  <w:noWrap/>
                  <w:hideMark/>
                </w:tcPr>
                <w:p w14:paraId="18F9A70F"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www.fs.fed.us/r8/gwj/lee/</w:t>
                  </w:r>
                </w:p>
              </w:tc>
            </w:tr>
            <w:tr w:rsidR="005D1710" w:rsidRPr="005D1710" w14:paraId="055177A6" w14:textId="77777777" w:rsidTr="009168EE">
              <w:trPr>
                <w:trHeight w:val="300"/>
              </w:trPr>
              <w:tc>
                <w:tcPr>
                  <w:tcW w:w="4320" w:type="dxa"/>
                  <w:shd w:val="clear" w:color="auto" w:fill="FFFFFF" w:themeFill="background1"/>
                  <w:noWrap/>
                  <w:hideMark/>
                </w:tcPr>
                <w:p w14:paraId="2E888B5F"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Cape Charles Museum and Welcome Center</w:t>
                  </w:r>
                </w:p>
              </w:tc>
              <w:tc>
                <w:tcPr>
                  <w:tcW w:w="6912" w:type="dxa"/>
                  <w:shd w:val="clear" w:color="auto" w:fill="FFFFFF" w:themeFill="background1"/>
                  <w:noWrap/>
                  <w:hideMark/>
                </w:tcPr>
                <w:p w14:paraId="4757908E" w14:textId="77777777" w:rsidR="005D1710" w:rsidRPr="005D1710" w:rsidRDefault="00CF0DB5" w:rsidP="005D1710">
                  <w:pPr>
                    <w:spacing w:line="240" w:lineRule="auto"/>
                    <w:ind w:firstLine="0"/>
                    <w:rPr>
                      <w:rFonts w:ascii="Calibri" w:eastAsia="Times New Roman" w:hAnsi="Calibri" w:cs="Times New Roman"/>
                      <w:color w:val="000000"/>
                    </w:rPr>
                  </w:pPr>
                  <w:hyperlink r:id="rId19" w:history="1">
                    <w:r w:rsidR="005D1710">
                      <w:rPr>
                        <w:rFonts w:ascii="Calibri" w:eastAsia="Times New Roman" w:hAnsi="Calibri" w:cs="Times New Roman"/>
                        <w:color w:val="000000"/>
                      </w:rPr>
                      <w:t>w</w:t>
                    </w:r>
                    <w:r w:rsidR="005D1710" w:rsidRPr="005D1710">
                      <w:rPr>
                        <w:rFonts w:ascii="Calibri" w:eastAsia="Times New Roman" w:hAnsi="Calibri" w:cs="Times New Roman"/>
                        <w:color w:val="000000"/>
                      </w:rPr>
                      <w:t>ww.smallmuseum.org/capechas.html</w:t>
                    </w:r>
                  </w:hyperlink>
                </w:p>
              </w:tc>
            </w:tr>
            <w:tr w:rsidR="005D1710" w:rsidRPr="005D1710" w14:paraId="3BF69B8F" w14:textId="77777777" w:rsidTr="009168EE">
              <w:trPr>
                <w:trHeight w:val="300"/>
              </w:trPr>
              <w:tc>
                <w:tcPr>
                  <w:tcW w:w="4320" w:type="dxa"/>
                  <w:shd w:val="clear" w:color="auto" w:fill="FFFFFF" w:themeFill="background1"/>
                  <w:noWrap/>
                  <w:hideMark/>
                </w:tcPr>
                <w:p w14:paraId="2167C98A"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Carlyle House Historic Park</w:t>
                  </w:r>
                </w:p>
              </w:tc>
              <w:tc>
                <w:tcPr>
                  <w:tcW w:w="6912" w:type="dxa"/>
                  <w:shd w:val="clear" w:color="auto" w:fill="FFFFFF" w:themeFill="background1"/>
                  <w:noWrap/>
                  <w:hideMark/>
                </w:tcPr>
                <w:p w14:paraId="25AB6962"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ww.nvrpa.org/park/carlyle_house_historic_park</w:t>
                  </w:r>
                </w:p>
              </w:tc>
            </w:tr>
            <w:tr w:rsidR="005D1710" w:rsidRPr="005D1710" w14:paraId="0E4AF8CA" w14:textId="77777777" w:rsidTr="009168EE">
              <w:trPr>
                <w:trHeight w:val="300"/>
              </w:trPr>
              <w:tc>
                <w:tcPr>
                  <w:tcW w:w="4320" w:type="dxa"/>
                  <w:shd w:val="clear" w:color="auto" w:fill="FFFFFF" w:themeFill="background1"/>
                  <w:noWrap/>
                  <w:hideMark/>
                </w:tcPr>
                <w:p w14:paraId="7EBA974F"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Carroll County Historical Society Museum</w:t>
                  </w:r>
                </w:p>
              </w:tc>
              <w:tc>
                <w:tcPr>
                  <w:tcW w:w="6912" w:type="dxa"/>
                  <w:shd w:val="clear" w:color="auto" w:fill="FFFFFF" w:themeFill="background1"/>
                  <w:noWrap/>
                  <w:hideMark/>
                </w:tcPr>
                <w:p w14:paraId="574BB426"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www.historicalsociety.chillsnet.org</w:t>
                  </w:r>
                </w:p>
              </w:tc>
            </w:tr>
            <w:tr w:rsidR="005D1710" w:rsidRPr="005D1710" w14:paraId="7C3A0AA2" w14:textId="77777777" w:rsidTr="009168EE">
              <w:trPr>
                <w:trHeight w:val="300"/>
              </w:trPr>
              <w:tc>
                <w:tcPr>
                  <w:tcW w:w="4320" w:type="dxa"/>
                  <w:shd w:val="clear" w:color="auto" w:fill="FFFFFF" w:themeFill="background1"/>
                  <w:noWrap/>
                  <w:hideMark/>
                </w:tcPr>
                <w:p w14:paraId="6D370ED5"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Cedar Creek Battlefield</w:t>
                  </w:r>
                </w:p>
              </w:tc>
              <w:tc>
                <w:tcPr>
                  <w:tcW w:w="6912" w:type="dxa"/>
                  <w:shd w:val="clear" w:color="auto" w:fill="FFFFFF" w:themeFill="background1"/>
                  <w:noWrap/>
                  <w:hideMark/>
                </w:tcPr>
                <w:p w14:paraId="7440FD15"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www.cedarcreekbattlefield.org</w:t>
                  </w:r>
                </w:p>
              </w:tc>
            </w:tr>
            <w:tr w:rsidR="005D1710" w:rsidRPr="005D1710" w14:paraId="0A0CAC2C" w14:textId="77777777" w:rsidTr="009168EE">
              <w:trPr>
                <w:trHeight w:val="300"/>
              </w:trPr>
              <w:tc>
                <w:tcPr>
                  <w:tcW w:w="4320" w:type="dxa"/>
                  <w:shd w:val="clear" w:color="auto" w:fill="FFFFFF" w:themeFill="background1"/>
                  <w:noWrap/>
                  <w:hideMark/>
                </w:tcPr>
                <w:p w14:paraId="59B6DA5E"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Center for Historic Preservation</w:t>
                  </w:r>
                </w:p>
              </w:tc>
              <w:tc>
                <w:tcPr>
                  <w:tcW w:w="6912" w:type="dxa"/>
                  <w:shd w:val="clear" w:color="auto" w:fill="FFFFFF" w:themeFill="background1"/>
                  <w:noWrap/>
                  <w:hideMark/>
                </w:tcPr>
                <w:p w14:paraId="56E4292E"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ww.umw.edu/chp/</w:t>
                  </w:r>
                </w:p>
              </w:tc>
            </w:tr>
            <w:tr w:rsidR="005D1710" w:rsidRPr="005D1710" w14:paraId="4CB19CAC" w14:textId="77777777" w:rsidTr="009168EE">
              <w:trPr>
                <w:trHeight w:val="300"/>
              </w:trPr>
              <w:tc>
                <w:tcPr>
                  <w:tcW w:w="4320" w:type="dxa"/>
                  <w:shd w:val="clear" w:color="auto" w:fill="FFFFFF" w:themeFill="background1"/>
                  <w:noWrap/>
                  <w:hideMark/>
                </w:tcPr>
                <w:p w14:paraId="2335BB06"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Chesapeake and Ohio Canal National Historical Park</w:t>
                  </w:r>
                </w:p>
              </w:tc>
              <w:tc>
                <w:tcPr>
                  <w:tcW w:w="6912" w:type="dxa"/>
                  <w:shd w:val="clear" w:color="auto" w:fill="FFFFFF" w:themeFill="background1"/>
                  <w:noWrap/>
                  <w:hideMark/>
                </w:tcPr>
                <w:p w14:paraId="5F54A101" w14:textId="77777777" w:rsidR="005D1710" w:rsidRPr="005D1710" w:rsidRDefault="00CF0DB5" w:rsidP="005D1710">
                  <w:pPr>
                    <w:spacing w:line="240" w:lineRule="auto"/>
                    <w:ind w:firstLine="0"/>
                    <w:rPr>
                      <w:rFonts w:ascii="Calibri" w:eastAsia="Times New Roman" w:hAnsi="Calibri" w:cs="Times New Roman"/>
                      <w:color w:val="000000"/>
                    </w:rPr>
                  </w:pPr>
                  <w:hyperlink r:id="rId20" w:history="1">
                    <w:r w:rsidR="005D1710" w:rsidRPr="005D1710">
                      <w:rPr>
                        <w:rFonts w:ascii="Calibri" w:eastAsia="Times New Roman" w:hAnsi="Calibri" w:cs="Times New Roman"/>
                        <w:color w:val="000000"/>
                      </w:rPr>
                      <w:t>www.nps.gov/choh</w:t>
                    </w:r>
                  </w:hyperlink>
                </w:p>
              </w:tc>
            </w:tr>
            <w:tr w:rsidR="005D1710" w:rsidRPr="005D1710" w14:paraId="0A84E2C8" w14:textId="77777777" w:rsidTr="009168EE">
              <w:trPr>
                <w:trHeight w:val="300"/>
              </w:trPr>
              <w:tc>
                <w:tcPr>
                  <w:tcW w:w="4320" w:type="dxa"/>
                  <w:shd w:val="clear" w:color="auto" w:fill="FFFFFF" w:themeFill="background1"/>
                  <w:noWrap/>
                  <w:hideMark/>
                </w:tcPr>
                <w:p w14:paraId="54D44F3F"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Chesterfield Museum Complex</w:t>
                  </w:r>
                </w:p>
              </w:tc>
              <w:tc>
                <w:tcPr>
                  <w:tcW w:w="6912" w:type="dxa"/>
                  <w:shd w:val="clear" w:color="auto" w:fill="FFFFFF" w:themeFill="background1"/>
                  <w:noWrap/>
                  <w:hideMark/>
                </w:tcPr>
                <w:p w14:paraId="6FF0F8C7"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ww.chesterfieldhistory.com/</w:t>
                  </w:r>
                </w:p>
              </w:tc>
            </w:tr>
            <w:tr w:rsidR="005D1710" w:rsidRPr="005D1710" w14:paraId="48F1C332" w14:textId="77777777" w:rsidTr="009168EE">
              <w:trPr>
                <w:trHeight w:val="300"/>
              </w:trPr>
              <w:tc>
                <w:tcPr>
                  <w:tcW w:w="4320" w:type="dxa"/>
                  <w:shd w:val="clear" w:color="auto" w:fill="FFFFFF" w:themeFill="background1"/>
                  <w:noWrap/>
                  <w:hideMark/>
                </w:tcPr>
                <w:p w14:paraId="26FCC922"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City Point Early History Museum (Weston Manor)</w:t>
                  </w:r>
                </w:p>
              </w:tc>
              <w:tc>
                <w:tcPr>
                  <w:tcW w:w="6912" w:type="dxa"/>
                  <w:shd w:val="clear" w:color="auto" w:fill="FFFFFF" w:themeFill="background1"/>
                  <w:noWrap/>
                  <w:hideMark/>
                </w:tcPr>
                <w:p w14:paraId="4ABCD2DA"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www.historichopewell.org</w:t>
                  </w:r>
                </w:p>
              </w:tc>
            </w:tr>
            <w:tr w:rsidR="005D1710" w:rsidRPr="005D1710" w14:paraId="33F6CED1" w14:textId="77777777" w:rsidTr="009168EE">
              <w:trPr>
                <w:trHeight w:val="300"/>
              </w:trPr>
              <w:tc>
                <w:tcPr>
                  <w:tcW w:w="4320" w:type="dxa"/>
                  <w:shd w:val="clear" w:color="auto" w:fill="FFFFFF" w:themeFill="background1"/>
                  <w:noWrap/>
                  <w:hideMark/>
                </w:tcPr>
                <w:p w14:paraId="7DDA325F"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College of William and Mary</w:t>
                  </w:r>
                </w:p>
              </w:tc>
              <w:tc>
                <w:tcPr>
                  <w:tcW w:w="6912" w:type="dxa"/>
                  <w:shd w:val="clear" w:color="auto" w:fill="FFFFFF" w:themeFill="background1"/>
                  <w:noWrap/>
                  <w:hideMark/>
                </w:tcPr>
                <w:p w14:paraId="36CB6537" w14:textId="77777777" w:rsidR="005D1710" w:rsidRPr="005D1710" w:rsidRDefault="00CF0DB5" w:rsidP="005D1710">
                  <w:pPr>
                    <w:spacing w:line="240" w:lineRule="auto"/>
                    <w:ind w:firstLine="0"/>
                    <w:rPr>
                      <w:rFonts w:ascii="Calibri" w:eastAsia="Times New Roman" w:hAnsi="Calibri" w:cs="Times New Roman"/>
                      <w:color w:val="000000"/>
                    </w:rPr>
                  </w:pPr>
                  <w:hyperlink r:id="rId21" w:history="1">
                    <w:r w:rsidR="005D1710">
                      <w:rPr>
                        <w:rFonts w:ascii="Calibri" w:eastAsia="Times New Roman" w:hAnsi="Calibri" w:cs="Times New Roman"/>
                        <w:color w:val="000000"/>
                      </w:rPr>
                      <w:t>p</w:t>
                    </w:r>
                    <w:r w:rsidR="005D1710" w:rsidRPr="005D1710">
                      <w:rPr>
                        <w:rFonts w:ascii="Calibri" w:eastAsia="Times New Roman" w:hAnsi="Calibri" w:cs="Times New Roman"/>
                        <w:color w:val="000000"/>
                      </w:rPr>
                      <w:t>owhatan.wm.edu/</w:t>
                    </w:r>
                  </w:hyperlink>
                </w:p>
              </w:tc>
            </w:tr>
            <w:tr w:rsidR="005D1710" w:rsidRPr="005D1710" w14:paraId="0BD247ED" w14:textId="77777777" w:rsidTr="009168EE">
              <w:trPr>
                <w:trHeight w:val="300"/>
              </w:trPr>
              <w:tc>
                <w:tcPr>
                  <w:tcW w:w="4320" w:type="dxa"/>
                  <w:shd w:val="clear" w:color="auto" w:fill="FFFFFF" w:themeFill="background1"/>
                  <w:noWrap/>
                  <w:hideMark/>
                </w:tcPr>
                <w:p w14:paraId="1E68E79E"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College of William and Mary wmcar</w:t>
                  </w:r>
                </w:p>
              </w:tc>
              <w:tc>
                <w:tcPr>
                  <w:tcW w:w="6912" w:type="dxa"/>
                  <w:shd w:val="clear" w:color="auto" w:fill="FFFFFF" w:themeFill="background1"/>
                  <w:noWrap/>
                  <w:hideMark/>
                </w:tcPr>
                <w:p w14:paraId="398A5B03"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ww.wm.edu/sites/wmcar/</w:t>
                  </w:r>
                </w:p>
              </w:tc>
            </w:tr>
            <w:tr w:rsidR="005D1710" w:rsidRPr="005D1710" w14:paraId="65AD511C" w14:textId="77777777" w:rsidTr="009168EE">
              <w:trPr>
                <w:trHeight w:val="300"/>
              </w:trPr>
              <w:tc>
                <w:tcPr>
                  <w:tcW w:w="4320" w:type="dxa"/>
                  <w:shd w:val="clear" w:color="auto" w:fill="FFFFFF" w:themeFill="background1"/>
                  <w:noWrap/>
                  <w:hideMark/>
                </w:tcPr>
                <w:p w14:paraId="1D1E0DAA"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Colonial National Historical Park (Jamestown)</w:t>
                  </w:r>
                </w:p>
              </w:tc>
              <w:tc>
                <w:tcPr>
                  <w:tcW w:w="6912" w:type="dxa"/>
                  <w:shd w:val="clear" w:color="auto" w:fill="FFFFFF" w:themeFill="background1"/>
                  <w:noWrap/>
                  <w:hideMark/>
                </w:tcPr>
                <w:p w14:paraId="24FEFFF0" w14:textId="77777777" w:rsidR="005D1710" w:rsidRPr="005D1710" w:rsidRDefault="00CF0DB5" w:rsidP="005D1710">
                  <w:pPr>
                    <w:spacing w:line="240" w:lineRule="auto"/>
                    <w:ind w:firstLine="0"/>
                    <w:rPr>
                      <w:rFonts w:ascii="Calibri" w:eastAsia="Times New Roman" w:hAnsi="Calibri" w:cs="Times New Roman"/>
                      <w:color w:val="000000"/>
                    </w:rPr>
                  </w:pPr>
                  <w:hyperlink r:id="rId22" w:history="1">
                    <w:r w:rsidR="005D1710" w:rsidRPr="005D1710">
                      <w:rPr>
                        <w:rFonts w:ascii="Calibri" w:eastAsia="Times New Roman" w:hAnsi="Calibri" w:cs="Times New Roman"/>
                        <w:color w:val="000000"/>
                      </w:rPr>
                      <w:t>www.nps.gov/colo/</w:t>
                    </w:r>
                  </w:hyperlink>
                </w:p>
              </w:tc>
            </w:tr>
            <w:tr w:rsidR="005D1710" w:rsidRPr="005D1710" w14:paraId="4A10F93F" w14:textId="77777777" w:rsidTr="009168EE">
              <w:trPr>
                <w:trHeight w:val="300"/>
              </w:trPr>
              <w:tc>
                <w:tcPr>
                  <w:tcW w:w="4320" w:type="dxa"/>
                  <w:shd w:val="clear" w:color="auto" w:fill="FFFFFF" w:themeFill="background1"/>
                  <w:noWrap/>
                  <w:hideMark/>
                </w:tcPr>
                <w:p w14:paraId="450D7E7B"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Colonial Williamsburg Foundation</w:t>
                  </w:r>
                </w:p>
              </w:tc>
              <w:tc>
                <w:tcPr>
                  <w:tcW w:w="6912" w:type="dxa"/>
                  <w:shd w:val="clear" w:color="auto" w:fill="FFFFFF" w:themeFill="background1"/>
                  <w:noWrap/>
                  <w:hideMark/>
                </w:tcPr>
                <w:p w14:paraId="31BA1052"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research.history.org/Archaeological_Research.cfm</w:t>
                  </w:r>
                </w:p>
              </w:tc>
            </w:tr>
            <w:tr w:rsidR="005D1710" w:rsidRPr="005D1710" w14:paraId="57E644F3" w14:textId="77777777" w:rsidTr="009168EE">
              <w:trPr>
                <w:trHeight w:val="300"/>
              </w:trPr>
              <w:tc>
                <w:tcPr>
                  <w:tcW w:w="4320" w:type="dxa"/>
                  <w:shd w:val="clear" w:color="auto" w:fill="FFFFFF" w:themeFill="background1"/>
                  <w:noWrap/>
                  <w:hideMark/>
                </w:tcPr>
                <w:p w14:paraId="0836CF77"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Comparative Archaeological Study of Colonial Chesapeake Culture</w:t>
                  </w:r>
                </w:p>
              </w:tc>
              <w:tc>
                <w:tcPr>
                  <w:tcW w:w="6912" w:type="dxa"/>
                  <w:shd w:val="clear" w:color="auto" w:fill="FFFFFF" w:themeFill="background1"/>
                  <w:noWrap/>
                  <w:hideMark/>
                </w:tcPr>
                <w:p w14:paraId="39C1B916"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ww.chesapeakearchaeology.org</w:t>
                  </w:r>
                </w:p>
              </w:tc>
            </w:tr>
            <w:tr w:rsidR="005D1710" w:rsidRPr="005D1710" w14:paraId="1B26EE8E" w14:textId="77777777" w:rsidTr="009168EE">
              <w:trPr>
                <w:trHeight w:val="300"/>
              </w:trPr>
              <w:tc>
                <w:tcPr>
                  <w:tcW w:w="4320" w:type="dxa"/>
                  <w:shd w:val="clear" w:color="auto" w:fill="FFFFFF" w:themeFill="background1"/>
                  <w:noWrap/>
                  <w:hideMark/>
                </w:tcPr>
                <w:p w14:paraId="37F014D1"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Culture Embossed</w:t>
                  </w:r>
                </w:p>
              </w:tc>
              <w:tc>
                <w:tcPr>
                  <w:tcW w:w="6912" w:type="dxa"/>
                  <w:shd w:val="clear" w:color="auto" w:fill="FFFFFF" w:themeFill="background1"/>
                  <w:noWrap/>
                  <w:hideMark/>
                </w:tcPr>
                <w:p w14:paraId="105B570B"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cova-inc.org/wineseals/index.html</w:t>
                  </w:r>
                </w:p>
              </w:tc>
            </w:tr>
            <w:tr w:rsidR="005D1710" w:rsidRPr="005D1710" w14:paraId="741CC9F1" w14:textId="77777777" w:rsidTr="009168EE">
              <w:trPr>
                <w:trHeight w:val="300"/>
              </w:trPr>
              <w:tc>
                <w:tcPr>
                  <w:tcW w:w="4320" w:type="dxa"/>
                  <w:shd w:val="clear" w:color="auto" w:fill="FFFFFF" w:themeFill="background1"/>
                  <w:noWrap/>
                  <w:hideMark/>
                </w:tcPr>
                <w:p w14:paraId="3F9A81D9"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lastRenderedPageBreak/>
                    <w:t>Dahlgren Naval Surface Warfare Center</w:t>
                  </w:r>
                </w:p>
              </w:tc>
              <w:tc>
                <w:tcPr>
                  <w:tcW w:w="6912" w:type="dxa"/>
                  <w:shd w:val="clear" w:color="auto" w:fill="FFFFFF" w:themeFill="background1"/>
                  <w:noWrap/>
                  <w:hideMark/>
                </w:tcPr>
                <w:p w14:paraId="25742784"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ww.navsea.navy.mil/nswc/dahlgren</w:t>
                  </w:r>
                </w:p>
              </w:tc>
            </w:tr>
            <w:tr w:rsidR="005D1710" w:rsidRPr="005D1710" w14:paraId="6CB8EBDC" w14:textId="77777777" w:rsidTr="009168EE">
              <w:trPr>
                <w:trHeight w:val="300"/>
              </w:trPr>
              <w:tc>
                <w:tcPr>
                  <w:tcW w:w="4320" w:type="dxa"/>
                  <w:shd w:val="clear" w:color="auto" w:fill="FFFFFF" w:themeFill="background1"/>
                  <w:noWrap/>
                  <w:hideMark/>
                </w:tcPr>
                <w:p w14:paraId="0F7C1E56"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Daniel Harrison House</w:t>
                  </w:r>
                </w:p>
              </w:tc>
              <w:tc>
                <w:tcPr>
                  <w:tcW w:w="6912" w:type="dxa"/>
                  <w:shd w:val="clear" w:color="auto" w:fill="FFFFFF" w:themeFill="background1"/>
                  <w:noWrap/>
                  <w:hideMark/>
                </w:tcPr>
                <w:p w14:paraId="2AABEFE6" w14:textId="6E9DC3D7" w:rsidR="00F71E85" w:rsidRDefault="00F71E85" w:rsidP="005D1710">
                  <w:pPr>
                    <w:spacing w:line="240" w:lineRule="auto"/>
                    <w:ind w:firstLine="0"/>
                    <w:rPr>
                      <w:rFonts w:ascii="Calibri" w:eastAsia="Times New Roman" w:hAnsi="Calibri" w:cs="Times New Roman"/>
                      <w:color w:val="000000"/>
                    </w:rPr>
                  </w:pPr>
                  <w:r w:rsidRPr="00F71E85">
                    <w:rPr>
                      <w:rFonts w:ascii="Calibri" w:eastAsia="Times New Roman" w:hAnsi="Calibri" w:cs="Times New Roman"/>
                      <w:color w:val="000000"/>
                    </w:rPr>
                    <w:t>www.heritagecenter.com/Fort%20Harrison/</w:t>
                  </w:r>
                </w:p>
                <w:p w14:paraId="27A47F6B" w14:textId="211F17F5"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fortharrison.html</w:t>
                  </w:r>
                </w:p>
              </w:tc>
            </w:tr>
            <w:tr w:rsidR="005D1710" w:rsidRPr="005D1710" w14:paraId="4D6D5212" w14:textId="77777777" w:rsidTr="009168EE">
              <w:trPr>
                <w:trHeight w:val="300"/>
              </w:trPr>
              <w:tc>
                <w:tcPr>
                  <w:tcW w:w="4320" w:type="dxa"/>
                  <w:shd w:val="clear" w:color="auto" w:fill="FFFFFF" w:themeFill="background1"/>
                  <w:noWrap/>
                  <w:hideMark/>
                </w:tcPr>
                <w:p w14:paraId="0D3D3569"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Digital Archaeological Archive of Comparative Slavery</w:t>
                  </w:r>
                </w:p>
              </w:tc>
              <w:tc>
                <w:tcPr>
                  <w:tcW w:w="6912" w:type="dxa"/>
                  <w:shd w:val="clear" w:color="auto" w:fill="FFFFFF" w:themeFill="background1"/>
                  <w:noWrap/>
                  <w:hideMark/>
                </w:tcPr>
                <w:p w14:paraId="0036B293" w14:textId="77777777" w:rsidR="005D1710" w:rsidRPr="005D1710" w:rsidRDefault="00CF0DB5" w:rsidP="005D1710">
                  <w:pPr>
                    <w:spacing w:line="240" w:lineRule="auto"/>
                    <w:ind w:firstLine="0"/>
                    <w:rPr>
                      <w:rFonts w:ascii="Calibri" w:eastAsia="Times New Roman" w:hAnsi="Calibri" w:cs="Times New Roman"/>
                      <w:color w:val="000000"/>
                    </w:rPr>
                  </w:pPr>
                  <w:hyperlink r:id="rId23" w:history="1">
                    <w:r w:rsidR="005D1710">
                      <w:rPr>
                        <w:rFonts w:ascii="Calibri" w:eastAsia="Times New Roman" w:hAnsi="Calibri" w:cs="Times New Roman"/>
                        <w:color w:val="000000"/>
                      </w:rPr>
                      <w:t>w</w:t>
                    </w:r>
                    <w:r w:rsidR="005D1710" w:rsidRPr="005D1710">
                      <w:rPr>
                        <w:rFonts w:ascii="Calibri" w:eastAsia="Times New Roman" w:hAnsi="Calibri" w:cs="Times New Roman"/>
                        <w:color w:val="000000"/>
                      </w:rPr>
                      <w:t>ww.daacs.org/</w:t>
                    </w:r>
                  </w:hyperlink>
                </w:p>
              </w:tc>
            </w:tr>
            <w:tr w:rsidR="005D1710" w:rsidRPr="005D1710" w14:paraId="47E8406B" w14:textId="77777777" w:rsidTr="009168EE">
              <w:trPr>
                <w:trHeight w:val="300"/>
              </w:trPr>
              <w:tc>
                <w:tcPr>
                  <w:tcW w:w="4320" w:type="dxa"/>
                  <w:shd w:val="clear" w:color="auto" w:fill="FFFFFF" w:themeFill="background1"/>
                  <w:noWrap/>
                  <w:hideMark/>
                </w:tcPr>
                <w:p w14:paraId="75F25DDF"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Eastern Shore of Virginia Historical Society (ESVHS)</w:t>
                  </w:r>
                </w:p>
              </w:tc>
              <w:tc>
                <w:tcPr>
                  <w:tcW w:w="6912" w:type="dxa"/>
                  <w:shd w:val="clear" w:color="auto" w:fill="FFFFFF" w:themeFill="background1"/>
                  <w:noWrap/>
                  <w:hideMark/>
                </w:tcPr>
                <w:p w14:paraId="6E081A5C"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ww.shorehistory.org/</w:t>
                  </w:r>
                </w:p>
              </w:tc>
            </w:tr>
            <w:tr w:rsidR="005D1710" w:rsidRPr="005D1710" w14:paraId="1285DC99" w14:textId="77777777" w:rsidTr="009168EE">
              <w:trPr>
                <w:trHeight w:val="300"/>
              </w:trPr>
              <w:tc>
                <w:tcPr>
                  <w:tcW w:w="4320" w:type="dxa"/>
                  <w:shd w:val="clear" w:color="auto" w:fill="FFFFFF" w:themeFill="background1"/>
                  <w:noWrap/>
                  <w:hideMark/>
                </w:tcPr>
                <w:p w14:paraId="33FC3299"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Elizabeth Furnace</w:t>
                  </w:r>
                </w:p>
              </w:tc>
              <w:tc>
                <w:tcPr>
                  <w:tcW w:w="6912" w:type="dxa"/>
                  <w:shd w:val="clear" w:color="auto" w:fill="FFFFFF" w:themeFill="background1"/>
                  <w:noWrap/>
                  <w:hideMark/>
                </w:tcPr>
                <w:p w14:paraId="6D2DD65F"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www.fs.fed.us/r8/gwj/lee/</w:t>
                  </w:r>
                </w:p>
              </w:tc>
            </w:tr>
            <w:tr w:rsidR="005D1710" w:rsidRPr="005D1710" w14:paraId="57EF918D" w14:textId="77777777" w:rsidTr="009168EE">
              <w:trPr>
                <w:trHeight w:val="300"/>
              </w:trPr>
              <w:tc>
                <w:tcPr>
                  <w:tcW w:w="4320" w:type="dxa"/>
                  <w:shd w:val="clear" w:color="auto" w:fill="FFFFFF" w:themeFill="background1"/>
                  <w:noWrap/>
                  <w:hideMark/>
                </w:tcPr>
                <w:p w14:paraId="346C8438"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Endview Plantation</w:t>
                  </w:r>
                </w:p>
              </w:tc>
              <w:tc>
                <w:tcPr>
                  <w:tcW w:w="6912" w:type="dxa"/>
                  <w:shd w:val="clear" w:color="auto" w:fill="FFFFFF" w:themeFill="background1"/>
                  <w:noWrap/>
                  <w:hideMark/>
                </w:tcPr>
                <w:p w14:paraId="42191962"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www.endview.org</w:t>
                  </w:r>
                </w:p>
              </w:tc>
            </w:tr>
            <w:tr w:rsidR="005D1710" w:rsidRPr="005D1710" w14:paraId="6D80B8EE" w14:textId="77777777" w:rsidTr="009168EE">
              <w:trPr>
                <w:trHeight w:val="300"/>
              </w:trPr>
              <w:tc>
                <w:tcPr>
                  <w:tcW w:w="4320" w:type="dxa"/>
                  <w:shd w:val="clear" w:color="auto" w:fill="FFFFFF" w:themeFill="background1"/>
                  <w:noWrap/>
                  <w:hideMark/>
                </w:tcPr>
                <w:p w14:paraId="1CAFBCF8"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Fairfax County Park Authority</w:t>
                  </w:r>
                </w:p>
              </w:tc>
              <w:tc>
                <w:tcPr>
                  <w:tcW w:w="6912" w:type="dxa"/>
                  <w:shd w:val="clear" w:color="auto" w:fill="FFFFFF" w:themeFill="background1"/>
                  <w:noWrap/>
                  <w:hideMark/>
                </w:tcPr>
                <w:p w14:paraId="356F0C63" w14:textId="597B640D" w:rsidR="00F71E85" w:rsidRDefault="00F71E85" w:rsidP="005D1710">
                  <w:pPr>
                    <w:spacing w:line="240" w:lineRule="auto"/>
                    <w:ind w:firstLine="0"/>
                    <w:rPr>
                      <w:rFonts w:ascii="Calibri" w:eastAsia="Times New Roman" w:hAnsi="Calibri" w:cs="Times New Roman"/>
                      <w:color w:val="000000"/>
                    </w:rPr>
                  </w:pPr>
                  <w:r w:rsidRPr="00F71E85">
                    <w:rPr>
                      <w:rFonts w:ascii="Calibri" w:eastAsia="Times New Roman" w:hAnsi="Calibri" w:cs="Times New Roman"/>
                      <w:color w:val="000000"/>
                    </w:rPr>
                    <w:t>www.fairfaxcounty.gov/parks/resource-management/</w:t>
                  </w:r>
                </w:p>
                <w:p w14:paraId="1CF13B68" w14:textId="003B006B"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resources-crp.htm</w:t>
                  </w:r>
                </w:p>
              </w:tc>
            </w:tr>
            <w:tr w:rsidR="005D1710" w:rsidRPr="005D1710" w14:paraId="1DBC16AA" w14:textId="77777777" w:rsidTr="009168EE">
              <w:trPr>
                <w:trHeight w:val="300"/>
              </w:trPr>
              <w:tc>
                <w:tcPr>
                  <w:tcW w:w="4320" w:type="dxa"/>
                  <w:shd w:val="clear" w:color="auto" w:fill="FFFFFF" w:themeFill="background1"/>
                  <w:noWrap/>
                  <w:hideMark/>
                </w:tcPr>
                <w:p w14:paraId="7E436C7B"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Fairfield Foundation</w:t>
                  </w:r>
                </w:p>
              </w:tc>
              <w:tc>
                <w:tcPr>
                  <w:tcW w:w="6912" w:type="dxa"/>
                  <w:shd w:val="clear" w:color="auto" w:fill="FFFFFF" w:themeFill="background1"/>
                  <w:noWrap/>
                  <w:hideMark/>
                </w:tcPr>
                <w:p w14:paraId="7BA5ABC8"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ww.fairfieldfoundation.org/</w:t>
                  </w:r>
                </w:p>
              </w:tc>
            </w:tr>
            <w:tr w:rsidR="005D1710" w:rsidRPr="005D1710" w14:paraId="1152F98C" w14:textId="77777777" w:rsidTr="009168EE">
              <w:trPr>
                <w:trHeight w:val="300"/>
              </w:trPr>
              <w:tc>
                <w:tcPr>
                  <w:tcW w:w="4320" w:type="dxa"/>
                  <w:shd w:val="clear" w:color="auto" w:fill="FFFFFF" w:themeFill="background1"/>
                  <w:noWrap/>
                  <w:hideMark/>
                </w:tcPr>
                <w:p w14:paraId="53BE26BD"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Fayette Area Historical Initiative African American Museum</w:t>
                  </w:r>
                </w:p>
              </w:tc>
              <w:tc>
                <w:tcPr>
                  <w:tcW w:w="6912" w:type="dxa"/>
                  <w:shd w:val="clear" w:color="auto" w:fill="FFFFFF" w:themeFill="background1"/>
                  <w:noWrap/>
                  <w:hideMark/>
                </w:tcPr>
                <w:p w14:paraId="40E0F63B"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fahimuseum.org</w:t>
                  </w:r>
                </w:p>
              </w:tc>
            </w:tr>
            <w:tr w:rsidR="005D1710" w:rsidRPr="005D1710" w14:paraId="32FA5D2B" w14:textId="77777777" w:rsidTr="009168EE">
              <w:trPr>
                <w:trHeight w:val="300"/>
              </w:trPr>
              <w:tc>
                <w:tcPr>
                  <w:tcW w:w="4320" w:type="dxa"/>
                  <w:shd w:val="clear" w:color="auto" w:fill="FFFFFF" w:themeFill="background1"/>
                  <w:noWrap/>
                  <w:hideMark/>
                </w:tcPr>
                <w:p w14:paraId="373C279B"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Flowerdew Hundred</w:t>
                  </w:r>
                </w:p>
              </w:tc>
              <w:tc>
                <w:tcPr>
                  <w:tcW w:w="6912" w:type="dxa"/>
                  <w:shd w:val="clear" w:color="auto" w:fill="FFFFFF" w:themeFill="background1"/>
                  <w:noWrap/>
                  <w:hideMark/>
                </w:tcPr>
                <w:p w14:paraId="19C8448C"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ww.flowerdewunderground.com/44pg65.html</w:t>
                  </w:r>
                </w:p>
              </w:tc>
            </w:tr>
            <w:tr w:rsidR="005D1710" w:rsidRPr="005D1710" w14:paraId="2334B94B" w14:textId="77777777" w:rsidTr="009168EE">
              <w:trPr>
                <w:trHeight w:val="300"/>
              </w:trPr>
              <w:tc>
                <w:tcPr>
                  <w:tcW w:w="4320" w:type="dxa"/>
                  <w:shd w:val="clear" w:color="auto" w:fill="FFFFFF" w:themeFill="background1"/>
                  <w:noWrap/>
                  <w:hideMark/>
                </w:tcPr>
                <w:p w14:paraId="49D4F7D6"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Fort Lee</w:t>
                  </w:r>
                </w:p>
              </w:tc>
              <w:tc>
                <w:tcPr>
                  <w:tcW w:w="6912" w:type="dxa"/>
                  <w:shd w:val="clear" w:color="auto" w:fill="FFFFFF" w:themeFill="background1"/>
                  <w:noWrap/>
                  <w:hideMark/>
                </w:tcPr>
                <w:p w14:paraId="0A34B5F2"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ww.lee.army.mil/dpw/emd/cultural.resources.aspx</w:t>
                  </w:r>
                </w:p>
              </w:tc>
            </w:tr>
            <w:tr w:rsidR="005D1710" w:rsidRPr="005D1710" w14:paraId="0842B7FD" w14:textId="77777777" w:rsidTr="009168EE">
              <w:trPr>
                <w:trHeight w:val="300"/>
              </w:trPr>
              <w:tc>
                <w:tcPr>
                  <w:tcW w:w="4320" w:type="dxa"/>
                  <w:shd w:val="clear" w:color="auto" w:fill="FFFFFF" w:themeFill="background1"/>
                  <w:noWrap/>
                  <w:hideMark/>
                </w:tcPr>
                <w:p w14:paraId="38B52473"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Fort Monroe</w:t>
                  </w:r>
                </w:p>
              </w:tc>
              <w:tc>
                <w:tcPr>
                  <w:tcW w:w="6912" w:type="dxa"/>
                  <w:shd w:val="clear" w:color="auto" w:fill="FFFFFF" w:themeFill="background1"/>
                  <w:noWrap/>
                  <w:hideMark/>
                </w:tcPr>
                <w:p w14:paraId="18441E15"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ww.nps.gov/fomr/index.htm</w:t>
                  </w:r>
                </w:p>
              </w:tc>
            </w:tr>
            <w:tr w:rsidR="005D1710" w:rsidRPr="005D1710" w14:paraId="32B74BDE" w14:textId="77777777" w:rsidTr="009168EE">
              <w:trPr>
                <w:trHeight w:val="300"/>
              </w:trPr>
              <w:tc>
                <w:tcPr>
                  <w:tcW w:w="4320" w:type="dxa"/>
                  <w:shd w:val="clear" w:color="auto" w:fill="FFFFFF" w:themeFill="background1"/>
                  <w:noWrap/>
                  <w:hideMark/>
                </w:tcPr>
                <w:p w14:paraId="02992CC5"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Fredricksburg and Spotsylvania National Military Park</w:t>
                  </w:r>
                </w:p>
              </w:tc>
              <w:tc>
                <w:tcPr>
                  <w:tcW w:w="6912" w:type="dxa"/>
                  <w:shd w:val="clear" w:color="auto" w:fill="FFFFFF" w:themeFill="background1"/>
                  <w:noWrap/>
                  <w:hideMark/>
                </w:tcPr>
                <w:p w14:paraId="49573C76"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www.nps.gov/frsp/index.htm</w:t>
                  </w:r>
                </w:p>
              </w:tc>
            </w:tr>
            <w:tr w:rsidR="005D1710" w:rsidRPr="005D1710" w14:paraId="14624FA5" w14:textId="77777777" w:rsidTr="009168EE">
              <w:trPr>
                <w:trHeight w:val="300"/>
              </w:trPr>
              <w:tc>
                <w:tcPr>
                  <w:tcW w:w="4320" w:type="dxa"/>
                  <w:shd w:val="clear" w:color="auto" w:fill="FFFFFF" w:themeFill="background1"/>
                  <w:noWrap/>
                  <w:hideMark/>
                </w:tcPr>
                <w:p w14:paraId="3CE65BB1"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Gadsby's Tavern Museum - Alexandria</w:t>
                  </w:r>
                </w:p>
              </w:tc>
              <w:tc>
                <w:tcPr>
                  <w:tcW w:w="6912" w:type="dxa"/>
                  <w:shd w:val="clear" w:color="auto" w:fill="FFFFFF" w:themeFill="background1"/>
                  <w:noWrap/>
                  <w:hideMark/>
                </w:tcPr>
                <w:p w14:paraId="6C58592F"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oha.alexandriava.gov/gadsby/</w:t>
                  </w:r>
                </w:p>
              </w:tc>
            </w:tr>
            <w:tr w:rsidR="005D1710" w:rsidRPr="005D1710" w14:paraId="57EE71DD" w14:textId="77777777" w:rsidTr="009168EE">
              <w:trPr>
                <w:trHeight w:val="300"/>
              </w:trPr>
              <w:tc>
                <w:tcPr>
                  <w:tcW w:w="4320" w:type="dxa"/>
                  <w:shd w:val="clear" w:color="auto" w:fill="FFFFFF" w:themeFill="background1"/>
                  <w:noWrap/>
                  <w:hideMark/>
                </w:tcPr>
                <w:p w14:paraId="1A963241"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George Mason</w:t>
                  </w:r>
                </w:p>
              </w:tc>
              <w:tc>
                <w:tcPr>
                  <w:tcW w:w="6912" w:type="dxa"/>
                  <w:shd w:val="clear" w:color="auto" w:fill="FFFFFF" w:themeFill="background1"/>
                  <w:noWrap/>
                  <w:hideMark/>
                </w:tcPr>
                <w:p w14:paraId="0F129BC4"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soan.gmu.edu/</w:t>
                  </w:r>
                </w:p>
              </w:tc>
            </w:tr>
            <w:tr w:rsidR="005D1710" w:rsidRPr="005D1710" w14:paraId="3CF2BFDF" w14:textId="77777777" w:rsidTr="009168EE">
              <w:trPr>
                <w:trHeight w:val="300"/>
              </w:trPr>
              <w:tc>
                <w:tcPr>
                  <w:tcW w:w="4320" w:type="dxa"/>
                  <w:shd w:val="clear" w:color="auto" w:fill="FFFFFF" w:themeFill="background1"/>
                  <w:noWrap/>
                  <w:hideMark/>
                </w:tcPr>
                <w:p w14:paraId="719305F2"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George Washington's Birthplace National Monument</w:t>
                  </w:r>
                </w:p>
              </w:tc>
              <w:tc>
                <w:tcPr>
                  <w:tcW w:w="6912" w:type="dxa"/>
                  <w:shd w:val="clear" w:color="auto" w:fill="FFFFFF" w:themeFill="background1"/>
                  <w:noWrap/>
                  <w:hideMark/>
                </w:tcPr>
                <w:p w14:paraId="30580CE0"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www.nps.gov/gewa/</w:t>
                  </w:r>
                </w:p>
              </w:tc>
            </w:tr>
            <w:tr w:rsidR="005D1710" w:rsidRPr="005D1710" w14:paraId="35AC63CE" w14:textId="77777777" w:rsidTr="009168EE">
              <w:trPr>
                <w:trHeight w:val="300"/>
              </w:trPr>
              <w:tc>
                <w:tcPr>
                  <w:tcW w:w="4320" w:type="dxa"/>
                  <w:shd w:val="clear" w:color="auto" w:fill="FFFFFF" w:themeFill="background1"/>
                  <w:noWrap/>
                  <w:hideMark/>
                </w:tcPr>
                <w:p w14:paraId="47B7A753"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George Washington's Ferry Farm</w:t>
                  </w:r>
                </w:p>
              </w:tc>
              <w:tc>
                <w:tcPr>
                  <w:tcW w:w="6912" w:type="dxa"/>
                  <w:shd w:val="clear" w:color="auto" w:fill="FFFFFF" w:themeFill="background1"/>
                  <w:noWrap/>
                  <w:hideMark/>
                </w:tcPr>
                <w:p w14:paraId="6B9B08C5"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ww.kenmore.org/archaeology.html</w:t>
                  </w:r>
                </w:p>
              </w:tc>
            </w:tr>
            <w:tr w:rsidR="005D1710" w:rsidRPr="005D1710" w14:paraId="73937142" w14:textId="77777777" w:rsidTr="009168EE">
              <w:trPr>
                <w:trHeight w:val="300"/>
              </w:trPr>
              <w:tc>
                <w:tcPr>
                  <w:tcW w:w="4320" w:type="dxa"/>
                  <w:shd w:val="clear" w:color="auto" w:fill="FFFFFF" w:themeFill="background1"/>
                  <w:noWrap/>
                  <w:hideMark/>
                </w:tcPr>
                <w:p w14:paraId="317DA197"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George Washington's Office Museum</w:t>
                  </w:r>
                </w:p>
              </w:tc>
              <w:tc>
                <w:tcPr>
                  <w:tcW w:w="6912" w:type="dxa"/>
                  <w:shd w:val="clear" w:color="auto" w:fill="FFFFFF" w:themeFill="background1"/>
                  <w:noWrap/>
                  <w:hideMark/>
                </w:tcPr>
                <w:p w14:paraId="3BACE9D5"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www.winchesterhistory.org/george_washington.htm</w:t>
                  </w:r>
                </w:p>
              </w:tc>
            </w:tr>
            <w:tr w:rsidR="005D1710" w:rsidRPr="005D1710" w14:paraId="253781D5" w14:textId="77777777" w:rsidTr="009168EE">
              <w:trPr>
                <w:trHeight w:val="300"/>
              </w:trPr>
              <w:tc>
                <w:tcPr>
                  <w:tcW w:w="4320" w:type="dxa"/>
                  <w:shd w:val="clear" w:color="auto" w:fill="FFFFFF" w:themeFill="background1"/>
                  <w:noWrap/>
                  <w:hideMark/>
                </w:tcPr>
                <w:p w14:paraId="7A6CEBDB"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Glencoe Museum</w:t>
                  </w:r>
                </w:p>
              </w:tc>
              <w:tc>
                <w:tcPr>
                  <w:tcW w:w="6912" w:type="dxa"/>
                  <w:shd w:val="clear" w:color="auto" w:fill="FFFFFF" w:themeFill="background1"/>
                  <w:noWrap/>
                  <w:hideMark/>
                </w:tcPr>
                <w:p w14:paraId="3FA12C91"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glencoemuseum.org/</w:t>
                  </w:r>
                </w:p>
              </w:tc>
            </w:tr>
            <w:tr w:rsidR="005D1710" w:rsidRPr="005D1710" w14:paraId="3F88C670" w14:textId="77777777" w:rsidTr="009168EE">
              <w:trPr>
                <w:trHeight w:val="300"/>
              </w:trPr>
              <w:tc>
                <w:tcPr>
                  <w:tcW w:w="4320" w:type="dxa"/>
                  <w:shd w:val="clear" w:color="auto" w:fill="FFFFFF" w:themeFill="background1"/>
                  <w:noWrap/>
                  <w:hideMark/>
                </w:tcPr>
                <w:p w14:paraId="5D7C82F9"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Gloucester Museum of History</w:t>
                  </w:r>
                </w:p>
              </w:tc>
              <w:tc>
                <w:tcPr>
                  <w:tcW w:w="6912" w:type="dxa"/>
                  <w:shd w:val="clear" w:color="auto" w:fill="FFFFFF" w:themeFill="background1"/>
                  <w:noWrap/>
                  <w:hideMark/>
                </w:tcPr>
                <w:p w14:paraId="6DBA310B" w14:textId="30A01855" w:rsidR="00F71E85" w:rsidRDefault="00F71E85" w:rsidP="005D1710">
                  <w:pPr>
                    <w:spacing w:line="240" w:lineRule="auto"/>
                    <w:ind w:firstLine="0"/>
                    <w:rPr>
                      <w:rFonts w:ascii="Calibri" w:eastAsia="Times New Roman" w:hAnsi="Calibri" w:cs="Times New Roman"/>
                      <w:color w:val="000000"/>
                    </w:rPr>
                  </w:pPr>
                  <w:r w:rsidRPr="00F71E85">
                    <w:rPr>
                      <w:rFonts w:ascii="Calibri" w:eastAsia="Times New Roman" w:hAnsi="Calibri" w:cs="Times New Roman"/>
                      <w:color w:val="000000"/>
                    </w:rPr>
                    <w:t>www.gloucesterva.info/MuseumofHistory/tabid/</w:t>
                  </w:r>
                </w:p>
                <w:p w14:paraId="0CB965F3" w14:textId="1AF86989"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1033/Default.aspx</w:t>
                  </w:r>
                </w:p>
              </w:tc>
            </w:tr>
            <w:tr w:rsidR="005D1710" w:rsidRPr="005D1710" w14:paraId="7C5C4702" w14:textId="77777777" w:rsidTr="009168EE">
              <w:trPr>
                <w:trHeight w:val="300"/>
              </w:trPr>
              <w:tc>
                <w:tcPr>
                  <w:tcW w:w="4320" w:type="dxa"/>
                  <w:shd w:val="clear" w:color="auto" w:fill="FFFFFF" w:themeFill="background1"/>
                  <w:noWrap/>
                  <w:hideMark/>
                </w:tcPr>
                <w:p w14:paraId="7D318223"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Graves Mountain Lodge</w:t>
                  </w:r>
                </w:p>
              </w:tc>
              <w:tc>
                <w:tcPr>
                  <w:tcW w:w="6912" w:type="dxa"/>
                  <w:shd w:val="clear" w:color="auto" w:fill="FFFFFF" w:themeFill="background1"/>
                  <w:noWrap/>
                  <w:hideMark/>
                </w:tcPr>
                <w:p w14:paraId="6F5A758B"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www.gravesmountain.com</w:t>
                  </w:r>
                </w:p>
              </w:tc>
            </w:tr>
            <w:tr w:rsidR="005D1710" w:rsidRPr="005D1710" w14:paraId="5553A230" w14:textId="77777777" w:rsidTr="009168EE">
              <w:trPr>
                <w:trHeight w:val="300"/>
              </w:trPr>
              <w:tc>
                <w:tcPr>
                  <w:tcW w:w="4320" w:type="dxa"/>
                  <w:shd w:val="clear" w:color="auto" w:fill="FFFFFF" w:themeFill="background1"/>
                  <w:noWrap/>
                  <w:hideMark/>
                </w:tcPr>
                <w:p w14:paraId="7B1D1F1E"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Great Falls Park - NPS</w:t>
                  </w:r>
                </w:p>
              </w:tc>
              <w:tc>
                <w:tcPr>
                  <w:tcW w:w="6912" w:type="dxa"/>
                  <w:shd w:val="clear" w:color="auto" w:fill="FFFFFF" w:themeFill="background1"/>
                  <w:noWrap/>
                  <w:hideMark/>
                </w:tcPr>
                <w:p w14:paraId="273FCACB" w14:textId="77777777" w:rsidR="005D1710" w:rsidRPr="005D1710" w:rsidRDefault="00CF0DB5" w:rsidP="005D1710">
                  <w:pPr>
                    <w:spacing w:line="240" w:lineRule="auto"/>
                    <w:ind w:firstLine="0"/>
                    <w:rPr>
                      <w:rFonts w:ascii="Calibri" w:eastAsia="Times New Roman" w:hAnsi="Calibri" w:cs="Times New Roman"/>
                      <w:color w:val="000000"/>
                    </w:rPr>
                  </w:pPr>
                  <w:hyperlink r:id="rId24" w:history="1">
                    <w:r w:rsidR="005D1710" w:rsidRPr="005D1710">
                      <w:rPr>
                        <w:rFonts w:ascii="Calibri" w:eastAsia="Times New Roman" w:hAnsi="Calibri" w:cs="Times New Roman"/>
                        <w:color w:val="000000"/>
                      </w:rPr>
                      <w:t>www.nps.gov/grfa</w:t>
                    </w:r>
                  </w:hyperlink>
                </w:p>
              </w:tc>
            </w:tr>
            <w:tr w:rsidR="005D1710" w:rsidRPr="005D1710" w14:paraId="16E822EF" w14:textId="77777777" w:rsidTr="009168EE">
              <w:trPr>
                <w:trHeight w:val="300"/>
              </w:trPr>
              <w:tc>
                <w:tcPr>
                  <w:tcW w:w="4320" w:type="dxa"/>
                  <w:shd w:val="clear" w:color="auto" w:fill="FFFFFF" w:themeFill="background1"/>
                  <w:noWrap/>
                  <w:hideMark/>
                </w:tcPr>
                <w:p w14:paraId="0482007B"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Gunston Hall Plantation</w:t>
                  </w:r>
                </w:p>
              </w:tc>
              <w:tc>
                <w:tcPr>
                  <w:tcW w:w="6912" w:type="dxa"/>
                  <w:shd w:val="clear" w:color="auto" w:fill="FFFFFF" w:themeFill="background1"/>
                  <w:noWrap/>
                  <w:hideMark/>
                </w:tcPr>
                <w:p w14:paraId="0A591786" w14:textId="0BD1BB68" w:rsidR="005D1710" w:rsidRPr="005D1710" w:rsidRDefault="00F71E85" w:rsidP="005D1710">
                  <w:pPr>
                    <w:spacing w:line="240" w:lineRule="auto"/>
                    <w:ind w:firstLine="0"/>
                    <w:rPr>
                      <w:rFonts w:ascii="Calibri" w:eastAsia="Times New Roman" w:hAnsi="Calibri" w:cs="Times New Roman"/>
                      <w:color w:val="000000"/>
                    </w:rPr>
                  </w:pPr>
                  <w:r w:rsidRPr="00F71E85">
                    <w:rPr>
                      <w:rFonts w:ascii="Calibri" w:eastAsia="Times New Roman" w:hAnsi="Calibri" w:cs="Times New Roman"/>
                      <w:color w:val="000000"/>
                    </w:rPr>
                    <w:t>www.gunstonhall.org/index.php/</w:t>
                  </w:r>
                  <w:r w:rsidRPr="00F71E85">
                    <w:rPr>
                      <w:rFonts w:ascii="Calibri" w:eastAsia="Times New Roman" w:hAnsi="Calibri" w:cs="Times New Roman"/>
                      <w:color w:val="000000"/>
                    </w:rPr>
                    <w:br/>
                    <w:t>archaelogy-grounds/</w:t>
                  </w:r>
                  <w:r w:rsidRPr="00F71E85">
                    <w:rPr>
                      <w:rFonts w:ascii="Calibri" w:eastAsia="Times New Roman" w:hAnsi="Calibri" w:cs="Times New Roman"/>
                      <w:color w:val="000000"/>
                    </w:rPr>
                    <w:t>archaelogy</w:t>
                  </w:r>
                </w:p>
              </w:tc>
            </w:tr>
            <w:tr w:rsidR="005D1710" w:rsidRPr="005D1710" w14:paraId="74403AC5" w14:textId="77777777" w:rsidTr="009168EE">
              <w:trPr>
                <w:trHeight w:val="300"/>
              </w:trPr>
              <w:tc>
                <w:tcPr>
                  <w:tcW w:w="4320" w:type="dxa"/>
                  <w:shd w:val="clear" w:color="auto" w:fill="FFFFFF" w:themeFill="background1"/>
                  <w:noWrap/>
                  <w:hideMark/>
                </w:tcPr>
                <w:p w14:paraId="6290E797"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Halifax County Historical Society</w:t>
                  </w:r>
                </w:p>
              </w:tc>
              <w:tc>
                <w:tcPr>
                  <w:tcW w:w="6912" w:type="dxa"/>
                  <w:shd w:val="clear" w:color="auto" w:fill="FFFFFF" w:themeFill="background1"/>
                  <w:noWrap/>
                  <w:hideMark/>
                </w:tcPr>
                <w:p w14:paraId="6C11719B"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ww.halifaxcountyhistoricalsociety.org/</w:t>
                  </w:r>
                </w:p>
              </w:tc>
            </w:tr>
            <w:tr w:rsidR="005D1710" w:rsidRPr="005D1710" w14:paraId="25E20074" w14:textId="77777777" w:rsidTr="009168EE">
              <w:trPr>
                <w:trHeight w:val="300"/>
              </w:trPr>
              <w:tc>
                <w:tcPr>
                  <w:tcW w:w="4320" w:type="dxa"/>
                  <w:shd w:val="clear" w:color="auto" w:fill="FFFFFF" w:themeFill="background1"/>
                  <w:noWrap/>
                  <w:hideMark/>
                </w:tcPr>
                <w:p w14:paraId="5F1B9452"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Haller-Gibboney Rock House Museum</w:t>
                  </w:r>
                </w:p>
              </w:tc>
              <w:tc>
                <w:tcPr>
                  <w:tcW w:w="6912" w:type="dxa"/>
                  <w:shd w:val="clear" w:color="auto" w:fill="FFFFFF" w:themeFill="background1"/>
                  <w:noWrap/>
                  <w:hideMark/>
                </w:tcPr>
                <w:p w14:paraId="4015F843"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museums.wytheville.org/museums.php</w:t>
                  </w:r>
                </w:p>
              </w:tc>
            </w:tr>
            <w:tr w:rsidR="005D1710" w:rsidRPr="005D1710" w14:paraId="5E82F40E" w14:textId="77777777" w:rsidTr="009168EE">
              <w:trPr>
                <w:trHeight w:val="300"/>
              </w:trPr>
              <w:tc>
                <w:tcPr>
                  <w:tcW w:w="4320" w:type="dxa"/>
                  <w:shd w:val="clear" w:color="auto" w:fill="FFFFFF" w:themeFill="background1"/>
                  <w:noWrap/>
                  <w:hideMark/>
                </w:tcPr>
                <w:p w14:paraId="6A381B02"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Harpers Ferry</w:t>
                  </w:r>
                </w:p>
              </w:tc>
              <w:tc>
                <w:tcPr>
                  <w:tcW w:w="6912" w:type="dxa"/>
                  <w:shd w:val="clear" w:color="auto" w:fill="FFFFFF" w:themeFill="background1"/>
                  <w:noWrap/>
                  <w:hideMark/>
                </w:tcPr>
                <w:p w14:paraId="057116C3"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museum.nps.gov</w:t>
                  </w:r>
                </w:p>
              </w:tc>
            </w:tr>
            <w:tr w:rsidR="005D1710" w:rsidRPr="005D1710" w14:paraId="0F4ED18C" w14:textId="77777777" w:rsidTr="009168EE">
              <w:trPr>
                <w:trHeight w:val="300"/>
              </w:trPr>
              <w:tc>
                <w:tcPr>
                  <w:tcW w:w="4320" w:type="dxa"/>
                  <w:shd w:val="clear" w:color="auto" w:fill="FFFFFF" w:themeFill="background1"/>
                  <w:noWrap/>
                  <w:hideMark/>
                </w:tcPr>
                <w:p w14:paraId="60D9A649"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Henricus Historical Park</w:t>
                  </w:r>
                </w:p>
              </w:tc>
              <w:tc>
                <w:tcPr>
                  <w:tcW w:w="6912" w:type="dxa"/>
                  <w:shd w:val="clear" w:color="auto" w:fill="FFFFFF" w:themeFill="background1"/>
                  <w:noWrap/>
                  <w:hideMark/>
                </w:tcPr>
                <w:p w14:paraId="18CD1943"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www.henricus.org</w:t>
                  </w:r>
                </w:p>
              </w:tc>
            </w:tr>
            <w:tr w:rsidR="005D1710" w:rsidRPr="005D1710" w14:paraId="0D9C4E3D" w14:textId="77777777" w:rsidTr="009168EE">
              <w:trPr>
                <w:trHeight w:val="300"/>
              </w:trPr>
              <w:tc>
                <w:tcPr>
                  <w:tcW w:w="4320" w:type="dxa"/>
                  <w:shd w:val="clear" w:color="auto" w:fill="FFFFFF" w:themeFill="background1"/>
                  <w:noWrap/>
                  <w:hideMark/>
                </w:tcPr>
                <w:p w14:paraId="5DC98FCB"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Historic Christ Church Foundation</w:t>
                  </w:r>
                </w:p>
              </w:tc>
              <w:tc>
                <w:tcPr>
                  <w:tcW w:w="6912" w:type="dxa"/>
                  <w:shd w:val="clear" w:color="auto" w:fill="FFFFFF" w:themeFill="background1"/>
                  <w:noWrap/>
                  <w:hideMark/>
                </w:tcPr>
                <w:p w14:paraId="189E57D5"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ww.christchurch1735.org/archaeology.html</w:t>
                  </w:r>
                </w:p>
              </w:tc>
            </w:tr>
            <w:tr w:rsidR="005D1710" w:rsidRPr="005D1710" w14:paraId="1C03AC08" w14:textId="77777777" w:rsidTr="009168EE">
              <w:trPr>
                <w:trHeight w:val="300"/>
              </w:trPr>
              <w:tc>
                <w:tcPr>
                  <w:tcW w:w="4320" w:type="dxa"/>
                  <w:shd w:val="clear" w:color="auto" w:fill="FFFFFF" w:themeFill="background1"/>
                  <w:noWrap/>
                  <w:hideMark/>
                </w:tcPr>
                <w:p w14:paraId="4072350E"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Historic Crab Orchard Museum and Pioneer Park</w:t>
                  </w:r>
                </w:p>
              </w:tc>
              <w:tc>
                <w:tcPr>
                  <w:tcW w:w="6912" w:type="dxa"/>
                  <w:shd w:val="clear" w:color="auto" w:fill="FFFFFF" w:themeFill="background1"/>
                  <w:noWrap/>
                  <w:hideMark/>
                </w:tcPr>
                <w:p w14:paraId="786A2B15"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www.craborchardmuseum.com</w:t>
                  </w:r>
                </w:p>
              </w:tc>
            </w:tr>
            <w:tr w:rsidR="005D1710" w:rsidRPr="005D1710" w14:paraId="47E9C8A5" w14:textId="77777777" w:rsidTr="009168EE">
              <w:trPr>
                <w:trHeight w:val="300"/>
              </w:trPr>
              <w:tc>
                <w:tcPr>
                  <w:tcW w:w="4320" w:type="dxa"/>
                  <w:shd w:val="clear" w:color="auto" w:fill="FFFFFF" w:themeFill="background1"/>
                  <w:noWrap/>
                  <w:hideMark/>
                </w:tcPr>
                <w:p w14:paraId="53EB7BDB"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Historic Hopewell Foundation Inc (HHFI)</w:t>
                  </w:r>
                </w:p>
              </w:tc>
              <w:tc>
                <w:tcPr>
                  <w:tcW w:w="6912" w:type="dxa"/>
                  <w:shd w:val="clear" w:color="auto" w:fill="FFFFFF" w:themeFill="background1"/>
                  <w:noWrap/>
                  <w:hideMark/>
                </w:tcPr>
                <w:p w14:paraId="0BFB6F4E"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ww.historichopewell.org/</w:t>
                  </w:r>
                </w:p>
              </w:tc>
            </w:tr>
            <w:tr w:rsidR="005D1710" w:rsidRPr="005D1710" w14:paraId="52F2DDFF" w14:textId="77777777" w:rsidTr="009168EE">
              <w:trPr>
                <w:trHeight w:val="300"/>
              </w:trPr>
              <w:tc>
                <w:tcPr>
                  <w:tcW w:w="4320" w:type="dxa"/>
                  <w:shd w:val="clear" w:color="auto" w:fill="FFFFFF" w:themeFill="background1"/>
                  <w:noWrap/>
                  <w:hideMark/>
                </w:tcPr>
                <w:p w14:paraId="6EC33C74"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Historic Pole Green Church Foundation</w:t>
                  </w:r>
                </w:p>
              </w:tc>
              <w:tc>
                <w:tcPr>
                  <w:tcW w:w="6912" w:type="dxa"/>
                  <w:shd w:val="clear" w:color="auto" w:fill="FFFFFF" w:themeFill="background1"/>
                  <w:noWrap/>
                  <w:hideMark/>
                </w:tcPr>
                <w:p w14:paraId="52F3182A"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www.historicpolegreen.org</w:t>
                  </w:r>
                </w:p>
              </w:tc>
            </w:tr>
            <w:tr w:rsidR="005D1710" w:rsidRPr="005D1710" w14:paraId="40D5D786" w14:textId="77777777" w:rsidTr="009168EE">
              <w:trPr>
                <w:trHeight w:val="300"/>
              </w:trPr>
              <w:tc>
                <w:tcPr>
                  <w:tcW w:w="4320" w:type="dxa"/>
                  <w:shd w:val="clear" w:color="auto" w:fill="FFFFFF" w:themeFill="background1"/>
                  <w:noWrap/>
                  <w:hideMark/>
                </w:tcPr>
                <w:p w14:paraId="4A3B5834"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Historic Services Department, City of Newport News</w:t>
                  </w:r>
                </w:p>
              </w:tc>
              <w:tc>
                <w:tcPr>
                  <w:tcW w:w="6912" w:type="dxa"/>
                  <w:shd w:val="clear" w:color="auto" w:fill="FFFFFF" w:themeFill="background1"/>
                  <w:noWrap/>
                  <w:hideMark/>
                </w:tcPr>
                <w:p w14:paraId="61B39130"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ww.nngov.com/880/Museums-Historic-Sites</w:t>
                  </w:r>
                </w:p>
              </w:tc>
            </w:tr>
            <w:tr w:rsidR="005D1710" w:rsidRPr="005D1710" w14:paraId="2824F18B" w14:textId="77777777" w:rsidTr="009168EE">
              <w:trPr>
                <w:trHeight w:val="300"/>
              </w:trPr>
              <w:tc>
                <w:tcPr>
                  <w:tcW w:w="4320" w:type="dxa"/>
                  <w:shd w:val="clear" w:color="auto" w:fill="FFFFFF" w:themeFill="background1"/>
                  <w:noWrap/>
                  <w:hideMark/>
                </w:tcPr>
                <w:p w14:paraId="66B9F789"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Historic Smithfield Plantation</w:t>
                  </w:r>
                </w:p>
              </w:tc>
              <w:tc>
                <w:tcPr>
                  <w:tcW w:w="6912" w:type="dxa"/>
                  <w:shd w:val="clear" w:color="auto" w:fill="FFFFFF" w:themeFill="background1"/>
                  <w:noWrap/>
                  <w:hideMark/>
                </w:tcPr>
                <w:p w14:paraId="075A2408"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www.smithfieldplantation.org</w:t>
                  </w:r>
                </w:p>
              </w:tc>
            </w:tr>
            <w:tr w:rsidR="005D1710" w:rsidRPr="005D1710" w14:paraId="741BB796" w14:textId="77777777" w:rsidTr="009168EE">
              <w:trPr>
                <w:trHeight w:val="300"/>
              </w:trPr>
              <w:tc>
                <w:tcPr>
                  <w:tcW w:w="4320" w:type="dxa"/>
                  <w:shd w:val="clear" w:color="auto" w:fill="FFFFFF" w:themeFill="background1"/>
                  <w:noWrap/>
                  <w:hideMark/>
                </w:tcPr>
                <w:p w14:paraId="2C532289"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History Museum of Western Virginia</w:t>
                  </w:r>
                </w:p>
              </w:tc>
              <w:tc>
                <w:tcPr>
                  <w:tcW w:w="6912" w:type="dxa"/>
                  <w:shd w:val="clear" w:color="auto" w:fill="FFFFFF" w:themeFill="background1"/>
                  <w:noWrap/>
                  <w:hideMark/>
                </w:tcPr>
                <w:p w14:paraId="0C60AEB9"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ww.vahistorymuseum.org/</w:t>
                  </w:r>
                </w:p>
              </w:tc>
            </w:tr>
            <w:tr w:rsidR="005D1710" w:rsidRPr="005D1710" w14:paraId="143B6977" w14:textId="77777777" w:rsidTr="009168EE">
              <w:trPr>
                <w:trHeight w:val="300"/>
              </w:trPr>
              <w:tc>
                <w:tcPr>
                  <w:tcW w:w="4320" w:type="dxa"/>
                  <w:shd w:val="clear" w:color="auto" w:fill="FFFFFF" w:themeFill="background1"/>
                  <w:noWrap/>
                  <w:hideMark/>
                </w:tcPr>
                <w:p w14:paraId="665EE12A"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lastRenderedPageBreak/>
                    <w:t>Ingleside Plantation Vineyards</w:t>
                  </w:r>
                </w:p>
              </w:tc>
              <w:tc>
                <w:tcPr>
                  <w:tcW w:w="6912" w:type="dxa"/>
                  <w:shd w:val="clear" w:color="auto" w:fill="FFFFFF" w:themeFill="background1"/>
                  <w:noWrap/>
                  <w:hideMark/>
                </w:tcPr>
                <w:p w14:paraId="60F0E2D8"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ww.inglesidevineyards.com/</w:t>
                  </w:r>
                </w:p>
              </w:tc>
            </w:tr>
            <w:tr w:rsidR="005D1710" w:rsidRPr="005D1710" w14:paraId="19DD5DCD" w14:textId="77777777" w:rsidTr="009168EE">
              <w:trPr>
                <w:trHeight w:val="300"/>
              </w:trPr>
              <w:tc>
                <w:tcPr>
                  <w:tcW w:w="4320" w:type="dxa"/>
                  <w:shd w:val="clear" w:color="auto" w:fill="FFFFFF" w:themeFill="background1"/>
                  <w:noWrap/>
                  <w:hideMark/>
                </w:tcPr>
                <w:p w14:paraId="4649AA69"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Isle of Wight County Museum</w:t>
                  </w:r>
                </w:p>
              </w:tc>
              <w:tc>
                <w:tcPr>
                  <w:tcW w:w="6912" w:type="dxa"/>
                  <w:shd w:val="clear" w:color="auto" w:fill="FFFFFF" w:themeFill="background1"/>
                  <w:noWrap/>
                  <w:hideMark/>
                </w:tcPr>
                <w:p w14:paraId="131B501F"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ww.historicisleofwight.com/museum.html</w:t>
                  </w:r>
                </w:p>
              </w:tc>
            </w:tr>
            <w:tr w:rsidR="005D1710" w:rsidRPr="005D1710" w14:paraId="1F9531B1" w14:textId="77777777" w:rsidTr="009168EE">
              <w:trPr>
                <w:trHeight w:val="300"/>
              </w:trPr>
              <w:tc>
                <w:tcPr>
                  <w:tcW w:w="4320" w:type="dxa"/>
                  <w:shd w:val="clear" w:color="auto" w:fill="FFFFFF" w:themeFill="background1"/>
                  <w:noWrap/>
                  <w:hideMark/>
                </w:tcPr>
                <w:p w14:paraId="5C643F36"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James Madison University</w:t>
                  </w:r>
                </w:p>
              </w:tc>
              <w:tc>
                <w:tcPr>
                  <w:tcW w:w="6912" w:type="dxa"/>
                  <w:shd w:val="clear" w:color="auto" w:fill="FFFFFF" w:themeFill="background1"/>
                  <w:noWrap/>
                  <w:hideMark/>
                </w:tcPr>
                <w:p w14:paraId="0CD9EE3C"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ww.jmu.edu/archaeology/</w:t>
                  </w:r>
                </w:p>
              </w:tc>
            </w:tr>
            <w:tr w:rsidR="005D1710" w:rsidRPr="005D1710" w14:paraId="6BE73C26" w14:textId="77777777" w:rsidTr="009168EE">
              <w:trPr>
                <w:trHeight w:val="300"/>
              </w:trPr>
              <w:tc>
                <w:tcPr>
                  <w:tcW w:w="4320" w:type="dxa"/>
                  <w:shd w:val="clear" w:color="auto" w:fill="FFFFFF" w:themeFill="background1"/>
                  <w:noWrap/>
                  <w:hideMark/>
                </w:tcPr>
                <w:p w14:paraId="39A00820"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James River Institute, JRIA</w:t>
                  </w:r>
                </w:p>
              </w:tc>
              <w:tc>
                <w:tcPr>
                  <w:tcW w:w="6912" w:type="dxa"/>
                  <w:shd w:val="clear" w:color="auto" w:fill="FFFFFF" w:themeFill="background1"/>
                  <w:noWrap/>
                  <w:hideMark/>
                </w:tcPr>
                <w:p w14:paraId="4B648FA3"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ww.jriarchaeology.com/</w:t>
                  </w:r>
                </w:p>
              </w:tc>
            </w:tr>
            <w:tr w:rsidR="005D1710" w:rsidRPr="005D1710" w14:paraId="74F4D34A" w14:textId="77777777" w:rsidTr="009168EE">
              <w:trPr>
                <w:trHeight w:val="300"/>
              </w:trPr>
              <w:tc>
                <w:tcPr>
                  <w:tcW w:w="4320" w:type="dxa"/>
                  <w:shd w:val="clear" w:color="auto" w:fill="FFFFFF" w:themeFill="background1"/>
                  <w:noWrap/>
                  <w:hideMark/>
                </w:tcPr>
                <w:p w14:paraId="20FB7924"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Jamestown Rediscovery Preservation Virginia</w:t>
                  </w:r>
                </w:p>
              </w:tc>
              <w:tc>
                <w:tcPr>
                  <w:tcW w:w="6912" w:type="dxa"/>
                  <w:shd w:val="clear" w:color="auto" w:fill="FFFFFF" w:themeFill="background1"/>
                  <w:noWrap/>
                  <w:hideMark/>
                </w:tcPr>
                <w:p w14:paraId="6A630CF4"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apva.org/rediscovery/page.php?page_id=1</w:t>
                  </w:r>
                </w:p>
              </w:tc>
            </w:tr>
            <w:tr w:rsidR="005D1710" w:rsidRPr="005D1710" w14:paraId="6962A69E" w14:textId="77777777" w:rsidTr="009168EE">
              <w:trPr>
                <w:trHeight w:val="300"/>
              </w:trPr>
              <w:tc>
                <w:tcPr>
                  <w:tcW w:w="4320" w:type="dxa"/>
                  <w:shd w:val="clear" w:color="auto" w:fill="FFFFFF" w:themeFill="background1"/>
                  <w:noWrap/>
                  <w:hideMark/>
                </w:tcPr>
                <w:p w14:paraId="6F5AB83D"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Jamestown Settlement</w:t>
                  </w:r>
                </w:p>
              </w:tc>
              <w:tc>
                <w:tcPr>
                  <w:tcW w:w="6912" w:type="dxa"/>
                  <w:shd w:val="clear" w:color="auto" w:fill="FFFFFF" w:themeFill="background1"/>
                  <w:noWrap/>
                  <w:hideMark/>
                </w:tcPr>
                <w:p w14:paraId="065AEDD5"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www.historyisfun.org</w:t>
                  </w:r>
                </w:p>
              </w:tc>
            </w:tr>
            <w:tr w:rsidR="005D1710" w:rsidRPr="005D1710" w14:paraId="5BAEDC3D" w14:textId="77777777" w:rsidTr="009168EE">
              <w:trPr>
                <w:trHeight w:val="300"/>
              </w:trPr>
              <w:tc>
                <w:tcPr>
                  <w:tcW w:w="4320" w:type="dxa"/>
                  <w:shd w:val="clear" w:color="auto" w:fill="FFFFFF" w:themeFill="background1"/>
                  <w:noWrap/>
                  <w:hideMark/>
                </w:tcPr>
                <w:p w14:paraId="089EFBFB"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Ker Place</w:t>
                  </w:r>
                </w:p>
              </w:tc>
              <w:tc>
                <w:tcPr>
                  <w:tcW w:w="6912" w:type="dxa"/>
                  <w:shd w:val="clear" w:color="auto" w:fill="FFFFFF" w:themeFill="background1"/>
                  <w:noWrap/>
                  <w:hideMark/>
                </w:tcPr>
                <w:p w14:paraId="563573F8"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ww.shorehistory.org/</w:t>
                  </w:r>
                </w:p>
              </w:tc>
            </w:tr>
            <w:tr w:rsidR="005D1710" w:rsidRPr="005D1710" w14:paraId="1FFB491C" w14:textId="77777777" w:rsidTr="009168EE">
              <w:trPr>
                <w:trHeight w:val="300"/>
              </w:trPr>
              <w:tc>
                <w:tcPr>
                  <w:tcW w:w="4320" w:type="dxa"/>
                  <w:shd w:val="clear" w:color="auto" w:fill="FFFFFF" w:themeFill="background1"/>
                  <w:noWrap/>
                  <w:hideMark/>
                </w:tcPr>
                <w:p w14:paraId="5E44069F"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Longwood College (library)</w:t>
                  </w:r>
                </w:p>
              </w:tc>
              <w:tc>
                <w:tcPr>
                  <w:tcW w:w="6912" w:type="dxa"/>
                  <w:shd w:val="clear" w:color="auto" w:fill="FFFFFF" w:themeFill="background1"/>
                  <w:noWrap/>
                  <w:hideMark/>
                </w:tcPr>
                <w:p w14:paraId="72BEE244"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library.longwood.edu/research/</w:t>
                  </w:r>
                </w:p>
              </w:tc>
            </w:tr>
            <w:tr w:rsidR="005D1710" w:rsidRPr="005D1710" w14:paraId="04F1D729" w14:textId="77777777" w:rsidTr="009168EE">
              <w:trPr>
                <w:trHeight w:val="300"/>
              </w:trPr>
              <w:tc>
                <w:tcPr>
                  <w:tcW w:w="4320" w:type="dxa"/>
                  <w:shd w:val="clear" w:color="auto" w:fill="FFFFFF" w:themeFill="background1"/>
                  <w:noWrap/>
                  <w:hideMark/>
                </w:tcPr>
                <w:p w14:paraId="06307B23"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Loudon Archaeological Foundation</w:t>
                  </w:r>
                </w:p>
              </w:tc>
              <w:tc>
                <w:tcPr>
                  <w:tcW w:w="6912" w:type="dxa"/>
                  <w:shd w:val="clear" w:color="auto" w:fill="FFFFFF" w:themeFill="background1"/>
                  <w:noWrap/>
                  <w:hideMark/>
                </w:tcPr>
                <w:p w14:paraId="0CF09787"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loudounarchaeology.org/</w:t>
                  </w:r>
                </w:p>
              </w:tc>
            </w:tr>
            <w:tr w:rsidR="005D1710" w:rsidRPr="005D1710" w14:paraId="0136181B" w14:textId="77777777" w:rsidTr="009168EE">
              <w:trPr>
                <w:trHeight w:val="300"/>
              </w:trPr>
              <w:tc>
                <w:tcPr>
                  <w:tcW w:w="4320" w:type="dxa"/>
                  <w:shd w:val="clear" w:color="auto" w:fill="FFFFFF" w:themeFill="background1"/>
                  <w:noWrap/>
                  <w:hideMark/>
                </w:tcPr>
                <w:p w14:paraId="4CD7ED73"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Loudoun County</w:t>
                  </w:r>
                </w:p>
              </w:tc>
              <w:tc>
                <w:tcPr>
                  <w:tcW w:w="6912" w:type="dxa"/>
                  <w:shd w:val="clear" w:color="auto" w:fill="FFFFFF" w:themeFill="background1"/>
                  <w:noWrap/>
                  <w:hideMark/>
                </w:tcPr>
                <w:p w14:paraId="12BD3F67"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ww.loudoun.gov/</w:t>
                  </w:r>
                </w:p>
              </w:tc>
            </w:tr>
            <w:tr w:rsidR="005D1710" w:rsidRPr="005D1710" w14:paraId="4A056DD9" w14:textId="77777777" w:rsidTr="009168EE">
              <w:trPr>
                <w:trHeight w:val="300"/>
              </w:trPr>
              <w:tc>
                <w:tcPr>
                  <w:tcW w:w="4320" w:type="dxa"/>
                  <w:shd w:val="clear" w:color="auto" w:fill="FFFFFF" w:themeFill="background1"/>
                  <w:noWrap/>
                  <w:hideMark/>
                </w:tcPr>
                <w:p w14:paraId="13477471"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Lynchburg Museum System</w:t>
                  </w:r>
                </w:p>
              </w:tc>
              <w:tc>
                <w:tcPr>
                  <w:tcW w:w="6912" w:type="dxa"/>
                  <w:shd w:val="clear" w:color="auto" w:fill="FFFFFF" w:themeFill="background1"/>
                  <w:noWrap/>
                  <w:hideMark/>
                </w:tcPr>
                <w:p w14:paraId="374AC21C"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www.lynchburgmuseum.org</w:t>
                  </w:r>
                </w:p>
              </w:tc>
            </w:tr>
            <w:tr w:rsidR="005D1710" w:rsidRPr="005D1710" w14:paraId="00F45D37" w14:textId="77777777" w:rsidTr="009168EE">
              <w:trPr>
                <w:trHeight w:val="300"/>
              </w:trPr>
              <w:tc>
                <w:tcPr>
                  <w:tcW w:w="4320" w:type="dxa"/>
                  <w:shd w:val="clear" w:color="auto" w:fill="FFFFFF" w:themeFill="background1"/>
                  <w:noWrap/>
                  <w:hideMark/>
                </w:tcPr>
                <w:p w14:paraId="4D53EC82"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MacCallum More Museum &amp; Gardens</w:t>
                  </w:r>
                </w:p>
              </w:tc>
              <w:tc>
                <w:tcPr>
                  <w:tcW w:w="6912" w:type="dxa"/>
                  <w:shd w:val="clear" w:color="auto" w:fill="FFFFFF" w:themeFill="background1"/>
                  <w:noWrap/>
                  <w:hideMark/>
                </w:tcPr>
                <w:p w14:paraId="27A5066D"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ww.mmmg.org/#!arthur-robertson/c1n5d</w:t>
                  </w:r>
                </w:p>
              </w:tc>
            </w:tr>
            <w:tr w:rsidR="005D1710" w:rsidRPr="005D1710" w14:paraId="7D5DA9A4" w14:textId="77777777" w:rsidTr="009168EE">
              <w:trPr>
                <w:trHeight w:val="300"/>
              </w:trPr>
              <w:tc>
                <w:tcPr>
                  <w:tcW w:w="4320" w:type="dxa"/>
                  <w:shd w:val="clear" w:color="auto" w:fill="FFFFFF" w:themeFill="background1"/>
                  <w:noWrap/>
                  <w:hideMark/>
                </w:tcPr>
                <w:p w14:paraId="39A8C3BF"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Madison County Historical Society/Madison Arcade</w:t>
                  </w:r>
                </w:p>
              </w:tc>
              <w:tc>
                <w:tcPr>
                  <w:tcW w:w="6912" w:type="dxa"/>
                  <w:shd w:val="clear" w:color="auto" w:fill="FFFFFF" w:themeFill="background1"/>
                  <w:noWrap/>
                  <w:hideMark/>
                </w:tcPr>
                <w:p w14:paraId="1A6A5C25"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madisonvahistoricalsociety.org/</w:t>
                  </w:r>
                </w:p>
              </w:tc>
            </w:tr>
            <w:tr w:rsidR="005D1710" w:rsidRPr="005D1710" w14:paraId="222BB69E" w14:textId="77777777" w:rsidTr="009168EE">
              <w:trPr>
                <w:trHeight w:val="300"/>
              </w:trPr>
              <w:tc>
                <w:tcPr>
                  <w:tcW w:w="4320" w:type="dxa"/>
                  <w:shd w:val="clear" w:color="auto" w:fill="FFFFFF" w:themeFill="background1"/>
                  <w:noWrap/>
                  <w:hideMark/>
                </w:tcPr>
                <w:p w14:paraId="0D41ED3F"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Madison County Library</w:t>
                  </w:r>
                </w:p>
              </w:tc>
              <w:tc>
                <w:tcPr>
                  <w:tcW w:w="6912" w:type="dxa"/>
                  <w:shd w:val="clear" w:color="auto" w:fill="FFFFFF" w:themeFill="background1"/>
                  <w:noWrap/>
                  <w:hideMark/>
                </w:tcPr>
                <w:p w14:paraId="35373652"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www.madisoncountyvalibrary.org/</w:t>
                  </w:r>
                </w:p>
              </w:tc>
            </w:tr>
            <w:tr w:rsidR="005D1710" w:rsidRPr="005D1710" w14:paraId="6F2EBDF0" w14:textId="77777777" w:rsidTr="009168EE">
              <w:trPr>
                <w:trHeight w:val="300"/>
              </w:trPr>
              <w:tc>
                <w:tcPr>
                  <w:tcW w:w="4320" w:type="dxa"/>
                  <w:shd w:val="clear" w:color="auto" w:fill="FFFFFF" w:themeFill="background1"/>
                  <w:noWrap/>
                  <w:hideMark/>
                </w:tcPr>
                <w:p w14:paraId="0209822D"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Maggie L. Walker National Historic Site</w:t>
                  </w:r>
                </w:p>
              </w:tc>
              <w:tc>
                <w:tcPr>
                  <w:tcW w:w="6912" w:type="dxa"/>
                  <w:shd w:val="clear" w:color="auto" w:fill="FFFFFF" w:themeFill="background1"/>
                  <w:noWrap/>
                  <w:hideMark/>
                </w:tcPr>
                <w:p w14:paraId="41D3A35B"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museum.nps.gov</w:t>
                  </w:r>
                </w:p>
              </w:tc>
            </w:tr>
            <w:tr w:rsidR="005D1710" w:rsidRPr="005D1710" w14:paraId="059A46A5" w14:textId="77777777" w:rsidTr="009168EE">
              <w:trPr>
                <w:trHeight w:val="300"/>
              </w:trPr>
              <w:tc>
                <w:tcPr>
                  <w:tcW w:w="4320" w:type="dxa"/>
                  <w:shd w:val="clear" w:color="auto" w:fill="FFFFFF" w:themeFill="background1"/>
                  <w:noWrap/>
                  <w:hideMark/>
                </w:tcPr>
                <w:p w14:paraId="6F3995E6"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Manassas</w:t>
                  </w:r>
                </w:p>
              </w:tc>
              <w:tc>
                <w:tcPr>
                  <w:tcW w:w="6912" w:type="dxa"/>
                  <w:shd w:val="clear" w:color="auto" w:fill="FFFFFF" w:themeFill="background1"/>
                  <w:noWrap/>
                  <w:hideMark/>
                </w:tcPr>
                <w:p w14:paraId="0F38802F"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museum.nps.gov</w:t>
                  </w:r>
                </w:p>
              </w:tc>
            </w:tr>
            <w:tr w:rsidR="005D1710" w:rsidRPr="005D1710" w14:paraId="01777242" w14:textId="77777777" w:rsidTr="009168EE">
              <w:trPr>
                <w:trHeight w:val="300"/>
              </w:trPr>
              <w:tc>
                <w:tcPr>
                  <w:tcW w:w="4320" w:type="dxa"/>
                  <w:shd w:val="clear" w:color="auto" w:fill="FFFFFF" w:themeFill="background1"/>
                  <w:noWrap/>
                  <w:hideMark/>
                </w:tcPr>
                <w:p w14:paraId="0A94EAEE"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Manassas Museum System</w:t>
                  </w:r>
                </w:p>
              </w:tc>
              <w:tc>
                <w:tcPr>
                  <w:tcW w:w="6912" w:type="dxa"/>
                  <w:shd w:val="clear" w:color="auto" w:fill="FFFFFF" w:themeFill="background1"/>
                  <w:noWrap/>
                  <w:hideMark/>
                </w:tcPr>
                <w:p w14:paraId="0E056EC7" w14:textId="77777777" w:rsidR="005D1710" w:rsidRPr="005D1710" w:rsidRDefault="00CF0DB5" w:rsidP="005D1710">
                  <w:pPr>
                    <w:spacing w:line="240" w:lineRule="auto"/>
                    <w:ind w:firstLine="0"/>
                    <w:rPr>
                      <w:rFonts w:ascii="Calibri" w:eastAsia="Times New Roman" w:hAnsi="Calibri" w:cs="Times New Roman"/>
                      <w:color w:val="000000"/>
                    </w:rPr>
                  </w:pPr>
                  <w:hyperlink r:id="rId25" w:history="1">
                    <w:r w:rsidR="005D1710">
                      <w:rPr>
                        <w:rFonts w:ascii="Calibri" w:eastAsia="Times New Roman" w:hAnsi="Calibri" w:cs="Times New Roman"/>
                        <w:color w:val="000000"/>
                      </w:rPr>
                      <w:t>w</w:t>
                    </w:r>
                    <w:r w:rsidR="005D1710" w:rsidRPr="005D1710">
                      <w:rPr>
                        <w:rFonts w:ascii="Calibri" w:eastAsia="Times New Roman" w:hAnsi="Calibri" w:cs="Times New Roman"/>
                        <w:color w:val="000000"/>
                      </w:rPr>
                      <w:t>ww.manassascity.org/index.aspx?NID=211</w:t>
                    </w:r>
                  </w:hyperlink>
                </w:p>
              </w:tc>
            </w:tr>
            <w:tr w:rsidR="005D1710" w:rsidRPr="005D1710" w14:paraId="52B7D029" w14:textId="77777777" w:rsidTr="009168EE">
              <w:trPr>
                <w:trHeight w:val="300"/>
              </w:trPr>
              <w:tc>
                <w:tcPr>
                  <w:tcW w:w="4320" w:type="dxa"/>
                  <w:shd w:val="clear" w:color="auto" w:fill="FFFFFF" w:themeFill="background1"/>
                  <w:noWrap/>
                  <w:hideMark/>
                </w:tcPr>
                <w:p w14:paraId="5E66F6A9"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Mariners' Museum - Monitor collection</w:t>
                  </w:r>
                </w:p>
              </w:tc>
              <w:tc>
                <w:tcPr>
                  <w:tcW w:w="6912" w:type="dxa"/>
                  <w:shd w:val="clear" w:color="auto" w:fill="FFFFFF" w:themeFill="background1"/>
                  <w:noWrap/>
                  <w:hideMark/>
                </w:tcPr>
                <w:p w14:paraId="2F11A370"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ww.marinersmuseum.org/catalogs/</w:t>
                  </w:r>
                </w:p>
              </w:tc>
            </w:tr>
            <w:tr w:rsidR="005D1710" w:rsidRPr="005D1710" w14:paraId="17B7C9E5" w14:textId="77777777" w:rsidTr="009168EE">
              <w:trPr>
                <w:trHeight w:val="300"/>
              </w:trPr>
              <w:tc>
                <w:tcPr>
                  <w:tcW w:w="4320" w:type="dxa"/>
                  <w:shd w:val="clear" w:color="auto" w:fill="FFFFFF" w:themeFill="background1"/>
                  <w:noWrap/>
                  <w:hideMark/>
                </w:tcPr>
                <w:p w14:paraId="70B991E1"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Mary Ball Washington Museum &amp; Library</w:t>
                  </w:r>
                </w:p>
              </w:tc>
              <w:tc>
                <w:tcPr>
                  <w:tcW w:w="6912" w:type="dxa"/>
                  <w:shd w:val="clear" w:color="auto" w:fill="FFFFFF" w:themeFill="background1"/>
                  <w:noWrap/>
                  <w:hideMark/>
                </w:tcPr>
                <w:p w14:paraId="1A1E4E8A"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mbwm.org</w:t>
                  </w:r>
                </w:p>
              </w:tc>
            </w:tr>
            <w:tr w:rsidR="005D1710" w:rsidRPr="005D1710" w14:paraId="1E862320" w14:textId="77777777" w:rsidTr="009168EE">
              <w:trPr>
                <w:trHeight w:val="300"/>
              </w:trPr>
              <w:tc>
                <w:tcPr>
                  <w:tcW w:w="4320" w:type="dxa"/>
                  <w:shd w:val="clear" w:color="auto" w:fill="FFFFFF" w:themeFill="background1"/>
                  <w:noWrap/>
                  <w:hideMark/>
                </w:tcPr>
                <w:p w14:paraId="00C90DCB"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Mattaponi Indian Museum</w:t>
                  </w:r>
                </w:p>
              </w:tc>
              <w:tc>
                <w:tcPr>
                  <w:tcW w:w="6912" w:type="dxa"/>
                  <w:shd w:val="clear" w:color="auto" w:fill="FFFFFF" w:themeFill="background1"/>
                  <w:noWrap/>
                  <w:hideMark/>
                </w:tcPr>
                <w:p w14:paraId="3C22CFAE"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ww.uppermattaponi.org/</w:t>
                  </w:r>
                </w:p>
              </w:tc>
            </w:tr>
            <w:tr w:rsidR="005D1710" w:rsidRPr="005D1710" w14:paraId="2DDB2571" w14:textId="77777777" w:rsidTr="009168EE">
              <w:trPr>
                <w:trHeight w:val="300"/>
              </w:trPr>
              <w:tc>
                <w:tcPr>
                  <w:tcW w:w="4320" w:type="dxa"/>
                  <w:shd w:val="clear" w:color="auto" w:fill="FFFFFF" w:themeFill="background1"/>
                  <w:noWrap/>
                  <w:hideMark/>
                </w:tcPr>
                <w:p w14:paraId="1AFE4A8F"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Menokin Foundation</w:t>
                  </w:r>
                </w:p>
              </w:tc>
              <w:tc>
                <w:tcPr>
                  <w:tcW w:w="6912" w:type="dxa"/>
                  <w:shd w:val="clear" w:color="auto" w:fill="FFFFFF" w:themeFill="background1"/>
                  <w:noWrap/>
                  <w:hideMark/>
                </w:tcPr>
                <w:p w14:paraId="287F11D0"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ww.menokin.org/</w:t>
                  </w:r>
                </w:p>
              </w:tc>
            </w:tr>
            <w:tr w:rsidR="005D1710" w:rsidRPr="005D1710" w14:paraId="1F287C89" w14:textId="77777777" w:rsidTr="009168EE">
              <w:trPr>
                <w:trHeight w:val="300"/>
              </w:trPr>
              <w:tc>
                <w:tcPr>
                  <w:tcW w:w="4320" w:type="dxa"/>
                  <w:shd w:val="clear" w:color="auto" w:fill="FFFFFF" w:themeFill="background1"/>
                  <w:noWrap/>
                  <w:hideMark/>
                </w:tcPr>
                <w:p w14:paraId="4B382176"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Monacan Ancestral Museum</w:t>
                  </w:r>
                </w:p>
              </w:tc>
              <w:tc>
                <w:tcPr>
                  <w:tcW w:w="6912" w:type="dxa"/>
                  <w:shd w:val="clear" w:color="auto" w:fill="FFFFFF" w:themeFill="background1"/>
                  <w:noWrap/>
                  <w:hideMark/>
                </w:tcPr>
                <w:p w14:paraId="43689BA9"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www.monacannation.com/museum.shtml</w:t>
                  </w:r>
                </w:p>
              </w:tc>
            </w:tr>
            <w:tr w:rsidR="005D1710" w:rsidRPr="005D1710" w14:paraId="55ABC9A8" w14:textId="77777777" w:rsidTr="009168EE">
              <w:trPr>
                <w:trHeight w:val="300"/>
              </w:trPr>
              <w:tc>
                <w:tcPr>
                  <w:tcW w:w="4320" w:type="dxa"/>
                  <w:shd w:val="clear" w:color="auto" w:fill="FFFFFF" w:themeFill="background1"/>
                  <w:noWrap/>
                  <w:hideMark/>
                </w:tcPr>
                <w:p w14:paraId="6F3E5AF3"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Monacan Village at Natural Bridge</w:t>
                  </w:r>
                </w:p>
              </w:tc>
              <w:tc>
                <w:tcPr>
                  <w:tcW w:w="6912" w:type="dxa"/>
                  <w:shd w:val="clear" w:color="auto" w:fill="FFFFFF" w:themeFill="background1"/>
                  <w:noWrap/>
                  <w:hideMark/>
                </w:tcPr>
                <w:p w14:paraId="46340B8C"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www.naturalbridgeva. com</w:t>
                  </w:r>
                </w:p>
              </w:tc>
            </w:tr>
            <w:tr w:rsidR="005D1710" w:rsidRPr="005D1710" w14:paraId="66833AEC" w14:textId="77777777" w:rsidTr="009168EE">
              <w:trPr>
                <w:trHeight w:val="300"/>
              </w:trPr>
              <w:tc>
                <w:tcPr>
                  <w:tcW w:w="4320" w:type="dxa"/>
                  <w:shd w:val="clear" w:color="auto" w:fill="FFFFFF" w:themeFill="background1"/>
                  <w:noWrap/>
                  <w:hideMark/>
                </w:tcPr>
                <w:p w14:paraId="3A641D08"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Monticello</w:t>
                  </w:r>
                </w:p>
              </w:tc>
              <w:tc>
                <w:tcPr>
                  <w:tcW w:w="6912" w:type="dxa"/>
                  <w:shd w:val="clear" w:color="auto" w:fill="FFFFFF" w:themeFill="background1"/>
                  <w:noWrap/>
                  <w:hideMark/>
                </w:tcPr>
                <w:p w14:paraId="2DBA7E12"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www.monticello.org/archaeology/index.html</w:t>
                  </w:r>
                </w:p>
              </w:tc>
            </w:tr>
            <w:tr w:rsidR="005D1710" w:rsidRPr="005D1710" w14:paraId="58BE9007" w14:textId="77777777" w:rsidTr="009168EE">
              <w:trPr>
                <w:trHeight w:val="300"/>
              </w:trPr>
              <w:tc>
                <w:tcPr>
                  <w:tcW w:w="4320" w:type="dxa"/>
                  <w:shd w:val="clear" w:color="auto" w:fill="FFFFFF" w:themeFill="background1"/>
                  <w:noWrap/>
                  <w:hideMark/>
                </w:tcPr>
                <w:p w14:paraId="53786D63"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Montpelier Foundation</w:t>
                  </w:r>
                </w:p>
              </w:tc>
              <w:tc>
                <w:tcPr>
                  <w:tcW w:w="6912" w:type="dxa"/>
                  <w:shd w:val="clear" w:color="auto" w:fill="FFFFFF" w:themeFill="background1"/>
                  <w:noWrap/>
                  <w:hideMark/>
                </w:tcPr>
                <w:p w14:paraId="4E096042"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ww.montpelier.org/research-and-collections/archaeology</w:t>
                  </w:r>
                </w:p>
              </w:tc>
            </w:tr>
            <w:tr w:rsidR="005D1710" w:rsidRPr="005D1710" w14:paraId="7D9AF35F" w14:textId="77777777" w:rsidTr="009168EE">
              <w:trPr>
                <w:trHeight w:val="300"/>
              </w:trPr>
              <w:tc>
                <w:tcPr>
                  <w:tcW w:w="4320" w:type="dxa"/>
                  <w:shd w:val="clear" w:color="auto" w:fill="FFFFFF" w:themeFill="background1"/>
                  <w:noWrap/>
                  <w:hideMark/>
                </w:tcPr>
                <w:p w14:paraId="21A84465"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Mount Vernon Archaeology</w:t>
                  </w:r>
                </w:p>
              </w:tc>
              <w:tc>
                <w:tcPr>
                  <w:tcW w:w="6912" w:type="dxa"/>
                  <w:shd w:val="clear" w:color="auto" w:fill="FFFFFF" w:themeFill="background1"/>
                  <w:noWrap/>
                  <w:hideMark/>
                </w:tcPr>
                <w:p w14:paraId="4F54A717"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ww.mountvernon.org/research-collections/archaeology/</w:t>
                  </w:r>
                </w:p>
              </w:tc>
            </w:tr>
            <w:tr w:rsidR="005D1710" w:rsidRPr="005D1710" w14:paraId="4958051B" w14:textId="77777777" w:rsidTr="009168EE">
              <w:trPr>
                <w:trHeight w:val="300"/>
              </w:trPr>
              <w:tc>
                <w:tcPr>
                  <w:tcW w:w="4320" w:type="dxa"/>
                  <w:shd w:val="clear" w:color="auto" w:fill="FFFFFF" w:themeFill="background1"/>
                  <w:noWrap/>
                  <w:hideMark/>
                </w:tcPr>
                <w:p w14:paraId="3C77716F"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Mount Vernon Midden</w:t>
                  </w:r>
                </w:p>
              </w:tc>
              <w:tc>
                <w:tcPr>
                  <w:tcW w:w="6912" w:type="dxa"/>
                  <w:shd w:val="clear" w:color="auto" w:fill="FFFFFF" w:themeFill="background1"/>
                  <w:noWrap/>
                  <w:hideMark/>
                </w:tcPr>
                <w:p w14:paraId="4D4774C8"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mountvernonmidden.org/</w:t>
                  </w:r>
                </w:p>
              </w:tc>
            </w:tr>
            <w:tr w:rsidR="005D1710" w:rsidRPr="005D1710" w14:paraId="1F465B9F" w14:textId="77777777" w:rsidTr="009168EE">
              <w:trPr>
                <w:trHeight w:val="300"/>
              </w:trPr>
              <w:tc>
                <w:tcPr>
                  <w:tcW w:w="4320" w:type="dxa"/>
                  <w:shd w:val="clear" w:color="auto" w:fill="FFFFFF" w:themeFill="background1"/>
                  <w:noWrap/>
                  <w:hideMark/>
                </w:tcPr>
                <w:p w14:paraId="50C8BE97"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Museum of Culpeper History</w:t>
                  </w:r>
                </w:p>
              </w:tc>
              <w:tc>
                <w:tcPr>
                  <w:tcW w:w="6912" w:type="dxa"/>
                  <w:shd w:val="clear" w:color="auto" w:fill="FFFFFF" w:themeFill="background1"/>
                  <w:noWrap/>
                  <w:hideMark/>
                </w:tcPr>
                <w:p w14:paraId="40448245"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www.culpepermuseum.com</w:t>
                  </w:r>
                </w:p>
              </w:tc>
            </w:tr>
            <w:tr w:rsidR="005D1710" w:rsidRPr="005D1710" w14:paraId="527AA8C4" w14:textId="77777777" w:rsidTr="009168EE">
              <w:trPr>
                <w:trHeight w:val="300"/>
              </w:trPr>
              <w:tc>
                <w:tcPr>
                  <w:tcW w:w="4320" w:type="dxa"/>
                  <w:shd w:val="clear" w:color="auto" w:fill="FFFFFF" w:themeFill="background1"/>
                  <w:noWrap/>
                  <w:hideMark/>
                </w:tcPr>
                <w:p w14:paraId="6935B255"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Museum of the Middle Appalachians</w:t>
                  </w:r>
                </w:p>
              </w:tc>
              <w:tc>
                <w:tcPr>
                  <w:tcW w:w="6912" w:type="dxa"/>
                  <w:shd w:val="clear" w:color="auto" w:fill="FFFFFF" w:themeFill="background1"/>
                  <w:noWrap/>
                  <w:hideMark/>
                </w:tcPr>
                <w:p w14:paraId="4C076356"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www.museum-mid-app.org</w:t>
                  </w:r>
                </w:p>
              </w:tc>
            </w:tr>
            <w:tr w:rsidR="005D1710" w:rsidRPr="005D1710" w14:paraId="468ED964" w14:textId="77777777" w:rsidTr="009168EE">
              <w:trPr>
                <w:trHeight w:val="300"/>
              </w:trPr>
              <w:tc>
                <w:tcPr>
                  <w:tcW w:w="4320" w:type="dxa"/>
                  <w:shd w:val="clear" w:color="auto" w:fill="FFFFFF" w:themeFill="background1"/>
                  <w:noWrap/>
                  <w:hideMark/>
                </w:tcPr>
                <w:p w14:paraId="46A94ED4"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Naval Shipyard Museum, Portsmouth</w:t>
                  </w:r>
                </w:p>
              </w:tc>
              <w:tc>
                <w:tcPr>
                  <w:tcW w:w="6912" w:type="dxa"/>
                  <w:shd w:val="clear" w:color="auto" w:fill="FFFFFF" w:themeFill="background1"/>
                  <w:noWrap/>
                  <w:hideMark/>
                </w:tcPr>
                <w:p w14:paraId="6841FCDF" w14:textId="58D982E9"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ww.portsmouthnavalshipyardmuseum.com/</w:t>
                  </w:r>
                  <w:r w:rsidR="00F71E85">
                    <w:rPr>
                      <w:rFonts w:ascii="Calibri" w:eastAsia="Times New Roman" w:hAnsi="Calibri" w:cs="Times New Roman"/>
                      <w:color w:val="000000"/>
                    </w:rPr>
                    <w:br/>
                  </w:r>
                  <w:r w:rsidRPr="005D1710">
                    <w:rPr>
                      <w:rFonts w:ascii="Calibri" w:eastAsia="Times New Roman" w:hAnsi="Calibri" w:cs="Times New Roman"/>
                      <w:color w:val="000000"/>
                    </w:rPr>
                    <w:t>naval_shipyard/index.html</w:t>
                  </w:r>
                </w:p>
              </w:tc>
            </w:tr>
            <w:tr w:rsidR="005D1710" w:rsidRPr="005D1710" w14:paraId="1DCB570D" w14:textId="77777777" w:rsidTr="009168EE">
              <w:trPr>
                <w:trHeight w:val="300"/>
              </w:trPr>
              <w:tc>
                <w:tcPr>
                  <w:tcW w:w="4320" w:type="dxa"/>
                  <w:shd w:val="clear" w:color="auto" w:fill="FFFFFF" w:themeFill="background1"/>
                  <w:noWrap/>
                  <w:hideMark/>
                </w:tcPr>
                <w:p w14:paraId="7136BE1F"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NCR Regional Archaeology Program</w:t>
                  </w:r>
                </w:p>
              </w:tc>
              <w:tc>
                <w:tcPr>
                  <w:tcW w:w="6912" w:type="dxa"/>
                  <w:shd w:val="clear" w:color="auto" w:fill="FFFFFF" w:themeFill="background1"/>
                  <w:noWrap/>
                  <w:hideMark/>
                </w:tcPr>
                <w:p w14:paraId="5C28A192"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ww.nps.gov/rap/</w:t>
                  </w:r>
                </w:p>
              </w:tc>
            </w:tr>
            <w:tr w:rsidR="005D1710" w:rsidRPr="005D1710" w14:paraId="25426F59" w14:textId="77777777" w:rsidTr="009168EE">
              <w:trPr>
                <w:trHeight w:val="300"/>
              </w:trPr>
              <w:tc>
                <w:tcPr>
                  <w:tcW w:w="4320" w:type="dxa"/>
                  <w:shd w:val="clear" w:color="auto" w:fill="FFFFFF" w:themeFill="background1"/>
                  <w:noWrap/>
                  <w:hideMark/>
                </w:tcPr>
                <w:p w14:paraId="1CD74E9D"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New London</w:t>
                  </w:r>
                </w:p>
              </w:tc>
              <w:tc>
                <w:tcPr>
                  <w:tcW w:w="6912" w:type="dxa"/>
                  <w:shd w:val="clear" w:color="auto" w:fill="FFFFFF" w:themeFill="background1"/>
                  <w:noWrap/>
                  <w:hideMark/>
                </w:tcPr>
                <w:p w14:paraId="0AEF9C0E"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ww.newlondonmuseum.org/</w:t>
                  </w:r>
                </w:p>
              </w:tc>
            </w:tr>
            <w:tr w:rsidR="005D1710" w:rsidRPr="005D1710" w14:paraId="07AF8D7A" w14:textId="77777777" w:rsidTr="009168EE">
              <w:trPr>
                <w:trHeight w:val="300"/>
              </w:trPr>
              <w:tc>
                <w:tcPr>
                  <w:tcW w:w="4320" w:type="dxa"/>
                  <w:shd w:val="clear" w:color="auto" w:fill="FFFFFF" w:themeFill="background1"/>
                  <w:noWrap/>
                  <w:hideMark/>
                </w:tcPr>
                <w:p w14:paraId="00B66DE5"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New River Gorge National River</w:t>
                  </w:r>
                </w:p>
              </w:tc>
              <w:tc>
                <w:tcPr>
                  <w:tcW w:w="6912" w:type="dxa"/>
                  <w:shd w:val="clear" w:color="auto" w:fill="FFFFFF" w:themeFill="background1"/>
                  <w:noWrap/>
                  <w:hideMark/>
                </w:tcPr>
                <w:p w14:paraId="71A2A562" w14:textId="77777777" w:rsidR="005D1710" w:rsidRPr="005D1710" w:rsidRDefault="00CF0DB5" w:rsidP="005D1710">
                  <w:pPr>
                    <w:spacing w:line="240" w:lineRule="auto"/>
                    <w:ind w:firstLine="0"/>
                    <w:rPr>
                      <w:rFonts w:ascii="Calibri" w:eastAsia="Times New Roman" w:hAnsi="Calibri" w:cs="Times New Roman"/>
                      <w:color w:val="000000"/>
                    </w:rPr>
                  </w:pPr>
                  <w:hyperlink r:id="rId26" w:history="1">
                    <w:r w:rsidR="005D1710">
                      <w:rPr>
                        <w:rFonts w:ascii="Calibri" w:eastAsia="Times New Roman" w:hAnsi="Calibri" w:cs="Times New Roman"/>
                        <w:color w:val="000000"/>
                      </w:rPr>
                      <w:t>w</w:t>
                    </w:r>
                    <w:r w:rsidR="005D1710" w:rsidRPr="005D1710">
                      <w:rPr>
                        <w:rFonts w:ascii="Calibri" w:eastAsia="Times New Roman" w:hAnsi="Calibri" w:cs="Times New Roman"/>
                        <w:color w:val="000000"/>
                      </w:rPr>
                      <w:t>ww.nps.gov/neri</w:t>
                    </w:r>
                  </w:hyperlink>
                </w:p>
              </w:tc>
            </w:tr>
            <w:tr w:rsidR="005D1710" w:rsidRPr="005D1710" w14:paraId="55BF9883" w14:textId="77777777" w:rsidTr="009168EE">
              <w:trPr>
                <w:trHeight w:val="300"/>
              </w:trPr>
              <w:tc>
                <w:tcPr>
                  <w:tcW w:w="4320" w:type="dxa"/>
                  <w:shd w:val="clear" w:color="auto" w:fill="FFFFFF" w:themeFill="background1"/>
                  <w:noWrap/>
                  <w:hideMark/>
                </w:tcPr>
                <w:p w14:paraId="74D33D7C"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Newtown History Center</w:t>
                  </w:r>
                </w:p>
              </w:tc>
              <w:tc>
                <w:tcPr>
                  <w:tcW w:w="6912" w:type="dxa"/>
                  <w:shd w:val="clear" w:color="auto" w:fill="FFFFFF" w:themeFill="background1"/>
                  <w:noWrap/>
                  <w:hideMark/>
                </w:tcPr>
                <w:p w14:paraId="66EAB8C7" w14:textId="2B801543"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newtownhistorycenter.org/stone-house-restoration-project/</w:t>
                  </w:r>
                  <w:r w:rsidR="00F71E85">
                    <w:rPr>
                      <w:rFonts w:ascii="Calibri" w:eastAsia="Times New Roman" w:hAnsi="Calibri" w:cs="Times New Roman"/>
                      <w:color w:val="000000"/>
                    </w:rPr>
                    <w:br/>
                  </w:r>
                  <w:r w:rsidRPr="005D1710">
                    <w:rPr>
                      <w:rFonts w:ascii="Calibri" w:eastAsia="Times New Roman" w:hAnsi="Calibri" w:cs="Times New Roman"/>
                      <w:color w:val="000000"/>
                    </w:rPr>
                    <w:t>archeology/</w:t>
                  </w:r>
                </w:p>
              </w:tc>
            </w:tr>
            <w:tr w:rsidR="005D1710" w:rsidRPr="005D1710" w14:paraId="2340976B" w14:textId="77777777" w:rsidTr="009168EE">
              <w:trPr>
                <w:trHeight w:val="300"/>
              </w:trPr>
              <w:tc>
                <w:tcPr>
                  <w:tcW w:w="4320" w:type="dxa"/>
                  <w:shd w:val="clear" w:color="auto" w:fill="FFFFFF" w:themeFill="background1"/>
                  <w:noWrap/>
                  <w:hideMark/>
                </w:tcPr>
                <w:p w14:paraId="324ABAD9"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Northumberland County Historical Society</w:t>
                  </w:r>
                </w:p>
              </w:tc>
              <w:tc>
                <w:tcPr>
                  <w:tcW w:w="6912" w:type="dxa"/>
                  <w:shd w:val="clear" w:color="auto" w:fill="FFFFFF" w:themeFill="background1"/>
                  <w:noWrap/>
                  <w:hideMark/>
                </w:tcPr>
                <w:p w14:paraId="77EEE7D4" w14:textId="6BBC856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ww.northumberlandcountyhistoricalsociety.org/</w:t>
                  </w:r>
                  <w:r w:rsidR="00F71E85">
                    <w:rPr>
                      <w:rFonts w:ascii="Calibri" w:eastAsia="Times New Roman" w:hAnsi="Calibri" w:cs="Times New Roman"/>
                      <w:color w:val="000000"/>
                    </w:rPr>
                    <w:br/>
                  </w:r>
                  <w:r w:rsidRPr="005D1710">
                    <w:rPr>
                      <w:rFonts w:ascii="Calibri" w:eastAsia="Times New Roman" w:hAnsi="Calibri" w:cs="Times New Roman"/>
                      <w:color w:val="000000"/>
                    </w:rPr>
                    <w:t>page.asp?tid=152</w:t>
                  </w:r>
                </w:p>
              </w:tc>
            </w:tr>
            <w:tr w:rsidR="005D1710" w:rsidRPr="005D1710" w14:paraId="2A98B9BB" w14:textId="77777777" w:rsidTr="009168EE">
              <w:trPr>
                <w:trHeight w:val="300"/>
              </w:trPr>
              <w:tc>
                <w:tcPr>
                  <w:tcW w:w="4320" w:type="dxa"/>
                  <w:shd w:val="clear" w:color="auto" w:fill="FFFFFF" w:themeFill="background1"/>
                  <w:noWrap/>
                  <w:hideMark/>
                </w:tcPr>
                <w:p w14:paraId="7FFDB0D2"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Occoneechee State Park Visitors Center</w:t>
                  </w:r>
                </w:p>
              </w:tc>
              <w:tc>
                <w:tcPr>
                  <w:tcW w:w="6912" w:type="dxa"/>
                  <w:shd w:val="clear" w:color="auto" w:fill="FFFFFF" w:themeFill="background1"/>
                  <w:noWrap/>
                  <w:hideMark/>
                </w:tcPr>
                <w:p w14:paraId="42755709"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ww.dcr.virginia.gov/state_parks/occ.shtml</w:t>
                  </w:r>
                </w:p>
              </w:tc>
            </w:tr>
            <w:tr w:rsidR="005D1710" w:rsidRPr="005D1710" w14:paraId="3C2DEAFF" w14:textId="77777777" w:rsidTr="009168EE">
              <w:trPr>
                <w:trHeight w:val="300"/>
              </w:trPr>
              <w:tc>
                <w:tcPr>
                  <w:tcW w:w="4320" w:type="dxa"/>
                  <w:shd w:val="clear" w:color="auto" w:fill="FFFFFF" w:themeFill="background1"/>
                  <w:noWrap/>
                  <w:hideMark/>
                </w:tcPr>
                <w:p w14:paraId="4019FD05"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Old Jail Museum</w:t>
                  </w:r>
                </w:p>
              </w:tc>
              <w:tc>
                <w:tcPr>
                  <w:tcW w:w="6912" w:type="dxa"/>
                  <w:shd w:val="clear" w:color="auto" w:fill="FFFFFF" w:themeFill="background1"/>
                  <w:noWrap/>
                  <w:hideMark/>
                </w:tcPr>
                <w:p w14:paraId="400C8A99"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ww.chesterfieldtourism.com/museum.shtml</w:t>
                  </w:r>
                </w:p>
              </w:tc>
            </w:tr>
            <w:tr w:rsidR="005D1710" w:rsidRPr="005D1710" w14:paraId="1AB5BEF8" w14:textId="77777777" w:rsidTr="009168EE">
              <w:trPr>
                <w:trHeight w:val="300"/>
              </w:trPr>
              <w:tc>
                <w:tcPr>
                  <w:tcW w:w="4320" w:type="dxa"/>
                  <w:shd w:val="clear" w:color="auto" w:fill="FFFFFF" w:themeFill="background1"/>
                  <w:noWrap/>
                  <w:hideMark/>
                </w:tcPr>
                <w:p w14:paraId="489D0331"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Pamplin Historical Park and National Museum</w:t>
                  </w:r>
                </w:p>
              </w:tc>
              <w:tc>
                <w:tcPr>
                  <w:tcW w:w="6912" w:type="dxa"/>
                  <w:shd w:val="clear" w:color="auto" w:fill="FFFFFF" w:themeFill="background1"/>
                  <w:noWrap/>
                  <w:hideMark/>
                </w:tcPr>
                <w:p w14:paraId="4A903E60" w14:textId="3A56A6FF"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pamplinpark.pastperfect-online.com/32996cgi/</w:t>
                  </w:r>
                  <w:r w:rsidR="00F71E85">
                    <w:rPr>
                      <w:rFonts w:ascii="Calibri" w:eastAsia="Times New Roman" w:hAnsi="Calibri" w:cs="Times New Roman"/>
                      <w:color w:val="000000"/>
                    </w:rPr>
                    <w:br/>
                  </w:r>
                  <w:r w:rsidRPr="005D1710">
                    <w:rPr>
                      <w:rFonts w:ascii="Calibri" w:eastAsia="Times New Roman" w:hAnsi="Calibri" w:cs="Times New Roman"/>
                      <w:color w:val="000000"/>
                    </w:rPr>
                    <w:t>mweb.exe?request=ks</w:t>
                  </w:r>
                </w:p>
              </w:tc>
            </w:tr>
            <w:tr w:rsidR="005D1710" w:rsidRPr="005D1710" w14:paraId="47C65709" w14:textId="77777777" w:rsidTr="009168EE">
              <w:trPr>
                <w:trHeight w:val="300"/>
              </w:trPr>
              <w:tc>
                <w:tcPr>
                  <w:tcW w:w="4320" w:type="dxa"/>
                  <w:shd w:val="clear" w:color="auto" w:fill="FFFFFF" w:themeFill="background1"/>
                  <w:noWrap/>
                  <w:hideMark/>
                </w:tcPr>
                <w:p w14:paraId="496BFE9E"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lastRenderedPageBreak/>
                    <w:t>Pamunkey Indian Museum</w:t>
                  </w:r>
                </w:p>
              </w:tc>
              <w:tc>
                <w:tcPr>
                  <w:tcW w:w="6912" w:type="dxa"/>
                  <w:shd w:val="clear" w:color="auto" w:fill="FFFFFF" w:themeFill="background1"/>
                  <w:noWrap/>
                  <w:hideMark/>
                </w:tcPr>
                <w:p w14:paraId="4F13DB06"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www.pamunkey.net/museum.html</w:t>
                  </w:r>
                </w:p>
              </w:tc>
            </w:tr>
            <w:tr w:rsidR="005D1710" w:rsidRPr="005D1710" w14:paraId="68CD3464" w14:textId="77777777" w:rsidTr="009168EE">
              <w:trPr>
                <w:trHeight w:val="300"/>
              </w:trPr>
              <w:tc>
                <w:tcPr>
                  <w:tcW w:w="4320" w:type="dxa"/>
                  <w:shd w:val="clear" w:color="auto" w:fill="FFFFFF" w:themeFill="background1"/>
                  <w:noWrap/>
                  <w:hideMark/>
                </w:tcPr>
                <w:p w14:paraId="1F05D6A7"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Petersburg National Battlefield</w:t>
                  </w:r>
                </w:p>
              </w:tc>
              <w:tc>
                <w:tcPr>
                  <w:tcW w:w="6912" w:type="dxa"/>
                  <w:shd w:val="clear" w:color="auto" w:fill="FFFFFF" w:themeFill="background1"/>
                  <w:noWrap/>
                  <w:hideMark/>
                </w:tcPr>
                <w:p w14:paraId="3E088B1A" w14:textId="77777777" w:rsidR="005D1710" w:rsidRPr="005D1710" w:rsidRDefault="00CF0DB5" w:rsidP="005D1710">
                  <w:pPr>
                    <w:spacing w:line="240" w:lineRule="auto"/>
                    <w:ind w:firstLine="0"/>
                    <w:rPr>
                      <w:rFonts w:ascii="Calibri" w:eastAsia="Times New Roman" w:hAnsi="Calibri" w:cs="Times New Roman"/>
                      <w:color w:val="000000"/>
                    </w:rPr>
                  </w:pPr>
                  <w:hyperlink r:id="rId27" w:history="1">
                    <w:r w:rsidR="005D1710">
                      <w:rPr>
                        <w:rFonts w:ascii="Calibri" w:eastAsia="Times New Roman" w:hAnsi="Calibri" w:cs="Times New Roman"/>
                        <w:color w:val="000000"/>
                      </w:rPr>
                      <w:t>w</w:t>
                    </w:r>
                    <w:r w:rsidR="005D1710" w:rsidRPr="005D1710">
                      <w:rPr>
                        <w:rFonts w:ascii="Calibri" w:eastAsia="Times New Roman" w:hAnsi="Calibri" w:cs="Times New Roman"/>
                        <w:color w:val="000000"/>
                      </w:rPr>
                      <w:t>ww.nps.gov/pete</w:t>
                    </w:r>
                  </w:hyperlink>
                </w:p>
              </w:tc>
            </w:tr>
            <w:tr w:rsidR="005D1710" w:rsidRPr="005D1710" w14:paraId="49AA2043" w14:textId="77777777" w:rsidTr="009168EE">
              <w:trPr>
                <w:trHeight w:val="300"/>
              </w:trPr>
              <w:tc>
                <w:tcPr>
                  <w:tcW w:w="4320" w:type="dxa"/>
                  <w:shd w:val="clear" w:color="auto" w:fill="FFFFFF" w:themeFill="background1"/>
                  <w:noWrap/>
                  <w:hideMark/>
                </w:tcPr>
                <w:p w14:paraId="235FD944"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Preservation Virginia</w:t>
                  </w:r>
                </w:p>
              </w:tc>
              <w:tc>
                <w:tcPr>
                  <w:tcW w:w="6912" w:type="dxa"/>
                  <w:shd w:val="clear" w:color="auto" w:fill="FFFFFF" w:themeFill="background1"/>
                  <w:noWrap/>
                  <w:hideMark/>
                </w:tcPr>
                <w:p w14:paraId="2F1EBFA0"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preservationvirginia.org/</w:t>
                  </w:r>
                </w:p>
              </w:tc>
            </w:tr>
            <w:tr w:rsidR="005D1710" w:rsidRPr="005D1710" w14:paraId="3BB358FD" w14:textId="77777777" w:rsidTr="009168EE">
              <w:trPr>
                <w:trHeight w:val="300"/>
              </w:trPr>
              <w:tc>
                <w:tcPr>
                  <w:tcW w:w="4320" w:type="dxa"/>
                  <w:shd w:val="clear" w:color="auto" w:fill="FFFFFF" w:themeFill="background1"/>
                  <w:noWrap/>
                  <w:hideMark/>
                </w:tcPr>
                <w:p w14:paraId="1EA47A97"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Prince William County Archaeology</w:t>
                  </w:r>
                </w:p>
              </w:tc>
              <w:tc>
                <w:tcPr>
                  <w:tcW w:w="6912" w:type="dxa"/>
                  <w:shd w:val="clear" w:color="auto" w:fill="FFFFFF" w:themeFill="background1"/>
                  <w:noWrap/>
                  <w:hideMark/>
                </w:tcPr>
                <w:p w14:paraId="26FFBAF0" w14:textId="295151BD"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ww.pwcgov.org/government/dept/planning/pages/</w:t>
                  </w:r>
                  <w:r w:rsidR="00F71E85">
                    <w:rPr>
                      <w:rFonts w:ascii="Calibri" w:eastAsia="Times New Roman" w:hAnsi="Calibri" w:cs="Times New Roman"/>
                      <w:color w:val="000000"/>
                    </w:rPr>
                    <w:br/>
                  </w:r>
                  <w:r w:rsidRPr="005D1710">
                    <w:rPr>
                      <w:rFonts w:ascii="Calibri" w:eastAsia="Times New Roman" w:hAnsi="Calibri" w:cs="Times New Roman"/>
                      <w:color w:val="000000"/>
                    </w:rPr>
                    <w:t>archaeology.aspx</w:t>
                  </w:r>
                </w:p>
              </w:tc>
            </w:tr>
            <w:tr w:rsidR="005D1710" w:rsidRPr="005D1710" w14:paraId="5EDEA791" w14:textId="77777777" w:rsidTr="009168EE">
              <w:trPr>
                <w:trHeight w:val="300"/>
              </w:trPr>
              <w:tc>
                <w:tcPr>
                  <w:tcW w:w="4320" w:type="dxa"/>
                  <w:shd w:val="clear" w:color="auto" w:fill="FFFFFF" w:themeFill="background1"/>
                  <w:noWrap/>
                  <w:hideMark/>
                </w:tcPr>
                <w:p w14:paraId="6A69A68B"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Prince William Forest Park - but info from NPS regional</w:t>
                  </w:r>
                </w:p>
              </w:tc>
              <w:tc>
                <w:tcPr>
                  <w:tcW w:w="6912" w:type="dxa"/>
                  <w:shd w:val="clear" w:color="auto" w:fill="FFFFFF" w:themeFill="background1"/>
                  <w:noWrap/>
                  <w:hideMark/>
                </w:tcPr>
                <w:p w14:paraId="72270B05"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ww.nps.gov/rap/</w:t>
                  </w:r>
                </w:p>
              </w:tc>
            </w:tr>
            <w:tr w:rsidR="005D1710" w:rsidRPr="005D1710" w14:paraId="3720A304" w14:textId="77777777" w:rsidTr="009168EE">
              <w:trPr>
                <w:trHeight w:val="300"/>
              </w:trPr>
              <w:tc>
                <w:tcPr>
                  <w:tcW w:w="4320" w:type="dxa"/>
                  <w:shd w:val="clear" w:color="auto" w:fill="FFFFFF" w:themeFill="background1"/>
                  <w:noWrap/>
                  <w:hideMark/>
                </w:tcPr>
                <w:p w14:paraId="1ECF3D1F"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Pulaski County Courthouse</w:t>
                  </w:r>
                </w:p>
              </w:tc>
              <w:tc>
                <w:tcPr>
                  <w:tcW w:w="6912" w:type="dxa"/>
                  <w:shd w:val="clear" w:color="auto" w:fill="FFFFFF" w:themeFill="background1"/>
                  <w:noWrap/>
                  <w:hideMark/>
                </w:tcPr>
                <w:p w14:paraId="0F6880C4"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ww.courts.state.va.us/courts/circuit/Pulaski/home.html</w:t>
                  </w:r>
                </w:p>
              </w:tc>
            </w:tr>
            <w:tr w:rsidR="005D1710" w:rsidRPr="005D1710" w14:paraId="38CE5547" w14:textId="77777777" w:rsidTr="009168EE">
              <w:trPr>
                <w:trHeight w:val="300"/>
              </w:trPr>
              <w:tc>
                <w:tcPr>
                  <w:tcW w:w="4320" w:type="dxa"/>
                  <w:shd w:val="clear" w:color="auto" w:fill="FFFFFF" w:themeFill="background1"/>
                  <w:noWrap/>
                  <w:hideMark/>
                </w:tcPr>
                <w:p w14:paraId="7A1A92B0"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Quantico</w:t>
                  </w:r>
                </w:p>
              </w:tc>
              <w:tc>
                <w:tcPr>
                  <w:tcW w:w="6912" w:type="dxa"/>
                  <w:shd w:val="clear" w:color="auto" w:fill="FFFFFF" w:themeFill="background1"/>
                  <w:noWrap/>
                  <w:hideMark/>
                </w:tcPr>
                <w:p w14:paraId="687A59A7"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ww.usmcmuseum.org/</w:t>
                  </w:r>
                </w:p>
              </w:tc>
            </w:tr>
            <w:tr w:rsidR="005D1710" w:rsidRPr="005D1710" w14:paraId="348CAD1D" w14:textId="77777777" w:rsidTr="009168EE">
              <w:trPr>
                <w:trHeight w:val="300"/>
              </w:trPr>
              <w:tc>
                <w:tcPr>
                  <w:tcW w:w="4320" w:type="dxa"/>
                  <w:shd w:val="clear" w:color="auto" w:fill="FFFFFF" w:themeFill="background1"/>
                  <w:noWrap/>
                  <w:hideMark/>
                </w:tcPr>
                <w:p w14:paraId="5EAA5710"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Radford (special collecions and archives)</w:t>
                  </w:r>
                </w:p>
              </w:tc>
              <w:tc>
                <w:tcPr>
                  <w:tcW w:w="6912" w:type="dxa"/>
                  <w:shd w:val="clear" w:color="auto" w:fill="FFFFFF" w:themeFill="background1"/>
                  <w:noWrap/>
                  <w:hideMark/>
                </w:tcPr>
                <w:p w14:paraId="47DAEB96" w14:textId="77777777" w:rsidR="005D1710" w:rsidRPr="005D1710" w:rsidRDefault="00CF0DB5" w:rsidP="005D1710">
                  <w:pPr>
                    <w:spacing w:line="240" w:lineRule="auto"/>
                    <w:ind w:firstLine="0"/>
                    <w:rPr>
                      <w:rFonts w:ascii="Calibri" w:eastAsia="Times New Roman" w:hAnsi="Calibri" w:cs="Times New Roman"/>
                      <w:color w:val="000000"/>
                    </w:rPr>
                  </w:pPr>
                  <w:hyperlink r:id="rId28" w:history="1">
                    <w:r w:rsidR="005D1710" w:rsidRPr="005D1710">
                      <w:rPr>
                        <w:rFonts w:ascii="Calibri" w:eastAsia="Times New Roman" w:hAnsi="Calibri" w:cs="Times New Roman"/>
                        <w:color w:val="000000"/>
                      </w:rPr>
                      <w:t>www.radford.edu</w:t>
                    </w:r>
                  </w:hyperlink>
                </w:p>
              </w:tc>
            </w:tr>
            <w:tr w:rsidR="005D1710" w:rsidRPr="005D1710" w14:paraId="0258236F" w14:textId="77777777" w:rsidTr="009168EE">
              <w:trPr>
                <w:trHeight w:val="300"/>
              </w:trPr>
              <w:tc>
                <w:tcPr>
                  <w:tcW w:w="4320" w:type="dxa"/>
                  <w:shd w:val="clear" w:color="auto" w:fill="FFFFFF" w:themeFill="background1"/>
                  <w:noWrap/>
                  <w:hideMark/>
                </w:tcPr>
                <w:p w14:paraId="13DA004A"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Radford University Forensic Science Institute</w:t>
                  </w:r>
                </w:p>
              </w:tc>
              <w:tc>
                <w:tcPr>
                  <w:tcW w:w="6912" w:type="dxa"/>
                  <w:shd w:val="clear" w:color="auto" w:fill="FFFFFF" w:themeFill="background1"/>
                  <w:noWrap/>
                  <w:hideMark/>
                </w:tcPr>
                <w:p w14:paraId="2D49C6B0"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ww.radford.edu/content/csat/home/forensic-science.html</w:t>
                  </w:r>
                </w:p>
              </w:tc>
            </w:tr>
            <w:tr w:rsidR="005D1710" w:rsidRPr="005D1710" w14:paraId="1EB465B9" w14:textId="77777777" w:rsidTr="009168EE">
              <w:trPr>
                <w:trHeight w:val="300"/>
              </w:trPr>
              <w:tc>
                <w:tcPr>
                  <w:tcW w:w="4320" w:type="dxa"/>
                  <w:shd w:val="clear" w:color="auto" w:fill="FFFFFF" w:themeFill="background1"/>
                  <w:noWrap/>
                  <w:hideMark/>
                </w:tcPr>
                <w:p w14:paraId="0A541678"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Red Hill</w:t>
                  </w:r>
                </w:p>
              </w:tc>
              <w:tc>
                <w:tcPr>
                  <w:tcW w:w="6912" w:type="dxa"/>
                  <w:shd w:val="clear" w:color="auto" w:fill="FFFFFF" w:themeFill="background1"/>
                  <w:noWrap/>
                  <w:hideMark/>
                </w:tcPr>
                <w:p w14:paraId="56EEB576"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www.redhill.org</w:t>
                  </w:r>
                </w:p>
              </w:tc>
            </w:tr>
            <w:tr w:rsidR="005D1710" w:rsidRPr="005D1710" w14:paraId="5D304E3C" w14:textId="77777777" w:rsidTr="009168EE">
              <w:trPr>
                <w:trHeight w:val="300"/>
              </w:trPr>
              <w:tc>
                <w:tcPr>
                  <w:tcW w:w="4320" w:type="dxa"/>
                  <w:shd w:val="clear" w:color="auto" w:fill="FFFFFF" w:themeFill="background1"/>
                  <w:noWrap/>
                  <w:hideMark/>
                </w:tcPr>
                <w:p w14:paraId="09AF2A0D"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Reuel B. Pritchett Museum</w:t>
                  </w:r>
                </w:p>
              </w:tc>
              <w:tc>
                <w:tcPr>
                  <w:tcW w:w="6912" w:type="dxa"/>
                  <w:shd w:val="clear" w:color="auto" w:fill="FFFFFF" w:themeFill="background1"/>
                  <w:noWrap/>
                  <w:hideMark/>
                </w:tcPr>
                <w:p w14:paraId="1FECDEE9" w14:textId="2FB995FB"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www.bridgewater.edu/StudentServices/</w:t>
                  </w:r>
                  <w:r w:rsidR="00F71E85">
                    <w:rPr>
                      <w:rFonts w:ascii="Calibri" w:eastAsia="Times New Roman" w:hAnsi="Calibri" w:cs="Times New Roman"/>
                      <w:color w:val="000000"/>
                    </w:rPr>
                    <w:br/>
                  </w:r>
                  <w:r w:rsidRPr="005D1710">
                    <w:rPr>
                      <w:rFonts w:ascii="Calibri" w:eastAsia="Times New Roman" w:hAnsi="Calibri" w:cs="Times New Roman"/>
                      <w:color w:val="000000"/>
                    </w:rPr>
                    <w:t>AlexanderMackMemorialLibrary/ReuelBPritchettMuseum</w:t>
                  </w:r>
                </w:p>
              </w:tc>
            </w:tr>
            <w:tr w:rsidR="005D1710" w:rsidRPr="005D1710" w14:paraId="34221395" w14:textId="77777777" w:rsidTr="009168EE">
              <w:trPr>
                <w:trHeight w:val="300"/>
              </w:trPr>
              <w:tc>
                <w:tcPr>
                  <w:tcW w:w="4320" w:type="dxa"/>
                  <w:shd w:val="clear" w:color="auto" w:fill="FFFFFF" w:themeFill="background1"/>
                  <w:noWrap/>
                  <w:hideMark/>
                </w:tcPr>
                <w:p w14:paraId="2136397A"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Richmond County Museum</w:t>
                  </w:r>
                </w:p>
              </w:tc>
              <w:tc>
                <w:tcPr>
                  <w:tcW w:w="6912" w:type="dxa"/>
                  <w:shd w:val="clear" w:color="auto" w:fill="FFFFFF" w:themeFill="background1"/>
                  <w:noWrap/>
                  <w:hideMark/>
                </w:tcPr>
                <w:p w14:paraId="3847C374"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ww.co.richmond.va.us/visitors/richmond-county-museum</w:t>
                  </w:r>
                </w:p>
              </w:tc>
            </w:tr>
            <w:tr w:rsidR="005D1710" w:rsidRPr="005D1710" w14:paraId="7CEF341F" w14:textId="77777777" w:rsidTr="009168EE">
              <w:trPr>
                <w:trHeight w:val="300"/>
              </w:trPr>
              <w:tc>
                <w:tcPr>
                  <w:tcW w:w="4320" w:type="dxa"/>
                  <w:shd w:val="clear" w:color="auto" w:fill="FFFFFF" w:themeFill="background1"/>
                  <w:noWrap/>
                  <w:hideMark/>
                </w:tcPr>
                <w:p w14:paraId="1A55F7D3"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Richmond National Battlefield Park</w:t>
                  </w:r>
                </w:p>
              </w:tc>
              <w:tc>
                <w:tcPr>
                  <w:tcW w:w="6912" w:type="dxa"/>
                  <w:shd w:val="clear" w:color="auto" w:fill="FFFFFF" w:themeFill="background1"/>
                  <w:noWrap/>
                  <w:hideMark/>
                </w:tcPr>
                <w:p w14:paraId="6F111212" w14:textId="77777777" w:rsidR="005D1710" w:rsidRPr="005D1710" w:rsidRDefault="00CF0DB5" w:rsidP="005D1710">
                  <w:pPr>
                    <w:spacing w:line="240" w:lineRule="auto"/>
                    <w:ind w:firstLine="0"/>
                    <w:rPr>
                      <w:rFonts w:ascii="Calibri" w:eastAsia="Times New Roman" w:hAnsi="Calibri" w:cs="Times New Roman"/>
                      <w:color w:val="000000"/>
                    </w:rPr>
                  </w:pPr>
                  <w:hyperlink r:id="rId29" w:history="1">
                    <w:r w:rsidR="005D1710">
                      <w:rPr>
                        <w:rFonts w:ascii="Calibri" w:eastAsia="Times New Roman" w:hAnsi="Calibri" w:cs="Times New Roman"/>
                        <w:color w:val="000000"/>
                      </w:rPr>
                      <w:t>w</w:t>
                    </w:r>
                    <w:r w:rsidR="005D1710" w:rsidRPr="005D1710">
                      <w:rPr>
                        <w:rFonts w:ascii="Calibri" w:eastAsia="Times New Roman" w:hAnsi="Calibri" w:cs="Times New Roman"/>
                        <w:color w:val="000000"/>
                      </w:rPr>
                      <w:t>ww.nps.gov/rich</w:t>
                    </w:r>
                  </w:hyperlink>
                </w:p>
              </w:tc>
            </w:tr>
            <w:tr w:rsidR="005D1710" w:rsidRPr="005D1710" w14:paraId="2BA2B3F1" w14:textId="77777777" w:rsidTr="009168EE">
              <w:trPr>
                <w:trHeight w:val="300"/>
              </w:trPr>
              <w:tc>
                <w:tcPr>
                  <w:tcW w:w="4320" w:type="dxa"/>
                  <w:shd w:val="clear" w:color="auto" w:fill="FFFFFF" w:themeFill="background1"/>
                  <w:noWrap/>
                  <w:hideMark/>
                </w:tcPr>
                <w:p w14:paraId="7FAF8590"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Rockbridge Historical Society (Campbell House)</w:t>
                  </w:r>
                </w:p>
              </w:tc>
              <w:tc>
                <w:tcPr>
                  <w:tcW w:w="6912" w:type="dxa"/>
                  <w:shd w:val="clear" w:color="auto" w:fill="FFFFFF" w:themeFill="background1"/>
                  <w:noWrap/>
                  <w:hideMark/>
                </w:tcPr>
                <w:p w14:paraId="0BA3F2B5"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www.rockhist.org</w:t>
                  </w:r>
                </w:p>
              </w:tc>
            </w:tr>
            <w:tr w:rsidR="005D1710" w:rsidRPr="005D1710" w14:paraId="76DB2C9B" w14:textId="77777777" w:rsidTr="009168EE">
              <w:trPr>
                <w:trHeight w:val="300"/>
              </w:trPr>
              <w:tc>
                <w:tcPr>
                  <w:tcW w:w="4320" w:type="dxa"/>
                  <w:shd w:val="clear" w:color="auto" w:fill="FFFFFF" w:themeFill="background1"/>
                  <w:noWrap/>
                  <w:hideMark/>
                </w:tcPr>
                <w:p w14:paraId="1BDDE225"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Rosewell Foundation</w:t>
                  </w:r>
                </w:p>
              </w:tc>
              <w:tc>
                <w:tcPr>
                  <w:tcW w:w="6912" w:type="dxa"/>
                  <w:shd w:val="clear" w:color="auto" w:fill="FFFFFF" w:themeFill="background1"/>
                  <w:noWrap/>
                  <w:hideMark/>
                </w:tcPr>
                <w:p w14:paraId="2A3964C2"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www.rosewell.org</w:t>
                  </w:r>
                </w:p>
              </w:tc>
            </w:tr>
            <w:tr w:rsidR="005D1710" w:rsidRPr="005D1710" w14:paraId="5E143FB9" w14:textId="77777777" w:rsidTr="009168EE">
              <w:trPr>
                <w:trHeight w:val="300"/>
              </w:trPr>
              <w:tc>
                <w:tcPr>
                  <w:tcW w:w="4320" w:type="dxa"/>
                  <w:shd w:val="clear" w:color="auto" w:fill="FFFFFF" w:themeFill="background1"/>
                  <w:noWrap/>
                  <w:hideMark/>
                </w:tcPr>
                <w:p w14:paraId="514B371C"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Salem Museum &amp; Historical Society</w:t>
                  </w:r>
                </w:p>
              </w:tc>
              <w:tc>
                <w:tcPr>
                  <w:tcW w:w="6912" w:type="dxa"/>
                  <w:shd w:val="clear" w:color="auto" w:fill="FFFFFF" w:themeFill="background1"/>
                  <w:noWrap/>
                  <w:hideMark/>
                </w:tcPr>
                <w:p w14:paraId="4D8E104D"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www.salemmuseum.org</w:t>
                  </w:r>
                </w:p>
              </w:tc>
            </w:tr>
            <w:tr w:rsidR="005D1710" w:rsidRPr="005D1710" w14:paraId="75E28EE6" w14:textId="77777777" w:rsidTr="009168EE">
              <w:trPr>
                <w:trHeight w:val="300"/>
              </w:trPr>
              <w:tc>
                <w:tcPr>
                  <w:tcW w:w="4320" w:type="dxa"/>
                  <w:shd w:val="clear" w:color="auto" w:fill="FFFFFF" w:themeFill="background1"/>
                  <w:noWrap/>
                  <w:hideMark/>
                </w:tcPr>
                <w:p w14:paraId="49DD8FAC"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Science Museum of Western Virginia</w:t>
                  </w:r>
                </w:p>
              </w:tc>
              <w:tc>
                <w:tcPr>
                  <w:tcW w:w="6912" w:type="dxa"/>
                  <w:shd w:val="clear" w:color="auto" w:fill="FFFFFF" w:themeFill="background1"/>
                  <w:noWrap/>
                  <w:hideMark/>
                </w:tcPr>
                <w:p w14:paraId="53DD8FCD"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www.smwv.org</w:t>
                  </w:r>
                </w:p>
              </w:tc>
            </w:tr>
            <w:tr w:rsidR="005D1710" w:rsidRPr="005D1710" w14:paraId="62DE2FDB" w14:textId="77777777" w:rsidTr="009168EE">
              <w:trPr>
                <w:trHeight w:val="300"/>
              </w:trPr>
              <w:tc>
                <w:tcPr>
                  <w:tcW w:w="4320" w:type="dxa"/>
                  <w:shd w:val="clear" w:color="auto" w:fill="FFFFFF" w:themeFill="background1"/>
                  <w:noWrap/>
                  <w:hideMark/>
                </w:tcPr>
                <w:p w14:paraId="0F910F2F"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Shenandoah National Park</w:t>
                  </w:r>
                </w:p>
              </w:tc>
              <w:tc>
                <w:tcPr>
                  <w:tcW w:w="6912" w:type="dxa"/>
                  <w:shd w:val="clear" w:color="auto" w:fill="FFFFFF" w:themeFill="background1"/>
                  <w:noWrap/>
                  <w:hideMark/>
                </w:tcPr>
                <w:p w14:paraId="4B003AD7" w14:textId="77777777" w:rsidR="005D1710" w:rsidRPr="005D1710" w:rsidRDefault="00CF0DB5" w:rsidP="005D1710">
                  <w:pPr>
                    <w:spacing w:line="240" w:lineRule="auto"/>
                    <w:ind w:firstLine="0"/>
                    <w:rPr>
                      <w:rFonts w:ascii="Calibri" w:eastAsia="Times New Roman" w:hAnsi="Calibri" w:cs="Times New Roman"/>
                      <w:color w:val="000000"/>
                    </w:rPr>
                  </w:pPr>
                  <w:hyperlink r:id="rId30" w:history="1">
                    <w:r w:rsidR="005D1710">
                      <w:rPr>
                        <w:rFonts w:ascii="Calibri" w:eastAsia="Times New Roman" w:hAnsi="Calibri" w:cs="Times New Roman"/>
                        <w:color w:val="000000"/>
                      </w:rPr>
                      <w:t>w</w:t>
                    </w:r>
                    <w:r w:rsidR="005D1710" w:rsidRPr="005D1710">
                      <w:rPr>
                        <w:rFonts w:ascii="Calibri" w:eastAsia="Times New Roman" w:hAnsi="Calibri" w:cs="Times New Roman"/>
                        <w:color w:val="000000"/>
                      </w:rPr>
                      <w:t>ww.nps.gov/shen</w:t>
                    </w:r>
                  </w:hyperlink>
                </w:p>
              </w:tc>
            </w:tr>
            <w:tr w:rsidR="005D1710" w:rsidRPr="005D1710" w14:paraId="5574CF91" w14:textId="77777777" w:rsidTr="009168EE">
              <w:trPr>
                <w:trHeight w:val="300"/>
              </w:trPr>
              <w:tc>
                <w:tcPr>
                  <w:tcW w:w="4320" w:type="dxa"/>
                  <w:shd w:val="clear" w:color="auto" w:fill="FFFFFF" w:themeFill="background1"/>
                  <w:noWrap/>
                  <w:hideMark/>
                </w:tcPr>
                <w:p w14:paraId="00DED807"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Shenandoah Valley Discovery Museum</w:t>
                  </w:r>
                </w:p>
              </w:tc>
              <w:tc>
                <w:tcPr>
                  <w:tcW w:w="6912" w:type="dxa"/>
                  <w:shd w:val="clear" w:color="auto" w:fill="FFFFFF" w:themeFill="background1"/>
                  <w:noWrap/>
                  <w:hideMark/>
                </w:tcPr>
                <w:p w14:paraId="00123480"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www.discoverymuseum.net</w:t>
                  </w:r>
                </w:p>
              </w:tc>
            </w:tr>
            <w:tr w:rsidR="005D1710" w:rsidRPr="005D1710" w14:paraId="636E75D2" w14:textId="77777777" w:rsidTr="009168EE">
              <w:trPr>
                <w:trHeight w:val="300"/>
              </w:trPr>
              <w:tc>
                <w:tcPr>
                  <w:tcW w:w="4320" w:type="dxa"/>
                  <w:shd w:val="clear" w:color="auto" w:fill="FFFFFF" w:themeFill="background1"/>
                  <w:noWrap/>
                  <w:hideMark/>
                </w:tcPr>
                <w:p w14:paraId="7D4BD46F"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South Boston-Halifax County Museum of Fine Arts and History</w:t>
                  </w:r>
                </w:p>
              </w:tc>
              <w:tc>
                <w:tcPr>
                  <w:tcW w:w="6912" w:type="dxa"/>
                  <w:shd w:val="clear" w:color="auto" w:fill="FFFFFF" w:themeFill="background1"/>
                  <w:noWrap/>
                  <w:hideMark/>
                </w:tcPr>
                <w:p w14:paraId="6121A972"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www.sbhcmuseum.org</w:t>
                  </w:r>
                </w:p>
              </w:tc>
            </w:tr>
            <w:tr w:rsidR="005D1710" w:rsidRPr="005D1710" w14:paraId="3C4703B6" w14:textId="77777777" w:rsidTr="009168EE">
              <w:trPr>
                <w:trHeight w:val="300"/>
              </w:trPr>
              <w:tc>
                <w:tcPr>
                  <w:tcW w:w="4320" w:type="dxa"/>
                  <w:shd w:val="clear" w:color="auto" w:fill="FFFFFF" w:themeFill="background1"/>
                  <w:noWrap/>
                  <w:hideMark/>
                </w:tcPr>
                <w:p w14:paraId="1FAAD959"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Southwest Virginia Museum Historical State Park</w:t>
                  </w:r>
                </w:p>
              </w:tc>
              <w:tc>
                <w:tcPr>
                  <w:tcW w:w="6912" w:type="dxa"/>
                  <w:shd w:val="clear" w:color="auto" w:fill="FFFFFF" w:themeFill="background1"/>
                  <w:noWrap/>
                  <w:hideMark/>
                </w:tcPr>
                <w:p w14:paraId="7860FFEC" w14:textId="7DBB7B3F"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ww.dcr.virginia.gov/state-parks/southwest-virginia-</w:t>
                  </w:r>
                  <w:r w:rsidR="00F71E85">
                    <w:rPr>
                      <w:rFonts w:ascii="Calibri" w:eastAsia="Times New Roman" w:hAnsi="Calibri" w:cs="Times New Roman"/>
                      <w:color w:val="000000"/>
                    </w:rPr>
                    <w:br/>
                  </w:r>
                  <w:r w:rsidRPr="005D1710">
                    <w:rPr>
                      <w:rFonts w:ascii="Calibri" w:eastAsia="Times New Roman" w:hAnsi="Calibri" w:cs="Times New Roman"/>
                      <w:color w:val="000000"/>
                    </w:rPr>
                    <w:t>museum.shtml#general_information</w:t>
                  </w:r>
                </w:p>
              </w:tc>
            </w:tr>
            <w:tr w:rsidR="005D1710" w:rsidRPr="005D1710" w14:paraId="7C2357C9" w14:textId="77777777" w:rsidTr="009168EE">
              <w:trPr>
                <w:trHeight w:val="300"/>
              </w:trPr>
              <w:tc>
                <w:tcPr>
                  <w:tcW w:w="4320" w:type="dxa"/>
                  <w:shd w:val="clear" w:color="auto" w:fill="FFFFFF" w:themeFill="background1"/>
                  <w:noWrap/>
                  <w:hideMark/>
                </w:tcPr>
                <w:p w14:paraId="0B662414"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Staunton River Battlefield State Park</w:t>
                  </w:r>
                </w:p>
              </w:tc>
              <w:tc>
                <w:tcPr>
                  <w:tcW w:w="6912" w:type="dxa"/>
                  <w:shd w:val="clear" w:color="auto" w:fill="FFFFFF" w:themeFill="background1"/>
                  <w:noWrap/>
                  <w:hideMark/>
                </w:tcPr>
                <w:p w14:paraId="6882C744"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ww.stauntonriverbattlefield.org/arch.html</w:t>
                  </w:r>
                </w:p>
              </w:tc>
            </w:tr>
            <w:tr w:rsidR="005D1710" w:rsidRPr="005D1710" w14:paraId="4634E579" w14:textId="77777777" w:rsidTr="009168EE">
              <w:trPr>
                <w:trHeight w:val="300"/>
              </w:trPr>
              <w:tc>
                <w:tcPr>
                  <w:tcW w:w="4320" w:type="dxa"/>
                  <w:shd w:val="clear" w:color="auto" w:fill="FFFFFF" w:themeFill="background1"/>
                  <w:noWrap/>
                  <w:hideMark/>
                </w:tcPr>
                <w:p w14:paraId="72EBC349"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Stratford Hall Plantation - DAACS</w:t>
                  </w:r>
                </w:p>
              </w:tc>
              <w:tc>
                <w:tcPr>
                  <w:tcW w:w="6912" w:type="dxa"/>
                  <w:shd w:val="clear" w:color="auto" w:fill="FFFFFF" w:themeFill="background1"/>
                  <w:noWrap/>
                  <w:hideMark/>
                </w:tcPr>
                <w:p w14:paraId="59AFBEBB"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ww.stratfordhall.org/collections-research/archaeological/</w:t>
                  </w:r>
                </w:p>
              </w:tc>
            </w:tr>
            <w:tr w:rsidR="005D1710" w:rsidRPr="005D1710" w14:paraId="25B927BC" w14:textId="77777777" w:rsidTr="009168EE">
              <w:trPr>
                <w:trHeight w:val="300"/>
              </w:trPr>
              <w:tc>
                <w:tcPr>
                  <w:tcW w:w="4320" w:type="dxa"/>
                  <w:shd w:val="clear" w:color="auto" w:fill="FFFFFF" w:themeFill="background1"/>
                  <w:noWrap/>
                  <w:hideMark/>
                </w:tcPr>
                <w:p w14:paraId="76542F1E"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Sweet Briar College</w:t>
                  </w:r>
                </w:p>
              </w:tc>
              <w:tc>
                <w:tcPr>
                  <w:tcW w:w="6912" w:type="dxa"/>
                  <w:shd w:val="clear" w:color="auto" w:fill="FFFFFF" w:themeFill="background1"/>
                  <w:noWrap/>
                  <w:hideMark/>
                </w:tcPr>
                <w:p w14:paraId="16A07BC6"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sbc.edu/course-overviews/archaeology</w:t>
                  </w:r>
                </w:p>
              </w:tc>
            </w:tr>
            <w:tr w:rsidR="005D1710" w:rsidRPr="005D1710" w14:paraId="4085A82B" w14:textId="77777777" w:rsidTr="009168EE">
              <w:trPr>
                <w:trHeight w:val="300"/>
              </w:trPr>
              <w:tc>
                <w:tcPr>
                  <w:tcW w:w="4320" w:type="dxa"/>
                  <w:shd w:val="clear" w:color="auto" w:fill="FFFFFF" w:themeFill="background1"/>
                  <w:noWrap/>
                  <w:hideMark/>
                </w:tcPr>
                <w:p w14:paraId="4B3611BE"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The American Civil War Center of Historic Tredegar</w:t>
                  </w:r>
                </w:p>
              </w:tc>
              <w:tc>
                <w:tcPr>
                  <w:tcW w:w="6912" w:type="dxa"/>
                  <w:shd w:val="clear" w:color="auto" w:fill="FFFFFF" w:themeFill="background1"/>
                  <w:noWrap/>
                  <w:hideMark/>
                </w:tcPr>
                <w:p w14:paraId="74537392"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ww.tredegar.org/</w:t>
                  </w:r>
                </w:p>
              </w:tc>
            </w:tr>
            <w:tr w:rsidR="005D1710" w:rsidRPr="005D1710" w14:paraId="70947863" w14:textId="77777777" w:rsidTr="009168EE">
              <w:trPr>
                <w:trHeight w:val="300"/>
              </w:trPr>
              <w:tc>
                <w:tcPr>
                  <w:tcW w:w="4320" w:type="dxa"/>
                  <w:shd w:val="clear" w:color="auto" w:fill="FFFFFF" w:themeFill="background1"/>
                  <w:noWrap/>
                  <w:hideMark/>
                </w:tcPr>
                <w:p w14:paraId="62914479"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The Museums of Wytheville</w:t>
                  </w:r>
                </w:p>
              </w:tc>
              <w:tc>
                <w:tcPr>
                  <w:tcW w:w="6912" w:type="dxa"/>
                  <w:shd w:val="clear" w:color="auto" w:fill="FFFFFF" w:themeFill="background1"/>
                  <w:noWrap/>
                  <w:hideMark/>
                </w:tcPr>
                <w:p w14:paraId="79FCC167"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museums.wytheville.org/</w:t>
                  </w:r>
                </w:p>
              </w:tc>
            </w:tr>
            <w:tr w:rsidR="005D1710" w:rsidRPr="005D1710" w14:paraId="65C9E5B8" w14:textId="77777777" w:rsidTr="009168EE">
              <w:trPr>
                <w:trHeight w:val="300"/>
              </w:trPr>
              <w:tc>
                <w:tcPr>
                  <w:tcW w:w="4320" w:type="dxa"/>
                  <w:shd w:val="clear" w:color="auto" w:fill="FFFFFF" w:themeFill="background1"/>
                  <w:noWrap/>
                  <w:hideMark/>
                </w:tcPr>
                <w:p w14:paraId="0ADB646E"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Thomas Jefferson's Poplar Forest</w:t>
                  </w:r>
                </w:p>
              </w:tc>
              <w:tc>
                <w:tcPr>
                  <w:tcW w:w="6912" w:type="dxa"/>
                  <w:shd w:val="clear" w:color="auto" w:fill="FFFFFF" w:themeFill="background1"/>
                  <w:noWrap/>
                  <w:hideMark/>
                </w:tcPr>
                <w:p w14:paraId="1DA88A2F" w14:textId="7C1B5598" w:rsidR="005D1710" w:rsidRPr="005D1710" w:rsidRDefault="005D1710" w:rsidP="00F71E85">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ww.poplarforest.org</w:t>
                  </w:r>
                  <w:r w:rsidR="00F71E85">
                    <w:rPr>
                      <w:rFonts w:ascii="Calibri" w:eastAsia="Times New Roman" w:hAnsi="Calibri" w:cs="Times New Roman"/>
                      <w:color w:val="000000"/>
                    </w:rPr>
                    <w:t>/archaeology-at-poplar-forest/</w:t>
                  </w:r>
                </w:p>
              </w:tc>
            </w:tr>
            <w:tr w:rsidR="005D1710" w:rsidRPr="005D1710" w14:paraId="1E556459" w14:textId="77777777" w:rsidTr="009168EE">
              <w:trPr>
                <w:trHeight w:val="300"/>
              </w:trPr>
              <w:tc>
                <w:tcPr>
                  <w:tcW w:w="4320" w:type="dxa"/>
                  <w:shd w:val="clear" w:color="auto" w:fill="FFFFFF" w:themeFill="background1"/>
                  <w:noWrap/>
                  <w:hideMark/>
                </w:tcPr>
                <w:p w14:paraId="0D7EA9F9"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University of Tennessee</w:t>
                  </w:r>
                </w:p>
              </w:tc>
              <w:tc>
                <w:tcPr>
                  <w:tcW w:w="6912" w:type="dxa"/>
                  <w:shd w:val="clear" w:color="auto" w:fill="FFFFFF" w:themeFill="background1"/>
                  <w:noWrap/>
                  <w:hideMark/>
                </w:tcPr>
                <w:p w14:paraId="4F4B7F09"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eb.utk.edu/~bheath2/</w:t>
                  </w:r>
                </w:p>
              </w:tc>
            </w:tr>
            <w:tr w:rsidR="005D1710" w:rsidRPr="005D1710" w14:paraId="54D550AC" w14:textId="77777777" w:rsidTr="009168EE">
              <w:trPr>
                <w:trHeight w:val="300"/>
              </w:trPr>
              <w:tc>
                <w:tcPr>
                  <w:tcW w:w="4320" w:type="dxa"/>
                  <w:shd w:val="clear" w:color="auto" w:fill="FFFFFF" w:themeFill="background1"/>
                  <w:noWrap/>
                  <w:hideMark/>
                </w:tcPr>
                <w:p w14:paraId="4CF76945"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USDA Forest Service-George Washington and Jefferson National Forests</w:t>
                  </w:r>
                </w:p>
              </w:tc>
              <w:tc>
                <w:tcPr>
                  <w:tcW w:w="6912" w:type="dxa"/>
                  <w:shd w:val="clear" w:color="auto" w:fill="FFFFFF" w:themeFill="background1"/>
                  <w:noWrap/>
                  <w:hideMark/>
                </w:tcPr>
                <w:p w14:paraId="4A8E6C15" w14:textId="77777777" w:rsidR="005D1710" w:rsidRPr="005D1710" w:rsidRDefault="00CF0DB5" w:rsidP="005D1710">
                  <w:pPr>
                    <w:spacing w:line="240" w:lineRule="auto"/>
                    <w:ind w:firstLine="0"/>
                    <w:rPr>
                      <w:rFonts w:ascii="Calibri" w:eastAsia="Times New Roman" w:hAnsi="Calibri" w:cs="Times New Roman"/>
                      <w:color w:val="000000"/>
                    </w:rPr>
                  </w:pPr>
                  <w:hyperlink r:id="rId31" w:history="1">
                    <w:r w:rsidR="005D1710">
                      <w:rPr>
                        <w:rFonts w:ascii="Calibri" w:eastAsia="Times New Roman" w:hAnsi="Calibri" w:cs="Times New Roman"/>
                        <w:color w:val="000000"/>
                      </w:rPr>
                      <w:t>w</w:t>
                    </w:r>
                    <w:r w:rsidR="005D1710" w:rsidRPr="005D1710">
                      <w:rPr>
                        <w:rFonts w:ascii="Calibri" w:eastAsia="Times New Roman" w:hAnsi="Calibri" w:cs="Times New Roman"/>
                        <w:color w:val="000000"/>
                      </w:rPr>
                      <w:t>ww.fs.usda.gov/main/gwj/home</w:t>
                    </w:r>
                  </w:hyperlink>
                </w:p>
              </w:tc>
            </w:tr>
            <w:tr w:rsidR="005D1710" w:rsidRPr="005D1710" w14:paraId="5E11CE53" w14:textId="77777777" w:rsidTr="009168EE">
              <w:trPr>
                <w:trHeight w:val="300"/>
              </w:trPr>
              <w:tc>
                <w:tcPr>
                  <w:tcW w:w="4320" w:type="dxa"/>
                  <w:shd w:val="clear" w:color="auto" w:fill="FFFFFF" w:themeFill="background1"/>
                  <w:noWrap/>
                  <w:hideMark/>
                </w:tcPr>
                <w:p w14:paraId="1684B7AB"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Valentine Richmond History Center</w:t>
                  </w:r>
                </w:p>
              </w:tc>
              <w:tc>
                <w:tcPr>
                  <w:tcW w:w="6912" w:type="dxa"/>
                  <w:shd w:val="clear" w:color="auto" w:fill="FFFFFF" w:themeFill="background1"/>
                  <w:noWrap/>
                  <w:hideMark/>
                </w:tcPr>
                <w:p w14:paraId="7C86E526"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richmondhistorycenter.com/index.asp</w:t>
                  </w:r>
                </w:p>
              </w:tc>
            </w:tr>
            <w:tr w:rsidR="005D1710" w:rsidRPr="005D1710" w14:paraId="38862CB8" w14:textId="77777777" w:rsidTr="009168EE">
              <w:trPr>
                <w:trHeight w:val="300"/>
              </w:trPr>
              <w:tc>
                <w:tcPr>
                  <w:tcW w:w="4320" w:type="dxa"/>
                  <w:shd w:val="clear" w:color="auto" w:fill="FFFFFF" w:themeFill="background1"/>
                  <w:noWrap/>
                  <w:hideMark/>
                </w:tcPr>
                <w:p w14:paraId="6C25392A"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Virginia Aquarium &amp; Marine Science Center</w:t>
                  </w:r>
                </w:p>
              </w:tc>
              <w:tc>
                <w:tcPr>
                  <w:tcW w:w="6912" w:type="dxa"/>
                  <w:shd w:val="clear" w:color="auto" w:fill="FFFFFF" w:themeFill="background1"/>
                  <w:noWrap/>
                  <w:hideMark/>
                </w:tcPr>
                <w:p w14:paraId="6B0EF97D"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ww.virginiaaquarium.com/</w:t>
                  </w:r>
                </w:p>
              </w:tc>
            </w:tr>
            <w:tr w:rsidR="005D1710" w:rsidRPr="005D1710" w14:paraId="76F3F603" w14:textId="77777777" w:rsidTr="009168EE">
              <w:trPr>
                <w:trHeight w:val="300"/>
              </w:trPr>
              <w:tc>
                <w:tcPr>
                  <w:tcW w:w="4320" w:type="dxa"/>
                  <w:shd w:val="clear" w:color="auto" w:fill="FFFFFF" w:themeFill="background1"/>
                  <w:noWrap/>
                  <w:hideMark/>
                </w:tcPr>
                <w:p w14:paraId="0E6E4F83"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Virginia Archaeological Resource Center of the ASV (also Kittiewan Chapter)</w:t>
                  </w:r>
                </w:p>
              </w:tc>
              <w:tc>
                <w:tcPr>
                  <w:tcW w:w="6912" w:type="dxa"/>
                  <w:shd w:val="clear" w:color="auto" w:fill="FFFFFF" w:themeFill="background1"/>
                  <w:noWrap/>
                  <w:hideMark/>
                </w:tcPr>
                <w:p w14:paraId="38ECFEB3"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ww.kittiewanplantation.org/</w:t>
                  </w:r>
                </w:p>
              </w:tc>
            </w:tr>
            <w:tr w:rsidR="005D1710" w:rsidRPr="005D1710" w14:paraId="5E2D9273" w14:textId="77777777" w:rsidTr="009168EE">
              <w:trPr>
                <w:trHeight w:val="300"/>
              </w:trPr>
              <w:tc>
                <w:tcPr>
                  <w:tcW w:w="4320" w:type="dxa"/>
                  <w:shd w:val="clear" w:color="auto" w:fill="FFFFFF" w:themeFill="background1"/>
                  <w:noWrap/>
                  <w:hideMark/>
                </w:tcPr>
                <w:p w14:paraId="0831BAE4"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Virginia Commonwealth University</w:t>
                  </w:r>
                </w:p>
              </w:tc>
              <w:tc>
                <w:tcPr>
                  <w:tcW w:w="6912" w:type="dxa"/>
                  <w:shd w:val="clear" w:color="auto" w:fill="FFFFFF" w:themeFill="background1"/>
                  <w:noWrap/>
                  <w:hideMark/>
                </w:tcPr>
                <w:p w14:paraId="76DB8295"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vcuarchaeology3d.wordpress.com/</w:t>
                  </w:r>
                </w:p>
              </w:tc>
            </w:tr>
            <w:tr w:rsidR="005D1710" w:rsidRPr="005D1710" w14:paraId="22447A32" w14:textId="77777777" w:rsidTr="009168EE">
              <w:trPr>
                <w:trHeight w:val="300"/>
              </w:trPr>
              <w:tc>
                <w:tcPr>
                  <w:tcW w:w="4320" w:type="dxa"/>
                  <w:shd w:val="clear" w:color="auto" w:fill="FFFFFF" w:themeFill="background1"/>
                  <w:noWrap/>
                  <w:hideMark/>
                </w:tcPr>
                <w:p w14:paraId="15583D97"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Virginia Department of Historic Resources inc. VCRIST</w:t>
                  </w:r>
                </w:p>
              </w:tc>
              <w:tc>
                <w:tcPr>
                  <w:tcW w:w="6912" w:type="dxa"/>
                  <w:shd w:val="clear" w:color="auto" w:fill="FFFFFF" w:themeFill="background1"/>
                  <w:noWrap/>
                  <w:hideMark/>
                </w:tcPr>
                <w:p w14:paraId="753F8E56"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ww.dhr.virginia.gov/arch_DHR/archaeo_index.htm</w:t>
                  </w:r>
                </w:p>
              </w:tc>
            </w:tr>
            <w:tr w:rsidR="005D1710" w:rsidRPr="005D1710" w14:paraId="009C36C0" w14:textId="77777777" w:rsidTr="009168EE">
              <w:trPr>
                <w:trHeight w:val="300"/>
              </w:trPr>
              <w:tc>
                <w:tcPr>
                  <w:tcW w:w="4320" w:type="dxa"/>
                  <w:shd w:val="clear" w:color="auto" w:fill="FFFFFF" w:themeFill="background1"/>
                  <w:noWrap/>
                  <w:hideMark/>
                </w:tcPr>
                <w:p w14:paraId="38109ADE"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lastRenderedPageBreak/>
                    <w:t>Virginia Institute for Marine Science (VIMS)</w:t>
                  </w:r>
                </w:p>
              </w:tc>
              <w:tc>
                <w:tcPr>
                  <w:tcW w:w="6912" w:type="dxa"/>
                  <w:shd w:val="clear" w:color="auto" w:fill="FFFFFF" w:themeFill="background1"/>
                  <w:noWrap/>
                  <w:hideMark/>
                </w:tcPr>
                <w:p w14:paraId="70121428"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ww.vims.edu/</w:t>
                  </w:r>
                </w:p>
              </w:tc>
            </w:tr>
            <w:tr w:rsidR="005D1710" w:rsidRPr="005D1710" w14:paraId="1CE5BE38" w14:textId="77777777" w:rsidTr="009168EE">
              <w:trPr>
                <w:trHeight w:val="300"/>
              </w:trPr>
              <w:tc>
                <w:tcPr>
                  <w:tcW w:w="4320" w:type="dxa"/>
                  <w:shd w:val="clear" w:color="auto" w:fill="FFFFFF" w:themeFill="background1"/>
                  <w:noWrap/>
                  <w:hideMark/>
                </w:tcPr>
                <w:p w14:paraId="03ED0CBD"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Virginia Military institute</w:t>
                  </w:r>
                </w:p>
              </w:tc>
              <w:tc>
                <w:tcPr>
                  <w:tcW w:w="6912" w:type="dxa"/>
                  <w:shd w:val="clear" w:color="auto" w:fill="FFFFFF" w:themeFill="background1"/>
                  <w:noWrap/>
                  <w:hideMark/>
                </w:tcPr>
                <w:p w14:paraId="380E6FDA"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ww.vmi.edu/</w:t>
                  </w:r>
                </w:p>
              </w:tc>
            </w:tr>
            <w:tr w:rsidR="005D1710" w:rsidRPr="005D1710" w14:paraId="7CEBC9FF" w14:textId="77777777" w:rsidTr="009168EE">
              <w:trPr>
                <w:trHeight w:val="300"/>
              </w:trPr>
              <w:tc>
                <w:tcPr>
                  <w:tcW w:w="4320" w:type="dxa"/>
                  <w:shd w:val="clear" w:color="auto" w:fill="FFFFFF" w:themeFill="background1"/>
                  <w:noWrap/>
                  <w:hideMark/>
                </w:tcPr>
                <w:p w14:paraId="34BF3187"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Virginia Museum of Natural History</w:t>
                  </w:r>
                </w:p>
              </w:tc>
              <w:tc>
                <w:tcPr>
                  <w:tcW w:w="6912" w:type="dxa"/>
                  <w:shd w:val="clear" w:color="auto" w:fill="FFFFFF" w:themeFill="background1"/>
                  <w:noWrap/>
                  <w:hideMark/>
                </w:tcPr>
                <w:p w14:paraId="25DBD0F3"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ww.vmnh.net/collections</w:t>
                  </w:r>
                </w:p>
              </w:tc>
            </w:tr>
            <w:tr w:rsidR="005D1710" w:rsidRPr="005D1710" w14:paraId="03FE64C3" w14:textId="77777777" w:rsidTr="009168EE">
              <w:trPr>
                <w:trHeight w:val="300"/>
              </w:trPr>
              <w:tc>
                <w:tcPr>
                  <w:tcW w:w="4320" w:type="dxa"/>
                  <w:shd w:val="clear" w:color="auto" w:fill="FFFFFF" w:themeFill="background1"/>
                  <w:noWrap/>
                  <w:hideMark/>
                </w:tcPr>
                <w:p w14:paraId="7CB14607"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Virginia National Guard Artifact Curation Facility</w:t>
                  </w:r>
                </w:p>
              </w:tc>
              <w:tc>
                <w:tcPr>
                  <w:tcW w:w="6912" w:type="dxa"/>
                  <w:shd w:val="clear" w:color="auto" w:fill="FFFFFF" w:themeFill="background1"/>
                  <w:noWrap/>
                  <w:hideMark/>
                </w:tcPr>
                <w:p w14:paraId="37D86744" w14:textId="3FAF9BAF"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vko.va.ngb.army.mil/VirginiaGuard/environmental/</w:t>
                  </w:r>
                  <w:r w:rsidR="00F71E85">
                    <w:rPr>
                      <w:rFonts w:ascii="Calibri" w:eastAsia="Times New Roman" w:hAnsi="Calibri" w:cs="Times New Roman"/>
                      <w:color w:val="000000"/>
                    </w:rPr>
                    <w:br/>
                  </w:r>
                  <w:r w:rsidRPr="005D1710">
                    <w:rPr>
                      <w:rFonts w:ascii="Calibri" w:eastAsia="Times New Roman" w:hAnsi="Calibri" w:cs="Times New Roman"/>
                      <w:color w:val="000000"/>
                    </w:rPr>
                    <w:t>cultural%20resources.htm</w:t>
                  </w:r>
                </w:p>
              </w:tc>
            </w:tr>
            <w:tr w:rsidR="005D1710" w:rsidRPr="005D1710" w14:paraId="38C4F1E5" w14:textId="77777777" w:rsidTr="009168EE">
              <w:trPr>
                <w:trHeight w:val="300"/>
              </w:trPr>
              <w:tc>
                <w:tcPr>
                  <w:tcW w:w="4320" w:type="dxa"/>
                  <w:shd w:val="clear" w:color="auto" w:fill="FFFFFF" w:themeFill="background1"/>
                  <w:noWrap/>
                  <w:hideMark/>
                </w:tcPr>
                <w:p w14:paraId="516C4423"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Virginia State Parks</w:t>
                  </w:r>
                </w:p>
              </w:tc>
              <w:tc>
                <w:tcPr>
                  <w:tcW w:w="6912" w:type="dxa"/>
                  <w:shd w:val="clear" w:color="auto" w:fill="FFFFFF" w:themeFill="background1"/>
                  <w:noWrap/>
                  <w:hideMark/>
                </w:tcPr>
                <w:p w14:paraId="417ECE81"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www.virginia.gov/visit/state-parks</w:t>
                  </w:r>
                </w:p>
              </w:tc>
            </w:tr>
            <w:tr w:rsidR="005D1710" w:rsidRPr="005D1710" w14:paraId="723C505E" w14:textId="77777777" w:rsidTr="009168EE">
              <w:trPr>
                <w:trHeight w:val="300"/>
              </w:trPr>
              <w:tc>
                <w:tcPr>
                  <w:tcW w:w="4320" w:type="dxa"/>
                  <w:shd w:val="clear" w:color="auto" w:fill="FFFFFF" w:themeFill="background1"/>
                  <w:noWrap/>
                  <w:hideMark/>
                </w:tcPr>
                <w:p w14:paraId="7680BF85"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Washington and Lee University</w:t>
                  </w:r>
                </w:p>
              </w:tc>
              <w:tc>
                <w:tcPr>
                  <w:tcW w:w="6912" w:type="dxa"/>
                  <w:shd w:val="clear" w:color="auto" w:fill="FFFFFF" w:themeFill="background1"/>
                  <w:noWrap/>
                  <w:hideMark/>
                </w:tcPr>
                <w:p w14:paraId="44404FA5" w14:textId="4EF45EF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ww.wlu.edu/sociology-and-anthropology/</w:t>
                  </w:r>
                  <w:r w:rsidR="00F71E85">
                    <w:rPr>
                      <w:rFonts w:ascii="Calibri" w:eastAsia="Times New Roman" w:hAnsi="Calibri" w:cs="Times New Roman"/>
                      <w:color w:val="000000"/>
                    </w:rPr>
                    <w:br/>
                  </w:r>
                  <w:r w:rsidRPr="005D1710">
                    <w:rPr>
                      <w:rFonts w:ascii="Calibri" w:eastAsia="Times New Roman" w:hAnsi="Calibri" w:cs="Times New Roman"/>
                      <w:color w:val="000000"/>
                    </w:rPr>
                    <w:t>archaeology-at-wandl</w:t>
                  </w:r>
                </w:p>
              </w:tc>
            </w:tr>
            <w:tr w:rsidR="005D1710" w:rsidRPr="005D1710" w14:paraId="05ACB735" w14:textId="77777777" w:rsidTr="009168EE">
              <w:trPr>
                <w:trHeight w:val="300"/>
              </w:trPr>
              <w:tc>
                <w:tcPr>
                  <w:tcW w:w="4320" w:type="dxa"/>
                  <w:shd w:val="clear" w:color="auto" w:fill="FFFFFF" w:themeFill="background1"/>
                  <w:noWrap/>
                  <w:hideMark/>
                </w:tcPr>
                <w:p w14:paraId="0EE427C7"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Westmoreland County Museum &amp; Library, Inc.</w:t>
                  </w:r>
                </w:p>
              </w:tc>
              <w:tc>
                <w:tcPr>
                  <w:tcW w:w="6912" w:type="dxa"/>
                  <w:shd w:val="clear" w:color="auto" w:fill="FFFFFF" w:themeFill="background1"/>
                  <w:noWrap/>
                  <w:hideMark/>
                </w:tcPr>
                <w:p w14:paraId="61D6BA0F" w14:textId="0FEC1422"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ww.westmoreland-county.org/</w:t>
                  </w:r>
                  <w:r w:rsidR="00F71E85">
                    <w:rPr>
                      <w:rFonts w:ascii="Calibri" w:eastAsia="Times New Roman" w:hAnsi="Calibri" w:cs="Times New Roman"/>
                      <w:color w:val="000000"/>
                    </w:rPr>
                    <w:br/>
                  </w:r>
                  <w:r w:rsidRPr="005D1710">
                    <w:rPr>
                      <w:rFonts w:ascii="Calibri" w:eastAsia="Times New Roman" w:hAnsi="Calibri" w:cs="Times New Roman"/>
                      <w:color w:val="000000"/>
                    </w:rPr>
                    <w:t>index.php?p=visiting&amp;c=countyMuseum</w:t>
                  </w:r>
                </w:p>
              </w:tc>
            </w:tr>
            <w:tr w:rsidR="005D1710" w:rsidRPr="005D1710" w14:paraId="0AC2344A" w14:textId="77777777" w:rsidTr="009168EE">
              <w:trPr>
                <w:trHeight w:val="300"/>
              </w:trPr>
              <w:tc>
                <w:tcPr>
                  <w:tcW w:w="4320" w:type="dxa"/>
                  <w:shd w:val="clear" w:color="auto" w:fill="FFFFFF" w:themeFill="background1"/>
                  <w:noWrap/>
                  <w:hideMark/>
                </w:tcPr>
                <w:p w14:paraId="4DFD12FE"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Wilderness Road Regional Museum</w:t>
                  </w:r>
                </w:p>
              </w:tc>
              <w:tc>
                <w:tcPr>
                  <w:tcW w:w="6912" w:type="dxa"/>
                  <w:shd w:val="clear" w:color="auto" w:fill="FFFFFF" w:themeFill="background1"/>
                  <w:noWrap/>
                  <w:hideMark/>
                </w:tcPr>
                <w:p w14:paraId="00CE7098" w14:textId="77777777" w:rsidR="005D1710" w:rsidRPr="005D1710" w:rsidRDefault="005D1710" w:rsidP="005D1710">
                  <w:pPr>
                    <w:spacing w:line="240" w:lineRule="auto"/>
                    <w:ind w:firstLine="0"/>
                    <w:rPr>
                      <w:rFonts w:ascii="Calibri" w:eastAsia="Times New Roman" w:hAnsi="Calibri" w:cs="Times New Roman"/>
                      <w:color w:val="000000"/>
                    </w:rPr>
                  </w:pPr>
                  <w:r>
                    <w:rPr>
                      <w:rFonts w:ascii="Calibri" w:eastAsia="Times New Roman" w:hAnsi="Calibri" w:cs="Times New Roman"/>
                      <w:color w:val="000000"/>
                    </w:rPr>
                    <w:t>w</w:t>
                  </w:r>
                  <w:r w:rsidRPr="005D1710">
                    <w:rPr>
                      <w:rFonts w:ascii="Calibri" w:eastAsia="Times New Roman" w:hAnsi="Calibri" w:cs="Times New Roman"/>
                      <w:color w:val="000000"/>
                    </w:rPr>
                    <w:t>ww.newriverheritage.org/members-wildernessroad.htm</w:t>
                  </w:r>
                </w:p>
              </w:tc>
            </w:tr>
            <w:tr w:rsidR="005D1710" w:rsidRPr="005D1710" w14:paraId="6DEA7737" w14:textId="77777777" w:rsidTr="009168EE">
              <w:trPr>
                <w:trHeight w:val="300"/>
              </w:trPr>
              <w:tc>
                <w:tcPr>
                  <w:tcW w:w="4320" w:type="dxa"/>
                  <w:shd w:val="clear" w:color="auto" w:fill="FFFFFF" w:themeFill="background1"/>
                  <w:noWrap/>
                  <w:hideMark/>
                </w:tcPr>
                <w:p w14:paraId="575CAFC8"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Wilton House Museum</w:t>
                  </w:r>
                </w:p>
              </w:tc>
              <w:tc>
                <w:tcPr>
                  <w:tcW w:w="6912" w:type="dxa"/>
                  <w:shd w:val="clear" w:color="auto" w:fill="FFFFFF" w:themeFill="background1"/>
                  <w:noWrap/>
                  <w:hideMark/>
                </w:tcPr>
                <w:p w14:paraId="19D07A24"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www.wiltonhousemuseum.org</w:t>
                  </w:r>
                </w:p>
              </w:tc>
            </w:tr>
            <w:tr w:rsidR="005D1710" w:rsidRPr="005D1710" w14:paraId="476E1283" w14:textId="77777777" w:rsidTr="009168EE">
              <w:trPr>
                <w:trHeight w:val="300"/>
              </w:trPr>
              <w:tc>
                <w:tcPr>
                  <w:tcW w:w="4320" w:type="dxa"/>
                  <w:shd w:val="clear" w:color="auto" w:fill="FFFFFF" w:themeFill="background1"/>
                  <w:noWrap/>
                  <w:hideMark/>
                </w:tcPr>
                <w:p w14:paraId="56EC6567"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Wolf Creek Indian Village and Museum</w:t>
                  </w:r>
                </w:p>
              </w:tc>
              <w:tc>
                <w:tcPr>
                  <w:tcW w:w="6912" w:type="dxa"/>
                  <w:shd w:val="clear" w:color="auto" w:fill="FFFFFF" w:themeFill="background1"/>
                  <w:noWrap/>
                  <w:hideMark/>
                </w:tcPr>
                <w:p w14:paraId="45FAF3F7"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www.indianvillage.org</w:t>
                  </w:r>
                </w:p>
              </w:tc>
            </w:tr>
            <w:tr w:rsidR="005D1710" w:rsidRPr="005D1710" w14:paraId="29648196" w14:textId="77777777" w:rsidTr="009168EE">
              <w:trPr>
                <w:trHeight w:val="300"/>
              </w:trPr>
              <w:tc>
                <w:tcPr>
                  <w:tcW w:w="4320" w:type="dxa"/>
                  <w:shd w:val="clear" w:color="auto" w:fill="FFFFFF" w:themeFill="background1"/>
                  <w:noWrap/>
                  <w:hideMark/>
                </w:tcPr>
                <w:p w14:paraId="64C905E0"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Yorktown Victory Center</w:t>
                  </w:r>
                </w:p>
              </w:tc>
              <w:tc>
                <w:tcPr>
                  <w:tcW w:w="6912" w:type="dxa"/>
                  <w:shd w:val="clear" w:color="auto" w:fill="FFFFFF" w:themeFill="background1"/>
                  <w:noWrap/>
                  <w:hideMark/>
                </w:tcPr>
                <w:p w14:paraId="0EF35DDC" w14:textId="77777777" w:rsidR="005D1710" w:rsidRPr="005D1710" w:rsidRDefault="005D1710" w:rsidP="005D1710">
                  <w:pPr>
                    <w:spacing w:line="240" w:lineRule="auto"/>
                    <w:ind w:firstLine="0"/>
                    <w:rPr>
                      <w:rFonts w:ascii="Calibri" w:eastAsia="Times New Roman" w:hAnsi="Calibri" w:cs="Times New Roman"/>
                      <w:color w:val="000000"/>
                    </w:rPr>
                  </w:pPr>
                  <w:r w:rsidRPr="005D1710">
                    <w:rPr>
                      <w:rFonts w:ascii="Calibri" w:eastAsia="Times New Roman" w:hAnsi="Calibri" w:cs="Times New Roman"/>
                      <w:color w:val="000000"/>
                    </w:rPr>
                    <w:t>www.historyisfun.org</w:t>
                  </w:r>
                </w:p>
              </w:tc>
            </w:tr>
          </w:tbl>
          <w:p w14:paraId="0FCC27F8" w14:textId="77777777" w:rsidR="004C137A" w:rsidRPr="004C137A" w:rsidRDefault="004C137A" w:rsidP="004C137A">
            <w:pPr>
              <w:spacing w:line="240" w:lineRule="auto"/>
              <w:rPr>
                <w:rFonts w:ascii="Calibri" w:eastAsia="Times New Roman" w:hAnsi="Calibri" w:cs="Times New Roman"/>
                <w:b/>
                <w:color w:val="000000"/>
              </w:rPr>
            </w:pPr>
          </w:p>
        </w:tc>
      </w:tr>
    </w:tbl>
    <w:p w14:paraId="1C9C5548" w14:textId="77777777" w:rsidR="007C134F" w:rsidRDefault="00E1614C">
      <w:pPr>
        <w:spacing w:after="160" w:line="259" w:lineRule="auto"/>
        <w:ind w:firstLine="0"/>
      </w:pPr>
      <w:r>
        <w:lastRenderedPageBreak/>
        <w:br w:type="page"/>
      </w:r>
    </w:p>
    <w:p w14:paraId="348070EA" w14:textId="77777777" w:rsidR="00E1614C" w:rsidRDefault="007C134F" w:rsidP="00F71E85">
      <w:pPr>
        <w:pStyle w:val="Heading2"/>
      </w:pPr>
      <w:bookmarkStart w:id="46" w:name="_Toc419135428"/>
      <w:r>
        <w:lastRenderedPageBreak/>
        <w:t>Appendix B – Website Coding System</w:t>
      </w:r>
      <w:bookmarkEnd w:id="46"/>
    </w:p>
    <w:p w14:paraId="3E789EF8" w14:textId="77777777" w:rsidR="007C134F" w:rsidRDefault="007C134F" w:rsidP="00725BE9">
      <w:pPr>
        <w:pStyle w:val="Heading3"/>
      </w:pPr>
      <w:bookmarkStart w:id="47" w:name="_Toc419135429"/>
      <w:r>
        <w:t>Data Management</w:t>
      </w:r>
      <w:bookmarkEnd w:id="47"/>
    </w:p>
    <w:p w14:paraId="34776164" w14:textId="77777777" w:rsidR="007C134F" w:rsidRDefault="007C134F" w:rsidP="007C134F">
      <w:pPr>
        <w:pStyle w:val="ListParagraph"/>
        <w:numPr>
          <w:ilvl w:val="0"/>
          <w:numId w:val="13"/>
        </w:numPr>
      </w:pPr>
      <w:r>
        <w:t xml:space="preserve">Website ID #: Unique 3-digit number assigned at sampling. Enter </w:t>
      </w:r>
      <w:r w:rsidR="00725BE9">
        <w:t>in</w:t>
      </w:r>
      <w:r>
        <w:t xml:space="preserve"> digits.</w:t>
      </w:r>
    </w:p>
    <w:p w14:paraId="62E0163D" w14:textId="77777777" w:rsidR="007C134F" w:rsidRDefault="007C134F" w:rsidP="007C134F">
      <w:pPr>
        <w:pStyle w:val="ListParagraph"/>
        <w:numPr>
          <w:ilvl w:val="0"/>
          <w:numId w:val="13"/>
        </w:numPr>
      </w:pPr>
      <w:r>
        <w:t>Sampling Date: Date website reviewed</w:t>
      </w:r>
      <w:r w:rsidR="00FE4046">
        <w:t xml:space="preserve">. Enter as </w:t>
      </w:r>
      <w:r>
        <w:t>mm-dd-yy</w:t>
      </w:r>
    </w:p>
    <w:p w14:paraId="49C204FE" w14:textId="77777777" w:rsidR="007C134F" w:rsidRDefault="007C134F" w:rsidP="00811E19">
      <w:pPr>
        <w:pStyle w:val="Heading3"/>
      </w:pPr>
      <w:bookmarkStart w:id="48" w:name="_Toc419135430"/>
      <w:r>
        <w:t>Institutional Information</w:t>
      </w:r>
      <w:bookmarkEnd w:id="48"/>
    </w:p>
    <w:p w14:paraId="33464E27" w14:textId="77777777" w:rsidR="007C134F" w:rsidRDefault="00811E19" w:rsidP="007C134F">
      <w:pPr>
        <w:pStyle w:val="ListParagraph"/>
        <w:numPr>
          <w:ilvl w:val="0"/>
          <w:numId w:val="13"/>
        </w:numPr>
      </w:pPr>
      <w:r>
        <w:t xml:space="preserve">Organization Name: from Home page. Enter as </w:t>
      </w:r>
      <w:r w:rsidR="00FE4046">
        <w:t>t</w:t>
      </w:r>
      <w:r>
        <w:t>ext</w:t>
      </w:r>
    </w:p>
    <w:p w14:paraId="2B310BC1" w14:textId="77777777" w:rsidR="007C134F" w:rsidRDefault="007C134F" w:rsidP="007C134F">
      <w:pPr>
        <w:pStyle w:val="ListParagraph"/>
        <w:numPr>
          <w:ilvl w:val="0"/>
          <w:numId w:val="13"/>
        </w:numPr>
      </w:pPr>
      <w:r>
        <w:t>Website URL</w:t>
      </w:r>
      <w:r w:rsidR="00811E19">
        <w:t xml:space="preserve">: from Home page. Enter as </w:t>
      </w:r>
      <w:r w:rsidR="00FE4046">
        <w:t>t</w:t>
      </w:r>
      <w:r w:rsidR="00811E19">
        <w:t>ext</w:t>
      </w:r>
    </w:p>
    <w:p w14:paraId="139CBFEF" w14:textId="77777777" w:rsidR="00E209C4" w:rsidRDefault="00E209C4" w:rsidP="00E209C4">
      <w:pPr>
        <w:pStyle w:val="ListParagraph"/>
        <w:numPr>
          <w:ilvl w:val="0"/>
          <w:numId w:val="13"/>
        </w:numPr>
      </w:pPr>
      <w:r>
        <w:t>Organization Type: from home page name, or from domain (.gov .va .org .com). 1=F</w:t>
      </w:r>
      <w:r w:rsidRPr="00A64743">
        <w:t>ederal</w:t>
      </w:r>
      <w:r>
        <w:t xml:space="preserve"> 2=</w:t>
      </w:r>
      <w:r w:rsidR="008113A1">
        <w:t>City/</w:t>
      </w:r>
      <w:r>
        <w:t>S</w:t>
      </w:r>
      <w:r w:rsidRPr="00A64743">
        <w:t>tate</w:t>
      </w:r>
      <w:r>
        <w:t xml:space="preserve"> 3=U</w:t>
      </w:r>
      <w:r w:rsidRPr="00A64743">
        <w:t>niversity</w:t>
      </w:r>
      <w:r>
        <w:t xml:space="preserve"> 4=N</w:t>
      </w:r>
      <w:r w:rsidRPr="00A64743">
        <w:t>on-profit</w:t>
      </w:r>
      <w:r>
        <w:t xml:space="preserve"> 5=P</w:t>
      </w:r>
      <w:r w:rsidRPr="00A64743">
        <w:t>rivate</w:t>
      </w:r>
      <w:r>
        <w:t>. Enter as digits</w:t>
      </w:r>
    </w:p>
    <w:p w14:paraId="7F7BFEF9" w14:textId="77777777" w:rsidR="005664D5" w:rsidRDefault="005664D5" w:rsidP="005664D5">
      <w:pPr>
        <w:pStyle w:val="ListParagraph"/>
        <w:numPr>
          <w:ilvl w:val="0"/>
          <w:numId w:val="13"/>
        </w:numPr>
      </w:pPr>
      <w:r>
        <w:t>Is there any archaeological</w:t>
      </w:r>
      <w:r w:rsidR="0011778F">
        <w:t xml:space="preserve"> section</w:t>
      </w:r>
      <w:r>
        <w:t xml:space="preserve">? </w:t>
      </w:r>
      <w:r w:rsidR="00E331AA">
        <w:rPr>
          <w:b/>
        </w:rPr>
        <w:t>If 0 or 1</w:t>
      </w:r>
      <w:r w:rsidRPr="00DD565F">
        <w:rPr>
          <w:b/>
        </w:rPr>
        <w:t xml:space="preserve"> no further coding will be done on this record. </w:t>
      </w:r>
      <w:r>
        <w:t>0=No 1=</w:t>
      </w:r>
      <w:r w:rsidR="00E331AA">
        <w:t>Mention of Archaeology Only 2=</w:t>
      </w:r>
      <w:r>
        <w:t>Yes Enter as digits</w:t>
      </w:r>
    </w:p>
    <w:p w14:paraId="52F19DC7" w14:textId="77777777" w:rsidR="0011778F" w:rsidRDefault="0011778F" w:rsidP="0011778F">
      <w:pPr>
        <w:pStyle w:val="ListParagraph"/>
        <w:numPr>
          <w:ilvl w:val="0"/>
          <w:numId w:val="13"/>
        </w:numPr>
      </w:pPr>
      <w:r>
        <w:t xml:space="preserve">Is there any archaeological data? </w:t>
      </w:r>
      <w:r w:rsidR="00E331AA">
        <w:rPr>
          <w:b/>
        </w:rPr>
        <w:t>If “0</w:t>
      </w:r>
      <w:r w:rsidRPr="00DD565F">
        <w:rPr>
          <w:b/>
        </w:rPr>
        <w:t xml:space="preserve">” </w:t>
      </w:r>
      <w:r w:rsidR="00855A3D">
        <w:rPr>
          <w:b/>
        </w:rPr>
        <w:t>go to skip open data and scholarly data sections</w:t>
      </w:r>
      <w:r w:rsidRPr="00DD565F">
        <w:rPr>
          <w:b/>
        </w:rPr>
        <w:t xml:space="preserve">. </w:t>
      </w:r>
      <w:r>
        <w:t>0=No 1=Yes Enter as digits</w:t>
      </w:r>
    </w:p>
    <w:p w14:paraId="1A3EB6EF" w14:textId="77777777" w:rsidR="007C134F" w:rsidRDefault="007C134F" w:rsidP="007C134F">
      <w:pPr>
        <w:pStyle w:val="ListParagraph"/>
        <w:numPr>
          <w:ilvl w:val="0"/>
          <w:numId w:val="13"/>
        </w:numPr>
      </w:pPr>
      <w:r>
        <w:t>Number of archaeology</w:t>
      </w:r>
      <w:r w:rsidR="004817E4">
        <w:t xml:space="preserve"> sites represented: </w:t>
      </w:r>
      <w:r>
        <w:t>Enter as digits</w:t>
      </w:r>
      <w:r w:rsidR="008E68A2">
        <w:t>; 0 means unknown</w:t>
      </w:r>
    </w:p>
    <w:p w14:paraId="72FCA7EB" w14:textId="77777777" w:rsidR="007C134F" w:rsidRDefault="005664D5" w:rsidP="007C134F">
      <w:pPr>
        <w:pStyle w:val="ListParagraph"/>
        <w:numPr>
          <w:ilvl w:val="0"/>
          <w:numId w:val="13"/>
        </w:numPr>
      </w:pPr>
      <w:r>
        <w:t>Basis</w:t>
      </w:r>
      <w:r w:rsidR="007C134F">
        <w:t xml:space="preserve"> of </w:t>
      </w:r>
      <w:r w:rsidR="004817E4">
        <w:t>dissemination</w:t>
      </w:r>
      <w:r w:rsidR="007C134F">
        <w:t>:</w:t>
      </w:r>
      <w:r w:rsidR="004817E4">
        <w:t xml:space="preserve"> Are the sites presented</w:t>
      </w:r>
      <w:r w:rsidR="001C5076">
        <w:t xml:space="preserve"> on national, re</w:t>
      </w:r>
      <w:r w:rsidR="00FE4046">
        <w:t>gional or thematic basis</w:t>
      </w:r>
      <w:r w:rsidR="004817E4">
        <w:t xml:space="preserve"> </w:t>
      </w:r>
      <w:r w:rsidR="001C5076">
        <w:t>0=Unknown</w:t>
      </w:r>
      <w:r w:rsidR="007C134F">
        <w:t xml:space="preserve"> </w:t>
      </w:r>
      <w:r w:rsidR="00725BE9">
        <w:t>1=Na</w:t>
      </w:r>
      <w:r w:rsidR="0052704B">
        <w:t>tional 2=Regional 3=Thematic 4=S</w:t>
      </w:r>
      <w:r w:rsidR="00725BE9">
        <w:t>ite</w:t>
      </w:r>
      <w:r w:rsidR="009231AB">
        <w:t>.</w:t>
      </w:r>
      <w:r w:rsidR="001C5076">
        <w:t xml:space="preserve"> Enter as digits</w:t>
      </w:r>
    </w:p>
    <w:p w14:paraId="61C2CBF1" w14:textId="77777777" w:rsidR="007C134F" w:rsidRDefault="007C134F" w:rsidP="007C134F">
      <w:pPr>
        <w:pStyle w:val="ListParagraph"/>
        <w:numPr>
          <w:ilvl w:val="0"/>
          <w:numId w:val="13"/>
        </w:numPr>
      </w:pPr>
      <w:r>
        <w:t>Primary Interface</w:t>
      </w:r>
      <w:r w:rsidR="00725BE9">
        <w:t xml:space="preserve">: </w:t>
      </w:r>
      <w:r w:rsidR="001C5076">
        <w:t>from Home page</w:t>
      </w:r>
      <w:r w:rsidR="00FE4046">
        <w:t xml:space="preserve"> or from q</w:t>
      </w:r>
      <w:r w:rsidR="001C5076">
        <w:t>uery/</w:t>
      </w:r>
      <w:r w:rsidR="00FE4046">
        <w:t>s</w:t>
      </w:r>
      <w:r w:rsidR="001C5076">
        <w:t>earch results page: 1=Text 2-Spatial 3=3-D</w:t>
      </w:r>
      <w:r w:rsidR="009231AB">
        <w:t xml:space="preserve">. </w:t>
      </w:r>
      <w:r w:rsidR="001C5076">
        <w:t>Enter as digits</w:t>
      </w:r>
    </w:p>
    <w:p w14:paraId="0916DA36" w14:textId="77777777" w:rsidR="007C134F" w:rsidRDefault="007C134F" w:rsidP="001C5076">
      <w:pPr>
        <w:pStyle w:val="ListParagraph"/>
        <w:numPr>
          <w:ilvl w:val="0"/>
          <w:numId w:val="13"/>
        </w:numPr>
      </w:pPr>
      <w:r>
        <w:t>Primary Data Level</w:t>
      </w:r>
      <w:r w:rsidR="00725BE9">
        <w:t>:</w:t>
      </w:r>
      <w:r w:rsidR="001C5076">
        <w:t xml:space="preserve"> from the Home page</w:t>
      </w:r>
      <w:r w:rsidR="00FE4046">
        <w:t xml:space="preserve"> or from q</w:t>
      </w:r>
      <w:r w:rsidR="001C5076">
        <w:t>uery/</w:t>
      </w:r>
      <w:r w:rsidR="00FE4046">
        <w:t>s</w:t>
      </w:r>
      <w:r w:rsidR="001C5076">
        <w:t>earch results page 1=Summary 2=Site report 3=Field records 4=Spatial data 5=Artifact collections</w:t>
      </w:r>
      <w:r w:rsidR="009231AB">
        <w:t>.</w:t>
      </w:r>
      <w:r w:rsidR="001C5076">
        <w:t xml:space="preserve"> Enter as digits</w:t>
      </w:r>
    </w:p>
    <w:p w14:paraId="4CBDEE2F" w14:textId="77777777" w:rsidR="00725BE9" w:rsidRDefault="00725BE9" w:rsidP="00725BE9">
      <w:pPr>
        <w:pStyle w:val="Heading3"/>
      </w:pPr>
      <w:bookmarkStart w:id="49" w:name="_Toc419135431"/>
      <w:r>
        <w:t>Data Content</w:t>
      </w:r>
      <w:bookmarkEnd w:id="49"/>
    </w:p>
    <w:p w14:paraId="2D674D21" w14:textId="77777777" w:rsidR="00725BE9" w:rsidRDefault="00725BE9" w:rsidP="00725BE9">
      <w:pPr>
        <w:pStyle w:val="ListParagraph"/>
        <w:numPr>
          <w:ilvl w:val="0"/>
          <w:numId w:val="13"/>
        </w:numPr>
      </w:pPr>
      <w:r>
        <w:t>Site reports</w:t>
      </w:r>
      <w:r w:rsidR="00B164C8">
        <w:t xml:space="preserve">: </w:t>
      </w:r>
      <w:r w:rsidR="001C5076">
        <w:t xml:space="preserve">Are </w:t>
      </w:r>
      <w:r w:rsidR="00D00BAA">
        <w:t>site reports</w:t>
      </w:r>
      <w:r w:rsidR="001C5076">
        <w:t xml:space="preserve"> available? </w:t>
      </w:r>
      <w:r w:rsidR="00B164C8">
        <w:t>0=No 1=Yes</w:t>
      </w:r>
      <w:r w:rsidR="009231AB">
        <w:t>.</w:t>
      </w:r>
      <w:r w:rsidR="00B164C8">
        <w:t xml:space="preserve"> Enter </w:t>
      </w:r>
      <w:r w:rsidR="00FE4046">
        <w:t xml:space="preserve">as </w:t>
      </w:r>
      <w:r w:rsidR="00D00BAA">
        <w:t>digits</w:t>
      </w:r>
    </w:p>
    <w:p w14:paraId="6F06AC79" w14:textId="77777777" w:rsidR="00D05445" w:rsidRDefault="00D05445" w:rsidP="00B164C8">
      <w:pPr>
        <w:pStyle w:val="ListParagraph"/>
        <w:numPr>
          <w:ilvl w:val="0"/>
          <w:numId w:val="13"/>
        </w:numPr>
      </w:pPr>
      <w:r>
        <w:t>Field Records: Are field records available? 0=No 1=Yes. Enter as digits</w:t>
      </w:r>
    </w:p>
    <w:p w14:paraId="6E1394B7" w14:textId="77777777" w:rsidR="00B164C8" w:rsidRDefault="00725BE9" w:rsidP="00B164C8">
      <w:pPr>
        <w:pStyle w:val="ListParagraph"/>
        <w:numPr>
          <w:ilvl w:val="0"/>
          <w:numId w:val="13"/>
        </w:numPr>
      </w:pPr>
      <w:r>
        <w:lastRenderedPageBreak/>
        <w:t>Artifact records</w:t>
      </w:r>
      <w:r w:rsidR="00B164C8">
        <w:t xml:space="preserve">: </w:t>
      </w:r>
      <w:r w:rsidR="001C5076">
        <w:t xml:space="preserve">Are artifact records available? </w:t>
      </w:r>
      <w:r w:rsidR="00B164C8">
        <w:t>0=No 1=Yes</w:t>
      </w:r>
      <w:r w:rsidR="009231AB">
        <w:t>.</w:t>
      </w:r>
      <w:r w:rsidR="00B164C8">
        <w:t xml:space="preserve"> Enter </w:t>
      </w:r>
      <w:r w:rsidR="00FE4046">
        <w:t xml:space="preserve">as </w:t>
      </w:r>
      <w:r w:rsidR="00B164C8">
        <w:t>digit</w:t>
      </w:r>
      <w:r w:rsidR="00811E19">
        <w:t>s</w:t>
      </w:r>
    </w:p>
    <w:p w14:paraId="003D2CF1" w14:textId="77777777" w:rsidR="00B164C8" w:rsidRDefault="00725BE9" w:rsidP="00B164C8">
      <w:pPr>
        <w:pStyle w:val="ListParagraph"/>
        <w:numPr>
          <w:ilvl w:val="0"/>
          <w:numId w:val="13"/>
        </w:numPr>
      </w:pPr>
      <w:r>
        <w:t>Spatial data</w:t>
      </w:r>
      <w:r w:rsidR="00B164C8">
        <w:t>:</w:t>
      </w:r>
      <w:r w:rsidR="001C5076">
        <w:t xml:space="preserve"> Are spatial data available?</w:t>
      </w:r>
      <w:r w:rsidR="00B164C8">
        <w:t xml:space="preserve"> 0=No 1=Yes</w:t>
      </w:r>
      <w:r w:rsidR="009231AB">
        <w:t>.</w:t>
      </w:r>
      <w:r w:rsidR="00B164C8">
        <w:t xml:space="preserve"> Enter </w:t>
      </w:r>
      <w:r w:rsidR="00FE4046">
        <w:t xml:space="preserve">as </w:t>
      </w:r>
      <w:r w:rsidR="00B164C8">
        <w:t>digit</w:t>
      </w:r>
      <w:r w:rsidR="00811E19">
        <w:t>s</w:t>
      </w:r>
    </w:p>
    <w:p w14:paraId="45F1C1CA" w14:textId="77777777" w:rsidR="00B164C8" w:rsidRDefault="00725BE9" w:rsidP="00B164C8">
      <w:pPr>
        <w:pStyle w:val="ListParagraph"/>
        <w:numPr>
          <w:ilvl w:val="0"/>
          <w:numId w:val="13"/>
        </w:numPr>
      </w:pPr>
      <w:r>
        <w:t>Virtual data</w:t>
      </w:r>
      <w:r w:rsidR="00B164C8">
        <w:t xml:space="preserve">: </w:t>
      </w:r>
      <w:r w:rsidR="001C5076">
        <w:t xml:space="preserve">Are virtual data available? </w:t>
      </w:r>
      <w:r w:rsidR="00B164C8">
        <w:t>0=No 1=Yes</w:t>
      </w:r>
      <w:r w:rsidR="009231AB">
        <w:t>.</w:t>
      </w:r>
      <w:r w:rsidR="00B164C8">
        <w:t xml:space="preserve"> Enter </w:t>
      </w:r>
      <w:r w:rsidR="00FE4046">
        <w:t xml:space="preserve">as </w:t>
      </w:r>
      <w:r w:rsidR="00B164C8">
        <w:t>digit</w:t>
      </w:r>
      <w:r w:rsidR="00811E19">
        <w:t>s</w:t>
      </w:r>
    </w:p>
    <w:p w14:paraId="66A42A9D" w14:textId="77777777" w:rsidR="00B164C8" w:rsidRDefault="000377AB" w:rsidP="00B164C8">
      <w:pPr>
        <w:pStyle w:val="Heading3"/>
      </w:pPr>
      <w:bookmarkStart w:id="50" w:name="_Toc419135432"/>
      <w:r>
        <w:t>Scholarly Publishing</w:t>
      </w:r>
      <w:bookmarkEnd w:id="50"/>
    </w:p>
    <w:p w14:paraId="4303B528" w14:textId="77777777" w:rsidR="000377AB" w:rsidRDefault="000377AB" w:rsidP="000377AB">
      <w:pPr>
        <w:pStyle w:val="ListParagraph"/>
        <w:numPr>
          <w:ilvl w:val="0"/>
          <w:numId w:val="13"/>
        </w:numPr>
      </w:pPr>
      <w:r>
        <w:t>Citation: does the site provide information on how to cite content?  0=No 1=Yes. Enter as digits</w:t>
      </w:r>
    </w:p>
    <w:p w14:paraId="00499D7F" w14:textId="77777777" w:rsidR="000377AB" w:rsidRDefault="000377AB" w:rsidP="000377AB">
      <w:pPr>
        <w:pStyle w:val="ListParagraph"/>
        <w:numPr>
          <w:ilvl w:val="0"/>
          <w:numId w:val="13"/>
        </w:numPr>
      </w:pPr>
      <w:r>
        <w:t>CC license: What is the CC license? Where not expressed as a CC license what is the CC equivalent? 0=None 1=CC By 2=BY-SA 3=BY-ND 4=BY-NC 5=BY-NC-SA 6=BY-NC-ND: Enter as digits</w:t>
      </w:r>
    </w:p>
    <w:p w14:paraId="232BBC13" w14:textId="77777777" w:rsidR="000377AB" w:rsidRDefault="000377AB" w:rsidP="000377AB">
      <w:pPr>
        <w:pStyle w:val="ListParagraph"/>
        <w:numPr>
          <w:ilvl w:val="0"/>
          <w:numId w:val="13"/>
        </w:numPr>
      </w:pPr>
      <w:r>
        <w:t xml:space="preserve">Permanent </w:t>
      </w:r>
      <w:r w:rsidR="002A1273">
        <w:t>URIs</w:t>
      </w:r>
      <w:r>
        <w:t xml:space="preserve">: Is data content supported by permanent </w:t>
      </w:r>
      <w:r w:rsidR="002A1273">
        <w:t>URIs</w:t>
      </w:r>
      <w:r>
        <w:t>? 0=No 1=Yes. Enter as digits</w:t>
      </w:r>
    </w:p>
    <w:p w14:paraId="5FDADB73" w14:textId="77777777" w:rsidR="000377AB" w:rsidRDefault="000377AB" w:rsidP="000377AB">
      <w:pPr>
        <w:pStyle w:val="ListParagraph"/>
        <w:numPr>
          <w:ilvl w:val="0"/>
          <w:numId w:val="13"/>
        </w:numPr>
      </w:pPr>
      <w:r>
        <w:t>Permanence/Archiving: Does the website provide information on how content is archived? 0=No 1=Yes. Enter as digits</w:t>
      </w:r>
    </w:p>
    <w:p w14:paraId="6A21BBFE" w14:textId="77777777" w:rsidR="000377AB" w:rsidRDefault="000377AB" w:rsidP="000377AB">
      <w:pPr>
        <w:pStyle w:val="ListParagraph"/>
        <w:numPr>
          <w:ilvl w:val="0"/>
          <w:numId w:val="13"/>
        </w:numPr>
      </w:pPr>
      <w:r>
        <w:t>Contact Information: is a phone number/email provided for more information about the collections? 0=No 1=Yes.</w:t>
      </w:r>
      <w:r w:rsidRPr="00811E19">
        <w:t xml:space="preserve"> </w:t>
      </w:r>
      <w:r>
        <w:t>Enter as digits</w:t>
      </w:r>
    </w:p>
    <w:p w14:paraId="2B35EAB9" w14:textId="77777777" w:rsidR="001D74F9" w:rsidRDefault="000377AB" w:rsidP="003B7148">
      <w:pPr>
        <w:pStyle w:val="Heading3"/>
      </w:pPr>
      <w:bookmarkStart w:id="51" w:name="_Toc419135433"/>
      <w:r>
        <w:t>Open Data</w:t>
      </w:r>
      <w:bookmarkEnd w:id="51"/>
    </w:p>
    <w:p w14:paraId="4E7A80D1" w14:textId="77777777" w:rsidR="000377AB" w:rsidRDefault="000377AB" w:rsidP="000377AB">
      <w:pPr>
        <w:pStyle w:val="ListParagraph"/>
        <w:numPr>
          <w:ilvl w:val="0"/>
          <w:numId w:val="13"/>
        </w:numPr>
      </w:pPr>
      <w:r>
        <w:t>Type of open data: based on 5</w:t>
      </w:r>
      <w:r w:rsidR="00D06737">
        <w:t xml:space="preserve"> </w:t>
      </w:r>
      <w:r>
        <w:t>star open data rating 1=Text 2=Structured 3=Non-proprietary structured. Enter as digits</w:t>
      </w:r>
    </w:p>
    <w:p w14:paraId="4CACA1F3" w14:textId="77777777" w:rsidR="000377AB" w:rsidRDefault="000377AB" w:rsidP="000377AB">
      <w:pPr>
        <w:pStyle w:val="ListParagraph"/>
        <w:numPr>
          <w:ilvl w:val="0"/>
          <w:numId w:val="13"/>
        </w:numPr>
      </w:pPr>
      <w:r>
        <w:t>Access: is access to the site open/requires a login/requires a subscription. 0=Free 1=Login Required 2=Subscription. Enter as digits</w:t>
      </w:r>
    </w:p>
    <w:p w14:paraId="15CDC0D2" w14:textId="77777777" w:rsidR="000377AB" w:rsidRDefault="000377AB" w:rsidP="000377AB">
      <w:pPr>
        <w:pStyle w:val="ListParagraph"/>
        <w:numPr>
          <w:ilvl w:val="0"/>
          <w:numId w:val="13"/>
        </w:numPr>
      </w:pPr>
      <w:r>
        <w:t>Accessibility: are any website plugins required to access the data 0=No 1=Yes.</w:t>
      </w:r>
      <w:r w:rsidRPr="00811E19">
        <w:t xml:space="preserve"> </w:t>
      </w:r>
      <w:r>
        <w:t>Enter as digits</w:t>
      </w:r>
    </w:p>
    <w:p w14:paraId="116AEE17" w14:textId="77777777" w:rsidR="000377AB" w:rsidRDefault="000377AB" w:rsidP="000377AB">
      <w:pPr>
        <w:pStyle w:val="ListParagraph"/>
        <w:numPr>
          <w:ilvl w:val="0"/>
          <w:numId w:val="13"/>
        </w:numPr>
      </w:pPr>
      <w:r>
        <w:t>Dat</w:t>
      </w:r>
      <w:r w:rsidR="005C07DE">
        <w:t>a dictionary/Thesaurus: i</w:t>
      </w:r>
      <w:r>
        <w:t>s a data dictionary provided? 0=No 1=Yes. Enter as digits</w:t>
      </w:r>
    </w:p>
    <w:p w14:paraId="4E3CABDE" w14:textId="77777777" w:rsidR="003B7148" w:rsidRDefault="003B7148" w:rsidP="003B7148">
      <w:pPr>
        <w:pStyle w:val="Heading3"/>
      </w:pPr>
      <w:bookmarkStart w:id="52" w:name="_Toc419135434"/>
      <w:r>
        <w:t>Public outreach</w:t>
      </w:r>
      <w:bookmarkEnd w:id="52"/>
    </w:p>
    <w:p w14:paraId="089A3061" w14:textId="77777777" w:rsidR="009B43FF" w:rsidRDefault="009B43FF" w:rsidP="009B43FF">
      <w:pPr>
        <w:pStyle w:val="ListParagraph"/>
        <w:numPr>
          <w:ilvl w:val="0"/>
          <w:numId w:val="13"/>
        </w:numPr>
      </w:pPr>
      <w:r>
        <w:t>Summary reports: Are site summaries available? 0=No 1=Yes. Enter as digits</w:t>
      </w:r>
    </w:p>
    <w:p w14:paraId="1E3EACB7" w14:textId="77777777" w:rsidR="003B3048" w:rsidRDefault="003B3048" w:rsidP="001D74F9">
      <w:pPr>
        <w:pStyle w:val="ListParagraph"/>
        <w:numPr>
          <w:ilvl w:val="0"/>
          <w:numId w:val="13"/>
        </w:numPr>
      </w:pPr>
      <w:r>
        <w:lastRenderedPageBreak/>
        <w:t>Blog: does the website provide a link to a blog? 0=No 1=Yes Enter as digits</w:t>
      </w:r>
    </w:p>
    <w:p w14:paraId="6574BA26" w14:textId="77777777" w:rsidR="003B3048" w:rsidRDefault="003B3048" w:rsidP="001D74F9">
      <w:pPr>
        <w:pStyle w:val="ListParagraph"/>
        <w:numPr>
          <w:ilvl w:val="0"/>
          <w:numId w:val="13"/>
        </w:numPr>
      </w:pPr>
      <w:r>
        <w:t>Social Media: does the website provide a link to a related social media account (Facebook, Twitter etc.)? 0=No 1=Yes Enter as digits</w:t>
      </w:r>
    </w:p>
    <w:p w14:paraId="4A16438F" w14:textId="77777777" w:rsidR="001D74F9" w:rsidRDefault="001D74F9" w:rsidP="001D74F9">
      <w:pPr>
        <w:pStyle w:val="ListParagraph"/>
        <w:numPr>
          <w:ilvl w:val="0"/>
          <w:numId w:val="13"/>
        </w:numPr>
      </w:pPr>
      <w:r>
        <w:t xml:space="preserve">Contextual Information: </w:t>
      </w:r>
      <w:r w:rsidR="00F805CB">
        <w:t xml:space="preserve">does the website include </w:t>
      </w:r>
      <w:r w:rsidR="00F97039">
        <w:t xml:space="preserve">broader </w:t>
      </w:r>
      <w:r w:rsidR="00F805CB">
        <w:t>contextual information</w:t>
      </w:r>
      <w:r w:rsidR="00F97039">
        <w:t xml:space="preserve"> (historical sources, material culture studies, geographic land studies etc. </w:t>
      </w:r>
      <w:r w:rsidR="00F805CB">
        <w:t xml:space="preserve"> </w:t>
      </w:r>
      <w:r>
        <w:t xml:space="preserve">0=No </w:t>
      </w:r>
      <w:r w:rsidR="00886A6E">
        <w:t>1=Text 2</w:t>
      </w:r>
      <w:r>
        <w:t>=</w:t>
      </w:r>
      <w:r w:rsidR="007F6FBA">
        <w:t xml:space="preserve">Images </w:t>
      </w:r>
      <w:r w:rsidR="00886A6E">
        <w:t>3</w:t>
      </w:r>
      <w:r w:rsidR="007F6FBA">
        <w:t>=Video</w:t>
      </w:r>
      <w:r w:rsidR="009231AB">
        <w:t>.</w:t>
      </w:r>
      <w:r w:rsidR="00811E19">
        <w:t xml:space="preserve"> Enter </w:t>
      </w:r>
      <w:r w:rsidR="00FE4046">
        <w:t xml:space="preserve">as </w:t>
      </w:r>
      <w:r w:rsidR="00811E19">
        <w:t>digits</w:t>
      </w:r>
    </w:p>
    <w:p w14:paraId="532A932C" w14:textId="77777777" w:rsidR="003B7148" w:rsidRDefault="001D74F9" w:rsidP="003B7148">
      <w:pPr>
        <w:pStyle w:val="ListParagraph"/>
        <w:numPr>
          <w:ilvl w:val="0"/>
          <w:numId w:val="13"/>
        </w:numPr>
      </w:pPr>
      <w:r>
        <w:t>Supporting Media</w:t>
      </w:r>
      <w:r w:rsidR="003B7148">
        <w:t xml:space="preserve">: </w:t>
      </w:r>
      <w:r w:rsidR="00F805CB">
        <w:t xml:space="preserve">does the website include supporting media? </w:t>
      </w:r>
      <w:r w:rsidR="003B7148">
        <w:t>0=No 1=Yes</w:t>
      </w:r>
      <w:r w:rsidR="009231AB">
        <w:t>.</w:t>
      </w:r>
      <w:r w:rsidR="00811E19">
        <w:t xml:space="preserve"> Enter </w:t>
      </w:r>
      <w:r w:rsidR="00FE4046">
        <w:t xml:space="preserve">as </w:t>
      </w:r>
      <w:r w:rsidR="00811E19">
        <w:t>digits</w:t>
      </w:r>
    </w:p>
    <w:p w14:paraId="235CF11A" w14:textId="77777777" w:rsidR="00F87442" w:rsidRDefault="00F87442" w:rsidP="003B7148">
      <w:pPr>
        <w:pStyle w:val="ListParagraph"/>
        <w:numPr>
          <w:ilvl w:val="0"/>
          <w:numId w:val="13"/>
        </w:numPr>
      </w:pPr>
      <w:r>
        <w:t>Outreach: does the site link to information about field schools/open houses/volunteer opportunities? 0=No 1=Yes enter as digits</w:t>
      </w:r>
    </w:p>
    <w:p w14:paraId="3F9A3E6C" w14:textId="77777777" w:rsidR="00971E91" w:rsidRDefault="00971E91" w:rsidP="003B7148">
      <w:pPr>
        <w:pStyle w:val="ListParagraph"/>
        <w:numPr>
          <w:ilvl w:val="0"/>
          <w:numId w:val="13"/>
        </w:numPr>
      </w:pPr>
      <w:r>
        <w:t>Educat</w:t>
      </w:r>
      <w:r w:rsidR="007A556A">
        <w:t>ion: does the site provide any educational/K12 material? 0=No, 1=Yes</w:t>
      </w:r>
    </w:p>
    <w:p w14:paraId="1B59961F" w14:textId="77777777" w:rsidR="001D74F9" w:rsidRDefault="001D74F9" w:rsidP="003B7148">
      <w:pPr>
        <w:ind w:left="720" w:firstLine="0"/>
      </w:pPr>
    </w:p>
    <w:p w14:paraId="56E0D16B" w14:textId="77777777" w:rsidR="007C134F" w:rsidRDefault="007C134F">
      <w:pPr>
        <w:spacing w:after="160" w:line="259" w:lineRule="auto"/>
        <w:ind w:firstLine="0"/>
      </w:pPr>
    </w:p>
    <w:p w14:paraId="09CECB85" w14:textId="77777777" w:rsidR="00546F38" w:rsidRDefault="00546F38">
      <w:pPr>
        <w:spacing w:after="160" w:line="259" w:lineRule="auto"/>
        <w:ind w:firstLine="0"/>
        <w:rPr>
          <w:rFonts w:eastAsia="Times New Roman" w:cs="Times New Roman"/>
          <w:bCs/>
          <w:kern w:val="36"/>
          <w:sz w:val="36"/>
          <w:szCs w:val="48"/>
        </w:rPr>
      </w:pPr>
      <w:r>
        <w:rPr>
          <w:b/>
        </w:rPr>
        <w:br w:type="page"/>
      </w:r>
    </w:p>
    <w:p w14:paraId="67655674" w14:textId="77777777" w:rsidR="00F26EF9" w:rsidRDefault="00F26EF9" w:rsidP="00F26EF9">
      <w:pPr>
        <w:pStyle w:val="Heading1"/>
        <w:ind w:firstLine="0"/>
      </w:pPr>
      <w:bookmarkStart w:id="53" w:name="_Toc419135435"/>
      <w:r>
        <w:lastRenderedPageBreak/>
        <w:t>Vita</w:t>
      </w:r>
      <w:bookmarkEnd w:id="53"/>
    </w:p>
    <w:p w14:paraId="269D330A" w14:textId="7A7A8602" w:rsidR="00E1614C" w:rsidRDefault="00F26EF9" w:rsidP="00F26EF9">
      <w:r>
        <w:t>Mark Freeman</w:t>
      </w:r>
      <w:r w:rsidR="006745CF">
        <w:t xml:space="preserve"> was born in Walthamstow</w:t>
      </w:r>
      <w:r>
        <w:t>, England in 1962</w:t>
      </w:r>
      <w:r w:rsidR="006745CF">
        <w:t>. He attended college at the University of Lancaster where he completed a B.A. Hons. in Economics and Accounting. Following this he successfully undertook a Post Graduate Certificate in Education at the University of Warwick.  Mark started his teaching career at Greenshaw High School in Sutton England and, after two years, he moved to Charleston High School in Nevis, West Indies.</w:t>
      </w:r>
    </w:p>
    <w:p w14:paraId="08B7490F" w14:textId="19409847" w:rsidR="006745CF" w:rsidRPr="00546F38" w:rsidRDefault="006745CF" w:rsidP="00F26EF9">
      <w:r>
        <w:t>Mark moved to the United States in 1988. He worked for First Colony Life Insurance for five years before moving to a position at Re:discovery Software</w:t>
      </w:r>
      <w:r w:rsidR="009528D2">
        <w:t xml:space="preserve"> as Client Service Manager</w:t>
      </w:r>
      <w:bookmarkStart w:id="54" w:name="_GoBack"/>
      <w:bookmarkEnd w:id="54"/>
      <w:r>
        <w:t>. He still has an affiliation with Re:discovery Software, but in the last ten years has worked for himself on websites for museums and archaeologists</w:t>
      </w:r>
      <w:r w:rsidR="009528D2">
        <w:t>, including the web catalog for the National Park Service</w:t>
      </w:r>
      <w:r>
        <w:t>. Mark entered the Masters of Science in Information Sciences program in 2012.</w:t>
      </w:r>
    </w:p>
    <w:sectPr w:rsidR="006745CF" w:rsidRPr="00546F38" w:rsidSect="008D7ABA">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B6AFE9" w14:textId="77777777" w:rsidR="00CC5FFA" w:rsidRDefault="00CC5FFA">
      <w:pPr>
        <w:spacing w:line="240" w:lineRule="auto"/>
      </w:pPr>
      <w:r>
        <w:separator/>
      </w:r>
    </w:p>
  </w:endnote>
  <w:endnote w:type="continuationSeparator" w:id="0">
    <w:p w14:paraId="54118345" w14:textId="77777777" w:rsidR="00CC5FFA" w:rsidRDefault="00CC5F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GoudyOldStyleT-Bold">
    <w:panose1 w:val="00000000000000000000"/>
    <w:charset w:val="00"/>
    <w:family w:val="roman"/>
    <w:notTrueType/>
    <w:pitch w:val="default"/>
    <w:sig w:usb0="00000003" w:usb1="00000000" w:usb2="00000000" w:usb3="00000000" w:csb0="00000001" w:csb1="00000000"/>
  </w:font>
  <w:font w:name="Planti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AFF" w:usb1="C0007843" w:usb2="00000009" w:usb3="00000000" w:csb0="000001FF" w:csb1="00000000"/>
  </w:font>
  <w:font w:name="BCDOAC+TimesNewRoman,Italic">
    <w:altName w:val="Times New Roman"/>
    <w:panose1 w:val="00000000000000000000"/>
    <w:charset w:val="00"/>
    <w:family w:val="roman"/>
    <w:notTrueType/>
    <w:pitch w:val="default"/>
    <w:sig w:usb0="00000003" w:usb1="00000000" w:usb2="00000000" w:usb3="00000000" w:csb0="00000001" w:csb1="00000000"/>
  </w:font>
  <w:font w:name="BCDNPA+TimesNewRoman">
    <w:altName w:val="Times New Roman"/>
    <w:panose1 w:val="00000000000000000000"/>
    <w:charset w:val="00"/>
    <w:family w:val="roman"/>
    <w:notTrueType/>
    <w:pitch w:val="default"/>
    <w:sig w:usb0="00000003" w:usb1="00000000" w:usb2="00000000" w:usb3="00000000" w:csb0="00000001" w:csb1="00000000"/>
  </w:font>
  <w:font w:name="Calibri,Italic">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8BBE12" w14:textId="4B0C5872" w:rsidR="00CF0DB5" w:rsidRDefault="00CF0DB5">
    <w:pPr>
      <w:pStyle w:val="Footer"/>
    </w:pPr>
  </w:p>
  <w:p w14:paraId="1807A736" w14:textId="77777777" w:rsidR="00CF0DB5" w:rsidRDefault="00CF0DB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105045" w14:textId="77777777" w:rsidR="00CC5FFA" w:rsidRDefault="00CC5FFA">
      <w:pPr>
        <w:spacing w:line="240" w:lineRule="auto"/>
      </w:pPr>
      <w:r>
        <w:separator/>
      </w:r>
    </w:p>
  </w:footnote>
  <w:footnote w:type="continuationSeparator" w:id="0">
    <w:p w14:paraId="0CB4E04D" w14:textId="77777777" w:rsidR="00CC5FFA" w:rsidRDefault="00CC5FF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1664135"/>
      <w:docPartObj>
        <w:docPartGallery w:val="Page Numbers (Top of Page)"/>
        <w:docPartUnique/>
      </w:docPartObj>
    </w:sdtPr>
    <w:sdtEndPr>
      <w:rPr>
        <w:noProof/>
      </w:rPr>
    </w:sdtEndPr>
    <w:sdtContent>
      <w:p w14:paraId="11823637" w14:textId="77777777" w:rsidR="00CF0DB5" w:rsidRDefault="00CF0DB5">
        <w:pPr>
          <w:pStyle w:val="Header"/>
          <w:jc w:val="right"/>
        </w:pPr>
        <w:r>
          <w:fldChar w:fldCharType="begin"/>
        </w:r>
        <w:r>
          <w:instrText xml:space="preserve"> PAGE   \* MERGEFORMAT </w:instrText>
        </w:r>
        <w:r>
          <w:fldChar w:fldCharType="separate"/>
        </w:r>
        <w:r w:rsidR="009528D2">
          <w:rPr>
            <w:noProof/>
          </w:rPr>
          <w:t>92</w:t>
        </w:r>
        <w:r>
          <w:rPr>
            <w:noProof/>
          </w:rPr>
          <w:fldChar w:fldCharType="end"/>
        </w:r>
      </w:p>
    </w:sdtContent>
  </w:sdt>
  <w:p w14:paraId="4B669D9E" w14:textId="77777777" w:rsidR="00CF0DB5" w:rsidRDefault="00CF0DB5" w:rsidP="0099706E">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B92D14"/>
    <w:multiLevelType w:val="hybridMultilevel"/>
    <w:tmpl w:val="41E2D9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EAC1AAC"/>
    <w:multiLevelType w:val="hybridMultilevel"/>
    <w:tmpl w:val="D9726F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2B607E4"/>
    <w:multiLevelType w:val="hybridMultilevel"/>
    <w:tmpl w:val="ADDC64C4"/>
    <w:lvl w:ilvl="0" w:tplc="4462F760">
      <w:start w:val="1"/>
      <w:numFmt w:val="bullet"/>
      <w:lvlText w:val="•"/>
      <w:lvlJc w:val="left"/>
      <w:pPr>
        <w:tabs>
          <w:tab w:val="num" w:pos="720"/>
        </w:tabs>
        <w:ind w:left="720" w:hanging="360"/>
      </w:pPr>
      <w:rPr>
        <w:rFonts w:ascii="Arial" w:hAnsi="Arial" w:hint="default"/>
      </w:rPr>
    </w:lvl>
    <w:lvl w:ilvl="1" w:tplc="E2101E12">
      <w:start w:val="1379"/>
      <w:numFmt w:val="bullet"/>
      <w:lvlText w:val="•"/>
      <w:lvlJc w:val="left"/>
      <w:pPr>
        <w:tabs>
          <w:tab w:val="num" w:pos="1440"/>
        </w:tabs>
        <w:ind w:left="1440" w:hanging="360"/>
      </w:pPr>
      <w:rPr>
        <w:rFonts w:ascii="Arial" w:hAnsi="Arial" w:hint="default"/>
      </w:rPr>
    </w:lvl>
    <w:lvl w:ilvl="2" w:tplc="E8F80C06" w:tentative="1">
      <w:start w:val="1"/>
      <w:numFmt w:val="bullet"/>
      <w:lvlText w:val="•"/>
      <w:lvlJc w:val="left"/>
      <w:pPr>
        <w:tabs>
          <w:tab w:val="num" w:pos="2160"/>
        </w:tabs>
        <w:ind w:left="2160" w:hanging="360"/>
      </w:pPr>
      <w:rPr>
        <w:rFonts w:ascii="Arial" w:hAnsi="Arial" w:hint="default"/>
      </w:rPr>
    </w:lvl>
    <w:lvl w:ilvl="3" w:tplc="9FA0599C" w:tentative="1">
      <w:start w:val="1"/>
      <w:numFmt w:val="bullet"/>
      <w:lvlText w:val="•"/>
      <w:lvlJc w:val="left"/>
      <w:pPr>
        <w:tabs>
          <w:tab w:val="num" w:pos="2880"/>
        </w:tabs>
        <w:ind w:left="2880" w:hanging="360"/>
      </w:pPr>
      <w:rPr>
        <w:rFonts w:ascii="Arial" w:hAnsi="Arial" w:hint="default"/>
      </w:rPr>
    </w:lvl>
    <w:lvl w:ilvl="4" w:tplc="21447FDE" w:tentative="1">
      <w:start w:val="1"/>
      <w:numFmt w:val="bullet"/>
      <w:lvlText w:val="•"/>
      <w:lvlJc w:val="left"/>
      <w:pPr>
        <w:tabs>
          <w:tab w:val="num" w:pos="3600"/>
        </w:tabs>
        <w:ind w:left="3600" w:hanging="360"/>
      </w:pPr>
      <w:rPr>
        <w:rFonts w:ascii="Arial" w:hAnsi="Arial" w:hint="default"/>
      </w:rPr>
    </w:lvl>
    <w:lvl w:ilvl="5" w:tplc="04AC8F12" w:tentative="1">
      <w:start w:val="1"/>
      <w:numFmt w:val="bullet"/>
      <w:lvlText w:val="•"/>
      <w:lvlJc w:val="left"/>
      <w:pPr>
        <w:tabs>
          <w:tab w:val="num" w:pos="4320"/>
        </w:tabs>
        <w:ind w:left="4320" w:hanging="360"/>
      </w:pPr>
      <w:rPr>
        <w:rFonts w:ascii="Arial" w:hAnsi="Arial" w:hint="default"/>
      </w:rPr>
    </w:lvl>
    <w:lvl w:ilvl="6" w:tplc="0EA4F360" w:tentative="1">
      <w:start w:val="1"/>
      <w:numFmt w:val="bullet"/>
      <w:lvlText w:val="•"/>
      <w:lvlJc w:val="left"/>
      <w:pPr>
        <w:tabs>
          <w:tab w:val="num" w:pos="5040"/>
        </w:tabs>
        <w:ind w:left="5040" w:hanging="360"/>
      </w:pPr>
      <w:rPr>
        <w:rFonts w:ascii="Arial" w:hAnsi="Arial" w:hint="default"/>
      </w:rPr>
    </w:lvl>
    <w:lvl w:ilvl="7" w:tplc="6354E420" w:tentative="1">
      <w:start w:val="1"/>
      <w:numFmt w:val="bullet"/>
      <w:lvlText w:val="•"/>
      <w:lvlJc w:val="left"/>
      <w:pPr>
        <w:tabs>
          <w:tab w:val="num" w:pos="5760"/>
        </w:tabs>
        <w:ind w:left="5760" w:hanging="360"/>
      </w:pPr>
      <w:rPr>
        <w:rFonts w:ascii="Arial" w:hAnsi="Arial" w:hint="default"/>
      </w:rPr>
    </w:lvl>
    <w:lvl w:ilvl="8" w:tplc="3D207154" w:tentative="1">
      <w:start w:val="1"/>
      <w:numFmt w:val="bullet"/>
      <w:lvlText w:val="•"/>
      <w:lvlJc w:val="left"/>
      <w:pPr>
        <w:tabs>
          <w:tab w:val="num" w:pos="6480"/>
        </w:tabs>
        <w:ind w:left="6480" w:hanging="360"/>
      </w:pPr>
      <w:rPr>
        <w:rFonts w:ascii="Arial" w:hAnsi="Arial" w:hint="default"/>
      </w:rPr>
    </w:lvl>
  </w:abstractNum>
  <w:abstractNum w:abstractNumId="3">
    <w:nsid w:val="138209CD"/>
    <w:multiLevelType w:val="hybridMultilevel"/>
    <w:tmpl w:val="5F803FF6"/>
    <w:lvl w:ilvl="0" w:tplc="51E8988E">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51C096B"/>
    <w:multiLevelType w:val="hybridMultilevel"/>
    <w:tmpl w:val="09824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8DF6406"/>
    <w:multiLevelType w:val="hybridMultilevel"/>
    <w:tmpl w:val="937EEC92"/>
    <w:lvl w:ilvl="0" w:tplc="51E8988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94200F3"/>
    <w:multiLevelType w:val="hybridMultilevel"/>
    <w:tmpl w:val="20ACE73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7">
    <w:nsid w:val="363B2807"/>
    <w:multiLevelType w:val="hybridMultilevel"/>
    <w:tmpl w:val="B35A380C"/>
    <w:lvl w:ilvl="0" w:tplc="51E8988E">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99F508A"/>
    <w:multiLevelType w:val="hybridMultilevel"/>
    <w:tmpl w:val="E68402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3EC3023F"/>
    <w:multiLevelType w:val="hybridMultilevel"/>
    <w:tmpl w:val="D5F6D9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43874445"/>
    <w:multiLevelType w:val="hybridMultilevel"/>
    <w:tmpl w:val="78DE58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479732A5"/>
    <w:multiLevelType w:val="hybridMultilevel"/>
    <w:tmpl w:val="485EBE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546979EE"/>
    <w:multiLevelType w:val="hybridMultilevel"/>
    <w:tmpl w:val="F6AE28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6D03BBC"/>
    <w:multiLevelType w:val="hybridMultilevel"/>
    <w:tmpl w:val="B0B48C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808008E"/>
    <w:multiLevelType w:val="hybridMultilevel"/>
    <w:tmpl w:val="FBC8E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33F2411"/>
    <w:multiLevelType w:val="hybridMultilevel"/>
    <w:tmpl w:val="B4BE6C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69355129"/>
    <w:multiLevelType w:val="hybridMultilevel"/>
    <w:tmpl w:val="9B12903A"/>
    <w:lvl w:ilvl="0" w:tplc="51E8988E">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B9861E2"/>
    <w:multiLevelType w:val="multilevel"/>
    <w:tmpl w:val="CC209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36826C9"/>
    <w:multiLevelType w:val="hybridMultilevel"/>
    <w:tmpl w:val="5C4C4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3915A60"/>
    <w:multiLevelType w:val="hybridMultilevel"/>
    <w:tmpl w:val="C06ECA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7CE52617"/>
    <w:multiLevelType w:val="hybridMultilevel"/>
    <w:tmpl w:val="C3005522"/>
    <w:lvl w:ilvl="0" w:tplc="0409000F">
      <w:start w:val="1"/>
      <w:numFmt w:val="decimal"/>
      <w:lvlText w:val="%1."/>
      <w:lvlJc w:val="lef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7F3157C0"/>
    <w:multiLevelType w:val="multilevel"/>
    <w:tmpl w:val="45ECD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4"/>
  </w:num>
  <w:num w:numId="3">
    <w:abstractNumId w:val="4"/>
  </w:num>
  <w:num w:numId="4">
    <w:abstractNumId w:val="10"/>
  </w:num>
  <w:num w:numId="5">
    <w:abstractNumId w:val="18"/>
  </w:num>
  <w:num w:numId="6">
    <w:abstractNumId w:val="13"/>
  </w:num>
  <w:num w:numId="7">
    <w:abstractNumId w:val="15"/>
  </w:num>
  <w:num w:numId="8">
    <w:abstractNumId w:val="11"/>
  </w:num>
  <w:num w:numId="9">
    <w:abstractNumId w:val="19"/>
  </w:num>
  <w:num w:numId="10">
    <w:abstractNumId w:val="1"/>
  </w:num>
  <w:num w:numId="11">
    <w:abstractNumId w:val="9"/>
  </w:num>
  <w:num w:numId="12">
    <w:abstractNumId w:val="17"/>
  </w:num>
  <w:num w:numId="13">
    <w:abstractNumId w:val="5"/>
  </w:num>
  <w:num w:numId="14">
    <w:abstractNumId w:val="16"/>
  </w:num>
  <w:num w:numId="15">
    <w:abstractNumId w:val="3"/>
  </w:num>
  <w:num w:numId="16">
    <w:abstractNumId w:val="7"/>
  </w:num>
  <w:num w:numId="17">
    <w:abstractNumId w:val="12"/>
  </w:num>
  <w:num w:numId="18">
    <w:abstractNumId w:val="2"/>
  </w:num>
  <w:num w:numId="19">
    <w:abstractNumId w:val="21"/>
  </w:num>
  <w:num w:numId="20">
    <w:abstractNumId w:val="20"/>
  </w:num>
  <w:num w:numId="21">
    <w:abstractNumId w:val="0"/>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61C"/>
    <w:rsid w:val="0000210B"/>
    <w:rsid w:val="0000232F"/>
    <w:rsid w:val="000025BC"/>
    <w:rsid w:val="000036D4"/>
    <w:rsid w:val="00003A79"/>
    <w:rsid w:val="000047FA"/>
    <w:rsid w:val="0000614A"/>
    <w:rsid w:val="00010FD9"/>
    <w:rsid w:val="0001170C"/>
    <w:rsid w:val="00014D3D"/>
    <w:rsid w:val="0001656B"/>
    <w:rsid w:val="00022407"/>
    <w:rsid w:val="000244D1"/>
    <w:rsid w:val="0002556B"/>
    <w:rsid w:val="00035BEC"/>
    <w:rsid w:val="00036038"/>
    <w:rsid w:val="00036C19"/>
    <w:rsid w:val="00036C43"/>
    <w:rsid w:val="000377AB"/>
    <w:rsid w:val="00040629"/>
    <w:rsid w:val="00041A23"/>
    <w:rsid w:val="0004306A"/>
    <w:rsid w:val="00046B89"/>
    <w:rsid w:val="00050F82"/>
    <w:rsid w:val="00051BEE"/>
    <w:rsid w:val="00052512"/>
    <w:rsid w:val="000633BA"/>
    <w:rsid w:val="00064CF7"/>
    <w:rsid w:val="00065FE7"/>
    <w:rsid w:val="000661DE"/>
    <w:rsid w:val="00067C17"/>
    <w:rsid w:val="00067E6D"/>
    <w:rsid w:val="0007142E"/>
    <w:rsid w:val="00071448"/>
    <w:rsid w:val="00072FCB"/>
    <w:rsid w:val="0007433D"/>
    <w:rsid w:val="00074CAF"/>
    <w:rsid w:val="0008345F"/>
    <w:rsid w:val="0008645A"/>
    <w:rsid w:val="00086891"/>
    <w:rsid w:val="00091617"/>
    <w:rsid w:val="000919B4"/>
    <w:rsid w:val="00094F57"/>
    <w:rsid w:val="000A0056"/>
    <w:rsid w:val="000A0A82"/>
    <w:rsid w:val="000A4899"/>
    <w:rsid w:val="000A713B"/>
    <w:rsid w:val="000B01B3"/>
    <w:rsid w:val="000B1736"/>
    <w:rsid w:val="000B1CDA"/>
    <w:rsid w:val="000B2744"/>
    <w:rsid w:val="000B3D57"/>
    <w:rsid w:val="000B6187"/>
    <w:rsid w:val="000B7F18"/>
    <w:rsid w:val="000C7095"/>
    <w:rsid w:val="000C7C79"/>
    <w:rsid w:val="000D05B0"/>
    <w:rsid w:val="000D0BC9"/>
    <w:rsid w:val="000D35D1"/>
    <w:rsid w:val="000D47BE"/>
    <w:rsid w:val="000D6009"/>
    <w:rsid w:val="000D6077"/>
    <w:rsid w:val="000E1867"/>
    <w:rsid w:val="000E2D95"/>
    <w:rsid w:val="000E55AA"/>
    <w:rsid w:val="000E59EA"/>
    <w:rsid w:val="000E63F7"/>
    <w:rsid w:val="000F0F51"/>
    <w:rsid w:val="000F3354"/>
    <w:rsid w:val="000F43CB"/>
    <w:rsid w:val="000F5385"/>
    <w:rsid w:val="000F5A2C"/>
    <w:rsid w:val="00100831"/>
    <w:rsid w:val="00100B3B"/>
    <w:rsid w:val="00102187"/>
    <w:rsid w:val="001027AD"/>
    <w:rsid w:val="00111699"/>
    <w:rsid w:val="0011200F"/>
    <w:rsid w:val="001122E2"/>
    <w:rsid w:val="001145F3"/>
    <w:rsid w:val="001146D0"/>
    <w:rsid w:val="00114E82"/>
    <w:rsid w:val="00115429"/>
    <w:rsid w:val="00115A11"/>
    <w:rsid w:val="0011778F"/>
    <w:rsid w:val="00121BE2"/>
    <w:rsid w:val="00121F83"/>
    <w:rsid w:val="0012219D"/>
    <w:rsid w:val="00122795"/>
    <w:rsid w:val="00123086"/>
    <w:rsid w:val="001235BA"/>
    <w:rsid w:val="001269FB"/>
    <w:rsid w:val="00127E3D"/>
    <w:rsid w:val="001325E6"/>
    <w:rsid w:val="00132B80"/>
    <w:rsid w:val="00133280"/>
    <w:rsid w:val="001344D0"/>
    <w:rsid w:val="00136D32"/>
    <w:rsid w:val="0014170F"/>
    <w:rsid w:val="00142EEC"/>
    <w:rsid w:val="00143DD8"/>
    <w:rsid w:val="00143E0B"/>
    <w:rsid w:val="00143EEE"/>
    <w:rsid w:val="0014416B"/>
    <w:rsid w:val="00145BA5"/>
    <w:rsid w:val="00147E8E"/>
    <w:rsid w:val="0015168C"/>
    <w:rsid w:val="001516EF"/>
    <w:rsid w:val="00151731"/>
    <w:rsid w:val="00151990"/>
    <w:rsid w:val="0015374C"/>
    <w:rsid w:val="0015572F"/>
    <w:rsid w:val="001563CE"/>
    <w:rsid w:val="00156776"/>
    <w:rsid w:val="00160B73"/>
    <w:rsid w:val="00161D26"/>
    <w:rsid w:val="001625A3"/>
    <w:rsid w:val="00167D3F"/>
    <w:rsid w:val="00170CF3"/>
    <w:rsid w:val="00170EFC"/>
    <w:rsid w:val="00172D77"/>
    <w:rsid w:val="001739C1"/>
    <w:rsid w:val="00174E87"/>
    <w:rsid w:val="00175B3E"/>
    <w:rsid w:val="0018048D"/>
    <w:rsid w:val="00181C4C"/>
    <w:rsid w:val="001827E7"/>
    <w:rsid w:val="00184E17"/>
    <w:rsid w:val="00184EE4"/>
    <w:rsid w:val="00186526"/>
    <w:rsid w:val="00186811"/>
    <w:rsid w:val="00186FB1"/>
    <w:rsid w:val="00187ADE"/>
    <w:rsid w:val="00187F2B"/>
    <w:rsid w:val="001901A7"/>
    <w:rsid w:val="00193A7E"/>
    <w:rsid w:val="00193E41"/>
    <w:rsid w:val="001940B9"/>
    <w:rsid w:val="00196D14"/>
    <w:rsid w:val="001A0395"/>
    <w:rsid w:val="001A1EE7"/>
    <w:rsid w:val="001A40ED"/>
    <w:rsid w:val="001B076D"/>
    <w:rsid w:val="001B2128"/>
    <w:rsid w:val="001B284C"/>
    <w:rsid w:val="001B5277"/>
    <w:rsid w:val="001C0186"/>
    <w:rsid w:val="001C09E5"/>
    <w:rsid w:val="001C0E0E"/>
    <w:rsid w:val="001C1A91"/>
    <w:rsid w:val="001C36A9"/>
    <w:rsid w:val="001C40D1"/>
    <w:rsid w:val="001C43EC"/>
    <w:rsid w:val="001C5076"/>
    <w:rsid w:val="001C5E96"/>
    <w:rsid w:val="001C70A7"/>
    <w:rsid w:val="001D06A1"/>
    <w:rsid w:val="001D4542"/>
    <w:rsid w:val="001D5761"/>
    <w:rsid w:val="001D594C"/>
    <w:rsid w:val="001D707F"/>
    <w:rsid w:val="001D74F9"/>
    <w:rsid w:val="001E081C"/>
    <w:rsid w:val="001E19CA"/>
    <w:rsid w:val="001E1F04"/>
    <w:rsid w:val="001E2838"/>
    <w:rsid w:val="001E3D02"/>
    <w:rsid w:val="001F10B6"/>
    <w:rsid w:val="001F20C1"/>
    <w:rsid w:val="001F28A5"/>
    <w:rsid w:val="00201097"/>
    <w:rsid w:val="002013E4"/>
    <w:rsid w:val="00201713"/>
    <w:rsid w:val="00201EA3"/>
    <w:rsid w:val="00203531"/>
    <w:rsid w:val="00205024"/>
    <w:rsid w:val="00206D85"/>
    <w:rsid w:val="00207397"/>
    <w:rsid w:val="002111E5"/>
    <w:rsid w:val="002129CC"/>
    <w:rsid w:val="002148AC"/>
    <w:rsid w:val="0021580E"/>
    <w:rsid w:val="0021581F"/>
    <w:rsid w:val="00215E5F"/>
    <w:rsid w:val="002220FD"/>
    <w:rsid w:val="002235C2"/>
    <w:rsid w:val="00225F83"/>
    <w:rsid w:val="002267A8"/>
    <w:rsid w:val="002305F8"/>
    <w:rsid w:val="002313AA"/>
    <w:rsid w:val="00234812"/>
    <w:rsid w:val="00241BFB"/>
    <w:rsid w:val="00244FC7"/>
    <w:rsid w:val="00245E11"/>
    <w:rsid w:val="002463BC"/>
    <w:rsid w:val="0024682B"/>
    <w:rsid w:val="00246C76"/>
    <w:rsid w:val="00247CEB"/>
    <w:rsid w:val="0025220B"/>
    <w:rsid w:val="00252594"/>
    <w:rsid w:val="00260852"/>
    <w:rsid w:val="00260E18"/>
    <w:rsid w:val="002622CF"/>
    <w:rsid w:val="00262DD1"/>
    <w:rsid w:val="00265399"/>
    <w:rsid w:val="00266752"/>
    <w:rsid w:val="002667CA"/>
    <w:rsid w:val="002741CB"/>
    <w:rsid w:val="002742C5"/>
    <w:rsid w:val="00276EE7"/>
    <w:rsid w:val="00280394"/>
    <w:rsid w:val="00282B94"/>
    <w:rsid w:val="002859DC"/>
    <w:rsid w:val="00285A7F"/>
    <w:rsid w:val="00287367"/>
    <w:rsid w:val="00287BEA"/>
    <w:rsid w:val="00290983"/>
    <w:rsid w:val="00291E16"/>
    <w:rsid w:val="00291F84"/>
    <w:rsid w:val="00292549"/>
    <w:rsid w:val="00292AB0"/>
    <w:rsid w:val="00295DA7"/>
    <w:rsid w:val="00295F10"/>
    <w:rsid w:val="00296509"/>
    <w:rsid w:val="002968E9"/>
    <w:rsid w:val="002978D2"/>
    <w:rsid w:val="002978EF"/>
    <w:rsid w:val="002A1273"/>
    <w:rsid w:val="002A1E03"/>
    <w:rsid w:val="002A38A8"/>
    <w:rsid w:val="002A42A6"/>
    <w:rsid w:val="002A4A0C"/>
    <w:rsid w:val="002A51D1"/>
    <w:rsid w:val="002A56DA"/>
    <w:rsid w:val="002A7711"/>
    <w:rsid w:val="002B0E79"/>
    <w:rsid w:val="002B2978"/>
    <w:rsid w:val="002B4F3A"/>
    <w:rsid w:val="002B50D9"/>
    <w:rsid w:val="002B5262"/>
    <w:rsid w:val="002B573A"/>
    <w:rsid w:val="002C09D6"/>
    <w:rsid w:val="002C21D9"/>
    <w:rsid w:val="002C2DBF"/>
    <w:rsid w:val="002C40F5"/>
    <w:rsid w:val="002C5990"/>
    <w:rsid w:val="002D154B"/>
    <w:rsid w:val="002D1604"/>
    <w:rsid w:val="002D1689"/>
    <w:rsid w:val="002D3517"/>
    <w:rsid w:val="002D37E9"/>
    <w:rsid w:val="002D4783"/>
    <w:rsid w:val="002D4B84"/>
    <w:rsid w:val="002D7C70"/>
    <w:rsid w:val="002E0160"/>
    <w:rsid w:val="002E0B1F"/>
    <w:rsid w:val="002E137B"/>
    <w:rsid w:val="002E1A4B"/>
    <w:rsid w:val="002E217E"/>
    <w:rsid w:val="002E2D71"/>
    <w:rsid w:val="002E3EE4"/>
    <w:rsid w:val="002E4503"/>
    <w:rsid w:val="002E461F"/>
    <w:rsid w:val="002E52A3"/>
    <w:rsid w:val="002E637D"/>
    <w:rsid w:val="002E74F9"/>
    <w:rsid w:val="002E7FFD"/>
    <w:rsid w:val="002F01B7"/>
    <w:rsid w:val="002F0CEF"/>
    <w:rsid w:val="002F4EDB"/>
    <w:rsid w:val="002F57CE"/>
    <w:rsid w:val="002F5E4C"/>
    <w:rsid w:val="002F6D2F"/>
    <w:rsid w:val="002F705A"/>
    <w:rsid w:val="00300E45"/>
    <w:rsid w:val="00301287"/>
    <w:rsid w:val="0030205E"/>
    <w:rsid w:val="0030285C"/>
    <w:rsid w:val="00303B34"/>
    <w:rsid w:val="00305CCF"/>
    <w:rsid w:val="003062D3"/>
    <w:rsid w:val="00307593"/>
    <w:rsid w:val="00311559"/>
    <w:rsid w:val="00312076"/>
    <w:rsid w:val="00312C1A"/>
    <w:rsid w:val="003143F4"/>
    <w:rsid w:val="0031497A"/>
    <w:rsid w:val="00315EDB"/>
    <w:rsid w:val="003178F6"/>
    <w:rsid w:val="00320DFE"/>
    <w:rsid w:val="00321D63"/>
    <w:rsid w:val="00322C6D"/>
    <w:rsid w:val="00323B20"/>
    <w:rsid w:val="00325533"/>
    <w:rsid w:val="00326121"/>
    <w:rsid w:val="0032712B"/>
    <w:rsid w:val="00331BC1"/>
    <w:rsid w:val="00332B4F"/>
    <w:rsid w:val="0033389A"/>
    <w:rsid w:val="00334A68"/>
    <w:rsid w:val="00336B50"/>
    <w:rsid w:val="00337133"/>
    <w:rsid w:val="00340905"/>
    <w:rsid w:val="00340B39"/>
    <w:rsid w:val="00342263"/>
    <w:rsid w:val="00342D27"/>
    <w:rsid w:val="003431CB"/>
    <w:rsid w:val="003435FA"/>
    <w:rsid w:val="00343FFE"/>
    <w:rsid w:val="00350295"/>
    <w:rsid w:val="00350B89"/>
    <w:rsid w:val="003512DC"/>
    <w:rsid w:val="00353354"/>
    <w:rsid w:val="00353403"/>
    <w:rsid w:val="00355DE2"/>
    <w:rsid w:val="0035657F"/>
    <w:rsid w:val="00356CFC"/>
    <w:rsid w:val="00356E6D"/>
    <w:rsid w:val="003576FD"/>
    <w:rsid w:val="003607CE"/>
    <w:rsid w:val="003617BC"/>
    <w:rsid w:val="003622FD"/>
    <w:rsid w:val="00362F40"/>
    <w:rsid w:val="00363075"/>
    <w:rsid w:val="0036572E"/>
    <w:rsid w:val="00366492"/>
    <w:rsid w:val="00375CAA"/>
    <w:rsid w:val="00376127"/>
    <w:rsid w:val="00382882"/>
    <w:rsid w:val="00383421"/>
    <w:rsid w:val="00385CD2"/>
    <w:rsid w:val="0038659A"/>
    <w:rsid w:val="00390E79"/>
    <w:rsid w:val="00391285"/>
    <w:rsid w:val="00393393"/>
    <w:rsid w:val="003949C3"/>
    <w:rsid w:val="003954A8"/>
    <w:rsid w:val="003A0454"/>
    <w:rsid w:val="003A30BC"/>
    <w:rsid w:val="003A4184"/>
    <w:rsid w:val="003A45B2"/>
    <w:rsid w:val="003A64C6"/>
    <w:rsid w:val="003A6E01"/>
    <w:rsid w:val="003A7D29"/>
    <w:rsid w:val="003B02C3"/>
    <w:rsid w:val="003B20A2"/>
    <w:rsid w:val="003B3048"/>
    <w:rsid w:val="003B3229"/>
    <w:rsid w:val="003B3B44"/>
    <w:rsid w:val="003B610F"/>
    <w:rsid w:val="003B7148"/>
    <w:rsid w:val="003C26B4"/>
    <w:rsid w:val="003C6ED4"/>
    <w:rsid w:val="003C795D"/>
    <w:rsid w:val="003C7A76"/>
    <w:rsid w:val="003D051F"/>
    <w:rsid w:val="003D2E79"/>
    <w:rsid w:val="003D3113"/>
    <w:rsid w:val="003D4F41"/>
    <w:rsid w:val="003D6BB9"/>
    <w:rsid w:val="003E30FA"/>
    <w:rsid w:val="003E43E7"/>
    <w:rsid w:val="003F0961"/>
    <w:rsid w:val="003F0A74"/>
    <w:rsid w:val="003F0B70"/>
    <w:rsid w:val="003F474E"/>
    <w:rsid w:val="003F5474"/>
    <w:rsid w:val="003F7CC1"/>
    <w:rsid w:val="00402573"/>
    <w:rsid w:val="00402CE2"/>
    <w:rsid w:val="004037F1"/>
    <w:rsid w:val="00404BA6"/>
    <w:rsid w:val="00404F8D"/>
    <w:rsid w:val="004063F0"/>
    <w:rsid w:val="00406731"/>
    <w:rsid w:val="00407BDE"/>
    <w:rsid w:val="00410E1D"/>
    <w:rsid w:val="00414D01"/>
    <w:rsid w:val="00415681"/>
    <w:rsid w:val="004176E4"/>
    <w:rsid w:val="00426315"/>
    <w:rsid w:val="00426C88"/>
    <w:rsid w:val="00427073"/>
    <w:rsid w:val="00427D5A"/>
    <w:rsid w:val="0043199E"/>
    <w:rsid w:val="00431A45"/>
    <w:rsid w:val="0043214D"/>
    <w:rsid w:val="00434E8D"/>
    <w:rsid w:val="00436176"/>
    <w:rsid w:val="0043747A"/>
    <w:rsid w:val="00437A21"/>
    <w:rsid w:val="00441B76"/>
    <w:rsid w:val="00442E75"/>
    <w:rsid w:val="004432C5"/>
    <w:rsid w:val="0044366C"/>
    <w:rsid w:val="00443724"/>
    <w:rsid w:val="004437EC"/>
    <w:rsid w:val="00443CA5"/>
    <w:rsid w:val="00443ECF"/>
    <w:rsid w:val="0045161C"/>
    <w:rsid w:val="00452C6E"/>
    <w:rsid w:val="00455459"/>
    <w:rsid w:val="00455599"/>
    <w:rsid w:val="004555CD"/>
    <w:rsid w:val="00455A3C"/>
    <w:rsid w:val="004612AA"/>
    <w:rsid w:val="004624E1"/>
    <w:rsid w:val="0046428F"/>
    <w:rsid w:val="00464BF6"/>
    <w:rsid w:val="00464F32"/>
    <w:rsid w:val="00465841"/>
    <w:rsid w:val="00467CD6"/>
    <w:rsid w:val="0047249A"/>
    <w:rsid w:val="00474C8B"/>
    <w:rsid w:val="0047665A"/>
    <w:rsid w:val="00477058"/>
    <w:rsid w:val="0047764F"/>
    <w:rsid w:val="00477F50"/>
    <w:rsid w:val="00480536"/>
    <w:rsid w:val="00480611"/>
    <w:rsid w:val="004814C5"/>
    <w:rsid w:val="004817B3"/>
    <w:rsid w:val="004817E4"/>
    <w:rsid w:val="00486703"/>
    <w:rsid w:val="004874CF"/>
    <w:rsid w:val="004916B3"/>
    <w:rsid w:val="00491C80"/>
    <w:rsid w:val="004931A0"/>
    <w:rsid w:val="004973B0"/>
    <w:rsid w:val="004A0363"/>
    <w:rsid w:val="004A0B49"/>
    <w:rsid w:val="004A7343"/>
    <w:rsid w:val="004B0FC6"/>
    <w:rsid w:val="004B2040"/>
    <w:rsid w:val="004B2CC1"/>
    <w:rsid w:val="004B3A64"/>
    <w:rsid w:val="004B4555"/>
    <w:rsid w:val="004B5C02"/>
    <w:rsid w:val="004B5D05"/>
    <w:rsid w:val="004B71B0"/>
    <w:rsid w:val="004B78D3"/>
    <w:rsid w:val="004C137A"/>
    <w:rsid w:val="004C272E"/>
    <w:rsid w:val="004C2B0D"/>
    <w:rsid w:val="004C379D"/>
    <w:rsid w:val="004C3B91"/>
    <w:rsid w:val="004C6685"/>
    <w:rsid w:val="004D07A5"/>
    <w:rsid w:val="004D3F03"/>
    <w:rsid w:val="004D448A"/>
    <w:rsid w:val="004D7EF4"/>
    <w:rsid w:val="004E0226"/>
    <w:rsid w:val="004E1E29"/>
    <w:rsid w:val="004E41BB"/>
    <w:rsid w:val="004E5696"/>
    <w:rsid w:val="004E56F3"/>
    <w:rsid w:val="004E6933"/>
    <w:rsid w:val="004E6C4D"/>
    <w:rsid w:val="004F090C"/>
    <w:rsid w:val="004F2635"/>
    <w:rsid w:val="004F6162"/>
    <w:rsid w:val="004F7ECA"/>
    <w:rsid w:val="005024AA"/>
    <w:rsid w:val="00502818"/>
    <w:rsid w:val="00502F08"/>
    <w:rsid w:val="00502FF9"/>
    <w:rsid w:val="00503867"/>
    <w:rsid w:val="0050395D"/>
    <w:rsid w:val="00504F03"/>
    <w:rsid w:val="00505CA9"/>
    <w:rsid w:val="005070F6"/>
    <w:rsid w:val="005073BE"/>
    <w:rsid w:val="005113E2"/>
    <w:rsid w:val="00511400"/>
    <w:rsid w:val="00511918"/>
    <w:rsid w:val="00511B83"/>
    <w:rsid w:val="00512916"/>
    <w:rsid w:val="00512FC5"/>
    <w:rsid w:val="0051301D"/>
    <w:rsid w:val="0051365A"/>
    <w:rsid w:val="00514536"/>
    <w:rsid w:val="0051531C"/>
    <w:rsid w:val="00516AD5"/>
    <w:rsid w:val="00517F51"/>
    <w:rsid w:val="005227A3"/>
    <w:rsid w:val="00523108"/>
    <w:rsid w:val="005254AD"/>
    <w:rsid w:val="005262BA"/>
    <w:rsid w:val="0052689C"/>
    <w:rsid w:val="0052704B"/>
    <w:rsid w:val="00527275"/>
    <w:rsid w:val="0052729D"/>
    <w:rsid w:val="005278B5"/>
    <w:rsid w:val="00527A72"/>
    <w:rsid w:val="005315AA"/>
    <w:rsid w:val="00531865"/>
    <w:rsid w:val="00531C32"/>
    <w:rsid w:val="00534CB8"/>
    <w:rsid w:val="00535BC8"/>
    <w:rsid w:val="00545128"/>
    <w:rsid w:val="00545575"/>
    <w:rsid w:val="005455C9"/>
    <w:rsid w:val="00546F38"/>
    <w:rsid w:val="00550412"/>
    <w:rsid w:val="00553368"/>
    <w:rsid w:val="0055347B"/>
    <w:rsid w:val="00553788"/>
    <w:rsid w:val="00553B79"/>
    <w:rsid w:val="00554BBD"/>
    <w:rsid w:val="00557805"/>
    <w:rsid w:val="0056197C"/>
    <w:rsid w:val="00561F34"/>
    <w:rsid w:val="005664D5"/>
    <w:rsid w:val="005724F3"/>
    <w:rsid w:val="005731DE"/>
    <w:rsid w:val="00573A2D"/>
    <w:rsid w:val="005740EB"/>
    <w:rsid w:val="00580248"/>
    <w:rsid w:val="005802C4"/>
    <w:rsid w:val="00580F46"/>
    <w:rsid w:val="00581642"/>
    <w:rsid w:val="00585563"/>
    <w:rsid w:val="00585872"/>
    <w:rsid w:val="00586F43"/>
    <w:rsid w:val="00592B53"/>
    <w:rsid w:val="00596B56"/>
    <w:rsid w:val="005A0D27"/>
    <w:rsid w:val="005A20E6"/>
    <w:rsid w:val="005A524C"/>
    <w:rsid w:val="005B197A"/>
    <w:rsid w:val="005B4D83"/>
    <w:rsid w:val="005C07DE"/>
    <w:rsid w:val="005C46EA"/>
    <w:rsid w:val="005D1710"/>
    <w:rsid w:val="005D199B"/>
    <w:rsid w:val="005D4ABF"/>
    <w:rsid w:val="005D63EA"/>
    <w:rsid w:val="005D6E76"/>
    <w:rsid w:val="005D70E9"/>
    <w:rsid w:val="005D7118"/>
    <w:rsid w:val="005E094F"/>
    <w:rsid w:val="005E2DD4"/>
    <w:rsid w:val="005E3EB4"/>
    <w:rsid w:val="005E3F4A"/>
    <w:rsid w:val="005E5AB4"/>
    <w:rsid w:val="005E5E33"/>
    <w:rsid w:val="005E6B92"/>
    <w:rsid w:val="005F1474"/>
    <w:rsid w:val="005F51B1"/>
    <w:rsid w:val="005F5224"/>
    <w:rsid w:val="005F5386"/>
    <w:rsid w:val="005F5715"/>
    <w:rsid w:val="005F7C82"/>
    <w:rsid w:val="00600702"/>
    <w:rsid w:val="006035C3"/>
    <w:rsid w:val="00604B37"/>
    <w:rsid w:val="00606ED3"/>
    <w:rsid w:val="00610E35"/>
    <w:rsid w:val="00613CEF"/>
    <w:rsid w:val="006207BA"/>
    <w:rsid w:val="0062223F"/>
    <w:rsid w:val="006230A2"/>
    <w:rsid w:val="00623694"/>
    <w:rsid w:val="00623FBB"/>
    <w:rsid w:val="006261BA"/>
    <w:rsid w:val="0062683B"/>
    <w:rsid w:val="00632362"/>
    <w:rsid w:val="006326AC"/>
    <w:rsid w:val="006339AE"/>
    <w:rsid w:val="00633D88"/>
    <w:rsid w:val="006344C8"/>
    <w:rsid w:val="00637FA9"/>
    <w:rsid w:val="006420C0"/>
    <w:rsid w:val="00644549"/>
    <w:rsid w:val="00644A44"/>
    <w:rsid w:val="00644DEB"/>
    <w:rsid w:val="00645586"/>
    <w:rsid w:val="00651FD0"/>
    <w:rsid w:val="00656FC3"/>
    <w:rsid w:val="00662775"/>
    <w:rsid w:val="0066496F"/>
    <w:rsid w:val="00664F0C"/>
    <w:rsid w:val="00667BC2"/>
    <w:rsid w:val="00667E9D"/>
    <w:rsid w:val="0067368B"/>
    <w:rsid w:val="006745CF"/>
    <w:rsid w:val="006746D1"/>
    <w:rsid w:val="00674B87"/>
    <w:rsid w:val="006758F4"/>
    <w:rsid w:val="00675EAA"/>
    <w:rsid w:val="00676AE4"/>
    <w:rsid w:val="00677D5C"/>
    <w:rsid w:val="00681AE1"/>
    <w:rsid w:val="006821CC"/>
    <w:rsid w:val="0068394C"/>
    <w:rsid w:val="006863F7"/>
    <w:rsid w:val="00686AD1"/>
    <w:rsid w:val="00687C43"/>
    <w:rsid w:val="00687FC7"/>
    <w:rsid w:val="00691481"/>
    <w:rsid w:val="0069191A"/>
    <w:rsid w:val="006943AB"/>
    <w:rsid w:val="0069469C"/>
    <w:rsid w:val="00694C67"/>
    <w:rsid w:val="0069711C"/>
    <w:rsid w:val="006A2421"/>
    <w:rsid w:val="006A25A8"/>
    <w:rsid w:val="006A3162"/>
    <w:rsid w:val="006A3199"/>
    <w:rsid w:val="006A5D0E"/>
    <w:rsid w:val="006B0437"/>
    <w:rsid w:val="006B0EE3"/>
    <w:rsid w:val="006B46B9"/>
    <w:rsid w:val="006B4F86"/>
    <w:rsid w:val="006C0A40"/>
    <w:rsid w:val="006C0D2F"/>
    <w:rsid w:val="006C307C"/>
    <w:rsid w:val="006C36B8"/>
    <w:rsid w:val="006C400E"/>
    <w:rsid w:val="006C5C50"/>
    <w:rsid w:val="006C65DA"/>
    <w:rsid w:val="006C6C1F"/>
    <w:rsid w:val="006D0283"/>
    <w:rsid w:val="006D10D4"/>
    <w:rsid w:val="006D11BA"/>
    <w:rsid w:val="006D2330"/>
    <w:rsid w:val="006D2E6D"/>
    <w:rsid w:val="006D3B04"/>
    <w:rsid w:val="006D3D8B"/>
    <w:rsid w:val="006D565D"/>
    <w:rsid w:val="006D6EA3"/>
    <w:rsid w:val="006E0463"/>
    <w:rsid w:val="006E0830"/>
    <w:rsid w:val="006E3D4F"/>
    <w:rsid w:val="006E6BCD"/>
    <w:rsid w:val="006F128B"/>
    <w:rsid w:val="006F2EDD"/>
    <w:rsid w:val="006F3207"/>
    <w:rsid w:val="006F4475"/>
    <w:rsid w:val="006F5DC0"/>
    <w:rsid w:val="006F6B29"/>
    <w:rsid w:val="0070393B"/>
    <w:rsid w:val="00705288"/>
    <w:rsid w:val="00705D4E"/>
    <w:rsid w:val="00707BFC"/>
    <w:rsid w:val="00707CE7"/>
    <w:rsid w:val="007116C7"/>
    <w:rsid w:val="007165B3"/>
    <w:rsid w:val="00721F71"/>
    <w:rsid w:val="00725BE9"/>
    <w:rsid w:val="00731E1B"/>
    <w:rsid w:val="00731E6A"/>
    <w:rsid w:val="0073378E"/>
    <w:rsid w:val="007349D2"/>
    <w:rsid w:val="007377B8"/>
    <w:rsid w:val="00737812"/>
    <w:rsid w:val="007404F4"/>
    <w:rsid w:val="00744D5F"/>
    <w:rsid w:val="007451BC"/>
    <w:rsid w:val="00745E76"/>
    <w:rsid w:val="007507D7"/>
    <w:rsid w:val="00750AE1"/>
    <w:rsid w:val="00751C3B"/>
    <w:rsid w:val="00755380"/>
    <w:rsid w:val="007554FD"/>
    <w:rsid w:val="00756BB1"/>
    <w:rsid w:val="00756CCD"/>
    <w:rsid w:val="00757237"/>
    <w:rsid w:val="007601F6"/>
    <w:rsid w:val="00763931"/>
    <w:rsid w:val="00764CB4"/>
    <w:rsid w:val="0076500C"/>
    <w:rsid w:val="007657A6"/>
    <w:rsid w:val="0076588F"/>
    <w:rsid w:val="00765C50"/>
    <w:rsid w:val="00766E9C"/>
    <w:rsid w:val="0077104F"/>
    <w:rsid w:val="00772136"/>
    <w:rsid w:val="0077320E"/>
    <w:rsid w:val="0077626F"/>
    <w:rsid w:val="00777286"/>
    <w:rsid w:val="00780CBE"/>
    <w:rsid w:val="00781703"/>
    <w:rsid w:val="00782030"/>
    <w:rsid w:val="0078240F"/>
    <w:rsid w:val="00782760"/>
    <w:rsid w:val="007831B1"/>
    <w:rsid w:val="00783C24"/>
    <w:rsid w:val="00783DED"/>
    <w:rsid w:val="007850F4"/>
    <w:rsid w:val="00787C4C"/>
    <w:rsid w:val="00794790"/>
    <w:rsid w:val="007A161F"/>
    <w:rsid w:val="007A2E41"/>
    <w:rsid w:val="007A5423"/>
    <w:rsid w:val="007A556A"/>
    <w:rsid w:val="007A5AF2"/>
    <w:rsid w:val="007A720D"/>
    <w:rsid w:val="007B2D0C"/>
    <w:rsid w:val="007B41FD"/>
    <w:rsid w:val="007B5B33"/>
    <w:rsid w:val="007B61C4"/>
    <w:rsid w:val="007B7568"/>
    <w:rsid w:val="007C0292"/>
    <w:rsid w:val="007C0825"/>
    <w:rsid w:val="007C134F"/>
    <w:rsid w:val="007C13BC"/>
    <w:rsid w:val="007C30B6"/>
    <w:rsid w:val="007D2583"/>
    <w:rsid w:val="007D2BEE"/>
    <w:rsid w:val="007D3325"/>
    <w:rsid w:val="007D4525"/>
    <w:rsid w:val="007D53C3"/>
    <w:rsid w:val="007D6C88"/>
    <w:rsid w:val="007D7989"/>
    <w:rsid w:val="007E102B"/>
    <w:rsid w:val="007E1AAB"/>
    <w:rsid w:val="007E205B"/>
    <w:rsid w:val="007E24B3"/>
    <w:rsid w:val="007E279E"/>
    <w:rsid w:val="007E286E"/>
    <w:rsid w:val="007E445B"/>
    <w:rsid w:val="007F2BE1"/>
    <w:rsid w:val="007F2CDF"/>
    <w:rsid w:val="007F383F"/>
    <w:rsid w:val="007F42C2"/>
    <w:rsid w:val="007F5428"/>
    <w:rsid w:val="007F66A1"/>
    <w:rsid w:val="007F6FBA"/>
    <w:rsid w:val="007F759F"/>
    <w:rsid w:val="00800EF8"/>
    <w:rsid w:val="00802D7F"/>
    <w:rsid w:val="00805E75"/>
    <w:rsid w:val="008113A1"/>
    <w:rsid w:val="00811E19"/>
    <w:rsid w:val="008125FB"/>
    <w:rsid w:val="0081288B"/>
    <w:rsid w:val="0081511C"/>
    <w:rsid w:val="00815BEB"/>
    <w:rsid w:val="008160AB"/>
    <w:rsid w:val="00816532"/>
    <w:rsid w:val="00816661"/>
    <w:rsid w:val="0082108E"/>
    <w:rsid w:val="008230D4"/>
    <w:rsid w:val="008238E7"/>
    <w:rsid w:val="0082645D"/>
    <w:rsid w:val="008266B0"/>
    <w:rsid w:val="008268CA"/>
    <w:rsid w:val="008308C8"/>
    <w:rsid w:val="00830C2C"/>
    <w:rsid w:val="00831D52"/>
    <w:rsid w:val="00836BA0"/>
    <w:rsid w:val="00837229"/>
    <w:rsid w:val="00837DF4"/>
    <w:rsid w:val="008409AE"/>
    <w:rsid w:val="00840CB3"/>
    <w:rsid w:val="00843CA0"/>
    <w:rsid w:val="008460AC"/>
    <w:rsid w:val="0084749C"/>
    <w:rsid w:val="00851945"/>
    <w:rsid w:val="00851C5C"/>
    <w:rsid w:val="0085323B"/>
    <w:rsid w:val="008537A5"/>
    <w:rsid w:val="00854364"/>
    <w:rsid w:val="00854589"/>
    <w:rsid w:val="00855694"/>
    <w:rsid w:val="00855A3D"/>
    <w:rsid w:val="00860F11"/>
    <w:rsid w:val="00863ACF"/>
    <w:rsid w:val="00866B8D"/>
    <w:rsid w:val="008677EF"/>
    <w:rsid w:val="00870A9F"/>
    <w:rsid w:val="00871D07"/>
    <w:rsid w:val="00875DA8"/>
    <w:rsid w:val="0087651F"/>
    <w:rsid w:val="00876FEA"/>
    <w:rsid w:val="0088126D"/>
    <w:rsid w:val="00881BA0"/>
    <w:rsid w:val="00882556"/>
    <w:rsid w:val="008825AF"/>
    <w:rsid w:val="008842E2"/>
    <w:rsid w:val="00886A6E"/>
    <w:rsid w:val="00887438"/>
    <w:rsid w:val="00887720"/>
    <w:rsid w:val="008909E4"/>
    <w:rsid w:val="00890C65"/>
    <w:rsid w:val="00890FD0"/>
    <w:rsid w:val="0089143D"/>
    <w:rsid w:val="0089154B"/>
    <w:rsid w:val="00893965"/>
    <w:rsid w:val="00893CA7"/>
    <w:rsid w:val="00893D91"/>
    <w:rsid w:val="008A0EAB"/>
    <w:rsid w:val="008A23CC"/>
    <w:rsid w:val="008A561F"/>
    <w:rsid w:val="008A6C35"/>
    <w:rsid w:val="008B0038"/>
    <w:rsid w:val="008B1846"/>
    <w:rsid w:val="008B4066"/>
    <w:rsid w:val="008B61E4"/>
    <w:rsid w:val="008B722E"/>
    <w:rsid w:val="008B7D0C"/>
    <w:rsid w:val="008C0652"/>
    <w:rsid w:val="008C2A0F"/>
    <w:rsid w:val="008C34FD"/>
    <w:rsid w:val="008C36E2"/>
    <w:rsid w:val="008C5237"/>
    <w:rsid w:val="008C592C"/>
    <w:rsid w:val="008C766E"/>
    <w:rsid w:val="008C7F60"/>
    <w:rsid w:val="008D16AF"/>
    <w:rsid w:val="008D2437"/>
    <w:rsid w:val="008D4484"/>
    <w:rsid w:val="008D572C"/>
    <w:rsid w:val="008D59D4"/>
    <w:rsid w:val="008D5DAF"/>
    <w:rsid w:val="008D6394"/>
    <w:rsid w:val="008D70C6"/>
    <w:rsid w:val="008D77F0"/>
    <w:rsid w:val="008D7ABA"/>
    <w:rsid w:val="008D7B33"/>
    <w:rsid w:val="008E080F"/>
    <w:rsid w:val="008E2CC5"/>
    <w:rsid w:val="008E352F"/>
    <w:rsid w:val="008E3949"/>
    <w:rsid w:val="008E44F5"/>
    <w:rsid w:val="008E4625"/>
    <w:rsid w:val="008E5343"/>
    <w:rsid w:val="008E65B0"/>
    <w:rsid w:val="008E66B6"/>
    <w:rsid w:val="008E68A2"/>
    <w:rsid w:val="008E6C59"/>
    <w:rsid w:val="008F157E"/>
    <w:rsid w:val="008F251A"/>
    <w:rsid w:val="008F5024"/>
    <w:rsid w:val="008F5E27"/>
    <w:rsid w:val="008F6575"/>
    <w:rsid w:val="00900059"/>
    <w:rsid w:val="009000F6"/>
    <w:rsid w:val="009021FA"/>
    <w:rsid w:val="009066DA"/>
    <w:rsid w:val="00906820"/>
    <w:rsid w:val="0090757C"/>
    <w:rsid w:val="009107E7"/>
    <w:rsid w:val="00911AB9"/>
    <w:rsid w:val="0091434C"/>
    <w:rsid w:val="00914F13"/>
    <w:rsid w:val="009157E5"/>
    <w:rsid w:val="00916628"/>
    <w:rsid w:val="0091688F"/>
    <w:rsid w:val="009168EE"/>
    <w:rsid w:val="0091739A"/>
    <w:rsid w:val="00917645"/>
    <w:rsid w:val="00923197"/>
    <w:rsid w:val="009231AB"/>
    <w:rsid w:val="009248D7"/>
    <w:rsid w:val="00924A9E"/>
    <w:rsid w:val="00924E1F"/>
    <w:rsid w:val="0092500A"/>
    <w:rsid w:val="009269B3"/>
    <w:rsid w:val="00927F51"/>
    <w:rsid w:val="00930B67"/>
    <w:rsid w:val="0093114D"/>
    <w:rsid w:val="00932E03"/>
    <w:rsid w:val="00933FFC"/>
    <w:rsid w:val="00934DAB"/>
    <w:rsid w:val="00937D4C"/>
    <w:rsid w:val="00940D15"/>
    <w:rsid w:val="00940DE5"/>
    <w:rsid w:val="00941DF1"/>
    <w:rsid w:val="00942EA4"/>
    <w:rsid w:val="009466B2"/>
    <w:rsid w:val="0094691B"/>
    <w:rsid w:val="00947801"/>
    <w:rsid w:val="00950A87"/>
    <w:rsid w:val="0095146C"/>
    <w:rsid w:val="009528D2"/>
    <w:rsid w:val="00953ABC"/>
    <w:rsid w:val="00954BFB"/>
    <w:rsid w:val="00955454"/>
    <w:rsid w:val="0095614E"/>
    <w:rsid w:val="00956C57"/>
    <w:rsid w:val="00956C80"/>
    <w:rsid w:val="009612B5"/>
    <w:rsid w:val="009622E6"/>
    <w:rsid w:val="009643E2"/>
    <w:rsid w:val="00964BB9"/>
    <w:rsid w:val="00970653"/>
    <w:rsid w:val="00970BFA"/>
    <w:rsid w:val="00970F9B"/>
    <w:rsid w:val="0097191B"/>
    <w:rsid w:val="00971E91"/>
    <w:rsid w:val="00973EFA"/>
    <w:rsid w:val="0097437B"/>
    <w:rsid w:val="00974DF1"/>
    <w:rsid w:val="00975C49"/>
    <w:rsid w:val="009766E5"/>
    <w:rsid w:val="009767E1"/>
    <w:rsid w:val="00976954"/>
    <w:rsid w:val="009775D9"/>
    <w:rsid w:val="009803D2"/>
    <w:rsid w:val="00980D2E"/>
    <w:rsid w:val="00986EB8"/>
    <w:rsid w:val="00987818"/>
    <w:rsid w:val="00987836"/>
    <w:rsid w:val="00991556"/>
    <w:rsid w:val="009921EF"/>
    <w:rsid w:val="00992E8E"/>
    <w:rsid w:val="00993E88"/>
    <w:rsid w:val="00994923"/>
    <w:rsid w:val="00995CAD"/>
    <w:rsid w:val="0099706E"/>
    <w:rsid w:val="00997512"/>
    <w:rsid w:val="009A207F"/>
    <w:rsid w:val="009A2120"/>
    <w:rsid w:val="009A216C"/>
    <w:rsid w:val="009A45D6"/>
    <w:rsid w:val="009A5270"/>
    <w:rsid w:val="009A5B0C"/>
    <w:rsid w:val="009A74D5"/>
    <w:rsid w:val="009A79E7"/>
    <w:rsid w:val="009B17E8"/>
    <w:rsid w:val="009B328B"/>
    <w:rsid w:val="009B3D57"/>
    <w:rsid w:val="009B43FF"/>
    <w:rsid w:val="009B4495"/>
    <w:rsid w:val="009B4A67"/>
    <w:rsid w:val="009B7346"/>
    <w:rsid w:val="009C113D"/>
    <w:rsid w:val="009C2118"/>
    <w:rsid w:val="009C298D"/>
    <w:rsid w:val="009C3CDD"/>
    <w:rsid w:val="009D1935"/>
    <w:rsid w:val="009D1C64"/>
    <w:rsid w:val="009D31FC"/>
    <w:rsid w:val="009D5663"/>
    <w:rsid w:val="009D56C4"/>
    <w:rsid w:val="009D7583"/>
    <w:rsid w:val="009E04B7"/>
    <w:rsid w:val="009E2C6C"/>
    <w:rsid w:val="009E411B"/>
    <w:rsid w:val="009E54BA"/>
    <w:rsid w:val="009E5AEB"/>
    <w:rsid w:val="009E6E9E"/>
    <w:rsid w:val="009F1F89"/>
    <w:rsid w:val="009F22EC"/>
    <w:rsid w:val="009F26C9"/>
    <w:rsid w:val="009F68D4"/>
    <w:rsid w:val="009F6B9B"/>
    <w:rsid w:val="009F7B0F"/>
    <w:rsid w:val="00A00FB5"/>
    <w:rsid w:val="00A01C47"/>
    <w:rsid w:val="00A12DA8"/>
    <w:rsid w:val="00A12FEC"/>
    <w:rsid w:val="00A1435A"/>
    <w:rsid w:val="00A1612E"/>
    <w:rsid w:val="00A1658B"/>
    <w:rsid w:val="00A16A5F"/>
    <w:rsid w:val="00A1705C"/>
    <w:rsid w:val="00A20064"/>
    <w:rsid w:val="00A2278A"/>
    <w:rsid w:val="00A23810"/>
    <w:rsid w:val="00A244CC"/>
    <w:rsid w:val="00A24CE2"/>
    <w:rsid w:val="00A30B54"/>
    <w:rsid w:val="00A310C7"/>
    <w:rsid w:val="00A321D6"/>
    <w:rsid w:val="00A32B29"/>
    <w:rsid w:val="00A346BE"/>
    <w:rsid w:val="00A36670"/>
    <w:rsid w:val="00A370C6"/>
    <w:rsid w:val="00A40AF4"/>
    <w:rsid w:val="00A40DBF"/>
    <w:rsid w:val="00A41DE3"/>
    <w:rsid w:val="00A4364E"/>
    <w:rsid w:val="00A50D8F"/>
    <w:rsid w:val="00A55E27"/>
    <w:rsid w:val="00A571D5"/>
    <w:rsid w:val="00A60446"/>
    <w:rsid w:val="00A6052E"/>
    <w:rsid w:val="00A62BFB"/>
    <w:rsid w:val="00A63FCE"/>
    <w:rsid w:val="00A64743"/>
    <w:rsid w:val="00A74DA9"/>
    <w:rsid w:val="00A74E42"/>
    <w:rsid w:val="00A75043"/>
    <w:rsid w:val="00A7676E"/>
    <w:rsid w:val="00A77479"/>
    <w:rsid w:val="00A829CA"/>
    <w:rsid w:val="00A86985"/>
    <w:rsid w:val="00A87519"/>
    <w:rsid w:val="00A8752B"/>
    <w:rsid w:val="00A902DA"/>
    <w:rsid w:val="00A913C5"/>
    <w:rsid w:val="00A94123"/>
    <w:rsid w:val="00A9659F"/>
    <w:rsid w:val="00A978FE"/>
    <w:rsid w:val="00A97FD8"/>
    <w:rsid w:val="00AA0BEA"/>
    <w:rsid w:val="00AA104E"/>
    <w:rsid w:val="00AA1965"/>
    <w:rsid w:val="00AA3635"/>
    <w:rsid w:val="00AA4DCE"/>
    <w:rsid w:val="00AA7045"/>
    <w:rsid w:val="00AB0125"/>
    <w:rsid w:val="00AB120F"/>
    <w:rsid w:val="00AB1C6D"/>
    <w:rsid w:val="00AB30E2"/>
    <w:rsid w:val="00AB62C0"/>
    <w:rsid w:val="00AB67F8"/>
    <w:rsid w:val="00AB778B"/>
    <w:rsid w:val="00AC285A"/>
    <w:rsid w:val="00AC30FA"/>
    <w:rsid w:val="00AC371E"/>
    <w:rsid w:val="00AC3762"/>
    <w:rsid w:val="00AC4082"/>
    <w:rsid w:val="00AC4B1F"/>
    <w:rsid w:val="00AC5901"/>
    <w:rsid w:val="00AC5A62"/>
    <w:rsid w:val="00AD4E55"/>
    <w:rsid w:val="00AD65B6"/>
    <w:rsid w:val="00AD7477"/>
    <w:rsid w:val="00AD74DE"/>
    <w:rsid w:val="00AE4252"/>
    <w:rsid w:val="00AE447E"/>
    <w:rsid w:val="00AE575A"/>
    <w:rsid w:val="00AE77D4"/>
    <w:rsid w:val="00AF3C1D"/>
    <w:rsid w:val="00AF3F7E"/>
    <w:rsid w:val="00AF473D"/>
    <w:rsid w:val="00AF52F0"/>
    <w:rsid w:val="00AF5892"/>
    <w:rsid w:val="00AF620B"/>
    <w:rsid w:val="00B0002D"/>
    <w:rsid w:val="00B002CD"/>
    <w:rsid w:val="00B0463E"/>
    <w:rsid w:val="00B06819"/>
    <w:rsid w:val="00B07EBD"/>
    <w:rsid w:val="00B1081B"/>
    <w:rsid w:val="00B12B81"/>
    <w:rsid w:val="00B14B86"/>
    <w:rsid w:val="00B15100"/>
    <w:rsid w:val="00B164C8"/>
    <w:rsid w:val="00B16502"/>
    <w:rsid w:val="00B16FD6"/>
    <w:rsid w:val="00B214D8"/>
    <w:rsid w:val="00B2168E"/>
    <w:rsid w:val="00B21C68"/>
    <w:rsid w:val="00B22059"/>
    <w:rsid w:val="00B23300"/>
    <w:rsid w:val="00B24FCC"/>
    <w:rsid w:val="00B2534E"/>
    <w:rsid w:val="00B25DDC"/>
    <w:rsid w:val="00B274D3"/>
    <w:rsid w:val="00B3057E"/>
    <w:rsid w:val="00B3174D"/>
    <w:rsid w:val="00B328C1"/>
    <w:rsid w:val="00B34E50"/>
    <w:rsid w:val="00B35420"/>
    <w:rsid w:val="00B40E47"/>
    <w:rsid w:val="00B41E51"/>
    <w:rsid w:val="00B4240E"/>
    <w:rsid w:val="00B42A49"/>
    <w:rsid w:val="00B4489B"/>
    <w:rsid w:val="00B45236"/>
    <w:rsid w:val="00B46557"/>
    <w:rsid w:val="00B46D86"/>
    <w:rsid w:val="00B47690"/>
    <w:rsid w:val="00B50D64"/>
    <w:rsid w:val="00B53814"/>
    <w:rsid w:val="00B53C19"/>
    <w:rsid w:val="00B53F7F"/>
    <w:rsid w:val="00B547B6"/>
    <w:rsid w:val="00B5584F"/>
    <w:rsid w:val="00B56276"/>
    <w:rsid w:val="00B5644B"/>
    <w:rsid w:val="00B632A0"/>
    <w:rsid w:val="00B65237"/>
    <w:rsid w:val="00B65E5B"/>
    <w:rsid w:val="00B70AE4"/>
    <w:rsid w:val="00B71C27"/>
    <w:rsid w:val="00B756A9"/>
    <w:rsid w:val="00B76916"/>
    <w:rsid w:val="00B77EC6"/>
    <w:rsid w:val="00B80E43"/>
    <w:rsid w:val="00B829C4"/>
    <w:rsid w:val="00B82A05"/>
    <w:rsid w:val="00B84D41"/>
    <w:rsid w:val="00B854BB"/>
    <w:rsid w:val="00B86181"/>
    <w:rsid w:val="00B86214"/>
    <w:rsid w:val="00B878B9"/>
    <w:rsid w:val="00B92B98"/>
    <w:rsid w:val="00B935CF"/>
    <w:rsid w:val="00B93D37"/>
    <w:rsid w:val="00B962A8"/>
    <w:rsid w:val="00B96C9C"/>
    <w:rsid w:val="00BA149E"/>
    <w:rsid w:val="00BA2B07"/>
    <w:rsid w:val="00BA4C59"/>
    <w:rsid w:val="00BA4ED4"/>
    <w:rsid w:val="00BA50FA"/>
    <w:rsid w:val="00BB00D7"/>
    <w:rsid w:val="00BB065B"/>
    <w:rsid w:val="00BB14D0"/>
    <w:rsid w:val="00BB1785"/>
    <w:rsid w:val="00BB3B99"/>
    <w:rsid w:val="00BB4BB5"/>
    <w:rsid w:val="00BB6932"/>
    <w:rsid w:val="00BB74F9"/>
    <w:rsid w:val="00BC0724"/>
    <w:rsid w:val="00BC319A"/>
    <w:rsid w:val="00BC3DD1"/>
    <w:rsid w:val="00BC7B18"/>
    <w:rsid w:val="00BC7BF7"/>
    <w:rsid w:val="00BC7FD9"/>
    <w:rsid w:val="00BD4CF0"/>
    <w:rsid w:val="00BD67B7"/>
    <w:rsid w:val="00BD6D23"/>
    <w:rsid w:val="00BD7E83"/>
    <w:rsid w:val="00BE1118"/>
    <w:rsid w:val="00BE1D1E"/>
    <w:rsid w:val="00BF0BCA"/>
    <w:rsid w:val="00BF18D9"/>
    <w:rsid w:val="00BF1BA4"/>
    <w:rsid w:val="00BF2A2A"/>
    <w:rsid w:val="00BF2FC1"/>
    <w:rsid w:val="00BF653E"/>
    <w:rsid w:val="00BF6893"/>
    <w:rsid w:val="00C01344"/>
    <w:rsid w:val="00C02D53"/>
    <w:rsid w:val="00C0776A"/>
    <w:rsid w:val="00C11188"/>
    <w:rsid w:val="00C12710"/>
    <w:rsid w:val="00C13F75"/>
    <w:rsid w:val="00C16A8C"/>
    <w:rsid w:val="00C17EC5"/>
    <w:rsid w:val="00C20A51"/>
    <w:rsid w:val="00C21C47"/>
    <w:rsid w:val="00C21D87"/>
    <w:rsid w:val="00C22E1F"/>
    <w:rsid w:val="00C23726"/>
    <w:rsid w:val="00C23F4B"/>
    <w:rsid w:val="00C260F5"/>
    <w:rsid w:val="00C269D4"/>
    <w:rsid w:val="00C26A4E"/>
    <w:rsid w:val="00C35650"/>
    <w:rsid w:val="00C35EE7"/>
    <w:rsid w:val="00C36363"/>
    <w:rsid w:val="00C369F8"/>
    <w:rsid w:val="00C40EA0"/>
    <w:rsid w:val="00C42C7B"/>
    <w:rsid w:val="00C42CA4"/>
    <w:rsid w:val="00C42E49"/>
    <w:rsid w:val="00C43FA5"/>
    <w:rsid w:val="00C44626"/>
    <w:rsid w:val="00C4704D"/>
    <w:rsid w:val="00C503DC"/>
    <w:rsid w:val="00C523E0"/>
    <w:rsid w:val="00C530EE"/>
    <w:rsid w:val="00C570E5"/>
    <w:rsid w:val="00C623FF"/>
    <w:rsid w:val="00C638CA"/>
    <w:rsid w:val="00C663E8"/>
    <w:rsid w:val="00C70114"/>
    <w:rsid w:val="00C7194C"/>
    <w:rsid w:val="00C728E7"/>
    <w:rsid w:val="00C72B17"/>
    <w:rsid w:val="00C72C2B"/>
    <w:rsid w:val="00C74798"/>
    <w:rsid w:val="00C75D3E"/>
    <w:rsid w:val="00C776B5"/>
    <w:rsid w:val="00C77786"/>
    <w:rsid w:val="00C80868"/>
    <w:rsid w:val="00C81995"/>
    <w:rsid w:val="00C824BB"/>
    <w:rsid w:val="00C848DE"/>
    <w:rsid w:val="00C852AC"/>
    <w:rsid w:val="00C8627C"/>
    <w:rsid w:val="00C875C7"/>
    <w:rsid w:val="00C92C32"/>
    <w:rsid w:val="00C9352E"/>
    <w:rsid w:val="00C9373F"/>
    <w:rsid w:val="00C9376D"/>
    <w:rsid w:val="00C96390"/>
    <w:rsid w:val="00C97E01"/>
    <w:rsid w:val="00CA1079"/>
    <w:rsid w:val="00CA2F3E"/>
    <w:rsid w:val="00CA3083"/>
    <w:rsid w:val="00CA56AC"/>
    <w:rsid w:val="00CA5EE8"/>
    <w:rsid w:val="00CA64BC"/>
    <w:rsid w:val="00CA7810"/>
    <w:rsid w:val="00CA7856"/>
    <w:rsid w:val="00CA79B1"/>
    <w:rsid w:val="00CB0ABB"/>
    <w:rsid w:val="00CB2144"/>
    <w:rsid w:val="00CB3825"/>
    <w:rsid w:val="00CB7D4F"/>
    <w:rsid w:val="00CB7DDA"/>
    <w:rsid w:val="00CC4B9B"/>
    <w:rsid w:val="00CC5FFA"/>
    <w:rsid w:val="00CC62FF"/>
    <w:rsid w:val="00CD0C8E"/>
    <w:rsid w:val="00CD1C43"/>
    <w:rsid w:val="00CD2C4D"/>
    <w:rsid w:val="00CD4351"/>
    <w:rsid w:val="00CD4B6A"/>
    <w:rsid w:val="00CD53C4"/>
    <w:rsid w:val="00CD62CB"/>
    <w:rsid w:val="00CE0BB3"/>
    <w:rsid w:val="00CE1EA9"/>
    <w:rsid w:val="00CE33C8"/>
    <w:rsid w:val="00CE5F70"/>
    <w:rsid w:val="00CE68D9"/>
    <w:rsid w:val="00CF0067"/>
    <w:rsid w:val="00CF0C52"/>
    <w:rsid w:val="00CF0DB5"/>
    <w:rsid w:val="00CF1987"/>
    <w:rsid w:val="00CF2632"/>
    <w:rsid w:val="00CF2839"/>
    <w:rsid w:val="00CF338C"/>
    <w:rsid w:val="00CF46E8"/>
    <w:rsid w:val="00CF5C90"/>
    <w:rsid w:val="00CF66CA"/>
    <w:rsid w:val="00CF6E25"/>
    <w:rsid w:val="00CF75BD"/>
    <w:rsid w:val="00CF773A"/>
    <w:rsid w:val="00CF7CA0"/>
    <w:rsid w:val="00D00BAA"/>
    <w:rsid w:val="00D00ED2"/>
    <w:rsid w:val="00D012FE"/>
    <w:rsid w:val="00D017B4"/>
    <w:rsid w:val="00D01B2E"/>
    <w:rsid w:val="00D01CA0"/>
    <w:rsid w:val="00D03A3C"/>
    <w:rsid w:val="00D03FE4"/>
    <w:rsid w:val="00D05445"/>
    <w:rsid w:val="00D05F70"/>
    <w:rsid w:val="00D06737"/>
    <w:rsid w:val="00D06BFF"/>
    <w:rsid w:val="00D06FC0"/>
    <w:rsid w:val="00D10F12"/>
    <w:rsid w:val="00D110CB"/>
    <w:rsid w:val="00D11579"/>
    <w:rsid w:val="00D118C7"/>
    <w:rsid w:val="00D11BF3"/>
    <w:rsid w:val="00D14648"/>
    <w:rsid w:val="00D1713F"/>
    <w:rsid w:val="00D20FE7"/>
    <w:rsid w:val="00D21694"/>
    <w:rsid w:val="00D21C00"/>
    <w:rsid w:val="00D235D0"/>
    <w:rsid w:val="00D2378C"/>
    <w:rsid w:val="00D23A4C"/>
    <w:rsid w:val="00D2471B"/>
    <w:rsid w:val="00D304E2"/>
    <w:rsid w:val="00D30922"/>
    <w:rsid w:val="00D3277F"/>
    <w:rsid w:val="00D333F2"/>
    <w:rsid w:val="00D3467C"/>
    <w:rsid w:val="00D371E0"/>
    <w:rsid w:val="00D408AE"/>
    <w:rsid w:val="00D41FD9"/>
    <w:rsid w:val="00D45A7A"/>
    <w:rsid w:val="00D46048"/>
    <w:rsid w:val="00D470FA"/>
    <w:rsid w:val="00D50902"/>
    <w:rsid w:val="00D50FEF"/>
    <w:rsid w:val="00D512A3"/>
    <w:rsid w:val="00D51580"/>
    <w:rsid w:val="00D52C0D"/>
    <w:rsid w:val="00D5436B"/>
    <w:rsid w:val="00D57660"/>
    <w:rsid w:val="00D57B5F"/>
    <w:rsid w:val="00D60034"/>
    <w:rsid w:val="00D60D2C"/>
    <w:rsid w:val="00D6212F"/>
    <w:rsid w:val="00D6557C"/>
    <w:rsid w:val="00D65ED7"/>
    <w:rsid w:val="00D72D4A"/>
    <w:rsid w:val="00D73BE2"/>
    <w:rsid w:val="00D758BB"/>
    <w:rsid w:val="00D75A52"/>
    <w:rsid w:val="00D76B20"/>
    <w:rsid w:val="00D76C37"/>
    <w:rsid w:val="00D76F7A"/>
    <w:rsid w:val="00D775AD"/>
    <w:rsid w:val="00D81E6E"/>
    <w:rsid w:val="00D82555"/>
    <w:rsid w:val="00D917FD"/>
    <w:rsid w:val="00D92646"/>
    <w:rsid w:val="00D93E1F"/>
    <w:rsid w:val="00DA0024"/>
    <w:rsid w:val="00DA28EF"/>
    <w:rsid w:val="00DA49F9"/>
    <w:rsid w:val="00DB0B2D"/>
    <w:rsid w:val="00DB1C68"/>
    <w:rsid w:val="00DB1FA1"/>
    <w:rsid w:val="00DB3A77"/>
    <w:rsid w:val="00DB6B9E"/>
    <w:rsid w:val="00DB6DBF"/>
    <w:rsid w:val="00DB7684"/>
    <w:rsid w:val="00DC2BC4"/>
    <w:rsid w:val="00DC3C34"/>
    <w:rsid w:val="00DC513D"/>
    <w:rsid w:val="00DC5D24"/>
    <w:rsid w:val="00DC6285"/>
    <w:rsid w:val="00DC742E"/>
    <w:rsid w:val="00DC7B82"/>
    <w:rsid w:val="00DD0605"/>
    <w:rsid w:val="00DD3218"/>
    <w:rsid w:val="00DD565F"/>
    <w:rsid w:val="00DD5F6F"/>
    <w:rsid w:val="00DD77BD"/>
    <w:rsid w:val="00DD7D5B"/>
    <w:rsid w:val="00DE2041"/>
    <w:rsid w:val="00DE27C6"/>
    <w:rsid w:val="00DE4DE9"/>
    <w:rsid w:val="00DE66E4"/>
    <w:rsid w:val="00DE6989"/>
    <w:rsid w:val="00DF32B4"/>
    <w:rsid w:val="00DF4ECF"/>
    <w:rsid w:val="00E01E24"/>
    <w:rsid w:val="00E033B8"/>
    <w:rsid w:val="00E04014"/>
    <w:rsid w:val="00E05DEE"/>
    <w:rsid w:val="00E07FBC"/>
    <w:rsid w:val="00E11078"/>
    <w:rsid w:val="00E127F7"/>
    <w:rsid w:val="00E1614C"/>
    <w:rsid w:val="00E16485"/>
    <w:rsid w:val="00E2004C"/>
    <w:rsid w:val="00E209C4"/>
    <w:rsid w:val="00E21BFA"/>
    <w:rsid w:val="00E2256C"/>
    <w:rsid w:val="00E24E51"/>
    <w:rsid w:val="00E2534B"/>
    <w:rsid w:val="00E25636"/>
    <w:rsid w:val="00E331AA"/>
    <w:rsid w:val="00E34D47"/>
    <w:rsid w:val="00E353B0"/>
    <w:rsid w:val="00E367DA"/>
    <w:rsid w:val="00E378DC"/>
    <w:rsid w:val="00E416AB"/>
    <w:rsid w:val="00E43C95"/>
    <w:rsid w:val="00E44C77"/>
    <w:rsid w:val="00E45F93"/>
    <w:rsid w:val="00E46D0B"/>
    <w:rsid w:val="00E47346"/>
    <w:rsid w:val="00E47DE6"/>
    <w:rsid w:val="00E51BA9"/>
    <w:rsid w:val="00E53484"/>
    <w:rsid w:val="00E5746A"/>
    <w:rsid w:val="00E60644"/>
    <w:rsid w:val="00E60A03"/>
    <w:rsid w:val="00E6128E"/>
    <w:rsid w:val="00E62431"/>
    <w:rsid w:val="00E659F9"/>
    <w:rsid w:val="00E6691A"/>
    <w:rsid w:val="00E7273A"/>
    <w:rsid w:val="00E72FA6"/>
    <w:rsid w:val="00E7340F"/>
    <w:rsid w:val="00E76EE5"/>
    <w:rsid w:val="00E81016"/>
    <w:rsid w:val="00E81AD0"/>
    <w:rsid w:val="00E83E1E"/>
    <w:rsid w:val="00E85FA5"/>
    <w:rsid w:val="00E86D9B"/>
    <w:rsid w:val="00E93501"/>
    <w:rsid w:val="00E96DF6"/>
    <w:rsid w:val="00EA0C93"/>
    <w:rsid w:val="00EA13DF"/>
    <w:rsid w:val="00EA37BB"/>
    <w:rsid w:val="00EA3AFE"/>
    <w:rsid w:val="00EA4705"/>
    <w:rsid w:val="00EA4B56"/>
    <w:rsid w:val="00EA7AA7"/>
    <w:rsid w:val="00EB1735"/>
    <w:rsid w:val="00EB37B1"/>
    <w:rsid w:val="00EB49EC"/>
    <w:rsid w:val="00EB633C"/>
    <w:rsid w:val="00EB638F"/>
    <w:rsid w:val="00EC024F"/>
    <w:rsid w:val="00EC188C"/>
    <w:rsid w:val="00EC2091"/>
    <w:rsid w:val="00EC218D"/>
    <w:rsid w:val="00EC3161"/>
    <w:rsid w:val="00EC4607"/>
    <w:rsid w:val="00EC563A"/>
    <w:rsid w:val="00ED1362"/>
    <w:rsid w:val="00ED3F64"/>
    <w:rsid w:val="00ED4C08"/>
    <w:rsid w:val="00EE11C2"/>
    <w:rsid w:val="00EE2E70"/>
    <w:rsid w:val="00EE4102"/>
    <w:rsid w:val="00EE4F04"/>
    <w:rsid w:val="00EE67EE"/>
    <w:rsid w:val="00EE6FF6"/>
    <w:rsid w:val="00EF0645"/>
    <w:rsid w:val="00EF0FFF"/>
    <w:rsid w:val="00EF2F17"/>
    <w:rsid w:val="00EF42BB"/>
    <w:rsid w:val="00EF443E"/>
    <w:rsid w:val="00EF4879"/>
    <w:rsid w:val="00EF7087"/>
    <w:rsid w:val="00F0306D"/>
    <w:rsid w:val="00F076BF"/>
    <w:rsid w:val="00F07A64"/>
    <w:rsid w:val="00F1294F"/>
    <w:rsid w:val="00F12F8D"/>
    <w:rsid w:val="00F13E0E"/>
    <w:rsid w:val="00F16E8D"/>
    <w:rsid w:val="00F26C37"/>
    <w:rsid w:val="00F26DE1"/>
    <w:rsid w:val="00F26EF9"/>
    <w:rsid w:val="00F27475"/>
    <w:rsid w:val="00F279D1"/>
    <w:rsid w:val="00F32532"/>
    <w:rsid w:val="00F32E31"/>
    <w:rsid w:val="00F342BA"/>
    <w:rsid w:val="00F3755F"/>
    <w:rsid w:val="00F42A87"/>
    <w:rsid w:val="00F4412D"/>
    <w:rsid w:val="00F44248"/>
    <w:rsid w:val="00F448D7"/>
    <w:rsid w:val="00F44BE2"/>
    <w:rsid w:val="00F45B11"/>
    <w:rsid w:val="00F46768"/>
    <w:rsid w:val="00F4749B"/>
    <w:rsid w:val="00F47580"/>
    <w:rsid w:val="00F506CE"/>
    <w:rsid w:val="00F51196"/>
    <w:rsid w:val="00F52F83"/>
    <w:rsid w:val="00F54641"/>
    <w:rsid w:val="00F557E0"/>
    <w:rsid w:val="00F57204"/>
    <w:rsid w:val="00F57FDE"/>
    <w:rsid w:val="00F6186A"/>
    <w:rsid w:val="00F62367"/>
    <w:rsid w:val="00F63CF0"/>
    <w:rsid w:val="00F71E85"/>
    <w:rsid w:val="00F73031"/>
    <w:rsid w:val="00F73F2C"/>
    <w:rsid w:val="00F75B5D"/>
    <w:rsid w:val="00F768D8"/>
    <w:rsid w:val="00F772AD"/>
    <w:rsid w:val="00F776A9"/>
    <w:rsid w:val="00F777F8"/>
    <w:rsid w:val="00F805CB"/>
    <w:rsid w:val="00F80886"/>
    <w:rsid w:val="00F81982"/>
    <w:rsid w:val="00F82365"/>
    <w:rsid w:val="00F82B08"/>
    <w:rsid w:val="00F84B1A"/>
    <w:rsid w:val="00F87442"/>
    <w:rsid w:val="00F90426"/>
    <w:rsid w:val="00F914BF"/>
    <w:rsid w:val="00F9444F"/>
    <w:rsid w:val="00F94DD1"/>
    <w:rsid w:val="00F95109"/>
    <w:rsid w:val="00F97039"/>
    <w:rsid w:val="00F97088"/>
    <w:rsid w:val="00FA0F82"/>
    <w:rsid w:val="00FA1132"/>
    <w:rsid w:val="00FA1979"/>
    <w:rsid w:val="00FA2565"/>
    <w:rsid w:val="00FA2C8B"/>
    <w:rsid w:val="00FA3A9A"/>
    <w:rsid w:val="00FA6705"/>
    <w:rsid w:val="00FB1F96"/>
    <w:rsid w:val="00FB25E0"/>
    <w:rsid w:val="00FB279D"/>
    <w:rsid w:val="00FB2F54"/>
    <w:rsid w:val="00FB4BD2"/>
    <w:rsid w:val="00FB7334"/>
    <w:rsid w:val="00FB7A20"/>
    <w:rsid w:val="00FC2541"/>
    <w:rsid w:val="00FC304E"/>
    <w:rsid w:val="00FC3293"/>
    <w:rsid w:val="00FC35D5"/>
    <w:rsid w:val="00FC3C40"/>
    <w:rsid w:val="00FC5B18"/>
    <w:rsid w:val="00FC747E"/>
    <w:rsid w:val="00FC74E4"/>
    <w:rsid w:val="00FC794E"/>
    <w:rsid w:val="00FD04B1"/>
    <w:rsid w:val="00FD0598"/>
    <w:rsid w:val="00FD21B3"/>
    <w:rsid w:val="00FD2972"/>
    <w:rsid w:val="00FD499D"/>
    <w:rsid w:val="00FD65DE"/>
    <w:rsid w:val="00FD71E9"/>
    <w:rsid w:val="00FE0E09"/>
    <w:rsid w:val="00FE10F1"/>
    <w:rsid w:val="00FE2C57"/>
    <w:rsid w:val="00FE4046"/>
    <w:rsid w:val="00FE449A"/>
    <w:rsid w:val="00FE4823"/>
    <w:rsid w:val="00FE53B2"/>
    <w:rsid w:val="00FE65C5"/>
    <w:rsid w:val="00FE6CB1"/>
    <w:rsid w:val="00FF1A44"/>
    <w:rsid w:val="00FF2449"/>
    <w:rsid w:val="00FF5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6D28F"/>
  <w15:docId w15:val="{D1DEFDF7-1CEE-412A-986B-08D9D73B1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3A2D"/>
    <w:pPr>
      <w:spacing w:after="0" w:line="480" w:lineRule="auto"/>
      <w:ind w:firstLine="720"/>
    </w:pPr>
  </w:style>
  <w:style w:type="paragraph" w:styleId="Heading1">
    <w:name w:val="heading 1"/>
    <w:basedOn w:val="Normal"/>
    <w:link w:val="Heading1Char"/>
    <w:uiPriority w:val="9"/>
    <w:qFormat/>
    <w:rsid w:val="008A0EAB"/>
    <w:pPr>
      <w:spacing w:before="100" w:beforeAutospacing="1" w:after="100" w:afterAutospacing="1" w:line="240" w:lineRule="auto"/>
      <w:outlineLvl w:val="0"/>
    </w:pPr>
    <w:rPr>
      <w:rFonts w:eastAsia="Times New Roman" w:cs="Times New Roman"/>
      <w:b/>
      <w:bCs/>
      <w:kern w:val="36"/>
      <w:sz w:val="36"/>
      <w:szCs w:val="48"/>
    </w:rPr>
  </w:style>
  <w:style w:type="paragraph" w:styleId="Heading2">
    <w:name w:val="heading 2"/>
    <w:basedOn w:val="Normal"/>
    <w:next w:val="Normal"/>
    <w:link w:val="Heading2Char"/>
    <w:autoRedefine/>
    <w:uiPriority w:val="9"/>
    <w:unhideWhenUsed/>
    <w:qFormat/>
    <w:rsid w:val="00882556"/>
    <w:pPr>
      <w:keepNext/>
      <w:keepLines/>
      <w:spacing w:before="200"/>
      <w:outlineLvl w:val="1"/>
    </w:pPr>
    <w:rPr>
      <w:rFonts w:eastAsiaTheme="majorEastAsia" w:cstheme="majorBidi"/>
      <w:b/>
      <w:bCs/>
      <w:i/>
      <w:sz w:val="24"/>
      <w:szCs w:val="26"/>
    </w:rPr>
  </w:style>
  <w:style w:type="paragraph" w:styleId="Heading3">
    <w:name w:val="heading 3"/>
    <w:basedOn w:val="Normal"/>
    <w:next w:val="Normal"/>
    <w:link w:val="Heading3Char"/>
    <w:uiPriority w:val="9"/>
    <w:unhideWhenUsed/>
    <w:qFormat/>
    <w:rsid w:val="008E3949"/>
    <w:pPr>
      <w:keepNext/>
      <w:keepLines/>
      <w:spacing w:before="40" w:after="120"/>
      <w:outlineLvl w:val="2"/>
    </w:pPr>
    <w:rPr>
      <w:rFonts w:ascii="Calibri" w:eastAsiaTheme="majorEastAsia" w:hAnsi="Calibri" w:cstheme="majorBidi"/>
      <w:b/>
      <w:i/>
      <w:szCs w:val="24"/>
    </w:rPr>
  </w:style>
  <w:style w:type="paragraph" w:styleId="Heading4">
    <w:name w:val="heading 4"/>
    <w:basedOn w:val="Normal"/>
    <w:next w:val="Normal"/>
    <w:link w:val="Heading4Char"/>
    <w:uiPriority w:val="9"/>
    <w:semiHidden/>
    <w:unhideWhenUsed/>
    <w:qFormat/>
    <w:rsid w:val="00BC0724"/>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5161C"/>
    <w:rPr>
      <w:sz w:val="16"/>
      <w:szCs w:val="16"/>
    </w:rPr>
  </w:style>
  <w:style w:type="paragraph" w:styleId="CommentText">
    <w:name w:val="annotation text"/>
    <w:basedOn w:val="Normal"/>
    <w:link w:val="CommentTextChar"/>
    <w:uiPriority w:val="99"/>
    <w:unhideWhenUsed/>
    <w:rsid w:val="0045161C"/>
    <w:pPr>
      <w:spacing w:line="240" w:lineRule="auto"/>
    </w:pPr>
    <w:rPr>
      <w:sz w:val="20"/>
      <w:szCs w:val="20"/>
    </w:rPr>
  </w:style>
  <w:style w:type="character" w:customStyle="1" w:styleId="CommentTextChar">
    <w:name w:val="Comment Text Char"/>
    <w:basedOn w:val="DefaultParagraphFont"/>
    <w:link w:val="CommentText"/>
    <w:uiPriority w:val="99"/>
    <w:rsid w:val="0045161C"/>
    <w:rPr>
      <w:sz w:val="20"/>
      <w:szCs w:val="20"/>
    </w:rPr>
  </w:style>
  <w:style w:type="paragraph" w:styleId="Header">
    <w:name w:val="header"/>
    <w:basedOn w:val="Normal"/>
    <w:link w:val="HeaderChar"/>
    <w:uiPriority w:val="99"/>
    <w:unhideWhenUsed/>
    <w:rsid w:val="0045161C"/>
    <w:pPr>
      <w:tabs>
        <w:tab w:val="center" w:pos="4680"/>
        <w:tab w:val="right" w:pos="9360"/>
      </w:tabs>
      <w:spacing w:line="240" w:lineRule="auto"/>
    </w:pPr>
  </w:style>
  <w:style w:type="character" w:customStyle="1" w:styleId="HeaderChar">
    <w:name w:val="Header Char"/>
    <w:basedOn w:val="DefaultParagraphFont"/>
    <w:link w:val="Header"/>
    <w:uiPriority w:val="99"/>
    <w:rsid w:val="0045161C"/>
  </w:style>
  <w:style w:type="paragraph" w:styleId="Footer">
    <w:name w:val="footer"/>
    <w:basedOn w:val="Normal"/>
    <w:link w:val="FooterChar"/>
    <w:uiPriority w:val="99"/>
    <w:unhideWhenUsed/>
    <w:rsid w:val="0045161C"/>
    <w:pPr>
      <w:tabs>
        <w:tab w:val="center" w:pos="4680"/>
        <w:tab w:val="right" w:pos="9360"/>
      </w:tabs>
      <w:spacing w:line="240" w:lineRule="auto"/>
    </w:pPr>
  </w:style>
  <w:style w:type="character" w:customStyle="1" w:styleId="FooterChar">
    <w:name w:val="Footer Char"/>
    <w:basedOn w:val="DefaultParagraphFont"/>
    <w:link w:val="Footer"/>
    <w:uiPriority w:val="99"/>
    <w:rsid w:val="0045161C"/>
  </w:style>
  <w:style w:type="paragraph" w:styleId="BalloonText">
    <w:name w:val="Balloon Text"/>
    <w:basedOn w:val="Normal"/>
    <w:link w:val="BalloonTextChar"/>
    <w:uiPriority w:val="99"/>
    <w:semiHidden/>
    <w:unhideWhenUsed/>
    <w:rsid w:val="004516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161C"/>
    <w:rPr>
      <w:rFonts w:ascii="Segoe UI" w:hAnsi="Segoe UI" w:cs="Segoe UI"/>
      <w:sz w:val="18"/>
      <w:szCs w:val="18"/>
    </w:rPr>
  </w:style>
  <w:style w:type="paragraph" w:customStyle="1" w:styleId="Default">
    <w:name w:val="Default"/>
    <w:rsid w:val="0045161C"/>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45161C"/>
    <w:pPr>
      <w:ind w:left="720"/>
      <w:contextualSpacing/>
    </w:pPr>
  </w:style>
  <w:style w:type="character" w:styleId="Emphasis">
    <w:name w:val="Emphasis"/>
    <w:basedOn w:val="DefaultParagraphFont"/>
    <w:uiPriority w:val="20"/>
    <w:qFormat/>
    <w:rsid w:val="0045161C"/>
    <w:rPr>
      <w:i/>
      <w:iCs/>
    </w:rPr>
  </w:style>
  <w:style w:type="character" w:styleId="Strong">
    <w:name w:val="Strong"/>
    <w:basedOn w:val="DefaultParagraphFont"/>
    <w:uiPriority w:val="22"/>
    <w:qFormat/>
    <w:rsid w:val="0045161C"/>
    <w:rPr>
      <w:b/>
      <w:bCs/>
    </w:rPr>
  </w:style>
  <w:style w:type="character" w:customStyle="1" w:styleId="Heading1Char">
    <w:name w:val="Heading 1 Char"/>
    <w:basedOn w:val="DefaultParagraphFont"/>
    <w:link w:val="Heading1"/>
    <w:uiPriority w:val="9"/>
    <w:rsid w:val="008A0EAB"/>
    <w:rPr>
      <w:rFonts w:eastAsia="Times New Roman" w:cs="Times New Roman"/>
      <w:b/>
      <w:bCs/>
      <w:kern w:val="36"/>
      <w:sz w:val="36"/>
      <w:szCs w:val="48"/>
    </w:rPr>
  </w:style>
  <w:style w:type="paragraph" w:styleId="NormalWeb">
    <w:name w:val="Normal (Web)"/>
    <w:basedOn w:val="Normal"/>
    <w:uiPriority w:val="99"/>
    <w:unhideWhenUsed/>
    <w:rsid w:val="004516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5161C"/>
  </w:style>
  <w:style w:type="paragraph" w:styleId="CommentSubject">
    <w:name w:val="annotation subject"/>
    <w:basedOn w:val="CommentText"/>
    <w:next w:val="CommentText"/>
    <w:link w:val="CommentSubjectChar"/>
    <w:uiPriority w:val="99"/>
    <w:semiHidden/>
    <w:unhideWhenUsed/>
    <w:rsid w:val="005F1474"/>
    <w:rPr>
      <w:b/>
      <w:bCs/>
    </w:rPr>
  </w:style>
  <w:style w:type="character" w:customStyle="1" w:styleId="CommentSubjectChar">
    <w:name w:val="Comment Subject Char"/>
    <w:basedOn w:val="CommentTextChar"/>
    <w:link w:val="CommentSubject"/>
    <w:uiPriority w:val="99"/>
    <w:semiHidden/>
    <w:rsid w:val="005F1474"/>
    <w:rPr>
      <w:b/>
      <w:bCs/>
      <w:sz w:val="20"/>
      <w:szCs w:val="20"/>
    </w:rPr>
  </w:style>
  <w:style w:type="character" w:styleId="Hyperlink">
    <w:name w:val="Hyperlink"/>
    <w:basedOn w:val="DefaultParagraphFont"/>
    <w:uiPriority w:val="99"/>
    <w:unhideWhenUsed/>
    <w:rsid w:val="00D60034"/>
    <w:rPr>
      <w:color w:val="0563C1" w:themeColor="hyperlink"/>
      <w:u w:val="single"/>
    </w:rPr>
  </w:style>
  <w:style w:type="character" w:customStyle="1" w:styleId="style30">
    <w:name w:val="style30"/>
    <w:basedOn w:val="DefaultParagraphFont"/>
    <w:rsid w:val="00BA4C59"/>
  </w:style>
  <w:style w:type="character" w:customStyle="1" w:styleId="watch-title">
    <w:name w:val="watch-title"/>
    <w:basedOn w:val="DefaultParagraphFont"/>
    <w:rsid w:val="00C9376D"/>
  </w:style>
  <w:style w:type="character" w:customStyle="1" w:styleId="Heading2Char">
    <w:name w:val="Heading 2 Char"/>
    <w:basedOn w:val="DefaultParagraphFont"/>
    <w:link w:val="Heading2"/>
    <w:uiPriority w:val="9"/>
    <w:rsid w:val="00882556"/>
    <w:rPr>
      <w:rFonts w:eastAsiaTheme="majorEastAsia" w:cstheme="majorBidi"/>
      <w:b/>
      <w:bCs/>
      <w:i/>
      <w:sz w:val="24"/>
      <w:szCs w:val="26"/>
    </w:rPr>
  </w:style>
  <w:style w:type="paragraph" w:styleId="TOCHeading">
    <w:name w:val="TOC Heading"/>
    <w:basedOn w:val="Heading1"/>
    <w:next w:val="Normal"/>
    <w:uiPriority w:val="39"/>
    <w:unhideWhenUsed/>
    <w:qFormat/>
    <w:rsid w:val="00B76916"/>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OC1">
    <w:name w:val="toc 1"/>
    <w:basedOn w:val="Normal"/>
    <w:next w:val="Normal"/>
    <w:autoRedefine/>
    <w:uiPriority w:val="39"/>
    <w:unhideWhenUsed/>
    <w:rsid w:val="00B76916"/>
    <w:pPr>
      <w:spacing w:after="100"/>
    </w:pPr>
  </w:style>
  <w:style w:type="paragraph" w:styleId="TOC2">
    <w:name w:val="toc 2"/>
    <w:basedOn w:val="Normal"/>
    <w:next w:val="Normal"/>
    <w:autoRedefine/>
    <w:uiPriority w:val="39"/>
    <w:unhideWhenUsed/>
    <w:rsid w:val="00A9659F"/>
    <w:pPr>
      <w:tabs>
        <w:tab w:val="right" w:leader="dot" w:pos="9350"/>
      </w:tabs>
      <w:spacing w:after="100" w:line="240" w:lineRule="auto"/>
      <w:ind w:left="216"/>
    </w:pPr>
  </w:style>
  <w:style w:type="paragraph" w:styleId="Quote">
    <w:name w:val="Quote"/>
    <w:basedOn w:val="Normal"/>
    <w:next w:val="Normal"/>
    <w:link w:val="QuoteChar"/>
    <w:autoRedefine/>
    <w:uiPriority w:val="29"/>
    <w:qFormat/>
    <w:rsid w:val="002741CB"/>
    <w:pPr>
      <w:ind w:left="864" w:firstLine="0"/>
    </w:pPr>
    <w:rPr>
      <w:iCs/>
    </w:rPr>
  </w:style>
  <w:style w:type="character" w:customStyle="1" w:styleId="QuoteChar">
    <w:name w:val="Quote Char"/>
    <w:basedOn w:val="DefaultParagraphFont"/>
    <w:link w:val="Quote"/>
    <w:uiPriority w:val="29"/>
    <w:rsid w:val="002741CB"/>
    <w:rPr>
      <w:iCs/>
    </w:rPr>
  </w:style>
  <w:style w:type="table" w:styleId="TableGrid">
    <w:name w:val="Table Grid"/>
    <w:basedOn w:val="TableNormal"/>
    <w:uiPriority w:val="39"/>
    <w:rsid w:val="00A647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8E3949"/>
    <w:rPr>
      <w:rFonts w:ascii="Calibri" w:eastAsiaTheme="majorEastAsia" w:hAnsi="Calibri" w:cstheme="majorBidi"/>
      <w:b/>
      <w:i/>
      <w:szCs w:val="24"/>
    </w:rPr>
  </w:style>
  <w:style w:type="paragraph" w:styleId="TOC3">
    <w:name w:val="toc 3"/>
    <w:basedOn w:val="Normal"/>
    <w:next w:val="Normal"/>
    <w:autoRedefine/>
    <w:uiPriority w:val="39"/>
    <w:unhideWhenUsed/>
    <w:rsid w:val="00F84B1A"/>
    <w:pPr>
      <w:spacing w:after="100"/>
      <w:ind w:left="440"/>
    </w:pPr>
  </w:style>
  <w:style w:type="character" w:customStyle="1" w:styleId="Heading4Char">
    <w:name w:val="Heading 4 Char"/>
    <w:basedOn w:val="DefaultParagraphFont"/>
    <w:link w:val="Heading4"/>
    <w:uiPriority w:val="9"/>
    <w:semiHidden/>
    <w:rsid w:val="00BC0724"/>
    <w:rPr>
      <w:rFonts w:asciiTheme="majorHAnsi" w:eastAsiaTheme="majorEastAsia" w:hAnsiTheme="majorHAnsi" w:cstheme="majorBidi"/>
      <w:i/>
      <w:iCs/>
      <w:color w:val="2E74B5" w:themeColor="accent1" w:themeShade="BF"/>
    </w:rPr>
  </w:style>
  <w:style w:type="paragraph" w:styleId="Caption">
    <w:name w:val="caption"/>
    <w:basedOn w:val="Normal"/>
    <w:next w:val="Normal"/>
    <w:uiPriority w:val="35"/>
    <w:unhideWhenUsed/>
    <w:qFormat/>
    <w:rsid w:val="008825AF"/>
    <w:pPr>
      <w:spacing w:after="200" w:line="240" w:lineRule="auto"/>
    </w:pPr>
    <w:rPr>
      <w:i/>
      <w:iCs/>
      <w:color w:val="44546A" w:themeColor="text2"/>
      <w:sz w:val="18"/>
      <w:szCs w:val="18"/>
    </w:rPr>
  </w:style>
  <w:style w:type="paragraph" w:styleId="DocumentMap">
    <w:name w:val="Document Map"/>
    <w:basedOn w:val="Normal"/>
    <w:link w:val="DocumentMapChar"/>
    <w:uiPriority w:val="99"/>
    <w:semiHidden/>
    <w:unhideWhenUsed/>
    <w:rsid w:val="00973EFA"/>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973EFA"/>
    <w:rPr>
      <w:rFonts w:ascii="Tahoma" w:hAnsi="Tahoma" w:cs="Tahoma"/>
      <w:sz w:val="16"/>
      <w:szCs w:val="16"/>
    </w:rPr>
  </w:style>
  <w:style w:type="table" w:customStyle="1" w:styleId="TableGridLight1">
    <w:name w:val="Table Grid Light1"/>
    <w:basedOn w:val="TableNormal"/>
    <w:uiPriority w:val="40"/>
    <w:rsid w:val="002B50D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ableofFigures">
    <w:name w:val="table of figures"/>
    <w:basedOn w:val="Normal"/>
    <w:next w:val="Normal"/>
    <w:uiPriority w:val="99"/>
    <w:unhideWhenUsed/>
    <w:rsid w:val="0002556B"/>
  </w:style>
  <w:style w:type="table" w:customStyle="1" w:styleId="GridTable1Light-Accent11">
    <w:name w:val="Grid Table 1 Light - Accent 11"/>
    <w:basedOn w:val="TableNormal"/>
    <w:uiPriority w:val="46"/>
    <w:rsid w:val="00A20064"/>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A20064"/>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styleId="PlaceholderText">
    <w:name w:val="Placeholder Text"/>
    <w:basedOn w:val="DefaultParagraphFont"/>
    <w:uiPriority w:val="99"/>
    <w:semiHidden/>
    <w:rsid w:val="00AE575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566977">
      <w:bodyDiv w:val="1"/>
      <w:marLeft w:val="0"/>
      <w:marRight w:val="0"/>
      <w:marTop w:val="0"/>
      <w:marBottom w:val="0"/>
      <w:divBdr>
        <w:top w:val="none" w:sz="0" w:space="0" w:color="auto"/>
        <w:left w:val="none" w:sz="0" w:space="0" w:color="auto"/>
        <w:bottom w:val="none" w:sz="0" w:space="0" w:color="auto"/>
        <w:right w:val="none" w:sz="0" w:space="0" w:color="auto"/>
      </w:divBdr>
    </w:div>
    <w:div w:id="39021007">
      <w:bodyDiv w:val="1"/>
      <w:marLeft w:val="0"/>
      <w:marRight w:val="0"/>
      <w:marTop w:val="0"/>
      <w:marBottom w:val="0"/>
      <w:divBdr>
        <w:top w:val="none" w:sz="0" w:space="0" w:color="auto"/>
        <w:left w:val="none" w:sz="0" w:space="0" w:color="auto"/>
        <w:bottom w:val="none" w:sz="0" w:space="0" w:color="auto"/>
        <w:right w:val="none" w:sz="0" w:space="0" w:color="auto"/>
      </w:divBdr>
      <w:divsChild>
        <w:div w:id="1280069724">
          <w:marLeft w:val="180"/>
          <w:marRight w:val="0"/>
          <w:marTop w:val="0"/>
          <w:marBottom w:val="0"/>
          <w:divBdr>
            <w:top w:val="none" w:sz="0" w:space="0" w:color="auto"/>
            <w:left w:val="none" w:sz="0" w:space="0" w:color="auto"/>
            <w:bottom w:val="none" w:sz="0" w:space="0" w:color="auto"/>
            <w:right w:val="none" w:sz="0" w:space="0" w:color="auto"/>
          </w:divBdr>
        </w:div>
        <w:div w:id="1357196450">
          <w:marLeft w:val="300"/>
          <w:marRight w:val="0"/>
          <w:marTop w:val="0"/>
          <w:marBottom w:val="0"/>
          <w:divBdr>
            <w:top w:val="none" w:sz="0" w:space="0" w:color="auto"/>
            <w:left w:val="none" w:sz="0" w:space="0" w:color="auto"/>
            <w:bottom w:val="none" w:sz="0" w:space="0" w:color="auto"/>
            <w:right w:val="none" w:sz="0" w:space="0" w:color="auto"/>
          </w:divBdr>
          <w:divsChild>
            <w:div w:id="1938632683">
              <w:marLeft w:val="336"/>
              <w:marRight w:val="0"/>
              <w:marTop w:val="0"/>
              <w:marBottom w:val="0"/>
              <w:divBdr>
                <w:top w:val="none" w:sz="0" w:space="0" w:color="auto"/>
                <w:left w:val="none" w:sz="0" w:space="0" w:color="auto"/>
                <w:bottom w:val="none" w:sz="0" w:space="0" w:color="auto"/>
                <w:right w:val="none" w:sz="0" w:space="0" w:color="auto"/>
              </w:divBdr>
              <w:divsChild>
                <w:div w:id="822815995">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96109">
      <w:bodyDiv w:val="1"/>
      <w:marLeft w:val="0"/>
      <w:marRight w:val="0"/>
      <w:marTop w:val="0"/>
      <w:marBottom w:val="0"/>
      <w:divBdr>
        <w:top w:val="none" w:sz="0" w:space="0" w:color="auto"/>
        <w:left w:val="none" w:sz="0" w:space="0" w:color="auto"/>
        <w:bottom w:val="none" w:sz="0" w:space="0" w:color="auto"/>
        <w:right w:val="none" w:sz="0" w:space="0" w:color="auto"/>
      </w:divBdr>
    </w:div>
    <w:div w:id="132408686">
      <w:bodyDiv w:val="1"/>
      <w:marLeft w:val="0"/>
      <w:marRight w:val="0"/>
      <w:marTop w:val="0"/>
      <w:marBottom w:val="0"/>
      <w:divBdr>
        <w:top w:val="none" w:sz="0" w:space="0" w:color="auto"/>
        <w:left w:val="none" w:sz="0" w:space="0" w:color="auto"/>
        <w:bottom w:val="none" w:sz="0" w:space="0" w:color="auto"/>
        <w:right w:val="none" w:sz="0" w:space="0" w:color="auto"/>
      </w:divBdr>
    </w:div>
    <w:div w:id="158817059">
      <w:bodyDiv w:val="1"/>
      <w:marLeft w:val="0"/>
      <w:marRight w:val="0"/>
      <w:marTop w:val="0"/>
      <w:marBottom w:val="0"/>
      <w:divBdr>
        <w:top w:val="none" w:sz="0" w:space="0" w:color="auto"/>
        <w:left w:val="none" w:sz="0" w:space="0" w:color="auto"/>
        <w:bottom w:val="none" w:sz="0" w:space="0" w:color="auto"/>
        <w:right w:val="none" w:sz="0" w:space="0" w:color="auto"/>
      </w:divBdr>
    </w:div>
    <w:div w:id="176887408">
      <w:bodyDiv w:val="1"/>
      <w:marLeft w:val="0"/>
      <w:marRight w:val="0"/>
      <w:marTop w:val="0"/>
      <w:marBottom w:val="0"/>
      <w:divBdr>
        <w:top w:val="none" w:sz="0" w:space="0" w:color="auto"/>
        <w:left w:val="none" w:sz="0" w:space="0" w:color="auto"/>
        <w:bottom w:val="none" w:sz="0" w:space="0" w:color="auto"/>
        <w:right w:val="none" w:sz="0" w:space="0" w:color="auto"/>
      </w:divBdr>
    </w:div>
    <w:div w:id="461002575">
      <w:bodyDiv w:val="1"/>
      <w:marLeft w:val="0"/>
      <w:marRight w:val="0"/>
      <w:marTop w:val="0"/>
      <w:marBottom w:val="0"/>
      <w:divBdr>
        <w:top w:val="none" w:sz="0" w:space="0" w:color="auto"/>
        <w:left w:val="none" w:sz="0" w:space="0" w:color="auto"/>
        <w:bottom w:val="none" w:sz="0" w:space="0" w:color="auto"/>
        <w:right w:val="none" w:sz="0" w:space="0" w:color="auto"/>
      </w:divBdr>
    </w:div>
    <w:div w:id="509835830">
      <w:bodyDiv w:val="1"/>
      <w:marLeft w:val="0"/>
      <w:marRight w:val="0"/>
      <w:marTop w:val="0"/>
      <w:marBottom w:val="0"/>
      <w:divBdr>
        <w:top w:val="none" w:sz="0" w:space="0" w:color="auto"/>
        <w:left w:val="none" w:sz="0" w:space="0" w:color="auto"/>
        <w:bottom w:val="none" w:sz="0" w:space="0" w:color="auto"/>
        <w:right w:val="none" w:sz="0" w:space="0" w:color="auto"/>
      </w:divBdr>
    </w:div>
    <w:div w:id="519635086">
      <w:bodyDiv w:val="1"/>
      <w:marLeft w:val="0"/>
      <w:marRight w:val="0"/>
      <w:marTop w:val="0"/>
      <w:marBottom w:val="0"/>
      <w:divBdr>
        <w:top w:val="none" w:sz="0" w:space="0" w:color="auto"/>
        <w:left w:val="none" w:sz="0" w:space="0" w:color="auto"/>
        <w:bottom w:val="none" w:sz="0" w:space="0" w:color="auto"/>
        <w:right w:val="none" w:sz="0" w:space="0" w:color="auto"/>
      </w:divBdr>
    </w:div>
    <w:div w:id="553470660">
      <w:bodyDiv w:val="1"/>
      <w:marLeft w:val="0"/>
      <w:marRight w:val="0"/>
      <w:marTop w:val="0"/>
      <w:marBottom w:val="0"/>
      <w:divBdr>
        <w:top w:val="none" w:sz="0" w:space="0" w:color="auto"/>
        <w:left w:val="none" w:sz="0" w:space="0" w:color="auto"/>
        <w:bottom w:val="none" w:sz="0" w:space="0" w:color="auto"/>
        <w:right w:val="none" w:sz="0" w:space="0" w:color="auto"/>
      </w:divBdr>
    </w:div>
    <w:div w:id="598951306">
      <w:bodyDiv w:val="1"/>
      <w:marLeft w:val="0"/>
      <w:marRight w:val="0"/>
      <w:marTop w:val="0"/>
      <w:marBottom w:val="0"/>
      <w:divBdr>
        <w:top w:val="none" w:sz="0" w:space="0" w:color="auto"/>
        <w:left w:val="none" w:sz="0" w:space="0" w:color="auto"/>
        <w:bottom w:val="none" w:sz="0" w:space="0" w:color="auto"/>
        <w:right w:val="none" w:sz="0" w:space="0" w:color="auto"/>
      </w:divBdr>
    </w:div>
    <w:div w:id="648873897">
      <w:bodyDiv w:val="1"/>
      <w:marLeft w:val="0"/>
      <w:marRight w:val="0"/>
      <w:marTop w:val="0"/>
      <w:marBottom w:val="0"/>
      <w:divBdr>
        <w:top w:val="none" w:sz="0" w:space="0" w:color="auto"/>
        <w:left w:val="none" w:sz="0" w:space="0" w:color="auto"/>
        <w:bottom w:val="none" w:sz="0" w:space="0" w:color="auto"/>
        <w:right w:val="none" w:sz="0" w:space="0" w:color="auto"/>
      </w:divBdr>
    </w:div>
    <w:div w:id="737748910">
      <w:bodyDiv w:val="1"/>
      <w:marLeft w:val="0"/>
      <w:marRight w:val="0"/>
      <w:marTop w:val="0"/>
      <w:marBottom w:val="0"/>
      <w:divBdr>
        <w:top w:val="none" w:sz="0" w:space="0" w:color="auto"/>
        <w:left w:val="none" w:sz="0" w:space="0" w:color="auto"/>
        <w:bottom w:val="none" w:sz="0" w:space="0" w:color="auto"/>
        <w:right w:val="none" w:sz="0" w:space="0" w:color="auto"/>
      </w:divBdr>
      <w:divsChild>
        <w:div w:id="670332590">
          <w:marLeft w:val="0"/>
          <w:marRight w:val="0"/>
          <w:marTop w:val="0"/>
          <w:marBottom w:val="0"/>
          <w:divBdr>
            <w:top w:val="none" w:sz="0" w:space="0" w:color="auto"/>
            <w:left w:val="none" w:sz="0" w:space="0" w:color="auto"/>
            <w:bottom w:val="none" w:sz="0" w:space="0" w:color="auto"/>
            <w:right w:val="none" w:sz="0" w:space="0" w:color="auto"/>
          </w:divBdr>
          <w:divsChild>
            <w:div w:id="660503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625272">
      <w:bodyDiv w:val="1"/>
      <w:marLeft w:val="0"/>
      <w:marRight w:val="0"/>
      <w:marTop w:val="0"/>
      <w:marBottom w:val="0"/>
      <w:divBdr>
        <w:top w:val="none" w:sz="0" w:space="0" w:color="auto"/>
        <w:left w:val="none" w:sz="0" w:space="0" w:color="auto"/>
        <w:bottom w:val="none" w:sz="0" w:space="0" w:color="auto"/>
        <w:right w:val="none" w:sz="0" w:space="0" w:color="auto"/>
      </w:divBdr>
    </w:div>
    <w:div w:id="982344440">
      <w:bodyDiv w:val="1"/>
      <w:marLeft w:val="0"/>
      <w:marRight w:val="0"/>
      <w:marTop w:val="0"/>
      <w:marBottom w:val="0"/>
      <w:divBdr>
        <w:top w:val="none" w:sz="0" w:space="0" w:color="auto"/>
        <w:left w:val="none" w:sz="0" w:space="0" w:color="auto"/>
        <w:bottom w:val="none" w:sz="0" w:space="0" w:color="auto"/>
        <w:right w:val="none" w:sz="0" w:space="0" w:color="auto"/>
      </w:divBdr>
    </w:div>
    <w:div w:id="1011417797">
      <w:bodyDiv w:val="1"/>
      <w:marLeft w:val="0"/>
      <w:marRight w:val="0"/>
      <w:marTop w:val="0"/>
      <w:marBottom w:val="0"/>
      <w:divBdr>
        <w:top w:val="none" w:sz="0" w:space="0" w:color="auto"/>
        <w:left w:val="none" w:sz="0" w:space="0" w:color="auto"/>
        <w:bottom w:val="none" w:sz="0" w:space="0" w:color="auto"/>
        <w:right w:val="none" w:sz="0" w:space="0" w:color="auto"/>
      </w:divBdr>
    </w:div>
    <w:div w:id="1071005264">
      <w:bodyDiv w:val="1"/>
      <w:marLeft w:val="0"/>
      <w:marRight w:val="0"/>
      <w:marTop w:val="0"/>
      <w:marBottom w:val="0"/>
      <w:divBdr>
        <w:top w:val="none" w:sz="0" w:space="0" w:color="auto"/>
        <w:left w:val="none" w:sz="0" w:space="0" w:color="auto"/>
        <w:bottom w:val="none" w:sz="0" w:space="0" w:color="auto"/>
        <w:right w:val="none" w:sz="0" w:space="0" w:color="auto"/>
      </w:divBdr>
    </w:div>
    <w:div w:id="1081954335">
      <w:bodyDiv w:val="1"/>
      <w:marLeft w:val="0"/>
      <w:marRight w:val="0"/>
      <w:marTop w:val="0"/>
      <w:marBottom w:val="0"/>
      <w:divBdr>
        <w:top w:val="none" w:sz="0" w:space="0" w:color="auto"/>
        <w:left w:val="none" w:sz="0" w:space="0" w:color="auto"/>
        <w:bottom w:val="none" w:sz="0" w:space="0" w:color="auto"/>
        <w:right w:val="none" w:sz="0" w:space="0" w:color="auto"/>
      </w:divBdr>
    </w:div>
    <w:div w:id="1129668146">
      <w:bodyDiv w:val="1"/>
      <w:marLeft w:val="0"/>
      <w:marRight w:val="0"/>
      <w:marTop w:val="0"/>
      <w:marBottom w:val="0"/>
      <w:divBdr>
        <w:top w:val="none" w:sz="0" w:space="0" w:color="auto"/>
        <w:left w:val="none" w:sz="0" w:space="0" w:color="auto"/>
        <w:bottom w:val="none" w:sz="0" w:space="0" w:color="auto"/>
        <w:right w:val="none" w:sz="0" w:space="0" w:color="auto"/>
      </w:divBdr>
    </w:div>
    <w:div w:id="1274021421">
      <w:bodyDiv w:val="1"/>
      <w:marLeft w:val="0"/>
      <w:marRight w:val="0"/>
      <w:marTop w:val="0"/>
      <w:marBottom w:val="0"/>
      <w:divBdr>
        <w:top w:val="none" w:sz="0" w:space="0" w:color="auto"/>
        <w:left w:val="none" w:sz="0" w:space="0" w:color="auto"/>
        <w:bottom w:val="none" w:sz="0" w:space="0" w:color="auto"/>
        <w:right w:val="none" w:sz="0" w:space="0" w:color="auto"/>
      </w:divBdr>
    </w:div>
    <w:div w:id="1338733143">
      <w:bodyDiv w:val="1"/>
      <w:marLeft w:val="0"/>
      <w:marRight w:val="0"/>
      <w:marTop w:val="0"/>
      <w:marBottom w:val="0"/>
      <w:divBdr>
        <w:top w:val="none" w:sz="0" w:space="0" w:color="auto"/>
        <w:left w:val="none" w:sz="0" w:space="0" w:color="auto"/>
        <w:bottom w:val="none" w:sz="0" w:space="0" w:color="auto"/>
        <w:right w:val="none" w:sz="0" w:space="0" w:color="auto"/>
      </w:divBdr>
    </w:div>
    <w:div w:id="1364789752">
      <w:bodyDiv w:val="1"/>
      <w:marLeft w:val="0"/>
      <w:marRight w:val="0"/>
      <w:marTop w:val="0"/>
      <w:marBottom w:val="0"/>
      <w:divBdr>
        <w:top w:val="none" w:sz="0" w:space="0" w:color="auto"/>
        <w:left w:val="none" w:sz="0" w:space="0" w:color="auto"/>
        <w:bottom w:val="none" w:sz="0" w:space="0" w:color="auto"/>
        <w:right w:val="none" w:sz="0" w:space="0" w:color="auto"/>
      </w:divBdr>
    </w:div>
    <w:div w:id="1385907919">
      <w:bodyDiv w:val="1"/>
      <w:marLeft w:val="0"/>
      <w:marRight w:val="0"/>
      <w:marTop w:val="0"/>
      <w:marBottom w:val="0"/>
      <w:divBdr>
        <w:top w:val="none" w:sz="0" w:space="0" w:color="auto"/>
        <w:left w:val="none" w:sz="0" w:space="0" w:color="auto"/>
        <w:bottom w:val="none" w:sz="0" w:space="0" w:color="auto"/>
        <w:right w:val="none" w:sz="0" w:space="0" w:color="auto"/>
      </w:divBdr>
    </w:div>
    <w:div w:id="1388455487">
      <w:bodyDiv w:val="1"/>
      <w:marLeft w:val="0"/>
      <w:marRight w:val="0"/>
      <w:marTop w:val="0"/>
      <w:marBottom w:val="0"/>
      <w:divBdr>
        <w:top w:val="none" w:sz="0" w:space="0" w:color="auto"/>
        <w:left w:val="none" w:sz="0" w:space="0" w:color="auto"/>
        <w:bottom w:val="none" w:sz="0" w:space="0" w:color="auto"/>
        <w:right w:val="none" w:sz="0" w:space="0" w:color="auto"/>
      </w:divBdr>
    </w:div>
    <w:div w:id="1418405858">
      <w:bodyDiv w:val="1"/>
      <w:marLeft w:val="0"/>
      <w:marRight w:val="0"/>
      <w:marTop w:val="0"/>
      <w:marBottom w:val="0"/>
      <w:divBdr>
        <w:top w:val="none" w:sz="0" w:space="0" w:color="auto"/>
        <w:left w:val="none" w:sz="0" w:space="0" w:color="auto"/>
        <w:bottom w:val="none" w:sz="0" w:space="0" w:color="auto"/>
        <w:right w:val="none" w:sz="0" w:space="0" w:color="auto"/>
      </w:divBdr>
    </w:div>
    <w:div w:id="1420907771">
      <w:bodyDiv w:val="1"/>
      <w:marLeft w:val="0"/>
      <w:marRight w:val="0"/>
      <w:marTop w:val="0"/>
      <w:marBottom w:val="0"/>
      <w:divBdr>
        <w:top w:val="none" w:sz="0" w:space="0" w:color="auto"/>
        <w:left w:val="none" w:sz="0" w:space="0" w:color="auto"/>
        <w:bottom w:val="none" w:sz="0" w:space="0" w:color="auto"/>
        <w:right w:val="none" w:sz="0" w:space="0" w:color="auto"/>
      </w:divBdr>
    </w:div>
    <w:div w:id="1537113043">
      <w:bodyDiv w:val="1"/>
      <w:marLeft w:val="0"/>
      <w:marRight w:val="0"/>
      <w:marTop w:val="0"/>
      <w:marBottom w:val="0"/>
      <w:divBdr>
        <w:top w:val="none" w:sz="0" w:space="0" w:color="auto"/>
        <w:left w:val="none" w:sz="0" w:space="0" w:color="auto"/>
        <w:bottom w:val="none" w:sz="0" w:space="0" w:color="auto"/>
        <w:right w:val="none" w:sz="0" w:space="0" w:color="auto"/>
      </w:divBdr>
      <w:divsChild>
        <w:div w:id="65540929">
          <w:marLeft w:val="274"/>
          <w:marRight w:val="0"/>
          <w:marTop w:val="150"/>
          <w:marBottom w:val="0"/>
          <w:divBdr>
            <w:top w:val="none" w:sz="0" w:space="0" w:color="auto"/>
            <w:left w:val="none" w:sz="0" w:space="0" w:color="auto"/>
            <w:bottom w:val="none" w:sz="0" w:space="0" w:color="auto"/>
            <w:right w:val="none" w:sz="0" w:space="0" w:color="auto"/>
          </w:divBdr>
        </w:div>
        <w:div w:id="564412960">
          <w:marLeft w:val="274"/>
          <w:marRight w:val="0"/>
          <w:marTop w:val="150"/>
          <w:marBottom w:val="0"/>
          <w:divBdr>
            <w:top w:val="none" w:sz="0" w:space="0" w:color="auto"/>
            <w:left w:val="none" w:sz="0" w:space="0" w:color="auto"/>
            <w:bottom w:val="none" w:sz="0" w:space="0" w:color="auto"/>
            <w:right w:val="none" w:sz="0" w:space="0" w:color="auto"/>
          </w:divBdr>
        </w:div>
        <w:div w:id="1149397981">
          <w:marLeft w:val="806"/>
          <w:marRight w:val="0"/>
          <w:marTop w:val="75"/>
          <w:marBottom w:val="0"/>
          <w:divBdr>
            <w:top w:val="none" w:sz="0" w:space="0" w:color="auto"/>
            <w:left w:val="none" w:sz="0" w:space="0" w:color="auto"/>
            <w:bottom w:val="none" w:sz="0" w:space="0" w:color="auto"/>
            <w:right w:val="none" w:sz="0" w:space="0" w:color="auto"/>
          </w:divBdr>
        </w:div>
        <w:div w:id="1265990200">
          <w:marLeft w:val="274"/>
          <w:marRight w:val="0"/>
          <w:marTop w:val="150"/>
          <w:marBottom w:val="0"/>
          <w:divBdr>
            <w:top w:val="none" w:sz="0" w:space="0" w:color="auto"/>
            <w:left w:val="none" w:sz="0" w:space="0" w:color="auto"/>
            <w:bottom w:val="none" w:sz="0" w:space="0" w:color="auto"/>
            <w:right w:val="none" w:sz="0" w:space="0" w:color="auto"/>
          </w:divBdr>
        </w:div>
        <w:div w:id="1882857186">
          <w:marLeft w:val="274"/>
          <w:marRight w:val="0"/>
          <w:marTop w:val="150"/>
          <w:marBottom w:val="0"/>
          <w:divBdr>
            <w:top w:val="none" w:sz="0" w:space="0" w:color="auto"/>
            <w:left w:val="none" w:sz="0" w:space="0" w:color="auto"/>
            <w:bottom w:val="none" w:sz="0" w:space="0" w:color="auto"/>
            <w:right w:val="none" w:sz="0" w:space="0" w:color="auto"/>
          </w:divBdr>
        </w:div>
      </w:divsChild>
    </w:div>
    <w:div w:id="1785421476">
      <w:bodyDiv w:val="1"/>
      <w:marLeft w:val="0"/>
      <w:marRight w:val="0"/>
      <w:marTop w:val="0"/>
      <w:marBottom w:val="0"/>
      <w:divBdr>
        <w:top w:val="none" w:sz="0" w:space="0" w:color="auto"/>
        <w:left w:val="none" w:sz="0" w:space="0" w:color="auto"/>
        <w:bottom w:val="none" w:sz="0" w:space="0" w:color="auto"/>
        <w:right w:val="none" w:sz="0" w:space="0" w:color="auto"/>
      </w:divBdr>
    </w:div>
    <w:div w:id="2076125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hart" Target="charts/chart2.xml"/><Relationship Id="rId18" Type="http://schemas.openxmlformats.org/officeDocument/2006/relationships/hyperlink" Target="http://www.nps.gov/blri" TargetMode="External"/><Relationship Id="rId26" Type="http://schemas.openxmlformats.org/officeDocument/2006/relationships/hyperlink" Target="http://www.nps.gov/neri" TargetMode="External"/><Relationship Id="rId3" Type="http://schemas.openxmlformats.org/officeDocument/2006/relationships/styles" Target="styles.xml"/><Relationship Id="rId21" Type="http://schemas.openxmlformats.org/officeDocument/2006/relationships/hyperlink" Target="http://powhatan.wm.edu/" TargetMode="Externa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hyperlink" Target="http://www.slideshare.net/stefanocosta/what-does-the-holy-grail-look-like-defining-open-data-in-archaeology-and-the-related-issues" TargetMode="External"/><Relationship Id="rId25" Type="http://schemas.openxmlformats.org/officeDocument/2006/relationships/hyperlink" Target="http://www.manassascity.org/index.aspx?NID=211"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hyperlink" Target="http://www.nps.gov/choh" TargetMode="External"/><Relationship Id="rId29" Type="http://schemas.openxmlformats.org/officeDocument/2006/relationships/hyperlink" Target="http://www.nps.gov/ric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http://www.nps.gov/grfa"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hyperlink" Target="http://www.daacs.org/" TargetMode="External"/><Relationship Id="rId28" Type="http://schemas.openxmlformats.org/officeDocument/2006/relationships/hyperlink" Target="http://www.radford.edu/" TargetMode="External"/><Relationship Id="rId10" Type="http://schemas.openxmlformats.org/officeDocument/2006/relationships/image" Target="media/image1.jpeg"/><Relationship Id="rId19" Type="http://schemas.openxmlformats.org/officeDocument/2006/relationships/hyperlink" Target="http://www.smallmuseum.org/capechas.html" TargetMode="External"/><Relationship Id="rId31" Type="http://schemas.openxmlformats.org/officeDocument/2006/relationships/hyperlink" Target="http://www.fs.usda.gov/main/gwj/home"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3.xml"/><Relationship Id="rId22" Type="http://schemas.openxmlformats.org/officeDocument/2006/relationships/hyperlink" Target="http://www.nps.gov/colo/" TargetMode="External"/><Relationship Id="rId27" Type="http://schemas.openxmlformats.org/officeDocument/2006/relationships/hyperlink" Target="http://www.nps.gov/pete" TargetMode="External"/><Relationship Id="rId30" Type="http://schemas.openxmlformats.org/officeDocument/2006/relationships/hyperlink" Target="http://www.nps.gov/shen"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SIS\Thesis\WebsiteAnalysi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SIS\Thesis\WebsiteAnalysi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SIS\Thesis\WebsiteAnalysisStat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SIS\Thesis\WebsiteAnalysisStat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SIS\Thesis\WebsiteAnalysisStat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tx>
            <c:strRef>
              <c:f>Charts!$F$35</c:f>
              <c:strCache>
                <c:ptCount val="1"/>
                <c:pt idx="0">
                  <c:v>Count</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cat>
            <c:strRef>
              <c:f>Charts!$E$36:$E$39</c:f>
              <c:strCache>
                <c:ptCount val="3"/>
                <c:pt idx="0">
                  <c:v>No Archaeology</c:v>
                </c:pt>
                <c:pt idx="1">
                  <c:v>No Data</c:v>
                </c:pt>
                <c:pt idx="2">
                  <c:v>Data</c:v>
                </c:pt>
              </c:strCache>
            </c:strRef>
          </c:cat>
          <c:val>
            <c:numRef>
              <c:f>Charts!$F$36:$F$39</c:f>
              <c:numCache>
                <c:formatCode>General</c:formatCode>
                <c:ptCount val="4"/>
                <c:pt idx="0">
                  <c:v>109</c:v>
                </c:pt>
                <c:pt idx="1">
                  <c:v>13</c:v>
                </c:pt>
                <c:pt idx="2">
                  <c:v>26</c:v>
                </c:pt>
              </c:numCache>
            </c:numRef>
          </c:val>
        </c:ser>
        <c:ser>
          <c:idx val="1"/>
          <c:order val="1"/>
          <c:tx>
            <c:strRef>
              <c:f>Charts!$G$35</c:f>
              <c:strCache>
                <c:ptCount val="1"/>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cat>
            <c:strRef>
              <c:f>Charts!$E$36:$E$39</c:f>
              <c:strCache>
                <c:ptCount val="3"/>
                <c:pt idx="0">
                  <c:v>No Archaeology</c:v>
                </c:pt>
                <c:pt idx="1">
                  <c:v>No Data</c:v>
                </c:pt>
                <c:pt idx="2">
                  <c:v>Data</c:v>
                </c:pt>
              </c:strCache>
            </c:strRef>
          </c:cat>
          <c:val>
            <c:numRef>
              <c:f>Charts!$G$36:$G$39</c:f>
              <c:numCache>
                <c:formatCode>General</c:formatCode>
                <c:ptCount val="4"/>
              </c:numCache>
            </c:numRef>
          </c:val>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b"/>
      <c:legendEntry>
        <c:idx val="3"/>
        <c:delete val="1"/>
      </c:legendEntry>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[WebsiteAnalysis.xlsx]Non-digital!PivotTable3</c:name>
    <c:fmtId val="-1"/>
  </c:pivotSource>
  <c:chart>
    <c:autoTitleDeleted val="1"/>
    <c:pivotFmts>
      <c:pivotFmt>
        <c:idx val="0"/>
        <c:spPr>
          <a:solidFill>
            <a:schemeClr val="accent1"/>
          </a:solidFill>
          <a:ln w="19050">
            <a:solidFill>
              <a:schemeClr val="lt1"/>
            </a:solidFill>
          </a:ln>
          <a:effectLst/>
        </c:spPr>
        <c:marker>
          <c:symbol val="none"/>
        </c:marker>
      </c:pivotFmt>
      <c:pivotFmt>
        <c:idx val="1"/>
        <c:spPr>
          <a:solidFill>
            <a:schemeClr val="accent1"/>
          </a:solidFill>
          <a:ln w="19050">
            <a:solidFill>
              <a:schemeClr val="lt1"/>
            </a:solidFill>
          </a:ln>
          <a:effectLst/>
        </c:spPr>
        <c:marker>
          <c:symbol val="none"/>
        </c:marker>
      </c:pivotFmt>
      <c:pivotFmt>
        <c:idx val="2"/>
        <c:spPr>
          <a:solidFill>
            <a:schemeClr val="accent1"/>
          </a:solidFill>
          <a:ln w="19050">
            <a:solidFill>
              <a:schemeClr val="lt1"/>
            </a:solidFill>
          </a:ln>
          <a:effectLst/>
        </c:spPr>
      </c:pivotFmt>
      <c:pivotFmt>
        <c:idx val="3"/>
        <c:spPr>
          <a:solidFill>
            <a:schemeClr val="accent1"/>
          </a:solidFill>
          <a:ln w="19050">
            <a:solidFill>
              <a:schemeClr val="lt1"/>
            </a:solidFill>
          </a:ln>
          <a:effectLst/>
        </c:spPr>
      </c:pivotFmt>
      <c:pivotFmt>
        <c:idx val="4"/>
        <c:spPr>
          <a:solidFill>
            <a:schemeClr val="accent1"/>
          </a:solidFill>
          <a:ln w="19050">
            <a:solidFill>
              <a:schemeClr val="lt1"/>
            </a:solidFill>
          </a:ln>
          <a:effectLst/>
        </c:spPr>
      </c:pivotFmt>
      <c:pivotFmt>
        <c:idx val="5"/>
        <c:spPr>
          <a:solidFill>
            <a:schemeClr val="accent1"/>
          </a:solidFill>
          <a:ln w="19050">
            <a:solidFill>
              <a:schemeClr val="lt1"/>
            </a:solidFill>
          </a:ln>
          <a:effectLst/>
        </c:spPr>
      </c:pivotFmt>
      <c:pivotFmt>
        <c:idx val="6"/>
        <c:spPr>
          <a:solidFill>
            <a:schemeClr val="accent1"/>
          </a:solidFill>
          <a:ln w="19050">
            <a:solidFill>
              <a:schemeClr val="lt1"/>
            </a:solidFill>
          </a:ln>
          <a:effectLst/>
        </c:spPr>
      </c:pivotFmt>
      <c:pivotFmt>
        <c:idx val="7"/>
        <c:spPr>
          <a:solidFill>
            <a:schemeClr val="accent1"/>
          </a:solidFill>
          <a:ln w="19050">
            <a:solidFill>
              <a:schemeClr val="lt1"/>
            </a:solidFill>
          </a:ln>
          <a:effectLst/>
        </c:spPr>
        <c:marker>
          <c:symbol val="none"/>
        </c:marker>
      </c:pivotFmt>
      <c:pivotFmt>
        <c:idx val="8"/>
        <c:spPr>
          <a:solidFill>
            <a:schemeClr val="accent1"/>
          </a:solidFill>
          <a:ln w="19050">
            <a:solidFill>
              <a:schemeClr val="lt1"/>
            </a:solidFill>
          </a:ln>
          <a:effectLst/>
        </c:spPr>
      </c:pivotFmt>
      <c:pivotFmt>
        <c:idx val="9"/>
        <c:spPr>
          <a:solidFill>
            <a:schemeClr val="accent1"/>
          </a:solidFill>
          <a:ln w="19050">
            <a:solidFill>
              <a:schemeClr val="lt1"/>
            </a:solidFill>
          </a:ln>
          <a:effectLst/>
        </c:spPr>
      </c:pivotFmt>
      <c:pivotFmt>
        <c:idx val="10"/>
        <c:spPr>
          <a:solidFill>
            <a:schemeClr val="accent1"/>
          </a:solidFill>
          <a:ln w="19050">
            <a:solidFill>
              <a:schemeClr val="lt1"/>
            </a:solidFill>
          </a:ln>
          <a:effectLst/>
        </c:spPr>
      </c:pivotFmt>
      <c:pivotFmt>
        <c:idx val="11"/>
        <c:spPr>
          <a:solidFill>
            <a:schemeClr val="accent1"/>
          </a:solidFill>
          <a:ln w="19050">
            <a:solidFill>
              <a:schemeClr val="lt1"/>
            </a:solidFill>
          </a:ln>
          <a:effectLst/>
        </c:spPr>
      </c:pivotFmt>
      <c:pivotFmt>
        <c:idx val="12"/>
        <c:spPr>
          <a:solidFill>
            <a:schemeClr val="accent1"/>
          </a:solidFill>
          <a:ln w="19050">
            <a:solidFill>
              <a:schemeClr val="lt1"/>
            </a:solidFill>
          </a:ln>
          <a:effectLst/>
        </c:spPr>
      </c:pivotFmt>
    </c:pivotFmts>
    <c:plotArea>
      <c:layout/>
      <c:doughnutChart>
        <c:varyColors val="1"/>
        <c:ser>
          <c:idx val="0"/>
          <c:order val="0"/>
          <c:tx>
            <c:strRef>
              <c:f>'Non-digital'!$J$22</c:f>
              <c:strCache>
                <c:ptCount val="1"/>
                <c:pt idx="0">
                  <c:v>Total</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cat>
            <c:strRef>
              <c:f>'Non-digital'!$I$23:$I$28</c:f>
              <c:strCache>
                <c:ptCount val="5"/>
                <c:pt idx="0">
                  <c:v>Fed</c:v>
                </c:pt>
                <c:pt idx="1">
                  <c:v>City/State</c:v>
                </c:pt>
                <c:pt idx="2">
                  <c:v>University</c:v>
                </c:pt>
                <c:pt idx="3">
                  <c:v>Non-Profit</c:v>
                </c:pt>
                <c:pt idx="4">
                  <c:v>(blank)</c:v>
                </c:pt>
              </c:strCache>
            </c:strRef>
          </c:cat>
          <c:val>
            <c:numRef>
              <c:f>'Non-digital'!$J$23:$J$28</c:f>
              <c:numCache>
                <c:formatCode>General</c:formatCode>
                <c:ptCount val="5"/>
                <c:pt idx="0">
                  <c:v>22</c:v>
                </c:pt>
                <c:pt idx="1">
                  <c:v>9</c:v>
                </c:pt>
                <c:pt idx="2">
                  <c:v>8</c:v>
                </c:pt>
                <c:pt idx="3">
                  <c:v>70</c:v>
                </c:pt>
              </c:numCache>
            </c:numRef>
          </c:val>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r"/>
      <c:legendEntry>
        <c:idx val="4"/>
        <c:delete val="1"/>
      </c:legendEntry>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Lst>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Sheet1!$A$2</c:f>
              <c:strCache>
                <c:ptCount val="1"/>
                <c:pt idx="0">
                  <c:v>Not Present</c:v>
                </c:pt>
              </c:strCache>
            </c:strRef>
          </c:tx>
          <c:spPr>
            <a:solidFill>
              <a:schemeClr val="accent1"/>
            </a:solidFill>
            <a:ln>
              <a:noFill/>
            </a:ln>
            <a:effectLst/>
          </c:spPr>
          <c:invertIfNegative val="0"/>
          <c:cat>
            <c:strRef>
              <c:f>Sheet1!$B$1:$H$1</c:f>
              <c:strCache>
                <c:ptCount val="7"/>
                <c:pt idx="0">
                  <c:v>Educational</c:v>
                </c:pt>
                <c:pt idx="1">
                  <c:v>Outreach</c:v>
                </c:pt>
                <c:pt idx="2">
                  <c:v>Media</c:v>
                </c:pt>
                <c:pt idx="3">
                  <c:v>Contextual</c:v>
                </c:pt>
                <c:pt idx="4">
                  <c:v>Social Media</c:v>
                </c:pt>
                <c:pt idx="5">
                  <c:v>Blog</c:v>
                </c:pt>
                <c:pt idx="6">
                  <c:v>Summary</c:v>
                </c:pt>
              </c:strCache>
            </c:strRef>
          </c:cat>
          <c:val>
            <c:numRef>
              <c:f>Sheet1!$B$2:$H$2</c:f>
              <c:numCache>
                <c:formatCode>0.00%</c:formatCode>
                <c:ptCount val="7"/>
                <c:pt idx="0">
                  <c:v>0.60529999999999995</c:v>
                </c:pt>
                <c:pt idx="1">
                  <c:v>0.42110000000000031</c:v>
                </c:pt>
                <c:pt idx="2">
                  <c:v>0.31580000000000075</c:v>
                </c:pt>
                <c:pt idx="3">
                  <c:v>0.21050000000000021</c:v>
                </c:pt>
                <c:pt idx="4">
                  <c:v>0.52629999999999999</c:v>
                </c:pt>
                <c:pt idx="5">
                  <c:v>0.55259999999999998</c:v>
                </c:pt>
                <c:pt idx="6">
                  <c:v>0.44740000000000002</c:v>
                </c:pt>
              </c:numCache>
            </c:numRef>
          </c:val>
        </c:ser>
        <c:ser>
          <c:idx val="1"/>
          <c:order val="1"/>
          <c:tx>
            <c:strRef>
              <c:f>Sheet1!$A$3</c:f>
              <c:strCache>
                <c:ptCount val="1"/>
                <c:pt idx="0">
                  <c:v>Present</c:v>
                </c:pt>
              </c:strCache>
            </c:strRef>
          </c:tx>
          <c:spPr>
            <a:solidFill>
              <a:schemeClr val="accent2"/>
            </a:solidFill>
            <a:ln>
              <a:noFill/>
            </a:ln>
            <a:effectLst/>
          </c:spPr>
          <c:invertIfNegative val="0"/>
          <c:cat>
            <c:strRef>
              <c:f>Sheet1!$B$1:$H$1</c:f>
              <c:strCache>
                <c:ptCount val="7"/>
                <c:pt idx="0">
                  <c:v>Educational</c:v>
                </c:pt>
                <c:pt idx="1">
                  <c:v>Outreach</c:v>
                </c:pt>
                <c:pt idx="2">
                  <c:v>Media</c:v>
                </c:pt>
                <c:pt idx="3">
                  <c:v>Contextual</c:v>
                </c:pt>
                <c:pt idx="4">
                  <c:v>Social Media</c:v>
                </c:pt>
                <c:pt idx="5">
                  <c:v>Blog</c:v>
                </c:pt>
                <c:pt idx="6">
                  <c:v>Summary</c:v>
                </c:pt>
              </c:strCache>
            </c:strRef>
          </c:cat>
          <c:val>
            <c:numRef>
              <c:f>Sheet1!$B$3:$H$3</c:f>
              <c:numCache>
                <c:formatCode>0.00%</c:formatCode>
                <c:ptCount val="7"/>
                <c:pt idx="0">
                  <c:v>0.39470000000000038</c:v>
                </c:pt>
                <c:pt idx="1">
                  <c:v>0.57890000000000064</c:v>
                </c:pt>
                <c:pt idx="2">
                  <c:v>0.69230000000000003</c:v>
                </c:pt>
                <c:pt idx="3">
                  <c:v>0.78949999999999998</c:v>
                </c:pt>
                <c:pt idx="4">
                  <c:v>0.47370000000000001</c:v>
                </c:pt>
                <c:pt idx="5">
                  <c:v>0.44740000000000002</c:v>
                </c:pt>
                <c:pt idx="6">
                  <c:v>0.55259999999999998</c:v>
                </c:pt>
              </c:numCache>
            </c:numRef>
          </c:val>
        </c:ser>
        <c:dLbls>
          <c:showLegendKey val="0"/>
          <c:showVal val="0"/>
          <c:showCatName val="0"/>
          <c:showSerName val="0"/>
          <c:showPercent val="0"/>
          <c:showBubbleSize val="0"/>
        </c:dLbls>
        <c:gapWidth val="150"/>
        <c:overlap val="100"/>
        <c:axId val="561982992"/>
        <c:axId val="561979464"/>
      </c:barChart>
      <c:catAx>
        <c:axId val="561982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1979464"/>
        <c:crosses val="autoZero"/>
        <c:auto val="1"/>
        <c:lblAlgn val="ctr"/>
        <c:lblOffset val="100"/>
        <c:noMultiLvlLbl val="0"/>
      </c:catAx>
      <c:valAx>
        <c:axId val="56197946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19829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tx>
            <c:strRef>
              <c:f>Sheet2!$B$1</c:f>
              <c:strCache>
                <c:ptCount val="1"/>
                <c:pt idx="0">
                  <c:v>Type</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cat>
            <c:strRef>
              <c:f>Sheet2!$A$2:$A$4</c:f>
              <c:strCache>
                <c:ptCount val="3"/>
                <c:pt idx="0">
                  <c:v>Text</c:v>
                </c:pt>
                <c:pt idx="1">
                  <c:v>Structured Text</c:v>
                </c:pt>
                <c:pt idx="2">
                  <c:v>Non-Proprietary</c:v>
                </c:pt>
              </c:strCache>
            </c:strRef>
          </c:cat>
          <c:val>
            <c:numRef>
              <c:f>Sheet2!$B$2:$B$4</c:f>
              <c:numCache>
                <c:formatCode>General</c:formatCode>
                <c:ptCount val="3"/>
                <c:pt idx="0">
                  <c:v>54</c:v>
                </c:pt>
                <c:pt idx="1">
                  <c:v>8</c:v>
                </c:pt>
                <c:pt idx="2">
                  <c:v>38</c:v>
                </c:pt>
              </c:numCache>
            </c:numRef>
          </c:val>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Sheet3!$A$2</c:f>
              <c:strCache>
                <c:ptCount val="1"/>
                <c:pt idx="0">
                  <c:v>Not Present</c:v>
                </c:pt>
              </c:strCache>
            </c:strRef>
          </c:tx>
          <c:spPr>
            <a:solidFill>
              <a:schemeClr val="accent1"/>
            </a:solidFill>
            <a:ln>
              <a:noFill/>
            </a:ln>
            <a:effectLst/>
          </c:spPr>
          <c:invertIfNegative val="0"/>
          <c:cat>
            <c:strRef>
              <c:f>Sheet3!$B$1:$G$1</c:f>
              <c:strCache>
                <c:ptCount val="6"/>
                <c:pt idx="0">
                  <c:v>Citation</c:v>
                </c:pt>
                <c:pt idx="1">
                  <c:v>License</c:v>
                </c:pt>
                <c:pt idx="2">
                  <c:v>URI</c:v>
                </c:pt>
                <c:pt idx="3">
                  <c:v>Archiving</c:v>
                </c:pt>
                <c:pt idx="4">
                  <c:v>Analysis</c:v>
                </c:pt>
                <c:pt idx="5">
                  <c:v>Contact</c:v>
                </c:pt>
              </c:strCache>
            </c:strRef>
          </c:cat>
          <c:val>
            <c:numRef>
              <c:f>Sheet3!$B$2:$G$2</c:f>
              <c:numCache>
                <c:formatCode>0%</c:formatCode>
                <c:ptCount val="6"/>
                <c:pt idx="0" formatCode="General">
                  <c:v>73</c:v>
                </c:pt>
                <c:pt idx="1">
                  <c:v>81</c:v>
                </c:pt>
                <c:pt idx="2" formatCode="General">
                  <c:v>100</c:v>
                </c:pt>
                <c:pt idx="3" formatCode="General">
                  <c:v>100</c:v>
                </c:pt>
                <c:pt idx="4" formatCode="General">
                  <c:v>88</c:v>
                </c:pt>
                <c:pt idx="5" formatCode="General">
                  <c:v>38</c:v>
                </c:pt>
              </c:numCache>
            </c:numRef>
          </c:val>
        </c:ser>
        <c:ser>
          <c:idx val="1"/>
          <c:order val="1"/>
          <c:tx>
            <c:strRef>
              <c:f>Sheet3!$A$3</c:f>
              <c:strCache>
                <c:ptCount val="1"/>
                <c:pt idx="0">
                  <c:v>Present</c:v>
                </c:pt>
              </c:strCache>
            </c:strRef>
          </c:tx>
          <c:spPr>
            <a:solidFill>
              <a:schemeClr val="accent2"/>
            </a:solidFill>
            <a:ln>
              <a:noFill/>
            </a:ln>
            <a:effectLst/>
          </c:spPr>
          <c:invertIfNegative val="0"/>
          <c:cat>
            <c:strRef>
              <c:f>Sheet3!$B$1:$G$1</c:f>
              <c:strCache>
                <c:ptCount val="6"/>
                <c:pt idx="0">
                  <c:v>Citation</c:v>
                </c:pt>
                <c:pt idx="1">
                  <c:v>License</c:v>
                </c:pt>
                <c:pt idx="2">
                  <c:v>URI</c:v>
                </c:pt>
                <c:pt idx="3">
                  <c:v>Archiving</c:v>
                </c:pt>
                <c:pt idx="4">
                  <c:v>Analysis</c:v>
                </c:pt>
                <c:pt idx="5">
                  <c:v>Contact</c:v>
                </c:pt>
              </c:strCache>
            </c:strRef>
          </c:cat>
          <c:val>
            <c:numRef>
              <c:f>Sheet3!$B$3:$G$3</c:f>
              <c:numCache>
                <c:formatCode>General</c:formatCode>
                <c:ptCount val="6"/>
                <c:pt idx="0">
                  <c:v>27</c:v>
                </c:pt>
                <c:pt idx="1">
                  <c:v>19</c:v>
                </c:pt>
                <c:pt idx="2">
                  <c:v>0</c:v>
                </c:pt>
                <c:pt idx="3">
                  <c:v>0</c:v>
                </c:pt>
                <c:pt idx="4">
                  <c:v>12</c:v>
                </c:pt>
                <c:pt idx="5">
                  <c:v>62</c:v>
                </c:pt>
              </c:numCache>
            </c:numRef>
          </c:val>
        </c:ser>
        <c:dLbls>
          <c:showLegendKey val="0"/>
          <c:showVal val="0"/>
          <c:showCatName val="0"/>
          <c:showSerName val="0"/>
          <c:showPercent val="0"/>
          <c:showBubbleSize val="0"/>
        </c:dLbls>
        <c:gapWidth val="150"/>
        <c:overlap val="100"/>
        <c:axId val="330897600"/>
        <c:axId val="401149792"/>
      </c:barChart>
      <c:catAx>
        <c:axId val="330897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1149792"/>
        <c:crosses val="autoZero"/>
        <c:auto val="1"/>
        <c:lblAlgn val="ctr"/>
        <c:lblOffset val="100"/>
        <c:noMultiLvlLbl val="0"/>
      </c:catAx>
      <c:valAx>
        <c:axId val="4011497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08976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7DAF7D-E15C-44AE-B071-F23198B1F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2866</TotalTime>
  <Pages>102</Pages>
  <Words>27556</Words>
  <Characters>157073</Characters>
  <Application>Microsoft Office Word</Application>
  <DocSecurity>0</DocSecurity>
  <Lines>1308</Lines>
  <Paragraphs>368</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184261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Freeman</dc:creator>
  <cp:keywords/>
  <dc:description/>
  <cp:lastModifiedBy>Mark Freeman</cp:lastModifiedBy>
  <cp:revision>7</cp:revision>
  <cp:lastPrinted>2015-05-19T13:47:00Z</cp:lastPrinted>
  <dcterms:created xsi:type="dcterms:W3CDTF">2015-05-11T23:27:00Z</dcterms:created>
  <dcterms:modified xsi:type="dcterms:W3CDTF">2015-05-20T18:22:00Z</dcterms:modified>
</cp:coreProperties>
</file>