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D18" w:rsidRDefault="00823904" w:rsidP="00B02D18">
      <w:pPr>
        <w:jc w:val="center"/>
        <w:rPr>
          <w:rFonts w:ascii="Times New Roman" w:hAnsi="Times New Roman" w:cs="Times New Roman"/>
          <w:b/>
          <w:sz w:val="28"/>
          <w:szCs w:val="28"/>
        </w:rPr>
      </w:pPr>
      <w:r w:rsidRPr="00823904">
        <w:rPr>
          <w:rFonts w:ascii="Times New Roman" w:hAnsi="Times New Roman" w:cs="Times New Roman"/>
          <w:b/>
          <w:sz w:val="28"/>
          <w:szCs w:val="28"/>
        </w:rPr>
        <w:t>R</w:t>
      </w:r>
      <w:r w:rsidR="000943CB">
        <w:rPr>
          <w:rFonts w:ascii="Times New Roman" w:hAnsi="Times New Roman" w:cs="Times New Roman"/>
          <w:b/>
          <w:sz w:val="28"/>
          <w:szCs w:val="28"/>
        </w:rPr>
        <w:t>elative and</w:t>
      </w:r>
      <w:r w:rsidRPr="00823904">
        <w:rPr>
          <w:rFonts w:ascii="Times New Roman" w:hAnsi="Times New Roman" w:cs="Times New Roman"/>
          <w:b/>
          <w:sz w:val="28"/>
          <w:szCs w:val="28"/>
        </w:rPr>
        <w:t xml:space="preserve"> A</w:t>
      </w:r>
      <w:r w:rsidR="000943CB">
        <w:rPr>
          <w:rFonts w:ascii="Times New Roman" w:hAnsi="Times New Roman" w:cs="Times New Roman"/>
          <w:b/>
          <w:sz w:val="28"/>
          <w:szCs w:val="28"/>
        </w:rPr>
        <w:t>bsolute</w:t>
      </w:r>
      <w:r w:rsidRPr="00823904">
        <w:rPr>
          <w:rFonts w:ascii="Times New Roman" w:hAnsi="Times New Roman" w:cs="Times New Roman"/>
          <w:b/>
          <w:sz w:val="28"/>
          <w:szCs w:val="28"/>
        </w:rPr>
        <w:t xml:space="preserve"> Q</w:t>
      </w:r>
      <w:r w:rsidR="000943CB">
        <w:rPr>
          <w:rFonts w:ascii="Times New Roman" w:hAnsi="Times New Roman" w:cs="Times New Roman"/>
          <w:b/>
          <w:sz w:val="28"/>
          <w:szCs w:val="28"/>
        </w:rPr>
        <w:t>uantitation</w:t>
      </w:r>
      <w:r w:rsidRPr="00823904">
        <w:rPr>
          <w:rFonts w:ascii="Times New Roman" w:hAnsi="Times New Roman" w:cs="Times New Roman"/>
          <w:b/>
          <w:sz w:val="28"/>
          <w:szCs w:val="28"/>
        </w:rPr>
        <w:t xml:space="preserve"> </w:t>
      </w:r>
      <w:r w:rsidR="00B02D18">
        <w:rPr>
          <w:rFonts w:ascii="Times New Roman" w:hAnsi="Times New Roman" w:cs="Times New Roman"/>
          <w:b/>
          <w:sz w:val="28"/>
          <w:szCs w:val="28"/>
        </w:rPr>
        <w:t xml:space="preserve">of Metabolites </w:t>
      </w:r>
    </w:p>
    <w:p w:rsidR="00B02D18" w:rsidRDefault="00B02D18" w:rsidP="00B02D18">
      <w:pPr>
        <w:jc w:val="center"/>
        <w:rPr>
          <w:rFonts w:ascii="Times New Roman" w:hAnsi="Times New Roman" w:cs="Times New Roman"/>
          <w:b/>
          <w:sz w:val="28"/>
          <w:szCs w:val="28"/>
        </w:rPr>
      </w:pPr>
      <w:proofErr w:type="gramStart"/>
      <w:r>
        <w:rPr>
          <w:rFonts w:ascii="Times New Roman" w:hAnsi="Times New Roman" w:cs="Times New Roman"/>
          <w:b/>
          <w:sz w:val="28"/>
          <w:szCs w:val="28"/>
        </w:rPr>
        <w:t>and</w:t>
      </w:r>
      <w:proofErr w:type="gramEnd"/>
      <w:r>
        <w:rPr>
          <w:rFonts w:ascii="Times New Roman" w:hAnsi="Times New Roman" w:cs="Times New Roman"/>
          <w:b/>
          <w:sz w:val="28"/>
          <w:szCs w:val="28"/>
        </w:rPr>
        <w:t xml:space="preserve"> Lipids using LC/MS/MS on the</w:t>
      </w:r>
    </w:p>
    <w:p w:rsidR="00B02D18" w:rsidRPr="00823904" w:rsidRDefault="00B02D18" w:rsidP="00B02D18">
      <w:pPr>
        <w:jc w:val="center"/>
        <w:rPr>
          <w:rFonts w:ascii="Times New Roman" w:hAnsi="Times New Roman" w:cs="Times New Roman"/>
          <w:b/>
          <w:sz w:val="28"/>
          <w:szCs w:val="28"/>
        </w:rPr>
      </w:pPr>
      <w:r>
        <w:rPr>
          <w:rFonts w:ascii="Times New Roman" w:hAnsi="Times New Roman" w:cs="Times New Roman"/>
          <w:b/>
          <w:sz w:val="28"/>
          <w:szCs w:val="28"/>
        </w:rPr>
        <w:t>TSQ Quantum Discovery MAX</w:t>
      </w:r>
    </w:p>
    <w:p w:rsidR="00823904" w:rsidRPr="00823904" w:rsidRDefault="00823904" w:rsidP="00823904">
      <w:pPr>
        <w:jc w:val="center"/>
        <w:rPr>
          <w:rFonts w:ascii="Times New Roman" w:hAnsi="Times New Roman" w:cs="Times New Roman"/>
          <w:b/>
          <w:sz w:val="28"/>
          <w:szCs w:val="28"/>
        </w:rPr>
      </w:pPr>
    </w:p>
    <w:p w:rsidR="00823904" w:rsidRPr="00823904" w:rsidRDefault="00823904" w:rsidP="00823904">
      <w:pPr>
        <w:jc w:val="center"/>
        <w:rPr>
          <w:rFonts w:ascii="Times New Roman" w:hAnsi="Times New Roman" w:cs="Times New Roman"/>
          <w:b/>
          <w:sz w:val="28"/>
          <w:szCs w:val="28"/>
        </w:rPr>
      </w:pPr>
    </w:p>
    <w:p w:rsidR="00823904" w:rsidRPr="00823904" w:rsidRDefault="00823904" w:rsidP="00823904">
      <w:pPr>
        <w:rPr>
          <w:rFonts w:ascii="Times New Roman" w:hAnsi="Times New Roman" w:cs="Times New Roman"/>
          <w:b/>
          <w:sz w:val="28"/>
          <w:szCs w:val="28"/>
        </w:rPr>
      </w:pPr>
    </w:p>
    <w:p w:rsidR="00823904" w:rsidRPr="00823904" w:rsidRDefault="00823904" w:rsidP="00823904">
      <w:pPr>
        <w:rPr>
          <w:rFonts w:ascii="Times New Roman" w:hAnsi="Times New Roman" w:cs="Times New Roman"/>
          <w:b/>
          <w:sz w:val="28"/>
          <w:szCs w:val="28"/>
        </w:rPr>
      </w:pPr>
    </w:p>
    <w:p w:rsidR="00823904" w:rsidRPr="00823904" w:rsidRDefault="00823904" w:rsidP="00823904">
      <w:pPr>
        <w:rPr>
          <w:rFonts w:ascii="Times New Roman" w:hAnsi="Times New Roman" w:cs="Times New Roman"/>
          <w:b/>
          <w:sz w:val="28"/>
          <w:szCs w:val="28"/>
        </w:rPr>
      </w:pPr>
    </w:p>
    <w:p w:rsidR="00823904" w:rsidRPr="00823904" w:rsidRDefault="00823904" w:rsidP="00823904">
      <w:pPr>
        <w:rPr>
          <w:rFonts w:ascii="Times New Roman" w:hAnsi="Times New Roman" w:cs="Times New Roman"/>
          <w:b/>
          <w:sz w:val="28"/>
          <w:szCs w:val="28"/>
        </w:rPr>
      </w:pPr>
    </w:p>
    <w:p w:rsidR="00823904" w:rsidRPr="00823904" w:rsidRDefault="00823904" w:rsidP="00823904">
      <w:pPr>
        <w:jc w:val="center"/>
        <w:rPr>
          <w:rFonts w:ascii="Times New Roman" w:hAnsi="Times New Roman" w:cs="Times New Roman"/>
          <w:b/>
          <w:sz w:val="28"/>
          <w:szCs w:val="28"/>
        </w:rPr>
      </w:pPr>
    </w:p>
    <w:p w:rsidR="00823904" w:rsidRPr="00823904" w:rsidRDefault="00823904" w:rsidP="00823904">
      <w:pPr>
        <w:jc w:val="center"/>
        <w:rPr>
          <w:rFonts w:ascii="Times New Roman" w:hAnsi="Times New Roman" w:cs="Times New Roman"/>
          <w:b/>
          <w:sz w:val="28"/>
          <w:szCs w:val="28"/>
        </w:rPr>
      </w:pPr>
      <w:r w:rsidRPr="00823904">
        <w:rPr>
          <w:rFonts w:ascii="Times New Roman" w:hAnsi="Times New Roman" w:cs="Times New Roman"/>
          <w:b/>
          <w:sz w:val="28"/>
          <w:szCs w:val="28"/>
        </w:rPr>
        <w:t>A Thesis Presented for the</w:t>
      </w:r>
    </w:p>
    <w:p w:rsidR="00823904" w:rsidRPr="00823904" w:rsidRDefault="00823904" w:rsidP="00823904">
      <w:pPr>
        <w:jc w:val="center"/>
        <w:rPr>
          <w:rFonts w:ascii="Times New Roman" w:hAnsi="Times New Roman" w:cs="Times New Roman"/>
          <w:b/>
          <w:sz w:val="28"/>
          <w:szCs w:val="28"/>
        </w:rPr>
      </w:pPr>
      <w:r w:rsidRPr="00823904">
        <w:rPr>
          <w:rFonts w:ascii="Times New Roman" w:hAnsi="Times New Roman" w:cs="Times New Roman"/>
          <w:b/>
          <w:sz w:val="28"/>
          <w:szCs w:val="28"/>
        </w:rPr>
        <w:t>Master of Science</w:t>
      </w:r>
    </w:p>
    <w:p w:rsidR="00823904" w:rsidRPr="00823904" w:rsidRDefault="00823904" w:rsidP="00823904">
      <w:pPr>
        <w:jc w:val="center"/>
        <w:rPr>
          <w:rFonts w:ascii="Times New Roman" w:hAnsi="Times New Roman" w:cs="Times New Roman"/>
          <w:b/>
          <w:sz w:val="28"/>
          <w:szCs w:val="28"/>
        </w:rPr>
      </w:pPr>
      <w:r w:rsidRPr="00823904">
        <w:rPr>
          <w:rFonts w:ascii="Times New Roman" w:hAnsi="Times New Roman" w:cs="Times New Roman"/>
          <w:b/>
          <w:sz w:val="28"/>
          <w:szCs w:val="28"/>
        </w:rPr>
        <w:t>Degree</w:t>
      </w:r>
    </w:p>
    <w:p w:rsidR="00823904" w:rsidRPr="00823904" w:rsidRDefault="00823904" w:rsidP="00823904">
      <w:pPr>
        <w:jc w:val="center"/>
        <w:rPr>
          <w:rFonts w:ascii="Times New Roman" w:hAnsi="Times New Roman" w:cs="Times New Roman"/>
          <w:b/>
          <w:sz w:val="28"/>
          <w:szCs w:val="28"/>
        </w:rPr>
      </w:pPr>
      <w:r w:rsidRPr="00823904">
        <w:rPr>
          <w:rFonts w:ascii="Times New Roman" w:hAnsi="Times New Roman" w:cs="Times New Roman"/>
          <w:b/>
          <w:sz w:val="28"/>
          <w:szCs w:val="28"/>
        </w:rPr>
        <w:t>The University of Tennessee, Knoxville</w:t>
      </w:r>
    </w:p>
    <w:p w:rsidR="00823904" w:rsidRPr="00823904" w:rsidRDefault="00823904" w:rsidP="00823904">
      <w:pPr>
        <w:jc w:val="center"/>
        <w:rPr>
          <w:rFonts w:ascii="Times New Roman" w:hAnsi="Times New Roman" w:cs="Times New Roman"/>
          <w:b/>
          <w:sz w:val="28"/>
          <w:szCs w:val="28"/>
        </w:rPr>
      </w:pPr>
    </w:p>
    <w:p w:rsidR="00823904" w:rsidRPr="00823904" w:rsidRDefault="00823904" w:rsidP="00823904">
      <w:pPr>
        <w:jc w:val="center"/>
        <w:rPr>
          <w:rFonts w:ascii="Times New Roman" w:hAnsi="Times New Roman" w:cs="Times New Roman"/>
          <w:b/>
          <w:sz w:val="28"/>
          <w:szCs w:val="28"/>
        </w:rPr>
      </w:pPr>
    </w:p>
    <w:p w:rsidR="00823904" w:rsidRPr="00823904" w:rsidRDefault="00823904" w:rsidP="00823904">
      <w:pPr>
        <w:jc w:val="center"/>
        <w:rPr>
          <w:rFonts w:ascii="Times New Roman" w:hAnsi="Times New Roman" w:cs="Times New Roman"/>
          <w:b/>
          <w:sz w:val="28"/>
          <w:szCs w:val="28"/>
        </w:rPr>
      </w:pPr>
    </w:p>
    <w:p w:rsidR="00823904" w:rsidRPr="00823904" w:rsidRDefault="00823904" w:rsidP="00823904">
      <w:pPr>
        <w:jc w:val="center"/>
        <w:rPr>
          <w:rFonts w:ascii="Times New Roman" w:hAnsi="Times New Roman" w:cs="Times New Roman"/>
          <w:b/>
          <w:sz w:val="28"/>
          <w:szCs w:val="28"/>
        </w:rPr>
      </w:pPr>
    </w:p>
    <w:p w:rsidR="00823904" w:rsidRPr="00823904" w:rsidRDefault="00823904" w:rsidP="00823904">
      <w:pPr>
        <w:jc w:val="center"/>
        <w:rPr>
          <w:rFonts w:ascii="Times New Roman" w:hAnsi="Times New Roman" w:cs="Times New Roman"/>
          <w:b/>
          <w:sz w:val="28"/>
          <w:szCs w:val="28"/>
        </w:rPr>
      </w:pPr>
    </w:p>
    <w:p w:rsidR="00823904" w:rsidRPr="00823904" w:rsidRDefault="00823904" w:rsidP="00823904">
      <w:pPr>
        <w:jc w:val="center"/>
        <w:rPr>
          <w:rFonts w:ascii="Times New Roman" w:hAnsi="Times New Roman" w:cs="Times New Roman"/>
          <w:b/>
          <w:sz w:val="28"/>
          <w:szCs w:val="28"/>
        </w:rPr>
      </w:pPr>
    </w:p>
    <w:p w:rsidR="00823904" w:rsidRPr="00823904" w:rsidRDefault="00823904" w:rsidP="00823904">
      <w:pPr>
        <w:jc w:val="center"/>
        <w:rPr>
          <w:rFonts w:ascii="Times New Roman" w:hAnsi="Times New Roman" w:cs="Times New Roman"/>
          <w:b/>
          <w:sz w:val="28"/>
          <w:szCs w:val="28"/>
        </w:rPr>
      </w:pPr>
    </w:p>
    <w:p w:rsidR="00823904" w:rsidRPr="00823904" w:rsidRDefault="00823904" w:rsidP="00823904">
      <w:pPr>
        <w:jc w:val="center"/>
        <w:rPr>
          <w:rFonts w:ascii="Times New Roman" w:hAnsi="Times New Roman" w:cs="Times New Roman"/>
          <w:b/>
          <w:sz w:val="28"/>
          <w:szCs w:val="28"/>
        </w:rPr>
      </w:pPr>
      <w:r w:rsidRPr="00823904">
        <w:rPr>
          <w:rFonts w:ascii="Times New Roman" w:hAnsi="Times New Roman" w:cs="Times New Roman"/>
          <w:b/>
          <w:sz w:val="28"/>
          <w:szCs w:val="28"/>
        </w:rPr>
        <w:t>Jesse Lee Middleton</w:t>
      </w:r>
    </w:p>
    <w:p w:rsidR="00823904" w:rsidRPr="00823904" w:rsidRDefault="00823904" w:rsidP="00823904">
      <w:pPr>
        <w:jc w:val="center"/>
        <w:rPr>
          <w:rFonts w:ascii="Times New Roman" w:hAnsi="Times New Roman" w:cs="Times New Roman"/>
          <w:b/>
          <w:sz w:val="28"/>
          <w:szCs w:val="28"/>
        </w:rPr>
      </w:pPr>
      <w:r w:rsidRPr="00823904">
        <w:rPr>
          <w:rFonts w:ascii="Times New Roman" w:hAnsi="Times New Roman" w:cs="Times New Roman"/>
          <w:b/>
          <w:sz w:val="28"/>
          <w:szCs w:val="28"/>
        </w:rPr>
        <w:t>May 2013</w:t>
      </w:r>
    </w:p>
    <w:p w:rsidR="001E7932" w:rsidRDefault="001E7932" w:rsidP="00823904">
      <w:pPr>
        <w:jc w:val="center"/>
        <w:rPr>
          <w:rFonts w:ascii="Times New Roman" w:hAnsi="Times New Roman" w:cs="Times New Roman"/>
          <w:b/>
          <w:sz w:val="28"/>
          <w:szCs w:val="28"/>
        </w:rPr>
        <w:sectPr w:rsidR="001E7932" w:rsidSect="00080007">
          <w:pgSz w:w="12240" w:h="15840"/>
          <w:pgMar w:top="1440" w:right="1440" w:bottom="1440" w:left="1440" w:header="720" w:footer="720" w:gutter="0"/>
          <w:cols w:space="720"/>
        </w:sectPr>
      </w:pPr>
    </w:p>
    <w:p w:rsidR="00823904" w:rsidRPr="00823904" w:rsidRDefault="00823904" w:rsidP="00823904">
      <w:pPr>
        <w:jc w:val="center"/>
        <w:rPr>
          <w:rFonts w:ascii="Times New Roman" w:hAnsi="Times New Roman" w:cs="Times New Roman"/>
          <w:sz w:val="28"/>
          <w:szCs w:val="28"/>
        </w:rPr>
      </w:pPr>
      <w:r w:rsidRPr="00823904">
        <w:rPr>
          <w:rFonts w:ascii="Times New Roman" w:hAnsi="Times New Roman" w:cs="Times New Roman"/>
          <w:b/>
          <w:sz w:val="28"/>
          <w:szCs w:val="28"/>
        </w:rPr>
        <w:lastRenderedPageBreak/>
        <w:t>Dedication</w:t>
      </w:r>
    </w:p>
    <w:p w:rsidR="00823904" w:rsidRPr="00823904" w:rsidRDefault="00823904" w:rsidP="00823904">
      <w:pPr>
        <w:jc w:val="center"/>
        <w:rPr>
          <w:rFonts w:ascii="Times New Roman" w:hAnsi="Times New Roman" w:cs="Times New Roman"/>
          <w:sz w:val="24"/>
          <w:szCs w:val="24"/>
        </w:rPr>
      </w:pPr>
      <w:r w:rsidRPr="00823904">
        <w:rPr>
          <w:rFonts w:ascii="Times New Roman" w:hAnsi="Times New Roman" w:cs="Times New Roman"/>
          <w:sz w:val="24"/>
          <w:szCs w:val="24"/>
        </w:rPr>
        <w:t xml:space="preserve">For current and </w:t>
      </w:r>
      <w:r w:rsidR="006E227D">
        <w:rPr>
          <w:rFonts w:ascii="Times New Roman" w:hAnsi="Times New Roman" w:cs="Times New Roman"/>
          <w:sz w:val="24"/>
          <w:szCs w:val="24"/>
        </w:rPr>
        <w:t>future UT graduate students who</w:t>
      </w:r>
      <w:r w:rsidRPr="00823904">
        <w:rPr>
          <w:rFonts w:ascii="Times New Roman" w:hAnsi="Times New Roman" w:cs="Times New Roman"/>
          <w:sz w:val="24"/>
          <w:szCs w:val="24"/>
        </w:rPr>
        <w:t xml:space="preserve"> want to learn LC/MS/MS</w:t>
      </w:r>
    </w:p>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Pr>
        <w:jc w:val="center"/>
        <w:rPr>
          <w:rFonts w:ascii="Times New Roman" w:eastAsia="Cambria" w:hAnsi="Times New Roman" w:cs="Times New Roman"/>
          <w:b/>
          <w:sz w:val="28"/>
          <w:szCs w:val="28"/>
        </w:rPr>
      </w:pPr>
      <w:r w:rsidRPr="00823904">
        <w:rPr>
          <w:rFonts w:ascii="Times New Roman" w:eastAsia="Cambria" w:hAnsi="Times New Roman" w:cs="Times New Roman"/>
          <w:b/>
          <w:sz w:val="28"/>
          <w:szCs w:val="28"/>
        </w:rPr>
        <w:lastRenderedPageBreak/>
        <w:t>Abstract</w:t>
      </w:r>
    </w:p>
    <w:p w:rsidR="001F6DEB" w:rsidRPr="001F6DEB" w:rsidRDefault="001F6DEB" w:rsidP="00823904">
      <w:pPr>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Two biological systems were studied using </w:t>
      </w:r>
      <w:r w:rsidRPr="00823904">
        <w:rPr>
          <w:rFonts w:ascii="Times New Roman" w:eastAsia="Calibri" w:hAnsi="Times New Roman" w:cs="Times New Roman"/>
          <w:sz w:val="24"/>
          <w:szCs w:val="24"/>
        </w:rPr>
        <w:t>LC/ESI/MS/MS on a triple quadrupole operated in SRM</w:t>
      </w:r>
      <w:r w:rsidR="00F42A46">
        <w:rPr>
          <w:rFonts w:ascii="Times New Roman" w:eastAsia="Calibri" w:hAnsi="Times New Roman" w:cs="Times New Roman"/>
          <w:sz w:val="24"/>
          <w:szCs w:val="24"/>
        </w:rPr>
        <w:t xml:space="preserve"> (selected</w:t>
      </w:r>
      <w:r w:rsidR="00E8638F">
        <w:rPr>
          <w:rFonts w:ascii="Times New Roman" w:eastAsia="Calibri" w:hAnsi="Times New Roman" w:cs="Times New Roman"/>
          <w:sz w:val="24"/>
          <w:szCs w:val="24"/>
        </w:rPr>
        <w:t xml:space="preserve"> reaction monitoring)</w:t>
      </w:r>
      <w:r w:rsidRPr="00823904">
        <w:rPr>
          <w:rFonts w:ascii="Times New Roman" w:eastAsia="Calibri" w:hAnsi="Times New Roman" w:cs="Times New Roman"/>
          <w:sz w:val="24"/>
          <w:szCs w:val="24"/>
        </w:rPr>
        <w:t xml:space="preserve"> scan mode</w:t>
      </w:r>
      <w:r w:rsidR="00C76033">
        <w:rPr>
          <w:rFonts w:ascii="Times New Roman" w:eastAsia="Calibri" w:hAnsi="Times New Roman" w:cs="Times New Roman"/>
          <w:sz w:val="24"/>
          <w:szCs w:val="24"/>
        </w:rPr>
        <w:t>.</w:t>
      </w:r>
      <w:r w:rsidRPr="00823904">
        <w:rPr>
          <w:rFonts w:ascii="Times New Roman" w:eastAsia="Calibri" w:hAnsi="Times New Roman" w:cs="Times New Roman"/>
          <w:sz w:val="24"/>
          <w:szCs w:val="24"/>
        </w:rPr>
        <w:t xml:space="preserve"> </w:t>
      </w:r>
      <w:r w:rsidR="00C76033">
        <w:rPr>
          <w:rFonts w:ascii="Times New Roman" w:eastAsia="Calibri" w:hAnsi="Times New Roman" w:cs="Times New Roman"/>
          <w:sz w:val="24"/>
          <w:szCs w:val="24"/>
        </w:rPr>
        <w:t xml:space="preserve">The first </w:t>
      </w:r>
      <w:r w:rsidR="00A00D93">
        <w:rPr>
          <w:rFonts w:ascii="Times New Roman" w:eastAsia="Calibri" w:hAnsi="Times New Roman" w:cs="Times New Roman"/>
          <w:sz w:val="24"/>
          <w:szCs w:val="24"/>
        </w:rPr>
        <w:t xml:space="preserve">bacterium </w:t>
      </w:r>
      <w:r w:rsidR="00C76033">
        <w:rPr>
          <w:rFonts w:ascii="Times New Roman" w:eastAsia="Calibri" w:hAnsi="Times New Roman" w:cs="Times New Roman"/>
          <w:sz w:val="24"/>
          <w:szCs w:val="24"/>
        </w:rPr>
        <w:t xml:space="preserve">system is </w:t>
      </w:r>
      <w:r>
        <w:rPr>
          <w:rFonts w:ascii="Times New Roman" w:eastAsia="Cambria" w:hAnsi="Times New Roman" w:cs="Times New Roman"/>
          <w:sz w:val="24"/>
          <w:szCs w:val="24"/>
        </w:rPr>
        <w:t>aquatic</w:t>
      </w:r>
      <w:r w:rsidR="00C76033">
        <w:rPr>
          <w:rFonts w:ascii="Times New Roman" w:eastAsia="Cambria" w:hAnsi="Times New Roman" w:cs="Times New Roman"/>
          <w:sz w:val="24"/>
          <w:szCs w:val="24"/>
        </w:rPr>
        <w:t xml:space="preserve"> and microscopic in size</w:t>
      </w:r>
      <w:r w:rsidR="00A00D93">
        <w:rPr>
          <w:rFonts w:ascii="Times New Roman" w:eastAsia="Cambria" w:hAnsi="Times New Roman" w:cs="Times New Roman"/>
          <w:sz w:val="24"/>
          <w:szCs w:val="24"/>
        </w:rPr>
        <w:t xml:space="preserve"> known as </w:t>
      </w:r>
      <w:r w:rsidR="00A00D93" w:rsidRPr="00823904">
        <w:rPr>
          <w:rFonts w:ascii="Times New Roman" w:eastAsia="Cambria" w:hAnsi="Times New Roman" w:cs="Times New Roman"/>
          <w:i/>
          <w:sz w:val="24"/>
          <w:szCs w:val="24"/>
        </w:rPr>
        <w:t>Roseobacter</w:t>
      </w:r>
      <w:r w:rsidR="00A00D93">
        <w:rPr>
          <w:rFonts w:ascii="Times New Roman" w:eastAsia="Cambria" w:hAnsi="Times New Roman" w:cs="Times New Roman"/>
          <w:i/>
          <w:sz w:val="24"/>
          <w:szCs w:val="24"/>
        </w:rPr>
        <w:t>.</w:t>
      </w:r>
      <w:r w:rsidR="00A00D93">
        <w:rPr>
          <w:rFonts w:ascii="Times New Roman" w:eastAsia="Cambria" w:hAnsi="Times New Roman" w:cs="Times New Roman"/>
          <w:sz w:val="24"/>
          <w:szCs w:val="24"/>
        </w:rPr>
        <w:t xml:space="preserve">  The second mammalian system is </w:t>
      </w:r>
      <w:r w:rsidR="00C76033">
        <w:rPr>
          <w:rFonts w:ascii="Times New Roman" w:eastAsia="Cambria" w:hAnsi="Times New Roman" w:cs="Times New Roman"/>
          <w:sz w:val="24"/>
          <w:szCs w:val="24"/>
        </w:rPr>
        <w:t>terrestrial and large</w:t>
      </w:r>
      <w:r w:rsidR="00A00D93">
        <w:rPr>
          <w:rFonts w:ascii="Times New Roman" w:eastAsia="Cambria" w:hAnsi="Times New Roman" w:cs="Times New Roman"/>
          <w:sz w:val="24"/>
          <w:szCs w:val="24"/>
        </w:rPr>
        <w:t xml:space="preserve"> in size</w:t>
      </w:r>
      <w:r w:rsidR="00C76033">
        <w:rPr>
          <w:rFonts w:ascii="Times New Roman" w:eastAsia="Cambria" w:hAnsi="Times New Roman" w:cs="Times New Roman"/>
          <w:sz w:val="24"/>
          <w:szCs w:val="24"/>
        </w:rPr>
        <w:t xml:space="preserve"> rela</w:t>
      </w:r>
      <w:r w:rsidR="00A00D93">
        <w:rPr>
          <w:rFonts w:ascii="Times New Roman" w:eastAsia="Cambria" w:hAnsi="Times New Roman" w:cs="Times New Roman"/>
          <w:sz w:val="24"/>
          <w:szCs w:val="24"/>
        </w:rPr>
        <w:t>tive to humans known as Holstein cows.</w:t>
      </w:r>
    </w:p>
    <w:p w:rsidR="00823904" w:rsidRPr="00823904" w:rsidRDefault="00823904" w:rsidP="00823904">
      <w:pPr>
        <w:spacing w:line="360" w:lineRule="auto"/>
        <w:jc w:val="both"/>
        <w:rPr>
          <w:rFonts w:ascii="Times New Roman" w:eastAsia="Calibri" w:hAnsi="Times New Roman" w:cs="Times New Roman"/>
          <w:sz w:val="24"/>
          <w:szCs w:val="24"/>
        </w:rPr>
      </w:pPr>
      <w:r w:rsidRPr="00823904">
        <w:rPr>
          <w:rFonts w:ascii="Times New Roman" w:eastAsia="Cambria" w:hAnsi="Times New Roman" w:cs="Times New Roman"/>
          <w:i/>
          <w:sz w:val="24"/>
          <w:szCs w:val="24"/>
        </w:rPr>
        <w:t>Roseobacter</w:t>
      </w:r>
      <w:r w:rsidR="001F6DEB">
        <w:rPr>
          <w:rFonts w:ascii="Times New Roman" w:eastAsia="Cambria" w:hAnsi="Times New Roman" w:cs="Times New Roman"/>
          <w:sz w:val="24"/>
          <w:szCs w:val="24"/>
        </w:rPr>
        <w:t xml:space="preserve"> </w:t>
      </w:r>
      <w:r w:rsidRPr="00823904">
        <w:rPr>
          <w:rFonts w:ascii="Times New Roman" w:eastAsia="Cambria" w:hAnsi="Times New Roman" w:cs="Times New Roman"/>
          <w:sz w:val="24"/>
          <w:szCs w:val="24"/>
        </w:rPr>
        <w:t xml:space="preserve">is a clade of marine bacteria abundant in the ocean.  Roseophages are viruses that infect </w:t>
      </w:r>
      <w:r w:rsidRPr="00823904">
        <w:rPr>
          <w:rFonts w:ascii="Times New Roman" w:eastAsia="Cambria" w:hAnsi="Times New Roman" w:cs="Times New Roman"/>
          <w:i/>
          <w:sz w:val="24"/>
          <w:szCs w:val="24"/>
        </w:rPr>
        <w:t>Roseobacter</w:t>
      </w:r>
      <w:r w:rsidRPr="00823904">
        <w:rPr>
          <w:rFonts w:ascii="Times New Roman" w:eastAsia="Cambria" w:hAnsi="Times New Roman" w:cs="Times New Roman"/>
          <w:sz w:val="24"/>
          <w:szCs w:val="24"/>
        </w:rPr>
        <w:t xml:space="preserve"> and cause viral lysis.  </w:t>
      </w:r>
      <w:r w:rsidRPr="00823904">
        <w:rPr>
          <w:rFonts w:ascii="Times New Roman" w:eastAsia="Calibri" w:hAnsi="Times New Roman" w:cs="Times New Roman"/>
          <w:i/>
          <w:sz w:val="24"/>
          <w:szCs w:val="24"/>
        </w:rPr>
        <w:t>Sulfitobacter</w:t>
      </w:r>
      <w:r w:rsidRPr="00823904">
        <w:rPr>
          <w:rFonts w:ascii="Times New Roman" w:eastAsia="Calibri" w:hAnsi="Times New Roman" w:cs="Times New Roman"/>
          <w:sz w:val="24"/>
          <w:szCs w:val="24"/>
        </w:rPr>
        <w:t xml:space="preserve"> sp. 2047</w:t>
      </w:r>
      <w:r w:rsidRPr="00823904">
        <w:rPr>
          <w:rFonts w:ascii="Times New Roman" w:hAnsi="Times New Roman" w:cs="Times New Roman"/>
          <w:sz w:val="24"/>
          <w:szCs w:val="24"/>
        </w:rPr>
        <w:t xml:space="preserve"> was isolated and infected with Roseophages</w:t>
      </w:r>
      <w:r w:rsidR="00F42A46">
        <w:rPr>
          <w:rFonts w:ascii="Times New Roman" w:hAnsi="Times New Roman" w:cs="Times New Roman"/>
          <w:sz w:val="24"/>
          <w:szCs w:val="24"/>
        </w:rPr>
        <w:t>,</w:t>
      </w:r>
      <w:r w:rsidRPr="00823904">
        <w:rPr>
          <w:rFonts w:ascii="Times New Roman" w:hAnsi="Times New Roman" w:cs="Times New Roman"/>
          <w:sz w:val="24"/>
          <w:szCs w:val="24"/>
        </w:rPr>
        <w:t xml:space="preserve"> and the fold change in the metabolic pool relative to a control was studied at discrete time points.  </w:t>
      </w:r>
      <w:r w:rsidRPr="00823904">
        <w:rPr>
          <w:rFonts w:ascii="Times New Roman" w:eastAsia="Calibri" w:hAnsi="Times New Roman" w:cs="Times New Roman"/>
          <w:sz w:val="24"/>
          <w:szCs w:val="24"/>
        </w:rPr>
        <w:t xml:space="preserve">The absolute concentration of glutamate and glutamine in the infected and control was determined at each time point using an external calibration curve.  </w:t>
      </w:r>
      <w:r w:rsidRPr="00823904">
        <w:rPr>
          <w:rFonts w:ascii="Times New Roman" w:hAnsi="Times New Roman" w:cs="Times New Roman"/>
          <w:sz w:val="24"/>
          <w:szCs w:val="24"/>
        </w:rPr>
        <w:t xml:space="preserve">Flux analysis through the addition of </w:t>
      </w:r>
      <w:r w:rsidRPr="00823904">
        <w:rPr>
          <w:rFonts w:ascii="Times New Roman" w:eastAsia="Calibri" w:hAnsi="Times New Roman" w:cs="Times New Roman"/>
          <w:sz w:val="24"/>
          <w:szCs w:val="24"/>
          <w:vertAlign w:val="superscript"/>
        </w:rPr>
        <w:t>13</w:t>
      </w:r>
      <w:r w:rsidRPr="00823904">
        <w:rPr>
          <w:rFonts w:ascii="Times New Roman" w:eastAsia="Calibri" w:hAnsi="Times New Roman" w:cs="Times New Roman"/>
          <w:sz w:val="24"/>
          <w:szCs w:val="24"/>
        </w:rPr>
        <w:t xml:space="preserve">C-acetate at early and late post infection was compared to the control.  </w:t>
      </w:r>
    </w:p>
    <w:p w:rsidR="00823904" w:rsidRPr="00823904" w:rsidRDefault="00823904" w:rsidP="00823904">
      <w:pPr>
        <w:spacing w:line="360" w:lineRule="auto"/>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Holstein cows are a breed of cattle known to be the world’s highest producers of milk.  Twelve Holstein dairy cows were selected</w:t>
      </w:r>
      <w:r w:rsidR="00F42A46">
        <w:rPr>
          <w:rFonts w:ascii="Times New Roman" w:eastAsia="Calibri" w:hAnsi="Times New Roman" w:cs="Times New Roman"/>
          <w:sz w:val="24"/>
          <w:szCs w:val="24"/>
        </w:rPr>
        <w:t>,</w:t>
      </w:r>
      <w:r w:rsidRPr="00823904">
        <w:rPr>
          <w:rFonts w:ascii="Times New Roman" w:eastAsia="Calibri" w:hAnsi="Times New Roman" w:cs="Times New Roman"/>
          <w:sz w:val="24"/>
          <w:szCs w:val="24"/>
        </w:rPr>
        <w:t xml:space="preserve"> and samples of blood and milk were taken at different weeks of lactation.  The fold change in the </w:t>
      </w:r>
      <w:r w:rsidR="00F42A46">
        <w:rPr>
          <w:rFonts w:ascii="Times New Roman" w:eastAsia="Calibri" w:hAnsi="Times New Roman" w:cs="Times New Roman"/>
          <w:sz w:val="24"/>
          <w:szCs w:val="24"/>
        </w:rPr>
        <w:t>phospho</w:t>
      </w:r>
      <w:r w:rsidRPr="00823904">
        <w:rPr>
          <w:rFonts w:ascii="Times New Roman" w:eastAsia="Calibri" w:hAnsi="Times New Roman" w:cs="Times New Roman"/>
          <w:sz w:val="24"/>
          <w:szCs w:val="24"/>
        </w:rPr>
        <w:t>lipid pool relative to the first week of lactation was studied from early, mid, and late lactation.  The absolute concentration of lipids at each week of lactation was determined using isotope dilution</w:t>
      </w:r>
      <w:r w:rsidR="00F42A46">
        <w:rPr>
          <w:rFonts w:ascii="Times New Roman" w:eastAsia="Calibri" w:hAnsi="Times New Roman" w:cs="Times New Roman"/>
          <w:sz w:val="24"/>
          <w:szCs w:val="24"/>
        </w:rPr>
        <w:t xml:space="preserve"> mass spectrometry</w:t>
      </w:r>
      <w:r w:rsidRPr="00823904">
        <w:rPr>
          <w:rFonts w:ascii="Times New Roman" w:eastAsia="Calibri" w:hAnsi="Times New Roman" w:cs="Times New Roman"/>
          <w:sz w:val="24"/>
          <w:szCs w:val="24"/>
        </w:rPr>
        <w:t xml:space="preserve"> with the exception of GPC</w:t>
      </w:r>
      <w:r w:rsidR="00E8638F">
        <w:rPr>
          <w:rFonts w:ascii="Times New Roman" w:eastAsia="Calibri" w:hAnsi="Times New Roman" w:cs="Times New Roman"/>
          <w:sz w:val="24"/>
          <w:szCs w:val="24"/>
        </w:rPr>
        <w:t xml:space="preserve"> (glycerophosphocholine) </w:t>
      </w:r>
      <w:r w:rsidRPr="00823904">
        <w:rPr>
          <w:rFonts w:ascii="Times New Roman" w:eastAsia="Calibri" w:hAnsi="Times New Roman" w:cs="Times New Roman"/>
          <w:sz w:val="24"/>
          <w:szCs w:val="24"/>
        </w:rPr>
        <w:t>where an external calibration curve was used due commercial unavailability of an isotope</w:t>
      </w:r>
      <w:r w:rsidR="002D11BE">
        <w:rPr>
          <w:rFonts w:ascii="Times New Roman" w:eastAsia="Calibri" w:hAnsi="Times New Roman" w:cs="Times New Roman"/>
          <w:sz w:val="24"/>
          <w:szCs w:val="24"/>
        </w:rPr>
        <w:t>-labeled</w:t>
      </w:r>
      <w:r w:rsidRPr="00823904">
        <w:rPr>
          <w:rFonts w:ascii="Times New Roman" w:eastAsia="Calibri" w:hAnsi="Times New Roman" w:cs="Times New Roman"/>
          <w:sz w:val="24"/>
          <w:szCs w:val="24"/>
        </w:rPr>
        <w:t xml:space="preserve"> standard. </w:t>
      </w:r>
    </w:p>
    <w:p w:rsidR="00823904" w:rsidRPr="00823904" w:rsidRDefault="00823904" w:rsidP="00823904">
      <w:pPr>
        <w:spacing w:line="360" w:lineRule="auto"/>
        <w:rPr>
          <w:rFonts w:ascii="Times New Roman" w:hAnsi="Times New Roman" w:cs="Times New Roman"/>
          <w:sz w:val="24"/>
          <w:szCs w:val="24"/>
        </w:rPr>
      </w:pPr>
    </w:p>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Pr="00823904" w:rsidRDefault="00823904" w:rsidP="00823904"/>
    <w:p w:rsidR="00823904" w:rsidRDefault="00823904" w:rsidP="00823904"/>
    <w:p w:rsidR="00772273" w:rsidRPr="00823904" w:rsidRDefault="00772273" w:rsidP="00823904"/>
    <w:p w:rsidR="00823904" w:rsidRPr="00823904" w:rsidRDefault="00823904" w:rsidP="00823904">
      <w:pPr>
        <w:spacing w:line="240" w:lineRule="auto"/>
        <w:jc w:val="center"/>
        <w:rPr>
          <w:rFonts w:ascii="Times New Roman" w:hAnsi="Times New Roman" w:cs="Times New Roman"/>
          <w:b/>
          <w:sz w:val="28"/>
          <w:szCs w:val="28"/>
        </w:rPr>
      </w:pPr>
      <w:r w:rsidRPr="00823904">
        <w:rPr>
          <w:rFonts w:ascii="Times New Roman" w:hAnsi="Times New Roman" w:cs="Times New Roman"/>
          <w:b/>
          <w:sz w:val="28"/>
          <w:szCs w:val="28"/>
        </w:rPr>
        <w:lastRenderedPageBreak/>
        <w:t>Table of Contents</w:t>
      </w:r>
    </w:p>
    <w:p w:rsidR="00823904" w:rsidRPr="00823904" w:rsidRDefault="00823904" w:rsidP="00823904">
      <w:pPr>
        <w:spacing w:line="240" w:lineRule="auto"/>
        <w:contextualSpacing/>
        <w:jc w:val="both"/>
        <w:rPr>
          <w:rFonts w:ascii="Times New Roman" w:hAnsi="Times New Roman" w:cs="Times New Roman"/>
          <w:sz w:val="24"/>
          <w:szCs w:val="24"/>
        </w:rPr>
      </w:pPr>
      <w:r w:rsidRPr="00823904">
        <w:rPr>
          <w:rFonts w:ascii="Times New Roman" w:hAnsi="Times New Roman" w:cs="Times New Roman"/>
          <w:sz w:val="24"/>
          <w:szCs w:val="24"/>
        </w:rPr>
        <w:t xml:space="preserve">Introduction …...…………………………………………………………………………………. 1 </w:t>
      </w:r>
      <w:r w:rsidRPr="00823904">
        <w:rPr>
          <w:rFonts w:ascii="Times New Roman" w:hAnsi="Times New Roman" w:cs="Times New Roman"/>
          <w:sz w:val="24"/>
          <w:szCs w:val="24"/>
          <w:u w:val="single"/>
        </w:rPr>
        <w:t xml:space="preserve">Chapter 1 </w:t>
      </w:r>
      <w:r w:rsidRPr="00823904">
        <w:rPr>
          <w:rFonts w:ascii="Times New Roman" w:hAnsi="Times New Roman" w:cs="Times New Roman"/>
          <w:sz w:val="24"/>
          <w:szCs w:val="24"/>
        </w:rPr>
        <w:t xml:space="preserve">                                                                                                                            </w:t>
      </w:r>
    </w:p>
    <w:p w:rsidR="00823904" w:rsidRPr="00823904" w:rsidRDefault="00823904" w:rsidP="00823904">
      <w:pPr>
        <w:spacing w:line="240" w:lineRule="auto"/>
        <w:contextualSpacing/>
        <w:jc w:val="both"/>
        <w:rPr>
          <w:rFonts w:ascii="Times New Roman" w:hAnsi="Times New Roman" w:cs="Times New Roman"/>
          <w:sz w:val="24"/>
          <w:szCs w:val="24"/>
        </w:rPr>
      </w:pPr>
      <w:r w:rsidRPr="00823904">
        <w:rPr>
          <w:rFonts w:ascii="Times New Roman" w:hAnsi="Times New Roman"/>
          <w:sz w:val="24"/>
          <w:szCs w:val="24"/>
        </w:rPr>
        <w:t xml:space="preserve">Metabolic Response of a Roseobacter to Phage Infection: Insights into the Influence of Viral Lysis on Ocean Biogeochemistry ...………………………………………………………...…… 2 </w:t>
      </w:r>
      <w:r w:rsidRPr="00823904">
        <w:rPr>
          <w:rFonts w:ascii="Times New Roman" w:hAnsi="Times New Roman" w:cs="Times New Roman"/>
          <w:sz w:val="24"/>
          <w:szCs w:val="24"/>
        </w:rPr>
        <w:t xml:space="preserve">Abstract ...……………………………………………………………………………………...… 3   Background and Significance ...…………………………………………………………………. 4                                                                                                                                  </w:t>
      </w:r>
    </w:p>
    <w:p w:rsidR="00823904" w:rsidRPr="00823904" w:rsidRDefault="00823904" w:rsidP="00823904">
      <w:pPr>
        <w:spacing w:line="240" w:lineRule="auto"/>
        <w:ind w:left="288"/>
        <w:contextualSpacing/>
        <w:jc w:val="both"/>
        <w:rPr>
          <w:rFonts w:ascii="Times New Roman" w:hAnsi="Times New Roman" w:cs="Times New Roman"/>
          <w:sz w:val="24"/>
          <w:szCs w:val="24"/>
        </w:rPr>
      </w:pPr>
      <w:r w:rsidRPr="00823904">
        <w:rPr>
          <w:rFonts w:ascii="Times New Roman" w:hAnsi="Times New Roman" w:cs="Times New Roman"/>
          <w:sz w:val="24"/>
          <w:szCs w:val="24"/>
        </w:rPr>
        <w:t>Introduction ………………………....………………………………………………...……… 4 Roseobacter Biology …………………………...…………………………………………….. 5</w:t>
      </w:r>
    </w:p>
    <w:p w:rsidR="00823904" w:rsidRPr="00823904" w:rsidRDefault="00823904" w:rsidP="00823904">
      <w:pPr>
        <w:spacing w:line="240" w:lineRule="auto"/>
        <w:ind w:left="288"/>
        <w:contextualSpacing/>
        <w:jc w:val="both"/>
        <w:rPr>
          <w:rFonts w:ascii="Times New Roman" w:hAnsi="Times New Roman" w:cs="Times New Roman"/>
          <w:sz w:val="24"/>
          <w:szCs w:val="24"/>
        </w:rPr>
      </w:pPr>
      <w:r w:rsidRPr="00823904">
        <w:rPr>
          <w:rFonts w:ascii="Times New Roman" w:hAnsi="Times New Roman" w:cs="Times New Roman"/>
          <w:sz w:val="24"/>
          <w:szCs w:val="24"/>
        </w:rPr>
        <w:t xml:space="preserve">Roseophage …………………………………………….…………………………………….. 6 Molecular Tools and Marine Virus Communities ………………………………...…………. 7 Merits of Liquid Chromatography-Mass Spectrometry ……………………………...………. 8 Triple Stage Quadrupole (TSQ) Quantum Discovery MAX ……………………………….. 10 High Performance Liquid Chromatography and Tandem Mass Spectrometry Method Transfer Routine ……………………………………………………………...………………………. 14 Optimization of Chromatography ………………………………………………………..…. 14 Tuning and Calibration ………………………………………………………………...…… 21 Optimization of Ion Source Parameters at LC Flow ………………………………...……… 22 SRM Optimization ………………………………………………………………………….. 23 Alternative Methods to Remove SRM Interference without Mass Filtering …………..…… 33 Absolute Quantitation using External Calibration Curves ………………………………….. 34 Data Processing …………………………………………………………………...………… 35 Isotope Labeled SRM Transitions of </w:t>
      </w:r>
      <w:r w:rsidRPr="00823904">
        <w:rPr>
          <w:rFonts w:ascii="Times New Roman" w:hAnsi="Times New Roman" w:cs="Times New Roman"/>
          <w:sz w:val="24"/>
          <w:szCs w:val="24"/>
          <w:vertAlign w:val="superscript"/>
        </w:rPr>
        <w:t>13</w:t>
      </w:r>
      <w:r w:rsidRPr="00823904">
        <w:rPr>
          <w:rFonts w:ascii="Times New Roman" w:hAnsi="Times New Roman" w:cs="Times New Roman"/>
          <w:sz w:val="24"/>
          <w:szCs w:val="24"/>
        </w:rPr>
        <w:t>C  Flux Experiment ………………………………... 36</w:t>
      </w:r>
    </w:p>
    <w:p w:rsidR="00823904" w:rsidRPr="00823904" w:rsidRDefault="00823904" w:rsidP="00823904">
      <w:pPr>
        <w:spacing w:line="240" w:lineRule="auto"/>
        <w:contextualSpacing/>
        <w:jc w:val="both"/>
        <w:rPr>
          <w:rFonts w:ascii="Times New Roman" w:hAnsi="Times New Roman" w:cs="Times New Roman"/>
          <w:sz w:val="24"/>
          <w:szCs w:val="24"/>
        </w:rPr>
      </w:pPr>
      <w:r w:rsidRPr="00823904">
        <w:rPr>
          <w:rFonts w:ascii="Times New Roman" w:hAnsi="Times New Roman" w:cs="Times New Roman"/>
          <w:sz w:val="24"/>
          <w:szCs w:val="24"/>
        </w:rPr>
        <w:t>Results and Discussion ………………………………………………………………………… 37</w:t>
      </w:r>
    </w:p>
    <w:p w:rsidR="00823904" w:rsidRPr="00823904" w:rsidRDefault="00823904" w:rsidP="00823904">
      <w:pPr>
        <w:spacing w:after="0" w:line="240" w:lineRule="auto"/>
        <w:ind w:left="288"/>
        <w:contextualSpacing/>
        <w:jc w:val="both"/>
        <w:rPr>
          <w:rFonts w:ascii="Times New Roman" w:hAnsi="Times New Roman" w:cs="Times New Roman"/>
          <w:sz w:val="24"/>
          <w:szCs w:val="24"/>
        </w:rPr>
      </w:pPr>
      <w:r w:rsidRPr="00823904">
        <w:rPr>
          <w:rFonts w:ascii="Times New Roman" w:eastAsia="Calibri" w:hAnsi="Times New Roman" w:cs="Times New Roman"/>
          <w:sz w:val="24"/>
          <w:szCs w:val="24"/>
        </w:rPr>
        <w:t xml:space="preserve">Composition of Extracellular Small Molecule Components following Phage-Induced Cell Lysis ………………………………………………………………………………………… 37 Alterations in Intracellular Metabolite Pools and Flux during Phage Infection ………….… 40 </w:t>
      </w:r>
      <w:r w:rsidRPr="00823904">
        <w:rPr>
          <w:rFonts w:ascii="Times New Roman" w:hAnsi="Times New Roman" w:cs="Times New Roman"/>
          <w:sz w:val="24"/>
          <w:szCs w:val="24"/>
        </w:rPr>
        <w:t>External Calibration Curves of Glutamine and Glutamate ……………………………….… 47 Calculations ………………………………………………………………….……………… 50</w:t>
      </w:r>
    </w:p>
    <w:p w:rsidR="00823904" w:rsidRPr="00823904" w:rsidRDefault="00823904" w:rsidP="00823904">
      <w:pPr>
        <w:spacing w:after="0" w:line="240" w:lineRule="auto"/>
        <w:contextualSpacing/>
        <w:jc w:val="both"/>
        <w:rPr>
          <w:rFonts w:ascii="Times New Roman" w:hAnsi="Times New Roman" w:cs="Times New Roman"/>
          <w:sz w:val="24"/>
          <w:szCs w:val="24"/>
        </w:rPr>
      </w:pPr>
      <w:r w:rsidRPr="00823904">
        <w:rPr>
          <w:rFonts w:ascii="Times New Roman" w:hAnsi="Times New Roman" w:cs="Times New Roman"/>
          <w:sz w:val="24"/>
          <w:szCs w:val="24"/>
        </w:rPr>
        <w:t>Methods and Materials ………………………………………………………………………..... 51</w:t>
      </w:r>
    </w:p>
    <w:p w:rsidR="00823904" w:rsidRPr="00823904" w:rsidRDefault="00823904" w:rsidP="00823904">
      <w:pPr>
        <w:spacing w:line="240" w:lineRule="auto"/>
        <w:ind w:left="288"/>
        <w:contextualSpacing/>
        <w:jc w:val="both"/>
        <w:rPr>
          <w:rFonts w:ascii="Times New Roman" w:hAnsi="Times New Roman" w:cs="Times New Roman"/>
          <w:sz w:val="24"/>
          <w:szCs w:val="24"/>
        </w:rPr>
      </w:pPr>
      <w:r w:rsidRPr="00823904">
        <w:rPr>
          <w:rFonts w:ascii="Times New Roman" w:hAnsi="Times New Roman" w:cs="Times New Roman"/>
          <w:sz w:val="24"/>
          <w:szCs w:val="24"/>
        </w:rPr>
        <w:t xml:space="preserve">General Methods …………………………………………….……………………………… 51 </w:t>
      </w:r>
      <w:r w:rsidRPr="00823904">
        <w:rPr>
          <w:rFonts w:ascii="Times New Roman" w:eastAsia="Calibri" w:hAnsi="Times New Roman" w:cs="Times New Roman"/>
          <w:sz w:val="24"/>
          <w:szCs w:val="24"/>
        </w:rPr>
        <w:t xml:space="preserve">Isolation of Bacterial and Phage Strains …………………………………………………..... 51 Culture Conditions and Sample Collection ……………………………………………...….. 52 Flux Analysis …………………………………………………………………….…………. 53 </w:t>
      </w:r>
      <w:r w:rsidRPr="00823904">
        <w:rPr>
          <w:rFonts w:ascii="Times New Roman" w:hAnsi="Times New Roman" w:cs="Times New Roman"/>
          <w:sz w:val="24"/>
          <w:szCs w:val="24"/>
        </w:rPr>
        <w:t>Extraction Procedure ……………………………………………………………...………… 53 Chromatographic Details …………………………………………………………………… 54 Mass Spectrometric Detection Parameters ………………………………………………….. 55 Data Processing …………………………………………………………..…………………. 55 Sample Matrix for External Standards ………………………………………...……………. 56 Data Processing for the Calculation of Absolute Quantitation using External Standard ….... 57</w:t>
      </w:r>
    </w:p>
    <w:p w:rsidR="00823904" w:rsidRPr="00823904" w:rsidRDefault="00823904" w:rsidP="00823904">
      <w:pPr>
        <w:spacing w:line="240" w:lineRule="auto"/>
        <w:contextualSpacing/>
        <w:jc w:val="both"/>
        <w:rPr>
          <w:rFonts w:ascii="Times New Roman" w:hAnsi="Times New Roman" w:cs="Times New Roman"/>
          <w:sz w:val="24"/>
          <w:szCs w:val="24"/>
          <w:u w:val="single"/>
        </w:rPr>
      </w:pPr>
      <w:r w:rsidRPr="00823904">
        <w:rPr>
          <w:rFonts w:ascii="Times New Roman" w:hAnsi="Times New Roman" w:cs="Times New Roman"/>
          <w:sz w:val="24"/>
          <w:szCs w:val="24"/>
          <w:u w:val="single"/>
        </w:rPr>
        <w:t>Chapter 2</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Changes in Choline Esters in Blood and Milk during Early, Mid, and Late Lactation in Dairy Cows …………………………………………………………………………………………… 59</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Abstract ………………………………………………………………………………………… 60</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Background and Significance ………………………………………………………………….. 61</w:t>
      </w: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Introduction ……………………………………………………………..……………………61</w:t>
      </w: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lastRenderedPageBreak/>
        <w:t>Internal Standard ………………………………………………………………….………… 64</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Results and Discussion ……</w:t>
      </w:r>
      <w:r w:rsidR="00A643B1">
        <w:rPr>
          <w:rFonts w:ascii="Times New Roman" w:eastAsia="Calibri" w:hAnsi="Times New Roman" w:cs="Times New Roman"/>
          <w:sz w:val="24"/>
          <w:szCs w:val="24"/>
        </w:rPr>
        <w:t>……………………………………………………..…………….. 68</w:t>
      </w: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Determination of Heatmap Log Sc</w:t>
      </w:r>
      <w:r w:rsidR="00A643B1">
        <w:rPr>
          <w:rFonts w:ascii="Times New Roman" w:eastAsia="Calibri" w:hAnsi="Times New Roman" w:cs="Times New Roman"/>
          <w:sz w:val="24"/>
          <w:szCs w:val="24"/>
        </w:rPr>
        <w:t>ale ………………………………………...…………….. 68</w:t>
      </w:r>
      <w:r w:rsidRPr="00823904">
        <w:rPr>
          <w:rFonts w:ascii="Times New Roman" w:eastAsia="Calibri" w:hAnsi="Times New Roman" w:cs="Times New Roman"/>
          <w:sz w:val="24"/>
          <w:szCs w:val="24"/>
        </w:rPr>
        <w:t xml:space="preserve"> Changes in Milk and Plasma at Different Weeks of Lactation</w:t>
      </w:r>
      <w:r w:rsidR="00A643B1">
        <w:rPr>
          <w:rFonts w:ascii="Times New Roman" w:eastAsia="Calibri" w:hAnsi="Times New Roman" w:cs="Times New Roman"/>
          <w:sz w:val="24"/>
          <w:szCs w:val="24"/>
        </w:rPr>
        <w:t xml:space="preserve"> Relative to Week 1 ……...… 69</w:t>
      </w:r>
      <w:r w:rsidRPr="00823904">
        <w:rPr>
          <w:rFonts w:ascii="Times New Roman" w:eastAsia="Calibri" w:hAnsi="Times New Roman" w:cs="Times New Roman"/>
          <w:sz w:val="24"/>
          <w:szCs w:val="24"/>
        </w:rPr>
        <w:t xml:space="preserve"> Extraction Reproducibility of Milk and Pl</w:t>
      </w:r>
      <w:r w:rsidR="00A643B1">
        <w:rPr>
          <w:rFonts w:ascii="Times New Roman" w:eastAsia="Calibri" w:hAnsi="Times New Roman" w:cs="Times New Roman"/>
          <w:sz w:val="24"/>
          <w:szCs w:val="24"/>
        </w:rPr>
        <w:t>asma Samples ……………………….………….. 72</w:t>
      </w:r>
      <w:r w:rsidRPr="00823904">
        <w:rPr>
          <w:rFonts w:ascii="Times New Roman" w:eastAsia="Calibri" w:hAnsi="Times New Roman" w:cs="Times New Roman"/>
          <w:sz w:val="24"/>
          <w:szCs w:val="24"/>
        </w:rPr>
        <w:t xml:space="preserve"> External Calibration Curve of </w:t>
      </w:r>
      <w:r w:rsidR="003B730A">
        <w:rPr>
          <w:rFonts w:ascii="Times New Roman" w:eastAsia="Calibri" w:hAnsi="Times New Roman" w:cs="Times New Roman"/>
          <w:sz w:val="24"/>
          <w:szCs w:val="24"/>
        </w:rPr>
        <w:t>GPC …………………………………...……………………. 75</w:t>
      </w:r>
      <w:r w:rsidRPr="00823904">
        <w:rPr>
          <w:rFonts w:ascii="Times New Roman" w:eastAsia="Calibri" w:hAnsi="Times New Roman" w:cs="Times New Roman"/>
          <w:sz w:val="24"/>
          <w:szCs w:val="24"/>
        </w:rPr>
        <w:t xml:space="preserve"> Internal Standard SRM Determin</w:t>
      </w:r>
      <w:r w:rsidR="003B730A">
        <w:rPr>
          <w:rFonts w:ascii="Times New Roman" w:eastAsia="Calibri" w:hAnsi="Times New Roman" w:cs="Times New Roman"/>
          <w:sz w:val="24"/>
          <w:szCs w:val="24"/>
        </w:rPr>
        <w:t>ation …………………………...………………………… 75</w:t>
      </w: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Calculations ……………………………………………………………….………………… 78</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Methods and Materials ………………………………………………………...……………….. 79</w:t>
      </w: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General Methods ……………………………………………………………………………. 79</w:t>
      </w: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Extraction Procedure ……………………………………………………………….……….. 79 Internal Standard Stock Solution ……………………………...……………………………. 80 Chromatographic Details ……………………………………………………...……………. 80 Mass Spectrometric Detection Parameters ………………………………………………….. 81 Data Processing ……………………………………………………..………………………. 82 Data Processing for the Calculation of Absolute Quantitation using Isotope Dilution …..… 82 Data Processing for the Calculation of Absolute Quantitation using External Standard ….... 82 Calibration of Pipets ………………………………………………...………………………. 83</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Conclusion …………………………………………………………………………………...… 85</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List of References …………………………………………………………………………….... 86</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Appendix ………………………………………………………………………..……………… 98</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Vita ………………………………………………………………………………….………… 172</w:t>
      </w: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jc w:val="center"/>
        <w:rPr>
          <w:rFonts w:ascii="Times New Roman" w:hAnsi="Times New Roman" w:cs="Times New Roman"/>
          <w:b/>
          <w:sz w:val="28"/>
          <w:szCs w:val="28"/>
        </w:rPr>
      </w:pPr>
      <w:r w:rsidRPr="00823904">
        <w:rPr>
          <w:rFonts w:ascii="Times New Roman" w:hAnsi="Times New Roman" w:cs="Times New Roman"/>
          <w:b/>
          <w:sz w:val="28"/>
          <w:szCs w:val="28"/>
        </w:rPr>
        <w:lastRenderedPageBreak/>
        <w:t>List of Tables</w:t>
      </w:r>
    </w:p>
    <w:p w:rsidR="00350523" w:rsidRDefault="00350523" w:rsidP="00823904">
      <w:pPr>
        <w:spacing w:line="240" w:lineRule="auto"/>
        <w:contextualSpacing/>
        <w:jc w:val="both"/>
        <w:rPr>
          <w:rFonts w:ascii="Times New Roman" w:hAnsi="Times New Roman" w:cs="Times New Roman"/>
          <w:sz w:val="24"/>
          <w:szCs w:val="24"/>
        </w:rPr>
      </w:pPr>
    </w:p>
    <w:p w:rsidR="003775EC" w:rsidRDefault="003775EC" w:rsidP="00AD782A">
      <w:pPr>
        <w:spacing w:line="240" w:lineRule="auto"/>
        <w:contextualSpacing/>
        <w:rPr>
          <w:rFonts w:ascii="Times New Roman" w:hAnsi="Times New Roman" w:cs="Times New Roman"/>
          <w:sz w:val="24"/>
          <w:szCs w:val="24"/>
        </w:rPr>
      </w:pPr>
      <w:r w:rsidRPr="003775EC">
        <w:rPr>
          <w:rFonts w:ascii="Times New Roman" w:hAnsi="Times New Roman" w:cs="Times New Roman"/>
          <w:sz w:val="24"/>
          <w:szCs w:val="24"/>
        </w:rPr>
        <w:t xml:space="preserve">Table 1: Isotope Labeled SRM Transitions of Aspartate in </w:t>
      </w:r>
      <w:r w:rsidRPr="003775EC">
        <w:rPr>
          <w:rFonts w:ascii="Times New Roman" w:hAnsi="Times New Roman" w:cs="Times New Roman"/>
          <w:sz w:val="24"/>
          <w:szCs w:val="24"/>
          <w:vertAlign w:val="superscript"/>
        </w:rPr>
        <w:t>13</w:t>
      </w:r>
      <w:r w:rsidRPr="003775EC">
        <w:rPr>
          <w:rFonts w:ascii="Times New Roman" w:hAnsi="Times New Roman" w:cs="Times New Roman"/>
          <w:sz w:val="24"/>
          <w:szCs w:val="24"/>
        </w:rPr>
        <w:t>C Flux Experiment</w:t>
      </w:r>
      <w:r w:rsidR="00AD782A">
        <w:rPr>
          <w:rFonts w:ascii="Times New Roman" w:hAnsi="Times New Roman" w:cs="Times New Roman"/>
          <w:sz w:val="24"/>
          <w:szCs w:val="24"/>
        </w:rPr>
        <w:t xml:space="preserve"> ………..…… 36</w:t>
      </w:r>
    </w:p>
    <w:p w:rsidR="00823904" w:rsidRPr="00823904" w:rsidRDefault="00420CB2" w:rsidP="00823904">
      <w:pPr>
        <w:spacing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Table 2</w:t>
      </w:r>
      <w:r w:rsidR="00823904" w:rsidRPr="00823904">
        <w:rPr>
          <w:rFonts w:ascii="Times New Roman" w:hAnsi="Times New Roman" w:cs="Times New Roman"/>
          <w:sz w:val="24"/>
          <w:szCs w:val="24"/>
        </w:rPr>
        <w:t xml:space="preserve">: </w:t>
      </w:r>
      <w:r w:rsidR="00823904" w:rsidRPr="00823904">
        <w:rPr>
          <w:rFonts w:ascii="Times New Roman" w:eastAsia="Calibri" w:hAnsi="Times New Roman" w:cs="Times New Roman"/>
          <w:sz w:val="24"/>
          <w:szCs w:val="24"/>
        </w:rPr>
        <w:t xml:space="preserve">Metabolite Content of Filtrates of Infected </w:t>
      </w:r>
      <w:r w:rsidR="00823904" w:rsidRPr="00823904">
        <w:rPr>
          <w:rFonts w:ascii="Times New Roman" w:eastAsia="Calibri" w:hAnsi="Times New Roman" w:cs="Times New Roman"/>
          <w:i/>
          <w:sz w:val="24"/>
          <w:szCs w:val="24"/>
        </w:rPr>
        <w:t>Sulfitobacter</w:t>
      </w:r>
      <w:r w:rsidR="00823904" w:rsidRPr="00823904">
        <w:rPr>
          <w:rFonts w:ascii="Times New Roman" w:eastAsia="Calibri" w:hAnsi="Times New Roman" w:cs="Times New Roman"/>
          <w:sz w:val="24"/>
          <w:szCs w:val="24"/>
        </w:rPr>
        <w:t xml:space="preserve"> sp. 2047 Relative to Control              Cultures at 480 min Post Infection …………………………………….……………………….. 39</w:t>
      </w:r>
    </w:p>
    <w:p w:rsidR="00420CB2" w:rsidRPr="00420CB2" w:rsidRDefault="00420CB2" w:rsidP="00823904">
      <w:pPr>
        <w:spacing w:line="240" w:lineRule="auto"/>
        <w:contextualSpacing/>
        <w:jc w:val="both"/>
        <w:rPr>
          <w:rFonts w:ascii="Times New Roman" w:eastAsia="Times New Roman" w:hAnsi="Times New Roman" w:cs="Times New Roman"/>
          <w:bCs/>
          <w:color w:val="000000"/>
          <w:sz w:val="24"/>
          <w:szCs w:val="24"/>
        </w:rPr>
      </w:pPr>
      <w:r w:rsidRPr="00F215E3">
        <w:rPr>
          <w:rFonts w:ascii="Times New Roman" w:eastAsia="Times New Roman" w:hAnsi="Times New Roman" w:cs="Times New Roman"/>
          <w:bCs/>
          <w:color w:val="000000"/>
          <w:sz w:val="24"/>
          <w:szCs w:val="24"/>
        </w:rPr>
        <w:t xml:space="preserve">Table </w:t>
      </w:r>
      <w:r w:rsidRPr="00420CB2">
        <w:rPr>
          <w:rFonts w:ascii="Times New Roman" w:eastAsia="Times New Roman" w:hAnsi="Times New Roman" w:cs="Times New Roman"/>
          <w:bCs/>
          <w:color w:val="000000"/>
          <w:sz w:val="24"/>
          <w:szCs w:val="24"/>
        </w:rPr>
        <w:t>3</w:t>
      </w:r>
      <w:r w:rsidRPr="00F215E3">
        <w:rPr>
          <w:rFonts w:ascii="Times New Roman" w:eastAsia="Times New Roman" w:hAnsi="Times New Roman" w:cs="Times New Roman"/>
          <w:bCs/>
          <w:color w:val="000000"/>
          <w:sz w:val="24"/>
          <w:szCs w:val="24"/>
        </w:rPr>
        <w:t>: Internal Standard SRM Determination of AcCho-IS as AcCho-d13</w:t>
      </w:r>
      <w:r>
        <w:rPr>
          <w:rFonts w:ascii="Times New Roman" w:eastAsia="Times New Roman" w:hAnsi="Times New Roman" w:cs="Times New Roman"/>
          <w:bCs/>
          <w:color w:val="000000"/>
          <w:sz w:val="24"/>
          <w:szCs w:val="24"/>
        </w:rPr>
        <w:t xml:space="preserve"> …………….…… 76</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4</w:t>
      </w:r>
      <w:r w:rsidR="00823904" w:rsidRPr="00823904">
        <w:rPr>
          <w:rFonts w:ascii="Times New Roman" w:eastAsia="Times New Roman" w:hAnsi="Times New Roman" w:cs="Times New Roman"/>
          <w:bCs/>
          <w:color w:val="000000"/>
          <w:sz w:val="24"/>
          <w:szCs w:val="24"/>
        </w:rPr>
        <w:t xml:space="preserve">A: Fold Change of Intracellular Metabolites of Phage Amended and Control </w:t>
      </w:r>
      <w:r w:rsidR="00823904" w:rsidRPr="00823904">
        <w:rPr>
          <w:rFonts w:ascii="Times New Roman" w:eastAsia="Times New Roman" w:hAnsi="Times New Roman" w:cs="Times New Roman"/>
          <w:bCs/>
          <w:i/>
          <w:iCs/>
          <w:color w:val="000000"/>
          <w:sz w:val="24"/>
          <w:szCs w:val="24"/>
        </w:rPr>
        <w:t>Sulfitobacter</w:t>
      </w:r>
      <w:r w:rsidR="00823904" w:rsidRPr="00823904">
        <w:rPr>
          <w:rFonts w:ascii="Times New Roman" w:eastAsia="Times New Roman" w:hAnsi="Times New Roman" w:cs="Times New Roman"/>
          <w:bCs/>
          <w:color w:val="000000"/>
          <w:sz w:val="24"/>
          <w:szCs w:val="24"/>
        </w:rPr>
        <w:t xml:space="preserve">  sp. 2047 Populations with Cell Normalization Used in Figure 2a …………………….……….. 99</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4</w:t>
      </w:r>
      <w:r w:rsidR="00823904" w:rsidRPr="00823904">
        <w:rPr>
          <w:rFonts w:ascii="Times New Roman" w:eastAsia="Times New Roman" w:hAnsi="Times New Roman" w:cs="Times New Roman"/>
          <w:bCs/>
          <w:color w:val="000000"/>
          <w:sz w:val="24"/>
          <w:szCs w:val="24"/>
        </w:rPr>
        <w:t xml:space="preserve">B: P-value of Intracellular Metabolites of Phage Amended and Control </w:t>
      </w:r>
      <w:r w:rsidR="00823904" w:rsidRPr="00823904">
        <w:rPr>
          <w:rFonts w:ascii="Times New Roman" w:eastAsia="Times New Roman" w:hAnsi="Times New Roman" w:cs="Times New Roman"/>
          <w:bCs/>
          <w:i/>
          <w:iCs/>
          <w:color w:val="000000"/>
          <w:sz w:val="24"/>
          <w:szCs w:val="24"/>
        </w:rPr>
        <w:t>Sulfitobacter</w:t>
      </w:r>
      <w:r w:rsidR="00823904" w:rsidRPr="00823904">
        <w:rPr>
          <w:rFonts w:ascii="Times New Roman" w:eastAsia="Times New Roman" w:hAnsi="Times New Roman" w:cs="Times New Roman"/>
          <w:bCs/>
          <w:color w:val="000000"/>
          <w:sz w:val="24"/>
          <w:szCs w:val="24"/>
        </w:rPr>
        <w:t xml:space="preserve"> sp. 2047 Populations with Cell Normalization Used in Figure 2a ………………………….……. 101</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5</w:t>
      </w:r>
      <w:r w:rsidR="00823904" w:rsidRPr="00823904">
        <w:rPr>
          <w:rFonts w:ascii="Times New Roman" w:eastAsia="Times New Roman" w:hAnsi="Times New Roman" w:cs="Times New Roman"/>
          <w:bCs/>
          <w:color w:val="000000"/>
          <w:sz w:val="24"/>
          <w:szCs w:val="24"/>
        </w:rPr>
        <w:t>A: Virus (Φ2047) Counts Used in Figure 2b …………………………………………. 103</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5</w:t>
      </w:r>
      <w:r w:rsidR="00823904" w:rsidRPr="00823904">
        <w:rPr>
          <w:rFonts w:ascii="Times New Roman" w:eastAsia="Times New Roman" w:hAnsi="Times New Roman" w:cs="Times New Roman"/>
          <w:bCs/>
          <w:color w:val="000000"/>
          <w:sz w:val="24"/>
          <w:szCs w:val="24"/>
        </w:rPr>
        <w:t xml:space="preserve">B: </w:t>
      </w:r>
      <w:r w:rsidR="00823904" w:rsidRPr="00823904">
        <w:rPr>
          <w:rFonts w:ascii="Times New Roman" w:eastAsia="Times New Roman" w:hAnsi="Times New Roman" w:cs="Times New Roman"/>
          <w:bCs/>
          <w:i/>
          <w:iCs/>
          <w:color w:val="000000"/>
          <w:sz w:val="24"/>
          <w:szCs w:val="24"/>
        </w:rPr>
        <w:t>Sulfitobacter</w:t>
      </w:r>
      <w:r w:rsidR="00823904" w:rsidRPr="00823904">
        <w:rPr>
          <w:rFonts w:ascii="Times New Roman" w:eastAsia="Times New Roman" w:hAnsi="Times New Roman" w:cs="Times New Roman"/>
          <w:bCs/>
          <w:color w:val="000000"/>
          <w:sz w:val="24"/>
          <w:szCs w:val="24"/>
        </w:rPr>
        <w:t xml:space="preserve"> sp. CB2047 Grown on 10mM Acetate Infected With Virus Used in Figure 2b ……………………………………………………………………………………… 103</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5</w:t>
      </w:r>
      <w:r w:rsidR="00823904" w:rsidRPr="00823904">
        <w:rPr>
          <w:rFonts w:ascii="Times New Roman" w:eastAsia="Times New Roman" w:hAnsi="Times New Roman" w:cs="Times New Roman"/>
          <w:bCs/>
          <w:color w:val="000000"/>
          <w:sz w:val="24"/>
          <w:szCs w:val="24"/>
        </w:rPr>
        <w:t xml:space="preserve">C: </w:t>
      </w:r>
      <w:r w:rsidR="00823904" w:rsidRPr="00823904">
        <w:rPr>
          <w:rFonts w:ascii="Times New Roman" w:eastAsia="Times New Roman" w:hAnsi="Times New Roman" w:cs="Times New Roman"/>
          <w:bCs/>
          <w:i/>
          <w:iCs/>
          <w:color w:val="000000"/>
          <w:sz w:val="24"/>
          <w:szCs w:val="24"/>
        </w:rPr>
        <w:t>Sulfitobacter</w:t>
      </w:r>
      <w:r w:rsidR="00823904" w:rsidRPr="00823904">
        <w:rPr>
          <w:rFonts w:ascii="Times New Roman" w:eastAsia="Times New Roman" w:hAnsi="Times New Roman" w:cs="Times New Roman"/>
          <w:bCs/>
          <w:color w:val="000000"/>
          <w:sz w:val="24"/>
          <w:szCs w:val="24"/>
        </w:rPr>
        <w:t xml:space="preserve"> sp. CB2047 Controls Grown on 10mM Acetate Used in Figure 2b … 103</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6</w:t>
      </w:r>
      <w:r w:rsidR="00823904" w:rsidRPr="00823904">
        <w:rPr>
          <w:rFonts w:ascii="Times New Roman" w:eastAsia="Times New Roman" w:hAnsi="Times New Roman" w:cs="Times New Roman"/>
          <w:bCs/>
          <w:color w:val="000000"/>
          <w:sz w:val="24"/>
          <w:szCs w:val="24"/>
        </w:rPr>
        <w:t>: Glutamate and Glutamine Concentrations in Control (fg/cell) Used in Figure 2c ..… 104</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7</w:t>
      </w:r>
      <w:r w:rsidR="00823904" w:rsidRPr="00823904">
        <w:rPr>
          <w:rFonts w:ascii="Times New Roman" w:eastAsia="Times New Roman" w:hAnsi="Times New Roman" w:cs="Times New Roman"/>
          <w:bCs/>
          <w:color w:val="000000"/>
          <w:sz w:val="24"/>
          <w:szCs w:val="24"/>
        </w:rPr>
        <w:t>: Glutamate and Glutamine Concentrations in Infected (fg/cell) Used in Figure 2d .… 105</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8</w:t>
      </w:r>
      <w:r w:rsidR="00823904" w:rsidRPr="00823904">
        <w:rPr>
          <w:rFonts w:ascii="Times New Roman" w:eastAsia="Times New Roman" w:hAnsi="Times New Roman" w:cs="Times New Roman"/>
          <w:bCs/>
          <w:color w:val="000000"/>
          <w:sz w:val="24"/>
          <w:szCs w:val="24"/>
        </w:rPr>
        <w:t>: Glutamate to Glutamine Ratios for Control and Infected Used in Figure 2e ……..... 106</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9</w:t>
      </w:r>
      <w:r w:rsidR="00823904" w:rsidRPr="00823904">
        <w:rPr>
          <w:rFonts w:ascii="Times New Roman" w:eastAsia="Times New Roman" w:hAnsi="Times New Roman" w:cs="Times New Roman"/>
          <w:bCs/>
          <w:color w:val="000000"/>
          <w:sz w:val="24"/>
          <w:szCs w:val="24"/>
        </w:rPr>
        <w:t>: % Significantly Different Metabolites Used in Figure 2f ………………………..….. 107</w:t>
      </w:r>
    </w:p>
    <w:p w:rsidR="00823904" w:rsidRPr="00823904" w:rsidRDefault="006A1574" w:rsidP="00823904">
      <w:pPr>
        <w:spacing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Table 10</w:t>
      </w:r>
      <w:r w:rsidR="00823904" w:rsidRPr="00823904">
        <w:rPr>
          <w:rFonts w:ascii="Times New Roman" w:eastAsia="Times New Roman" w:hAnsi="Times New Roman" w:cs="Times New Roman"/>
          <w:bCs/>
          <w:sz w:val="24"/>
          <w:szCs w:val="24"/>
        </w:rPr>
        <w:t xml:space="preserve">: Fold Change of Intracellular Metabolites of Phage Amended and Control </w:t>
      </w:r>
      <w:r w:rsidR="00823904" w:rsidRPr="00823904">
        <w:rPr>
          <w:rFonts w:ascii="Times New Roman" w:eastAsia="Times New Roman" w:hAnsi="Times New Roman" w:cs="Times New Roman"/>
          <w:bCs/>
          <w:i/>
          <w:sz w:val="24"/>
          <w:szCs w:val="24"/>
        </w:rPr>
        <w:t>Sulfitobacter</w:t>
      </w:r>
      <w:r w:rsidR="00823904" w:rsidRPr="00823904">
        <w:rPr>
          <w:rFonts w:ascii="Times New Roman" w:eastAsia="Times New Roman" w:hAnsi="Times New Roman" w:cs="Times New Roman"/>
          <w:bCs/>
          <w:sz w:val="24"/>
          <w:szCs w:val="24"/>
        </w:rPr>
        <w:t xml:space="preserve"> sp. 2047 Populations without Cell Normalization Used in Figure 3 …………………….…… 108</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11</w:t>
      </w:r>
      <w:r w:rsidR="00823904" w:rsidRPr="00823904">
        <w:rPr>
          <w:rFonts w:ascii="Times New Roman" w:eastAsia="Times New Roman" w:hAnsi="Times New Roman" w:cs="Times New Roman"/>
          <w:bCs/>
          <w:color w:val="000000"/>
          <w:sz w:val="24"/>
          <w:szCs w:val="24"/>
        </w:rPr>
        <w:t xml:space="preserve">: Expanded Table Used in Figure 4 </w:t>
      </w:r>
      <w:r>
        <w:rPr>
          <w:rFonts w:ascii="Times New Roman" w:eastAsia="Times New Roman" w:hAnsi="Times New Roman" w:cs="Times New Roman"/>
          <w:bCs/>
          <w:color w:val="000000"/>
          <w:sz w:val="24"/>
          <w:szCs w:val="24"/>
        </w:rPr>
        <w:t>…………………………………..</w:t>
      </w:r>
      <w:r w:rsidR="00823904" w:rsidRPr="00823904">
        <w:rPr>
          <w:rFonts w:ascii="Times New Roman" w:eastAsia="Times New Roman" w:hAnsi="Times New Roman" w:cs="Times New Roman"/>
          <w:bCs/>
          <w:color w:val="000000"/>
          <w:sz w:val="24"/>
          <w:szCs w:val="24"/>
        </w:rPr>
        <w:t>…………...… 112</w:t>
      </w:r>
    </w:p>
    <w:p w:rsidR="00823904" w:rsidRPr="00823904" w:rsidRDefault="006A1574" w:rsidP="00823904">
      <w:pPr>
        <w:spacing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Table 12</w:t>
      </w:r>
      <w:r w:rsidR="00823904" w:rsidRPr="00823904">
        <w:rPr>
          <w:rFonts w:ascii="Times New Roman" w:eastAsia="Times New Roman" w:hAnsi="Times New Roman" w:cs="Times New Roman"/>
          <w:bCs/>
          <w:sz w:val="24"/>
          <w:szCs w:val="24"/>
        </w:rPr>
        <w:t>A:  Average Percent of Glutamine Flux Early Post Infection Used in Figure 4a ….... 113</w:t>
      </w:r>
    </w:p>
    <w:p w:rsidR="00823904" w:rsidRPr="00823904" w:rsidRDefault="006A1574" w:rsidP="00823904">
      <w:pPr>
        <w:spacing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Table 12</w:t>
      </w:r>
      <w:r w:rsidR="00823904" w:rsidRPr="00823904">
        <w:rPr>
          <w:rFonts w:ascii="Times New Roman" w:eastAsia="Times New Roman" w:hAnsi="Times New Roman" w:cs="Times New Roman"/>
          <w:bCs/>
          <w:sz w:val="24"/>
          <w:szCs w:val="24"/>
        </w:rPr>
        <w:t>B:  Range of Glutamine Flux Early Post Infection Used in Figure 4a ……………… 113</w:t>
      </w:r>
    </w:p>
    <w:p w:rsidR="00823904" w:rsidRPr="00823904" w:rsidRDefault="006A1574" w:rsidP="00823904">
      <w:pPr>
        <w:spacing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Table 13</w:t>
      </w:r>
      <w:r w:rsidR="00823904" w:rsidRPr="00823904">
        <w:rPr>
          <w:rFonts w:ascii="Times New Roman" w:eastAsia="Times New Roman" w:hAnsi="Times New Roman" w:cs="Times New Roman"/>
          <w:bCs/>
          <w:sz w:val="24"/>
          <w:szCs w:val="24"/>
        </w:rPr>
        <w:t>A:  Average Percent of Glutamine Flux Late Post Infection Used in Figure 4b ……. 114</w:t>
      </w:r>
    </w:p>
    <w:p w:rsidR="00823904" w:rsidRPr="00823904" w:rsidRDefault="006A1574" w:rsidP="00823904">
      <w:pPr>
        <w:spacing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Table 13</w:t>
      </w:r>
      <w:r w:rsidR="00823904" w:rsidRPr="00823904">
        <w:rPr>
          <w:rFonts w:ascii="Times New Roman" w:eastAsia="Times New Roman" w:hAnsi="Times New Roman" w:cs="Times New Roman"/>
          <w:bCs/>
          <w:sz w:val="24"/>
          <w:szCs w:val="24"/>
        </w:rPr>
        <w:t>B:  Range of Glutamine Flux Late Post Infection Used in Figure 4b ……………….. 114</w:t>
      </w:r>
    </w:p>
    <w:p w:rsidR="00823904" w:rsidRPr="00823904" w:rsidRDefault="006A1574" w:rsidP="00823904">
      <w:pPr>
        <w:spacing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Table 14</w:t>
      </w:r>
      <w:r w:rsidR="00823904" w:rsidRPr="00823904">
        <w:rPr>
          <w:rFonts w:ascii="Times New Roman" w:eastAsia="Times New Roman" w:hAnsi="Times New Roman" w:cs="Times New Roman"/>
          <w:bCs/>
          <w:sz w:val="24"/>
          <w:szCs w:val="24"/>
        </w:rPr>
        <w:t>A:  Average Percent of Glutamate Flux Early Post Infection Used in Figure 4c ….... 115</w:t>
      </w:r>
    </w:p>
    <w:p w:rsidR="00823904" w:rsidRPr="00823904" w:rsidRDefault="006A1574" w:rsidP="00823904">
      <w:pPr>
        <w:spacing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Table 14</w:t>
      </w:r>
      <w:r w:rsidR="00823904" w:rsidRPr="00823904">
        <w:rPr>
          <w:rFonts w:ascii="Times New Roman" w:eastAsia="Times New Roman" w:hAnsi="Times New Roman" w:cs="Times New Roman"/>
          <w:bCs/>
          <w:sz w:val="24"/>
          <w:szCs w:val="24"/>
        </w:rPr>
        <w:t>B:  Range of Glutamate Flux Early Post Infection Used in Figure 4c ………………. 115</w:t>
      </w:r>
    </w:p>
    <w:p w:rsidR="00823904" w:rsidRPr="00823904" w:rsidRDefault="006A1574" w:rsidP="00823904">
      <w:pPr>
        <w:spacing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Table 15</w:t>
      </w:r>
      <w:r w:rsidR="00823904" w:rsidRPr="00823904">
        <w:rPr>
          <w:rFonts w:ascii="Times New Roman" w:eastAsia="Times New Roman" w:hAnsi="Times New Roman" w:cs="Times New Roman"/>
          <w:bCs/>
          <w:sz w:val="24"/>
          <w:szCs w:val="24"/>
        </w:rPr>
        <w:t>A:  Average Percent of Glutamate Flux Late Post Infection Used in Figure 4d ….… 116</w:t>
      </w:r>
    </w:p>
    <w:p w:rsidR="00823904" w:rsidRPr="00823904" w:rsidRDefault="006A1574" w:rsidP="00823904">
      <w:pPr>
        <w:spacing w:line="24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Table 15</w:t>
      </w:r>
      <w:r w:rsidR="00823904" w:rsidRPr="00823904">
        <w:rPr>
          <w:rFonts w:ascii="Times New Roman" w:eastAsia="Times New Roman" w:hAnsi="Times New Roman" w:cs="Times New Roman"/>
          <w:bCs/>
          <w:sz w:val="24"/>
          <w:szCs w:val="24"/>
        </w:rPr>
        <w:t>B:  Range of Glutamate Flux Late Post Infection Used in Figure 4d ……………….. 116</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16</w:t>
      </w:r>
      <w:r w:rsidR="00823904" w:rsidRPr="00823904">
        <w:rPr>
          <w:rFonts w:ascii="Times New Roman" w:eastAsia="Times New Roman" w:hAnsi="Times New Roman" w:cs="Times New Roman"/>
          <w:bCs/>
          <w:color w:val="000000"/>
          <w:sz w:val="24"/>
          <w:szCs w:val="24"/>
        </w:rPr>
        <w:t>: Glutamine External Calibration Curve Used in Figure 5 ………………..………… 117</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17</w:t>
      </w:r>
      <w:r w:rsidR="00823904" w:rsidRPr="00823904">
        <w:rPr>
          <w:rFonts w:ascii="Times New Roman" w:eastAsia="Times New Roman" w:hAnsi="Times New Roman" w:cs="Times New Roman"/>
          <w:bCs/>
          <w:color w:val="000000"/>
          <w:sz w:val="24"/>
          <w:szCs w:val="24"/>
        </w:rPr>
        <w:t>: Glutamate External Calibration Curve Used in Figure 6 ……………….………….. 118</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18</w:t>
      </w:r>
      <w:r w:rsidR="00823904" w:rsidRPr="00823904">
        <w:rPr>
          <w:rFonts w:ascii="Times New Roman" w:hAnsi="Times New Roman" w:cs="Times New Roman"/>
          <w:sz w:val="24"/>
          <w:szCs w:val="24"/>
        </w:rPr>
        <w:t xml:space="preserve">A: Cow #1 Average </w:t>
      </w:r>
      <w:r w:rsidR="00823904" w:rsidRPr="00823904">
        <w:rPr>
          <w:rFonts w:ascii="Times New Roman" w:eastAsia="Times New Roman" w:hAnsi="Times New Roman" w:cs="Times New Roman"/>
          <w:bCs/>
          <w:color w:val="000000"/>
          <w:sz w:val="24"/>
          <w:szCs w:val="24"/>
        </w:rPr>
        <w:t>µM in Milk Used in Figure 7 ………………………………..… 119</w:t>
      </w:r>
    </w:p>
    <w:p w:rsidR="00823904" w:rsidRPr="00823904" w:rsidRDefault="006A1574"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18</w:t>
      </w:r>
      <w:r w:rsidR="00823904" w:rsidRPr="00823904">
        <w:rPr>
          <w:rFonts w:ascii="Times New Roman" w:hAnsi="Times New Roman" w:cs="Times New Roman"/>
          <w:sz w:val="24"/>
          <w:szCs w:val="24"/>
        </w:rPr>
        <w:t>B: Cow #1 Fold Change in Milk Used in Figure 7 ……………………………….…. 120</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19</w:t>
      </w:r>
      <w:r w:rsidR="00823904" w:rsidRPr="00823904">
        <w:rPr>
          <w:rFonts w:ascii="Times New Roman" w:hAnsi="Times New Roman" w:cs="Times New Roman"/>
          <w:sz w:val="24"/>
          <w:szCs w:val="24"/>
        </w:rPr>
        <w:t xml:space="preserve">A: Cow #2 Average </w:t>
      </w:r>
      <w:r w:rsidR="00823904" w:rsidRPr="00823904">
        <w:rPr>
          <w:rFonts w:ascii="Times New Roman" w:eastAsia="Times New Roman" w:hAnsi="Times New Roman" w:cs="Times New Roman"/>
          <w:bCs/>
          <w:color w:val="000000"/>
          <w:sz w:val="24"/>
          <w:szCs w:val="24"/>
        </w:rPr>
        <w:t>µM in Milk Used in Figure 7 ………………………………….. 121</w:t>
      </w:r>
    </w:p>
    <w:p w:rsidR="00823904" w:rsidRPr="00823904" w:rsidRDefault="006A1574"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19</w:t>
      </w:r>
      <w:r w:rsidR="00823904" w:rsidRPr="00823904">
        <w:rPr>
          <w:rFonts w:ascii="Times New Roman" w:hAnsi="Times New Roman" w:cs="Times New Roman"/>
          <w:sz w:val="24"/>
          <w:szCs w:val="24"/>
        </w:rPr>
        <w:t xml:space="preserve">B: Cow #2 Fold Change in Milk Used in Figure 7 </w:t>
      </w:r>
      <w:r w:rsidR="00823904" w:rsidRPr="00823904">
        <w:rPr>
          <w:rFonts w:ascii="Times New Roman" w:eastAsia="Times New Roman" w:hAnsi="Times New Roman" w:cs="Times New Roman"/>
          <w:bCs/>
          <w:color w:val="000000"/>
          <w:sz w:val="24"/>
          <w:szCs w:val="24"/>
        </w:rPr>
        <w:t>………………………………….. 122</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20</w:t>
      </w:r>
      <w:r w:rsidR="00823904" w:rsidRPr="00823904">
        <w:rPr>
          <w:rFonts w:ascii="Times New Roman" w:hAnsi="Times New Roman" w:cs="Times New Roman"/>
          <w:sz w:val="24"/>
          <w:szCs w:val="24"/>
        </w:rPr>
        <w:t xml:space="preserve">A: Cow #3 Average </w:t>
      </w:r>
      <w:r w:rsidR="00823904" w:rsidRPr="00823904">
        <w:rPr>
          <w:rFonts w:ascii="Times New Roman" w:eastAsia="Times New Roman" w:hAnsi="Times New Roman" w:cs="Times New Roman"/>
          <w:bCs/>
          <w:color w:val="000000"/>
          <w:sz w:val="24"/>
          <w:szCs w:val="24"/>
        </w:rPr>
        <w:t>µM in Milk Used in Figure 7 ………………………………….. 123</w:t>
      </w:r>
    </w:p>
    <w:p w:rsidR="00823904" w:rsidRPr="00823904" w:rsidRDefault="006A1574"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20</w:t>
      </w:r>
      <w:r w:rsidR="00823904" w:rsidRPr="00823904">
        <w:rPr>
          <w:rFonts w:ascii="Times New Roman" w:hAnsi="Times New Roman" w:cs="Times New Roman"/>
          <w:sz w:val="24"/>
          <w:szCs w:val="24"/>
        </w:rPr>
        <w:t xml:space="preserve">B: Cow #3 Fold Change in Milk Used in Figure 7 </w:t>
      </w:r>
      <w:r w:rsidR="00823904" w:rsidRPr="00823904">
        <w:rPr>
          <w:rFonts w:ascii="Times New Roman" w:eastAsia="Times New Roman" w:hAnsi="Times New Roman" w:cs="Times New Roman"/>
          <w:bCs/>
          <w:color w:val="000000"/>
          <w:sz w:val="24"/>
          <w:szCs w:val="24"/>
        </w:rPr>
        <w:t>………………………………….. 124</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21</w:t>
      </w:r>
      <w:r w:rsidR="00823904" w:rsidRPr="00823904">
        <w:rPr>
          <w:rFonts w:ascii="Times New Roman" w:hAnsi="Times New Roman" w:cs="Times New Roman"/>
          <w:sz w:val="24"/>
          <w:szCs w:val="24"/>
        </w:rPr>
        <w:t xml:space="preserve">A: Cow #4 Average </w:t>
      </w:r>
      <w:r w:rsidR="00823904" w:rsidRPr="00823904">
        <w:rPr>
          <w:rFonts w:ascii="Times New Roman" w:eastAsia="Times New Roman" w:hAnsi="Times New Roman" w:cs="Times New Roman"/>
          <w:bCs/>
          <w:color w:val="000000"/>
          <w:sz w:val="24"/>
          <w:szCs w:val="24"/>
        </w:rPr>
        <w:t>µM in Milk Used in Figure 7 ………………………………….. 125</w:t>
      </w:r>
    </w:p>
    <w:p w:rsidR="00823904" w:rsidRPr="00823904" w:rsidRDefault="006A1574"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21</w:t>
      </w:r>
      <w:r w:rsidR="00823904" w:rsidRPr="00823904">
        <w:rPr>
          <w:rFonts w:ascii="Times New Roman" w:hAnsi="Times New Roman" w:cs="Times New Roman"/>
          <w:sz w:val="24"/>
          <w:szCs w:val="24"/>
        </w:rPr>
        <w:t xml:space="preserve">B: Cow #4 Fold Change in Milk Used in Figure 7 </w:t>
      </w:r>
      <w:r w:rsidR="00823904" w:rsidRPr="00823904">
        <w:rPr>
          <w:rFonts w:ascii="Times New Roman" w:eastAsia="Times New Roman" w:hAnsi="Times New Roman" w:cs="Times New Roman"/>
          <w:bCs/>
          <w:color w:val="000000"/>
          <w:sz w:val="24"/>
          <w:szCs w:val="24"/>
        </w:rPr>
        <w:t>………………………………….. 126</w:t>
      </w:r>
    </w:p>
    <w:p w:rsidR="00823904" w:rsidRPr="00823904" w:rsidRDefault="006A1574"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22</w:t>
      </w:r>
      <w:r w:rsidR="00823904" w:rsidRPr="00823904">
        <w:rPr>
          <w:rFonts w:ascii="Times New Roman" w:hAnsi="Times New Roman" w:cs="Times New Roman"/>
          <w:sz w:val="24"/>
          <w:szCs w:val="24"/>
        </w:rPr>
        <w:t xml:space="preserve">A: Cow #5 Average </w:t>
      </w:r>
      <w:r w:rsidR="00823904" w:rsidRPr="00823904">
        <w:rPr>
          <w:rFonts w:ascii="Times New Roman" w:eastAsia="Times New Roman" w:hAnsi="Times New Roman" w:cs="Times New Roman"/>
          <w:bCs/>
          <w:color w:val="000000"/>
          <w:sz w:val="24"/>
          <w:szCs w:val="24"/>
        </w:rPr>
        <w:t>µM in Milk Used in Figure 7 ………………………………….. 127</w:t>
      </w:r>
    </w:p>
    <w:p w:rsidR="00823904" w:rsidRPr="00823904" w:rsidRDefault="006A1574"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22</w:t>
      </w:r>
      <w:r w:rsidR="00823904" w:rsidRPr="00823904">
        <w:rPr>
          <w:rFonts w:ascii="Times New Roman" w:hAnsi="Times New Roman" w:cs="Times New Roman"/>
          <w:sz w:val="24"/>
          <w:szCs w:val="24"/>
        </w:rPr>
        <w:t xml:space="preserve">B: Cow #5 Fold Change in Milk Used in Figure 7 </w:t>
      </w:r>
      <w:r w:rsidR="00823904" w:rsidRPr="00823904">
        <w:rPr>
          <w:rFonts w:ascii="Times New Roman" w:eastAsia="Times New Roman" w:hAnsi="Times New Roman" w:cs="Times New Roman"/>
          <w:bCs/>
          <w:color w:val="000000"/>
          <w:sz w:val="24"/>
          <w:szCs w:val="24"/>
        </w:rPr>
        <w:t>………………………………….. 128</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23</w:t>
      </w:r>
      <w:r w:rsidR="00823904" w:rsidRPr="00823904">
        <w:rPr>
          <w:rFonts w:ascii="Times New Roman" w:hAnsi="Times New Roman" w:cs="Times New Roman"/>
          <w:sz w:val="24"/>
          <w:szCs w:val="24"/>
        </w:rPr>
        <w:t xml:space="preserve">A: Cow #6 Average </w:t>
      </w:r>
      <w:r w:rsidR="00823904" w:rsidRPr="00823904">
        <w:rPr>
          <w:rFonts w:ascii="Times New Roman" w:eastAsia="Times New Roman" w:hAnsi="Times New Roman" w:cs="Times New Roman"/>
          <w:bCs/>
          <w:color w:val="000000"/>
          <w:sz w:val="24"/>
          <w:szCs w:val="24"/>
        </w:rPr>
        <w:t>µM in Milk Used in Figure 7 ………………………………….. 129</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23</w:t>
      </w:r>
      <w:r w:rsidR="00823904" w:rsidRPr="00823904">
        <w:rPr>
          <w:rFonts w:ascii="Times New Roman" w:hAnsi="Times New Roman" w:cs="Times New Roman"/>
          <w:sz w:val="24"/>
          <w:szCs w:val="24"/>
        </w:rPr>
        <w:t xml:space="preserve">B: Cow #6 Fold Change in Milk Used in Figure 7 </w:t>
      </w:r>
      <w:r w:rsidR="00823904" w:rsidRPr="00823904">
        <w:rPr>
          <w:rFonts w:ascii="Times New Roman" w:eastAsia="Times New Roman" w:hAnsi="Times New Roman" w:cs="Times New Roman"/>
          <w:bCs/>
          <w:color w:val="000000"/>
          <w:sz w:val="24"/>
          <w:szCs w:val="24"/>
        </w:rPr>
        <w:t>………………………………….. 130</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24</w:t>
      </w:r>
      <w:r w:rsidR="00823904" w:rsidRPr="00823904">
        <w:rPr>
          <w:rFonts w:ascii="Times New Roman" w:hAnsi="Times New Roman" w:cs="Times New Roman"/>
          <w:sz w:val="24"/>
          <w:szCs w:val="24"/>
        </w:rPr>
        <w:t xml:space="preserve">A: Cow #7 Average </w:t>
      </w:r>
      <w:r w:rsidR="00823904" w:rsidRPr="00823904">
        <w:rPr>
          <w:rFonts w:ascii="Times New Roman" w:eastAsia="Times New Roman" w:hAnsi="Times New Roman" w:cs="Times New Roman"/>
          <w:bCs/>
          <w:color w:val="000000"/>
          <w:sz w:val="24"/>
          <w:szCs w:val="24"/>
        </w:rPr>
        <w:t>µM in Milk Used in Figure 7 ………………………………….. 131</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24</w:t>
      </w:r>
      <w:r w:rsidR="00823904" w:rsidRPr="00823904">
        <w:rPr>
          <w:rFonts w:ascii="Times New Roman" w:hAnsi="Times New Roman" w:cs="Times New Roman"/>
          <w:sz w:val="24"/>
          <w:szCs w:val="24"/>
        </w:rPr>
        <w:t xml:space="preserve">B: Cow #7 Fold Change in Milk Used in Figure 7 </w:t>
      </w:r>
      <w:r w:rsidR="00823904" w:rsidRPr="00823904">
        <w:rPr>
          <w:rFonts w:ascii="Times New Roman" w:eastAsia="Times New Roman" w:hAnsi="Times New Roman" w:cs="Times New Roman"/>
          <w:bCs/>
          <w:color w:val="000000"/>
          <w:sz w:val="24"/>
          <w:szCs w:val="24"/>
        </w:rPr>
        <w:t>………………………………….. 132</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lastRenderedPageBreak/>
        <w:t>Table 25</w:t>
      </w:r>
      <w:r w:rsidR="00823904" w:rsidRPr="00823904">
        <w:rPr>
          <w:rFonts w:ascii="Times New Roman" w:hAnsi="Times New Roman" w:cs="Times New Roman"/>
          <w:sz w:val="24"/>
          <w:szCs w:val="24"/>
        </w:rPr>
        <w:t xml:space="preserve">A: Cow #8 Average </w:t>
      </w:r>
      <w:r w:rsidR="00823904" w:rsidRPr="00823904">
        <w:rPr>
          <w:rFonts w:ascii="Times New Roman" w:eastAsia="Times New Roman" w:hAnsi="Times New Roman" w:cs="Times New Roman"/>
          <w:bCs/>
          <w:color w:val="000000"/>
          <w:sz w:val="24"/>
          <w:szCs w:val="24"/>
        </w:rPr>
        <w:t>µM in Milk Used in Figure 7 ………………………………….. 133</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25</w:t>
      </w:r>
      <w:r w:rsidR="00823904" w:rsidRPr="00823904">
        <w:rPr>
          <w:rFonts w:ascii="Times New Roman" w:hAnsi="Times New Roman" w:cs="Times New Roman"/>
          <w:sz w:val="24"/>
          <w:szCs w:val="24"/>
        </w:rPr>
        <w:t xml:space="preserve">B: Cow #8 Fold Change in Milk Used in Figure 7 </w:t>
      </w:r>
      <w:r w:rsidR="00823904" w:rsidRPr="00823904">
        <w:rPr>
          <w:rFonts w:ascii="Times New Roman" w:eastAsia="Times New Roman" w:hAnsi="Times New Roman" w:cs="Times New Roman"/>
          <w:bCs/>
          <w:color w:val="000000"/>
          <w:sz w:val="24"/>
          <w:szCs w:val="24"/>
        </w:rPr>
        <w:t>………………………………….. 134</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26</w:t>
      </w:r>
      <w:r w:rsidR="00823904" w:rsidRPr="00823904">
        <w:rPr>
          <w:rFonts w:ascii="Times New Roman" w:hAnsi="Times New Roman" w:cs="Times New Roman"/>
          <w:sz w:val="24"/>
          <w:szCs w:val="24"/>
        </w:rPr>
        <w:t xml:space="preserve">A: Cow #9 Average </w:t>
      </w:r>
      <w:r w:rsidR="00823904" w:rsidRPr="00823904">
        <w:rPr>
          <w:rFonts w:ascii="Times New Roman" w:eastAsia="Times New Roman" w:hAnsi="Times New Roman" w:cs="Times New Roman"/>
          <w:bCs/>
          <w:color w:val="000000"/>
          <w:sz w:val="24"/>
          <w:szCs w:val="24"/>
        </w:rPr>
        <w:t>µM in Milk Used in Figure 7 ………………………………….. 135</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26</w:t>
      </w:r>
      <w:r w:rsidR="00823904" w:rsidRPr="00823904">
        <w:rPr>
          <w:rFonts w:ascii="Times New Roman" w:hAnsi="Times New Roman" w:cs="Times New Roman"/>
          <w:sz w:val="24"/>
          <w:szCs w:val="24"/>
        </w:rPr>
        <w:t xml:space="preserve">B: Cow #9 Fold Change in Milk Used in Figure 7 </w:t>
      </w:r>
      <w:r w:rsidR="00823904" w:rsidRPr="00823904">
        <w:rPr>
          <w:rFonts w:ascii="Times New Roman" w:eastAsia="Times New Roman" w:hAnsi="Times New Roman" w:cs="Times New Roman"/>
          <w:bCs/>
          <w:color w:val="000000"/>
          <w:sz w:val="24"/>
          <w:szCs w:val="24"/>
        </w:rPr>
        <w:t>………………………………….. 136</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27</w:t>
      </w:r>
      <w:r w:rsidR="00823904" w:rsidRPr="00823904">
        <w:rPr>
          <w:rFonts w:ascii="Times New Roman" w:hAnsi="Times New Roman" w:cs="Times New Roman"/>
          <w:sz w:val="24"/>
          <w:szCs w:val="24"/>
        </w:rPr>
        <w:t xml:space="preserve">A: Cow #10 Average </w:t>
      </w:r>
      <w:r w:rsidR="00823904" w:rsidRPr="00823904">
        <w:rPr>
          <w:rFonts w:ascii="Times New Roman" w:eastAsia="Times New Roman" w:hAnsi="Times New Roman" w:cs="Times New Roman"/>
          <w:bCs/>
          <w:color w:val="000000"/>
          <w:sz w:val="24"/>
          <w:szCs w:val="24"/>
        </w:rPr>
        <w:t>µM in Milk Used in Figure 7 ……………………………….... 137</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27</w:t>
      </w:r>
      <w:r w:rsidR="00823904" w:rsidRPr="00823904">
        <w:rPr>
          <w:rFonts w:ascii="Times New Roman" w:hAnsi="Times New Roman" w:cs="Times New Roman"/>
          <w:sz w:val="24"/>
          <w:szCs w:val="24"/>
        </w:rPr>
        <w:t>B: Cow #10 Fold Change in Milk Used in Figure 7</w:t>
      </w:r>
      <w:r w:rsidR="00823904" w:rsidRPr="00823904">
        <w:rPr>
          <w:rFonts w:ascii="Times New Roman" w:eastAsia="Times New Roman" w:hAnsi="Times New Roman" w:cs="Times New Roman"/>
          <w:bCs/>
          <w:color w:val="000000"/>
          <w:sz w:val="24"/>
          <w:szCs w:val="24"/>
        </w:rPr>
        <w:t>……………………………...….. 138</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28</w:t>
      </w:r>
      <w:r w:rsidR="00823904" w:rsidRPr="00823904">
        <w:rPr>
          <w:rFonts w:ascii="Times New Roman" w:hAnsi="Times New Roman" w:cs="Times New Roman"/>
          <w:sz w:val="24"/>
          <w:szCs w:val="24"/>
        </w:rPr>
        <w:t xml:space="preserve">A: Cow #11 Average </w:t>
      </w:r>
      <w:r w:rsidR="00823904" w:rsidRPr="00823904">
        <w:rPr>
          <w:rFonts w:ascii="Times New Roman" w:eastAsia="Times New Roman" w:hAnsi="Times New Roman" w:cs="Times New Roman"/>
          <w:bCs/>
          <w:color w:val="000000"/>
          <w:sz w:val="24"/>
          <w:szCs w:val="24"/>
        </w:rPr>
        <w:t>µM in Milk Used in Figure 7 …………………………..…….. 139</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28</w:t>
      </w:r>
      <w:r w:rsidR="00823904" w:rsidRPr="00823904">
        <w:rPr>
          <w:rFonts w:ascii="Times New Roman" w:hAnsi="Times New Roman" w:cs="Times New Roman"/>
          <w:sz w:val="24"/>
          <w:szCs w:val="24"/>
        </w:rPr>
        <w:t xml:space="preserve">B: Cow #11 Fold Change in Milk Used in Figure 7 </w:t>
      </w:r>
      <w:r w:rsidR="00823904" w:rsidRPr="00823904">
        <w:rPr>
          <w:rFonts w:ascii="Times New Roman" w:eastAsia="Times New Roman" w:hAnsi="Times New Roman" w:cs="Times New Roman"/>
          <w:bCs/>
          <w:color w:val="000000"/>
          <w:sz w:val="24"/>
          <w:szCs w:val="24"/>
        </w:rPr>
        <w:t>………………………..……….. 140</w:t>
      </w:r>
    </w:p>
    <w:p w:rsidR="00823904" w:rsidRPr="00823904" w:rsidRDefault="00823904" w:rsidP="00823904">
      <w:pPr>
        <w:spacing w:line="240" w:lineRule="auto"/>
        <w:contextualSpacing/>
        <w:jc w:val="both"/>
        <w:rPr>
          <w:rFonts w:ascii="Times New Roman" w:eastAsia="Times New Roman" w:hAnsi="Times New Roman" w:cs="Times New Roman"/>
          <w:bCs/>
          <w:color w:val="000000"/>
          <w:sz w:val="24"/>
          <w:szCs w:val="24"/>
        </w:rPr>
      </w:pPr>
      <w:r w:rsidRPr="00823904">
        <w:rPr>
          <w:rFonts w:ascii="Times New Roman" w:hAnsi="Times New Roman" w:cs="Times New Roman"/>
          <w:sz w:val="24"/>
          <w:szCs w:val="24"/>
        </w:rPr>
        <w:t>Ta</w:t>
      </w:r>
      <w:r w:rsidR="00BB0756">
        <w:rPr>
          <w:rFonts w:ascii="Times New Roman" w:hAnsi="Times New Roman" w:cs="Times New Roman"/>
          <w:sz w:val="24"/>
          <w:szCs w:val="24"/>
        </w:rPr>
        <w:t>ble 29</w:t>
      </w:r>
      <w:r w:rsidRPr="00823904">
        <w:rPr>
          <w:rFonts w:ascii="Times New Roman" w:hAnsi="Times New Roman" w:cs="Times New Roman"/>
          <w:sz w:val="24"/>
          <w:szCs w:val="24"/>
        </w:rPr>
        <w:t xml:space="preserve">A: Cow #12 Average </w:t>
      </w:r>
      <w:r w:rsidRPr="00823904">
        <w:rPr>
          <w:rFonts w:ascii="Times New Roman" w:eastAsia="Times New Roman" w:hAnsi="Times New Roman" w:cs="Times New Roman"/>
          <w:bCs/>
          <w:color w:val="000000"/>
          <w:sz w:val="24"/>
          <w:szCs w:val="24"/>
        </w:rPr>
        <w:t>µM in Milk Used in Figure 7 ……………………..………….. 141</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29</w:t>
      </w:r>
      <w:r w:rsidR="00823904" w:rsidRPr="00823904">
        <w:rPr>
          <w:rFonts w:ascii="Times New Roman" w:hAnsi="Times New Roman" w:cs="Times New Roman"/>
          <w:sz w:val="24"/>
          <w:szCs w:val="24"/>
        </w:rPr>
        <w:t xml:space="preserve">B: Cow #12 Fold Change in Milk Used in Figure 7 </w:t>
      </w:r>
      <w:r w:rsidR="00823904" w:rsidRPr="00823904">
        <w:rPr>
          <w:rFonts w:ascii="Times New Roman" w:eastAsia="Times New Roman" w:hAnsi="Times New Roman" w:cs="Times New Roman"/>
          <w:bCs/>
          <w:color w:val="000000"/>
          <w:sz w:val="24"/>
          <w:szCs w:val="24"/>
        </w:rPr>
        <w:t>…………………..…………….. 142</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30</w:t>
      </w:r>
      <w:r w:rsidR="00823904" w:rsidRPr="00823904">
        <w:rPr>
          <w:rFonts w:ascii="Times New Roman" w:hAnsi="Times New Roman" w:cs="Times New Roman"/>
          <w:sz w:val="24"/>
          <w:szCs w:val="24"/>
        </w:rPr>
        <w:t xml:space="preserve">A: Cow #1 Average </w:t>
      </w:r>
      <w:r w:rsidR="00823904" w:rsidRPr="00823904">
        <w:rPr>
          <w:rFonts w:ascii="Times New Roman" w:eastAsia="Times New Roman" w:hAnsi="Times New Roman" w:cs="Times New Roman"/>
          <w:bCs/>
          <w:color w:val="000000"/>
          <w:sz w:val="24"/>
          <w:szCs w:val="24"/>
        </w:rPr>
        <w:t>µM in Plasma Used in Figure 8 ……………………………….. 143</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30</w:t>
      </w:r>
      <w:r w:rsidR="00823904" w:rsidRPr="00823904">
        <w:rPr>
          <w:rFonts w:ascii="Times New Roman" w:hAnsi="Times New Roman" w:cs="Times New Roman"/>
          <w:sz w:val="24"/>
          <w:szCs w:val="24"/>
        </w:rPr>
        <w:t xml:space="preserve">B: Cow #1 Fold Change in Plasma Used in Figure 8 </w:t>
      </w:r>
      <w:r w:rsidR="00823904" w:rsidRPr="00823904">
        <w:rPr>
          <w:rFonts w:ascii="Times New Roman" w:eastAsia="Times New Roman" w:hAnsi="Times New Roman" w:cs="Times New Roman"/>
          <w:bCs/>
          <w:color w:val="000000"/>
          <w:sz w:val="24"/>
          <w:szCs w:val="24"/>
        </w:rPr>
        <w:t>……………………………….. 144</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31</w:t>
      </w:r>
      <w:r w:rsidR="00823904" w:rsidRPr="00823904">
        <w:rPr>
          <w:rFonts w:ascii="Times New Roman" w:hAnsi="Times New Roman" w:cs="Times New Roman"/>
          <w:sz w:val="24"/>
          <w:szCs w:val="24"/>
        </w:rPr>
        <w:t xml:space="preserve">A: Cow #2 Average </w:t>
      </w:r>
      <w:r w:rsidR="00823904" w:rsidRPr="00823904">
        <w:rPr>
          <w:rFonts w:ascii="Times New Roman" w:eastAsia="Times New Roman" w:hAnsi="Times New Roman" w:cs="Times New Roman"/>
          <w:bCs/>
          <w:color w:val="000000"/>
          <w:sz w:val="24"/>
          <w:szCs w:val="24"/>
        </w:rPr>
        <w:t>µM in Plasma Used in Figure 8 ……………………………….. 145</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31</w:t>
      </w:r>
      <w:r w:rsidR="00823904" w:rsidRPr="00823904">
        <w:rPr>
          <w:rFonts w:ascii="Times New Roman" w:hAnsi="Times New Roman" w:cs="Times New Roman"/>
          <w:sz w:val="24"/>
          <w:szCs w:val="24"/>
        </w:rPr>
        <w:t xml:space="preserve">B: Cow #2 Fold Change in Plasma Used in Figure 8 </w:t>
      </w:r>
      <w:r w:rsidR="00823904" w:rsidRPr="00823904">
        <w:rPr>
          <w:rFonts w:ascii="Times New Roman" w:eastAsia="Times New Roman" w:hAnsi="Times New Roman" w:cs="Times New Roman"/>
          <w:bCs/>
          <w:color w:val="000000"/>
          <w:sz w:val="24"/>
          <w:szCs w:val="24"/>
        </w:rPr>
        <w:t>……………………………….. 146</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32</w:t>
      </w:r>
      <w:r w:rsidR="00823904" w:rsidRPr="00823904">
        <w:rPr>
          <w:rFonts w:ascii="Times New Roman" w:hAnsi="Times New Roman" w:cs="Times New Roman"/>
          <w:sz w:val="24"/>
          <w:szCs w:val="24"/>
        </w:rPr>
        <w:t xml:space="preserve">A: Cow #3 Average </w:t>
      </w:r>
      <w:r w:rsidR="00823904" w:rsidRPr="00823904">
        <w:rPr>
          <w:rFonts w:ascii="Times New Roman" w:eastAsia="Times New Roman" w:hAnsi="Times New Roman" w:cs="Times New Roman"/>
          <w:bCs/>
          <w:color w:val="000000"/>
          <w:sz w:val="24"/>
          <w:szCs w:val="24"/>
        </w:rPr>
        <w:t xml:space="preserve">µM in Plasma Used in Figure 8 ……………………………….. 147  </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32</w:t>
      </w:r>
      <w:r w:rsidR="00823904" w:rsidRPr="00823904">
        <w:rPr>
          <w:rFonts w:ascii="Times New Roman" w:hAnsi="Times New Roman" w:cs="Times New Roman"/>
          <w:sz w:val="24"/>
          <w:szCs w:val="24"/>
        </w:rPr>
        <w:t xml:space="preserve">B: Cow #3 Fold Change in Plasma Used in Figure 8 </w:t>
      </w:r>
      <w:r w:rsidR="00823904" w:rsidRPr="00823904">
        <w:rPr>
          <w:rFonts w:ascii="Times New Roman" w:eastAsia="Times New Roman" w:hAnsi="Times New Roman" w:cs="Times New Roman"/>
          <w:bCs/>
          <w:color w:val="000000"/>
          <w:sz w:val="24"/>
          <w:szCs w:val="24"/>
        </w:rPr>
        <w:t>……………………………….. 148</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33</w:t>
      </w:r>
      <w:r w:rsidR="00823904" w:rsidRPr="00823904">
        <w:rPr>
          <w:rFonts w:ascii="Times New Roman" w:hAnsi="Times New Roman" w:cs="Times New Roman"/>
          <w:sz w:val="24"/>
          <w:szCs w:val="24"/>
        </w:rPr>
        <w:t xml:space="preserve">A: Cow #4 Average </w:t>
      </w:r>
      <w:r w:rsidR="00823904" w:rsidRPr="00823904">
        <w:rPr>
          <w:rFonts w:ascii="Times New Roman" w:eastAsia="Times New Roman" w:hAnsi="Times New Roman" w:cs="Times New Roman"/>
          <w:bCs/>
          <w:color w:val="000000"/>
          <w:sz w:val="24"/>
          <w:szCs w:val="24"/>
        </w:rPr>
        <w:t>µM in Plasma Used in Figure 8 ……………………………….. 149</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33</w:t>
      </w:r>
      <w:r w:rsidR="00823904" w:rsidRPr="00823904">
        <w:rPr>
          <w:rFonts w:ascii="Times New Roman" w:hAnsi="Times New Roman" w:cs="Times New Roman"/>
          <w:sz w:val="24"/>
          <w:szCs w:val="24"/>
        </w:rPr>
        <w:t xml:space="preserve">B: Cow #4 Fold Change in Plasma Used in Figure 8 </w:t>
      </w:r>
      <w:r w:rsidR="00823904" w:rsidRPr="00823904">
        <w:rPr>
          <w:rFonts w:ascii="Times New Roman" w:eastAsia="Times New Roman" w:hAnsi="Times New Roman" w:cs="Times New Roman"/>
          <w:bCs/>
          <w:color w:val="000000"/>
          <w:sz w:val="24"/>
          <w:szCs w:val="24"/>
        </w:rPr>
        <w:t>……………………………….. 150</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34</w:t>
      </w:r>
      <w:r w:rsidR="00823904" w:rsidRPr="00823904">
        <w:rPr>
          <w:rFonts w:ascii="Times New Roman" w:hAnsi="Times New Roman" w:cs="Times New Roman"/>
          <w:sz w:val="24"/>
          <w:szCs w:val="24"/>
        </w:rPr>
        <w:t xml:space="preserve">A: Cow #5 Average </w:t>
      </w:r>
      <w:r w:rsidR="00823904" w:rsidRPr="00823904">
        <w:rPr>
          <w:rFonts w:ascii="Times New Roman" w:eastAsia="Times New Roman" w:hAnsi="Times New Roman" w:cs="Times New Roman"/>
          <w:bCs/>
          <w:color w:val="000000"/>
          <w:sz w:val="24"/>
          <w:szCs w:val="24"/>
        </w:rPr>
        <w:t>µM in Plasma Used in Figure 8 ……………………………….. 151</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34</w:t>
      </w:r>
      <w:r w:rsidR="00823904" w:rsidRPr="00823904">
        <w:rPr>
          <w:rFonts w:ascii="Times New Roman" w:hAnsi="Times New Roman" w:cs="Times New Roman"/>
          <w:sz w:val="24"/>
          <w:szCs w:val="24"/>
        </w:rPr>
        <w:t xml:space="preserve">B: Cow #5 Fold Change in Plasma Used in Figure 8 </w:t>
      </w:r>
      <w:r w:rsidR="00823904" w:rsidRPr="00823904">
        <w:rPr>
          <w:rFonts w:ascii="Times New Roman" w:eastAsia="Times New Roman" w:hAnsi="Times New Roman" w:cs="Times New Roman"/>
          <w:bCs/>
          <w:color w:val="000000"/>
          <w:sz w:val="24"/>
          <w:szCs w:val="24"/>
        </w:rPr>
        <w:t>……………………………….. 152</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35</w:t>
      </w:r>
      <w:r w:rsidR="00823904" w:rsidRPr="00823904">
        <w:rPr>
          <w:rFonts w:ascii="Times New Roman" w:hAnsi="Times New Roman" w:cs="Times New Roman"/>
          <w:sz w:val="24"/>
          <w:szCs w:val="24"/>
        </w:rPr>
        <w:t xml:space="preserve">A: Cow #6 Average </w:t>
      </w:r>
      <w:r w:rsidR="00823904" w:rsidRPr="00823904">
        <w:rPr>
          <w:rFonts w:ascii="Times New Roman" w:eastAsia="Times New Roman" w:hAnsi="Times New Roman" w:cs="Times New Roman"/>
          <w:bCs/>
          <w:color w:val="000000"/>
          <w:sz w:val="24"/>
          <w:szCs w:val="24"/>
        </w:rPr>
        <w:t>µM in Plasma Used in Figure 8 ……………………………….. 153</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35</w:t>
      </w:r>
      <w:r w:rsidR="00823904" w:rsidRPr="00823904">
        <w:rPr>
          <w:rFonts w:ascii="Times New Roman" w:hAnsi="Times New Roman" w:cs="Times New Roman"/>
          <w:sz w:val="24"/>
          <w:szCs w:val="24"/>
        </w:rPr>
        <w:t xml:space="preserve">B: Cow #6 Fold Change in Plasma Used in Figure 8 </w:t>
      </w:r>
      <w:r w:rsidR="00823904" w:rsidRPr="00823904">
        <w:rPr>
          <w:rFonts w:ascii="Times New Roman" w:eastAsia="Times New Roman" w:hAnsi="Times New Roman" w:cs="Times New Roman"/>
          <w:bCs/>
          <w:color w:val="000000"/>
          <w:sz w:val="24"/>
          <w:szCs w:val="24"/>
        </w:rPr>
        <w:t>……………………………….. 154</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36</w:t>
      </w:r>
      <w:r w:rsidR="00823904" w:rsidRPr="00823904">
        <w:rPr>
          <w:rFonts w:ascii="Times New Roman" w:hAnsi="Times New Roman" w:cs="Times New Roman"/>
          <w:sz w:val="24"/>
          <w:szCs w:val="24"/>
        </w:rPr>
        <w:t xml:space="preserve">A: Cow #7 Average </w:t>
      </w:r>
      <w:r w:rsidR="00823904" w:rsidRPr="00823904">
        <w:rPr>
          <w:rFonts w:ascii="Times New Roman" w:eastAsia="Times New Roman" w:hAnsi="Times New Roman" w:cs="Times New Roman"/>
          <w:bCs/>
          <w:color w:val="000000"/>
          <w:sz w:val="24"/>
          <w:szCs w:val="24"/>
        </w:rPr>
        <w:t>µM in Plasma Used in Figure 8 ……………………………….. 155</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36</w:t>
      </w:r>
      <w:r w:rsidR="00823904" w:rsidRPr="00823904">
        <w:rPr>
          <w:rFonts w:ascii="Times New Roman" w:hAnsi="Times New Roman" w:cs="Times New Roman"/>
          <w:sz w:val="24"/>
          <w:szCs w:val="24"/>
        </w:rPr>
        <w:t xml:space="preserve">B: Cow #7 Fold Change in Plasma Used in Figure 8 </w:t>
      </w:r>
      <w:r w:rsidR="00823904" w:rsidRPr="00823904">
        <w:rPr>
          <w:rFonts w:ascii="Times New Roman" w:eastAsia="Times New Roman" w:hAnsi="Times New Roman" w:cs="Times New Roman"/>
          <w:bCs/>
          <w:color w:val="000000"/>
          <w:sz w:val="24"/>
          <w:szCs w:val="24"/>
        </w:rPr>
        <w:t>……………………………….. 156</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37</w:t>
      </w:r>
      <w:r w:rsidR="00823904" w:rsidRPr="00823904">
        <w:rPr>
          <w:rFonts w:ascii="Times New Roman" w:hAnsi="Times New Roman" w:cs="Times New Roman"/>
          <w:sz w:val="24"/>
          <w:szCs w:val="24"/>
        </w:rPr>
        <w:t xml:space="preserve">A: Cow #8 Average </w:t>
      </w:r>
      <w:r w:rsidR="00823904" w:rsidRPr="00823904">
        <w:rPr>
          <w:rFonts w:ascii="Times New Roman" w:eastAsia="Times New Roman" w:hAnsi="Times New Roman" w:cs="Times New Roman"/>
          <w:bCs/>
          <w:color w:val="000000"/>
          <w:sz w:val="24"/>
          <w:szCs w:val="24"/>
        </w:rPr>
        <w:t>µM in Plasma Used in Figure 8 ……………………………….. 157</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37</w:t>
      </w:r>
      <w:r w:rsidR="00823904" w:rsidRPr="00823904">
        <w:rPr>
          <w:rFonts w:ascii="Times New Roman" w:hAnsi="Times New Roman" w:cs="Times New Roman"/>
          <w:sz w:val="24"/>
          <w:szCs w:val="24"/>
        </w:rPr>
        <w:t xml:space="preserve">B: Cow #8 Fold Change in Plasma Used in Figure 8 </w:t>
      </w:r>
      <w:r w:rsidR="00823904" w:rsidRPr="00823904">
        <w:rPr>
          <w:rFonts w:ascii="Times New Roman" w:eastAsia="Times New Roman" w:hAnsi="Times New Roman" w:cs="Times New Roman"/>
          <w:bCs/>
          <w:color w:val="000000"/>
          <w:sz w:val="24"/>
          <w:szCs w:val="24"/>
        </w:rPr>
        <w:t>……………………………….. 158</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38</w:t>
      </w:r>
      <w:r w:rsidR="00823904" w:rsidRPr="00823904">
        <w:rPr>
          <w:rFonts w:ascii="Times New Roman" w:hAnsi="Times New Roman" w:cs="Times New Roman"/>
          <w:sz w:val="24"/>
          <w:szCs w:val="24"/>
        </w:rPr>
        <w:t xml:space="preserve">A: Cow #9 Average </w:t>
      </w:r>
      <w:r w:rsidR="00823904" w:rsidRPr="00823904">
        <w:rPr>
          <w:rFonts w:ascii="Times New Roman" w:eastAsia="Times New Roman" w:hAnsi="Times New Roman" w:cs="Times New Roman"/>
          <w:bCs/>
          <w:color w:val="000000"/>
          <w:sz w:val="24"/>
          <w:szCs w:val="24"/>
        </w:rPr>
        <w:t>µM in Plasma Used in Figure 8 ……………………………….. 159</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38</w:t>
      </w:r>
      <w:r w:rsidR="00823904" w:rsidRPr="00823904">
        <w:rPr>
          <w:rFonts w:ascii="Times New Roman" w:hAnsi="Times New Roman" w:cs="Times New Roman"/>
          <w:sz w:val="24"/>
          <w:szCs w:val="24"/>
        </w:rPr>
        <w:t xml:space="preserve">B: Cow #9 Fold Change in Plasma Used in Figure 8 </w:t>
      </w:r>
      <w:r w:rsidR="00823904" w:rsidRPr="00823904">
        <w:rPr>
          <w:rFonts w:ascii="Times New Roman" w:eastAsia="Times New Roman" w:hAnsi="Times New Roman" w:cs="Times New Roman"/>
          <w:bCs/>
          <w:color w:val="000000"/>
          <w:sz w:val="24"/>
          <w:szCs w:val="24"/>
        </w:rPr>
        <w:t>……………………………….. 160</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39</w:t>
      </w:r>
      <w:r w:rsidR="00823904" w:rsidRPr="00823904">
        <w:rPr>
          <w:rFonts w:ascii="Times New Roman" w:hAnsi="Times New Roman" w:cs="Times New Roman"/>
          <w:sz w:val="24"/>
          <w:szCs w:val="24"/>
        </w:rPr>
        <w:t xml:space="preserve">A: Cow #10 Average </w:t>
      </w:r>
      <w:r w:rsidR="00823904" w:rsidRPr="00823904">
        <w:rPr>
          <w:rFonts w:ascii="Times New Roman" w:eastAsia="Times New Roman" w:hAnsi="Times New Roman" w:cs="Times New Roman"/>
          <w:bCs/>
          <w:color w:val="000000"/>
          <w:sz w:val="24"/>
          <w:szCs w:val="24"/>
        </w:rPr>
        <w:t>µM in Plasma Used in Figure 8 ………………..…………….. 161</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39</w:t>
      </w:r>
      <w:r w:rsidR="00823904" w:rsidRPr="00823904">
        <w:rPr>
          <w:rFonts w:ascii="Times New Roman" w:hAnsi="Times New Roman" w:cs="Times New Roman"/>
          <w:sz w:val="24"/>
          <w:szCs w:val="24"/>
        </w:rPr>
        <w:t xml:space="preserve">B: Cow #10 Fold Change in Plasma Used in Figure 8 </w:t>
      </w:r>
      <w:r w:rsidR="00823904" w:rsidRPr="00823904">
        <w:rPr>
          <w:rFonts w:ascii="Times New Roman" w:eastAsia="Times New Roman" w:hAnsi="Times New Roman" w:cs="Times New Roman"/>
          <w:bCs/>
          <w:color w:val="000000"/>
          <w:sz w:val="24"/>
          <w:szCs w:val="24"/>
        </w:rPr>
        <w:t>……………………………… 162</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40</w:t>
      </w:r>
      <w:r w:rsidR="00823904" w:rsidRPr="00823904">
        <w:rPr>
          <w:rFonts w:ascii="Times New Roman" w:hAnsi="Times New Roman" w:cs="Times New Roman"/>
          <w:sz w:val="24"/>
          <w:szCs w:val="24"/>
        </w:rPr>
        <w:t xml:space="preserve">A: Cow #11 Average </w:t>
      </w:r>
      <w:r w:rsidR="00823904" w:rsidRPr="00823904">
        <w:rPr>
          <w:rFonts w:ascii="Times New Roman" w:eastAsia="Times New Roman" w:hAnsi="Times New Roman" w:cs="Times New Roman"/>
          <w:bCs/>
          <w:color w:val="000000"/>
          <w:sz w:val="24"/>
          <w:szCs w:val="24"/>
        </w:rPr>
        <w:t>µM in Plasma Used in Figure 8 …………………………….... 163</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40</w:t>
      </w:r>
      <w:r w:rsidR="00823904" w:rsidRPr="00823904">
        <w:rPr>
          <w:rFonts w:ascii="Times New Roman" w:hAnsi="Times New Roman" w:cs="Times New Roman"/>
          <w:sz w:val="24"/>
          <w:szCs w:val="24"/>
        </w:rPr>
        <w:t xml:space="preserve">B: Cow #11 Fold Change in Plasma Used in Figure 8 </w:t>
      </w:r>
      <w:r w:rsidR="00823904" w:rsidRPr="00823904">
        <w:rPr>
          <w:rFonts w:ascii="Times New Roman" w:eastAsia="Times New Roman" w:hAnsi="Times New Roman" w:cs="Times New Roman"/>
          <w:bCs/>
          <w:color w:val="000000"/>
          <w:sz w:val="24"/>
          <w:szCs w:val="24"/>
        </w:rPr>
        <w:t>…………………………..….. 164</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41</w:t>
      </w:r>
      <w:r w:rsidR="00823904" w:rsidRPr="00823904">
        <w:rPr>
          <w:rFonts w:ascii="Times New Roman" w:hAnsi="Times New Roman" w:cs="Times New Roman"/>
          <w:sz w:val="24"/>
          <w:szCs w:val="24"/>
        </w:rPr>
        <w:t xml:space="preserve">A: Cow #12 Average </w:t>
      </w:r>
      <w:r w:rsidR="00823904" w:rsidRPr="00823904">
        <w:rPr>
          <w:rFonts w:ascii="Times New Roman" w:eastAsia="Times New Roman" w:hAnsi="Times New Roman" w:cs="Times New Roman"/>
          <w:bCs/>
          <w:color w:val="000000"/>
          <w:sz w:val="24"/>
          <w:szCs w:val="24"/>
        </w:rPr>
        <w:t>µM in Plasma Used in Figure 8 ………………………..…….. 165</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41</w:t>
      </w:r>
      <w:r w:rsidR="00823904" w:rsidRPr="00823904">
        <w:rPr>
          <w:rFonts w:ascii="Times New Roman" w:hAnsi="Times New Roman" w:cs="Times New Roman"/>
          <w:sz w:val="24"/>
          <w:szCs w:val="24"/>
        </w:rPr>
        <w:t>B: Cow #12 Fold Change in Plasma Used in Figure 8 ……………………………….166</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42</w:t>
      </w:r>
      <w:r w:rsidR="00823904" w:rsidRPr="00823904">
        <w:rPr>
          <w:rFonts w:ascii="Times New Roman" w:hAnsi="Times New Roman" w:cs="Times New Roman"/>
          <w:sz w:val="24"/>
          <w:szCs w:val="24"/>
        </w:rPr>
        <w:t xml:space="preserve">A: Average </w:t>
      </w:r>
      <w:r w:rsidR="00823904" w:rsidRPr="00823904">
        <w:rPr>
          <w:rFonts w:ascii="Times New Roman" w:eastAsia="Times New Roman" w:hAnsi="Times New Roman" w:cs="Times New Roman"/>
          <w:bCs/>
          <w:color w:val="000000"/>
          <w:sz w:val="24"/>
          <w:szCs w:val="24"/>
        </w:rPr>
        <w:t>µM in Milk Used in Figure 9 ………………………….……………….. 167</w:t>
      </w:r>
    </w:p>
    <w:p w:rsidR="00823904" w:rsidRPr="00823904" w:rsidRDefault="00823904" w:rsidP="00823904">
      <w:pPr>
        <w:spacing w:line="240" w:lineRule="auto"/>
        <w:contextualSpacing/>
        <w:jc w:val="both"/>
        <w:rPr>
          <w:rFonts w:ascii="Times New Roman" w:hAnsi="Times New Roman" w:cs="Times New Roman"/>
          <w:sz w:val="24"/>
          <w:szCs w:val="24"/>
        </w:rPr>
      </w:pPr>
      <w:r w:rsidRPr="00823904">
        <w:rPr>
          <w:rFonts w:ascii="Times New Roman" w:hAnsi="Times New Roman" w:cs="Times New Roman"/>
          <w:sz w:val="24"/>
          <w:szCs w:val="24"/>
        </w:rPr>
        <w:t xml:space="preserve">Table </w:t>
      </w:r>
      <w:r w:rsidR="00BB0756">
        <w:rPr>
          <w:rFonts w:ascii="Times New Roman" w:hAnsi="Times New Roman" w:cs="Times New Roman"/>
          <w:sz w:val="24"/>
          <w:szCs w:val="24"/>
        </w:rPr>
        <w:t>42</w:t>
      </w:r>
      <w:r w:rsidRPr="00823904">
        <w:rPr>
          <w:rFonts w:ascii="Times New Roman" w:hAnsi="Times New Roman" w:cs="Times New Roman"/>
          <w:sz w:val="24"/>
          <w:szCs w:val="24"/>
        </w:rPr>
        <w:t xml:space="preserve">B: Fold Change in Milk Used in Figure 9 </w:t>
      </w:r>
      <w:r w:rsidRPr="00823904">
        <w:rPr>
          <w:rFonts w:ascii="Times New Roman" w:eastAsia="Times New Roman" w:hAnsi="Times New Roman" w:cs="Times New Roman"/>
          <w:bCs/>
          <w:color w:val="000000"/>
          <w:sz w:val="24"/>
          <w:szCs w:val="24"/>
        </w:rPr>
        <w:t>………………………….……………….. 168</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hAnsi="Times New Roman" w:cs="Times New Roman"/>
          <w:sz w:val="24"/>
          <w:szCs w:val="24"/>
        </w:rPr>
        <w:t>Table 43</w:t>
      </w:r>
      <w:r w:rsidR="00823904" w:rsidRPr="00823904">
        <w:rPr>
          <w:rFonts w:ascii="Times New Roman" w:hAnsi="Times New Roman" w:cs="Times New Roman"/>
          <w:sz w:val="24"/>
          <w:szCs w:val="24"/>
        </w:rPr>
        <w:t xml:space="preserve">A: Average </w:t>
      </w:r>
      <w:r w:rsidR="00823904" w:rsidRPr="00823904">
        <w:rPr>
          <w:rFonts w:ascii="Times New Roman" w:eastAsia="Times New Roman" w:hAnsi="Times New Roman" w:cs="Times New Roman"/>
          <w:bCs/>
          <w:color w:val="000000"/>
          <w:sz w:val="24"/>
          <w:szCs w:val="24"/>
        </w:rPr>
        <w:t>µM in Plasma Used in Figure 10 …………………….……...………….. 169</w:t>
      </w:r>
    </w:p>
    <w:p w:rsidR="00823904" w:rsidRPr="00823904" w:rsidRDefault="00BB0756" w:rsidP="0082390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Table 43</w:t>
      </w:r>
      <w:r w:rsidR="00823904" w:rsidRPr="00823904">
        <w:rPr>
          <w:rFonts w:ascii="Times New Roman" w:hAnsi="Times New Roman" w:cs="Times New Roman"/>
          <w:sz w:val="24"/>
          <w:szCs w:val="24"/>
        </w:rPr>
        <w:t xml:space="preserve">B: Fold Change in Plasma Used in Figure 10 </w:t>
      </w:r>
      <w:r w:rsidR="00823904" w:rsidRPr="00823904">
        <w:rPr>
          <w:rFonts w:ascii="Times New Roman" w:eastAsia="Times New Roman" w:hAnsi="Times New Roman" w:cs="Times New Roman"/>
          <w:bCs/>
          <w:color w:val="000000"/>
          <w:sz w:val="24"/>
          <w:szCs w:val="24"/>
        </w:rPr>
        <w:t>…………………….……...………….. 170</w:t>
      </w:r>
    </w:p>
    <w:p w:rsidR="00823904" w:rsidRPr="00823904" w:rsidRDefault="00BB0756" w:rsidP="00823904">
      <w:pPr>
        <w:spacing w:line="240" w:lineRule="auto"/>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Table 44</w:t>
      </w:r>
      <w:r w:rsidR="00823904" w:rsidRPr="00823904">
        <w:rPr>
          <w:rFonts w:ascii="Times New Roman" w:eastAsia="Times New Roman" w:hAnsi="Times New Roman" w:cs="Times New Roman"/>
          <w:bCs/>
          <w:color w:val="000000"/>
          <w:sz w:val="24"/>
          <w:szCs w:val="24"/>
        </w:rPr>
        <w:t>: GPC External Calibration Curve Used in Figure 11 ………………………………. 171</w:t>
      </w:r>
    </w:p>
    <w:p w:rsidR="00823904" w:rsidRPr="00823904" w:rsidRDefault="00823904" w:rsidP="00823904">
      <w:pPr>
        <w:spacing w:line="240" w:lineRule="auto"/>
        <w:jc w:val="both"/>
        <w:rPr>
          <w:rFonts w:ascii="Times New Roman" w:hAnsi="Times New Roman" w:cs="Times New Roman"/>
          <w:sz w:val="24"/>
          <w:szCs w:val="24"/>
        </w:rPr>
      </w:pPr>
    </w:p>
    <w:p w:rsidR="00823904" w:rsidRPr="00823904" w:rsidRDefault="00823904" w:rsidP="00823904">
      <w:pPr>
        <w:spacing w:line="240" w:lineRule="atLeast"/>
        <w:jc w:val="both"/>
        <w:rPr>
          <w:rFonts w:ascii="Times New Roman" w:eastAsia="Times New Roman" w:hAnsi="Times New Roman" w:cs="Times New Roman"/>
          <w:b/>
          <w:bCs/>
          <w:color w:val="000000"/>
          <w:sz w:val="16"/>
          <w:szCs w:val="16"/>
        </w:rPr>
      </w:pPr>
    </w:p>
    <w:p w:rsidR="00823904" w:rsidRPr="00823904" w:rsidRDefault="00823904" w:rsidP="00823904">
      <w:pPr>
        <w:spacing w:line="240" w:lineRule="atLeast"/>
        <w:jc w:val="both"/>
        <w:rPr>
          <w:rFonts w:ascii="Times New Roman" w:eastAsia="Times New Roman" w:hAnsi="Times New Roman" w:cs="Times New Roman"/>
          <w:b/>
          <w:bCs/>
          <w:color w:val="000000"/>
          <w:sz w:val="16"/>
          <w:szCs w:val="16"/>
        </w:rPr>
      </w:pPr>
    </w:p>
    <w:p w:rsidR="00823904" w:rsidRPr="00823904" w:rsidRDefault="00823904" w:rsidP="00823904">
      <w:pPr>
        <w:spacing w:line="240" w:lineRule="atLeast"/>
        <w:jc w:val="both"/>
        <w:rPr>
          <w:rFonts w:ascii="Times New Roman" w:eastAsia="Times New Roman" w:hAnsi="Times New Roman" w:cs="Times New Roman"/>
          <w:b/>
          <w:bCs/>
          <w:color w:val="000000"/>
          <w:sz w:val="16"/>
          <w:szCs w:val="16"/>
        </w:rPr>
      </w:pPr>
    </w:p>
    <w:p w:rsidR="00823904" w:rsidRPr="00823904" w:rsidRDefault="00823904" w:rsidP="00823904">
      <w:pPr>
        <w:spacing w:line="240" w:lineRule="atLeast"/>
        <w:jc w:val="both"/>
        <w:rPr>
          <w:rFonts w:ascii="Times New Roman" w:eastAsia="Times New Roman" w:hAnsi="Times New Roman" w:cs="Times New Roman"/>
          <w:b/>
          <w:bCs/>
          <w:color w:val="000000"/>
          <w:sz w:val="16"/>
          <w:szCs w:val="16"/>
        </w:rPr>
      </w:pPr>
    </w:p>
    <w:p w:rsidR="00823904" w:rsidRPr="00823904" w:rsidRDefault="00823904" w:rsidP="00823904">
      <w:pPr>
        <w:jc w:val="center"/>
        <w:rPr>
          <w:rFonts w:ascii="Times New Roman" w:hAnsi="Times New Roman" w:cs="Times New Roman"/>
          <w:b/>
          <w:sz w:val="28"/>
          <w:szCs w:val="28"/>
        </w:rPr>
      </w:pPr>
      <w:r w:rsidRPr="00823904">
        <w:rPr>
          <w:rFonts w:ascii="Times New Roman" w:hAnsi="Times New Roman" w:cs="Times New Roman"/>
          <w:b/>
          <w:sz w:val="28"/>
          <w:szCs w:val="28"/>
        </w:rPr>
        <w:lastRenderedPageBreak/>
        <w:t>List of Figures</w:t>
      </w:r>
    </w:p>
    <w:p w:rsidR="00823904" w:rsidRPr="00823904" w:rsidRDefault="00823904" w:rsidP="00823904">
      <w:pPr>
        <w:spacing w:line="240" w:lineRule="auto"/>
        <w:contextualSpacing/>
        <w:jc w:val="both"/>
        <w:rPr>
          <w:rFonts w:ascii="Times New Roman" w:hAnsi="Times New Roman" w:cs="Times New Roman"/>
          <w:sz w:val="24"/>
          <w:szCs w:val="24"/>
        </w:rPr>
      </w:pPr>
      <w:r w:rsidRPr="00823904">
        <w:rPr>
          <w:rFonts w:ascii="Times New Roman" w:hAnsi="Times New Roman" w:cs="Times New Roman"/>
          <w:sz w:val="24"/>
          <w:szCs w:val="24"/>
        </w:rPr>
        <w:t>Figure 1:</w:t>
      </w:r>
      <w:r w:rsidRPr="00823904">
        <w:rPr>
          <w:rFonts w:ascii="Times New Roman" w:hAnsi="Times New Roman" w:cs="Times New Roman"/>
          <w:b/>
          <w:sz w:val="24"/>
          <w:szCs w:val="24"/>
        </w:rPr>
        <w:t xml:space="preserve"> </w:t>
      </w:r>
      <w:r w:rsidRPr="00823904">
        <w:rPr>
          <w:rFonts w:ascii="Times New Roman" w:hAnsi="Times New Roman" w:cs="Times New Roman"/>
          <w:sz w:val="24"/>
          <w:szCs w:val="24"/>
        </w:rPr>
        <w:t xml:space="preserve">Phage 2047 genome. </w:t>
      </w:r>
      <w:r w:rsidRPr="00823904">
        <w:rPr>
          <w:rFonts w:ascii="Times New Roman" w:hAnsi="Times New Roman" w:cs="Times New Roman"/>
          <w:sz w:val="24"/>
          <w:szCs w:val="24"/>
          <w:lang w:val="el-GR"/>
        </w:rPr>
        <w:t>φ</w:t>
      </w:r>
      <w:r w:rsidRPr="00823904">
        <w:rPr>
          <w:rFonts w:ascii="Times New Roman" w:hAnsi="Times New Roman" w:cs="Times New Roman"/>
          <w:sz w:val="24"/>
          <w:szCs w:val="24"/>
        </w:rPr>
        <w:t>2047B is a N4-like lytic phage of the Podoviridae family ….. 40</w:t>
      </w:r>
    </w:p>
    <w:p w:rsidR="00823904" w:rsidRPr="00823904" w:rsidRDefault="00823904" w:rsidP="00823904">
      <w:pPr>
        <w:spacing w:line="240" w:lineRule="auto"/>
        <w:contextualSpacing/>
        <w:jc w:val="both"/>
        <w:rPr>
          <w:rFonts w:ascii="Times New Roman" w:hAnsi="Times New Roman"/>
          <w:sz w:val="24"/>
          <w:szCs w:val="24"/>
        </w:rPr>
      </w:pPr>
      <w:r w:rsidRPr="00823904">
        <w:rPr>
          <w:rFonts w:ascii="Times New Roman" w:hAnsi="Times New Roman" w:cs="Times New Roman"/>
          <w:sz w:val="24"/>
          <w:szCs w:val="24"/>
        </w:rPr>
        <w:t xml:space="preserve">Figure 2a: </w:t>
      </w:r>
      <w:r w:rsidRPr="00823904">
        <w:rPr>
          <w:rFonts w:ascii="Times New Roman" w:hAnsi="Times New Roman"/>
          <w:sz w:val="24"/>
          <w:szCs w:val="24"/>
        </w:rPr>
        <w:t xml:space="preserve">Heatmap of intracellular metabolites of phage amended and control </w:t>
      </w:r>
      <w:r w:rsidRPr="00823904">
        <w:rPr>
          <w:rFonts w:ascii="Times New Roman" w:hAnsi="Times New Roman"/>
          <w:i/>
          <w:sz w:val="24"/>
          <w:szCs w:val="24"/>
        </w:rPr>
        <w:t>Sulfitobacter</w:t>
      </w:r>
      <w:r w:rsidRPr="00823904">
        <w:rPr>
          <w:rFonts w:ascii="Times New Roman" w:hAnsi="Times New Roman"/>
          <w:sz w:val="24"/>
          <w:szCs w:val="24"/>
        </w:rPr>
        <w:t xml:space="preserve"> sp. 2047 populations ……………………………………………………………………………..… 42</w:t>
      </w:r>
    </w:p>
    <w:p w:rsidR="00823904" w:rsidRPr="00823904" w:rsidRDefault="00823904" w:rsidP="00823904">
      <w:pPr>
        <w:spacing w:line="240" w:lineRule="auto"/>
        <w:contextualSpacing/>
        <w:jc w:val="both"/>
        <w:rPr>
          <w:rFonts w:ascii="Times New Roman" w:hAnsi="Times New Roman"/>
          <w:sz w:val="24"/>
          <w:szCs w:val="24"/>
        </w:rPr>
      </w:pPr>
      <w:r w:rsidRPr="00823904">
        <w:rPr>
          <w:rFonts w:ascii="Times New Roman" w:hAnsi="Times New Roman"/>
          <w:sz w:val="24"/>
          <w:szCs w:val="24"/>
        </w:rPr>
        <w:t xml:space="preserve">Figure 2b: </w:t>
      </w:r>
      <w:r w:rsidRPr="00823904">
        <w:rPr>
          <w:rFonts w:ascii="Times New Roman" w:hAnsi="Times New Roman"/>
          <w:i/>
          <w:sz w:val="24"/>
          <w:szCs w:val="24"/>
        </w:rPr>
        <w:t xml:space="preserve">Sulfitobacter </w:t>
      </w:r>
      <w:r w:rsidRPr="00823904">
        <w:rPr>
          <w:rFonts w:ascii="Times New Roman" w:hAnsi="Times New Roman"/>
          <w:sz w:val="24"/>
          <w:szCs w:val="24"/>
        </w:rPr>
        <w:t>sp. 2047 cell density (at OD</w:t>
      </w:r>
      <w:r w:rsidRPr="00823904">
        <w:rPr>
          <w:rFonts w:ascii="Times New Roman" w:hAnsi="Times New Roman"/>
          <w:sz w:val="24"/>
          <w:szCs w:val="24"/>
          <w:vertAlign w:val="subscript"/>
        </w:rPr>
        <w:t>540</w:t>
      </w:r>
      <w:r w:rsidRPr="00823904">
        <w:rPr>
          <w:rFonts w:ascii="Times New Roman" w:hAnsi="Times New Roman"/>
          <w:sz w:val="24"/>
          <w:szCs w:val="24"/>
        </w:rPr>
        <w:t>) of control, phage amended, and phage concentration at each metabolite sampling time point …………………………………………. 42</w:t>
      </w:r>
    </w:p>
    <w:p w:rsidR="00823904" w:rsidRPr="00823904" w:rsidRDefault="00823904" w:rsidP="00823904">
      <w:pPr>
        <w:spacing w:line="240" w:lineRule="auto"/>
        <w:contextualSpacing/>
        <w:jc w:val="both"/>
        <w:rPr>
          <w:rFonts w:ascii="Times New Roman" w:hAnsi="Times New Roman"/>
          <w:sz w:val="24"/>
          <w:szCs w:val="24"/>
        </w:rPr>
      </w:pPr>
      <w:r w:rsidRPr="00823904">
        <w:rPr>
          <w:rFonts w:ascii="Times New Roman" w:hAnsi="Times New Roman"/>
          <w:sz w:val="24"/>
          <w:szCs w:val="24"/>
        </w:rPr>
        <w:t xml:space="preserve">Figure 2c: Absolute concentrations of glutamine and glutamate in control </w:t>
      </w:r>
      <w:r w:rsidRPr="00823904">
        <w:rPr>
          <w:rFonts w:ascii="Times New Roman" w:hAnsi="Times New Roman"/>
          <w:i/>
          <w:sz w:val="24"/>
          <w:szCs w:val="24"/>
        </w:rPr>
        <w:t>Sulfitobacter</w:t>
      </w:r>
      <w:r w:rsidRPr="00823904">
        <w:rPr>
          <w:rFonts w:ascii="Times New Roman" w:hAnsi="Times New Roman"/>
          <w:sz w:val="24"/>
          <w:szCs w:val="24"/>
        </w:rPr>
        <w:t xml:space="preserve"> sp. 2047 populations …………………………………………………………………..…………………. 42</w:t>
      </w:r>
    </w:p>
    <w:p w:rsidR="00823904" w:rsidRPr="00823904" w:rsidRDefault="00823904" w:rsidP="00823904">
      <w:pPr>
        <w:spacing w:line="240" w:lineRule="auto"/>
        <w:contextualSpacing/>
        <w:jc w:val="both"/>
        <w:rPr>
          <w:rFonts w:ascii="Times New Roman" w:hAnsi="Times New Roman"/>
          <w:sz w:val="24"/>
          <w:szCs w:val="24"/>
        </w:rPr>
      </w:pPr>
      <w:r w:rsidRPr="00823904">
        <w:rPr>
          <w:rFonts w:ascii="Times New Roman" w:hAnsi="Times New Roman"/>
          <w:sz w:val="24"/>
          <w:szCs w:val="24"/>
        </w:rPr>
        <w:t xml:space="preserve">Figure 2d: Absolute concentrations of glutamine and glutamate in phage amended </w:t>
      </w:r>
      <w:r w:rsidRPr="00823904">
        <w:rPr>
          <w:rFonts w:ascii="Times New Roman" w:hAnsi="Times New Roman"/>
          <w:i/>
          <w:sz w:val="24"/>
          <w:szCs w:val="24"/>
        </w:rPr>
        <w:t>Sulfitobacter</w:t>
      </w:r>
      <w:r w:rsidRPr="00823904">
        <w:rPr>
          <w:rFonts w:ascii="Times New Roman" w:hAnsi="Times New Roman"/>
          <w:sz w:val="24"/>
          <w:szCs w:val="24"/>
        </w:rPr>
        <w:t xml:space="preserve"> sp. 2047 populations …………………………………..……………………………………….. 42</w:t>
      </w:r>
    </w:p>
    <w:p w:rsidR="00823904" w:rsidRPr="00823904" w:rsidRDefault="00823904" w:rsidP="00823904">
      <w:pPr>
        <w:spacing w:line="240" w:lineRule="auto"/>
        <w:contextualSpacing/>
        <w:jc w:val="both"/>
        <w:rPr>
          <w:rFonts w:ascii="Times New Roman" w:hAnsi="Times New Roman"/>
          <w:sz w:val="24"/>
          <w:szCs w:val="24"/>
        </w:rPr>
      </w:pPr>
      <w:r w:rsidRPr="00823904">
        <w:rPr>
          <w:rFonts w:ascii="Times New Roman" w:hAnsi="Times New Roman" w:cs="Times New Roman"/>
          <w:sz w:val="24"/>
          <w:szCs w:val="24"/>
        </w:rPr>
        <w:t xml:space="preserve">Figure 2e: </w:t>
      </w:r>
      <w:r w:rsidRPr="00823904">
        <w:rPr>
          <w:rFonts w:ascii="Times New Roman" w:hAnsi="Times New Roman"/>
          <w:sz w:val="24"/>
          <w:szCs w:val="24"/>
        </w:rPr>
        <w:t>Glutamate to glutamine ratios for control and phage amended populations throughout the experimental time course …………………..………………………..……………..………. 42</w:t>
      </w:r>
    </w:p>
    <w:p w:rsidR="00823904" w:rsidRPr="00823904" w:rsidRDefault="00823904" w:rsidP="00823904">
      <w:pPr>
        <w:spacing w:line="240" w:lineRule="auto"/>
        <w:contextualSpacing/>
        <w:jc w:val="both"/>
        <w:rPr>
          <w:rFonts w:ascii="Times New Roman" w:hAnsi="Times New Roman"/>
          <w:sz w:val="24"/>
          <w:szCs w:val="24"/>
        </w:rPr>
      </w:pPr>
      <w:r w:rsidRPr="00823904">
        <w:rPr>
          <w:rFonts w:ascii="Times New Roman" w:hAnsi="Times New Roman"/>
          <w:sz w:val="24"/>
          <w:szCs w:val="24"/>
        </w:rPr>
        <w:t>Figure 2f: Variation in intracellular metabolite concentrations between phage amended and control populations …………………………………………………………………..…………. 42</w:t>
      </w:r>
    </w:p>
    <w:p w:rsidR="00823904" w:rsidRPr="00823904" w:rsidRDefault="00823904" w:rsidP="00823904">
      <w:pPr>
        <w:spacing w:line="240" w:lineRule="auto"/>
        <w:contextualSpacing/>
        <w:jc w:val="both"/>
        <w:rPr>
          <w:rFonts w:ascii="Times New Roman" w:hAnsi="Times New Roman"/>
          <w:sz w:val="24"/>
          <w:szCs w:val="24"/>
        </w:rPr>
      </w:pPr>
      <w:r w:rsidRPr="00823904">
        <w:rPr>
          <w:rFonts w:ascii="Times New Roman" w:hAnsi="Times New Roman"/>
          <w:sz w:val="24"/>
          <w:szCs w:val="24"/>
        </w:rPr>
        <w:t>Figure 2g: Biosynthesis of glutamate and glutamine is linked to TCA cycle intermediates …... 42</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Figure 3:  Metabolome dynamics during phage infection ……………………………….…….. 43</w:t>
      </w:r>
    </w:p>
    <w:p w:rsidR="00823904" w:rsidRPr="00823904" w:rsidRDefault="00823904" w:rsidP="00823904">
      <w:pPr>
        <w:spacing w:line="240" w:lineRule="auto"/>
        <w:contextualSpacing/>
        <w:jc w:val="both"/>
        <w:rPr>
          <w:rFonts w:ascii="Times New Roman" w:hAnsi="Times New Roman"/>
          <w:sz w:val="24"/>
          <w:szCs w:val="24"/>
        </w:rPr>
      </w:pPr>
      <w:r w:rsidRPr="00823904">
        <w:rPr>
          <w:rFonts w:ascii="Times New Roman" w:hAnsi="Times New Roman"/>
          <w:sz w:val="24"/>
          <w:szCs w:val="24"/>
        </w:rPr>
        <w:t xml:space="preserve">Figure 4: Incorporation of acetate derived </w:t>
      </w:r>
      <w:r w:rsidRPr="00823904">
        <w:rPr>
          <w:rFonts w:ascii="Times New Roman" w:hAnsi="Times New Roman"/>
          <w:sz w:val="24"/>
          <w:szCs w:val="24"/>
          <w:vertAlign w:val="superscript"/>
        </w:rPr>
        <w:t>13</w:t>
      </w:r>
      <w:r w:rsidRPr="00823904">
        <w:rPr>
          <w:rFonts w:ascii="Times New Roman" w:hAnsi="Times New Roman"/>
          <w:sz w:val="24"/>
          <w:szCs w:val="24"/>
        </w:rPr>
        <w:t>C into glutamine and glutamate in phage amended and control populations during two distinct phases of infection ……………………….……… 45</w:t>
      </w:r>
    </w:p>
    <w:p w:rsidR="00823904" w:rsidRPr="00823904" w:rsidRDefault="00823904" w:rsidP="00823904">
      <w:pPr>
        <w:spacing w:line="240" w:lineRule="auto"/>
        <w:contextualSpacing/>
        <w:jc w:val="both"/>
        <w:rPr>
          <w:rFonts w:ascii="Times New Roman" w:hAnsi="Times New Roman" w:cs="Times New Roman"/>
          <w:sz w:val="24"/>
          <w:szCs w:val="24"/>
        </w:rPr>
      </w:pPr>
      <w:r w:rsidRPr="00823904">
        <w:rPr>
          <w:rFonts w:ascii="Times New Roman" w:hAnsi="Times New Roman" w:cs="Times New Roman"/>
          <w:sz w:val="24"/>
          <w:szCs w:val="24"/>
        </w:rPr>
        <w:t>Figure 5: External standard calibration curve of glutamine …………………………………… 48</w:t>
      </w:r>
    </w:p>
    <w:p w:rsidR="00823904" w:rsidRPr="00823904" w:rsidRDefault="00823904" w:rsidP="00823904">
      <w:pPr>
        <w:spacing w:line="240" w:lineRule="auto"/>
        <w:contextualSpacing/>
        <w:jc w:val="both"/>
        <w:rPr>
          <w:rFonts w:ascii="Times New Roman" w:hAnsi="Times New Roman" w:cs="Times New Roman"/>
          <w:sz w:val="24"/>
          <w:szCs w:val="24"/>
        </w:rPr>
      </w:pPr>
      <w:r w:rsidRPr="00823904">
        <w:rPr>
          <w:rFonts w:ascii="Times New Roman" w:hAnsi="Times New Roman" w:cs="Times New Roman"/>
          <w:sz w:val="24"/>
          <w:szCs w:val="24"/>
        </w:rPr>
        <w:t>Figure 6: External standard calibration curve of glutamate ……………………….…………… 49</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Figure 7: Heatmap of milk samples from 12 cows ………………</w:t>
      </w:r>
      <w:r w:rsidR="004E252D">
        <w:rPr>
          <w:rFonts w:ascii="Times New Roman" w:eastAsia="Calibri" w:hAnsi="Times New Roman" w:cs="Times New Roman"/>
          <w:sz w:val="24"/>
          <w:szCs w:val="24"/>
        </w:rPr>
        <w:t>…………………………….. 70</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Figure 8: Heatmap of plasma samples fr</w:t>
      </w:r>
      <w:r w:rsidR="004E252D">
        <w:rPr>
          <w:rFonts w:ascii="Times New Roman" w:eastAsia="Calibri" w:hAnsi="Times New Roman" w:cs="Times New Roman"/>
          <w:sz w:val="24"/>
          <w:szCs w:val="24"/>
        </w:rPr>
        <w:t>om 12 cows ………………………………………….. 71</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Figure 9: Heatmap of duplicate extractions of</w:t>
      </w:r>
      <w:r w:rsidR="004E252D">
        <w:rPr>
          <w:rFonts w:ascii="Times New Roman" w:eastAsia="Calibri" w:hAnsi="Times New Roman" w:cs="Times New Roman"/>
          <w:sz w:val="24"/>
          <w:szCs w:val="24"/>
        </w:rPr>
        <w:t xml:space="preserve"> milk samples ………………………………..… 73</w:t>
      </w:r>
    </w:p>
    <w:p w:rsidR="00823904" w:rsidRPr="00823904" w:rsidRDefault="00823904" w:rsidP="00823904">
      <w:pPr>
        <w:spacing w:line="240" w:lineRule="auto"/>
        <w:contextualSpacing/>
        <w:jc w:val="both"/>
        <w:rPr>
          <w:rFonts w:ascii="Times New Roman" w:eastAsia="Calibri" w:hAnsi="Times New Roman" w:cs="Times New Roman"/>
          <w:sz w:val="24"/>
          <w:szCs w:val="24"/>
        </w:rPr>
      </w:pPr>
      <w:r w:rsidRPr="00823904">
        <w:rPr>
          <w:rFonts w:ascii="Times New Roman" w:eastAsia="Calibri" w:hAnsi="Times New Roman" w:cs="Times New Roman"/>
          <w:sz w:val="24"/>
          <w:szCs w:val="24"/>
        </w:rPr>
        <w:t>Figure 10: Heatmap of duplicate extractions o</w:t>
      </w:r>
      <w:r w:rsidR="004E252D">
        <w:rPr>
          <w:rFonts w:ascii="Times New Roman" w:eastAsia="Calibri" w:hAnsi="Times New Roman" w:cs="Times New Roman"/>
          <w:sz w:val="24"/>
          <w:szCs w:val="24"/>
        </w:rPr>
        <w:t>f plasma samples ……………………………… 74</w:t>
      </w:r>
    </w:p>
    <w:p w:rsidR="00823904" w:rsidRPr="00823904" w:rsidRDefault="00823904" w:rsidP="00823904">
      <w:pPr>
        <w:spacing w:line="240" w:lineRule="auto"/>
        <w:contextualSpacing/>
        <w:jc w:val="both"/>
        <w:rPr>
          <w:rFonts w:ascii="Times New Roman" w:hAnsi="Times New Roman"/>
          <w:sz w:val="24"/>
          <w:szCs w:val="24"/>
        </w:rPr>
      </w:pPr>
      <w:r w:rsidRPr="00823904">
        <w:rPr>
          <w:rFonts w:ascii="Times New Roman" w:eastAsia="Calibri" w:hAnsi="Times New Roman" w:cs="Times New Roman"/>
          <w:sz w:val="24"/>
          <w:szCs w:val="24"/>
        </w:rPr>
        <w:t xml:space="preserve">Figure 11: External standard calibration curve of GPC ………………………..………………. 77  </w:t>
      </w:r>
    </w:p>
    <w:p w:rsidR="00823904" w:rsidRPr="00823904" w:rsidRDefault="00823904" w:rsidP="00823904">
      <w:pPr>
        <w:spacing w:line="240" w:lineRule="auto"/>
        <w:rPr>
          <w:rFonts w:ascii="Times New Roman" w:hAnsi="Times New Roman"/>
          <w:sz w:val="24"/>
          <w:szCs w:val="24"/>
        </w:rPr>
      </w:pPr>
    </w:p>
    <w:p w:rsidR="00823904" w:rsidRPr="00823904" w:rsidRDefault="00823904" w:rsidP="00823904">
      <w:pPr>
        <w:spacing w:line="240" w:lineRule="auto"/>
        <w:rPr>
          <w:rFonts w:ascii="Times New Roman" w:hAnsi="Times New Roman" w:cs="Times New Roman"/>
          <w:sz w:val="24"/>
          <w:szCs w:val="24"/>
        </w:rPr>
      </w:pPr>
    </w:p>
    <w:p w:rsidR="00823904" w:rsidRPr="00823904" w:rsidRDefault="00823904" w:rsidP="00823904">
      <w:pPr>
        <w:spacing w:line="240" w:lineRule="atLeast"/>
        <w:jc w:val="both"/>
        <w:rPr>
          <w:rFonts w:ascii="Times New Roman" w:eastAsia="Times New Roman" w:hAnsi="Times New Roman" w:cs="Times New Roman"/>
          <w:b/>
          <w:bCs/>
          <w:color w:val="000000"/>
          <w:sz w:val="16"/>
          <w:szCs w:val="16"/>
        </w:rPr>
      </w:pPr>
    </w:p>
    <w:p w:rsidR="00823904" w:rsidRPr="00823904" w:rsidRDefault="00823904" w:rsidP="00823904">
      <w:pPr>
        <w:spacing w:line="240" w:lineRule="auto"/>
        <w:jc w:val="both"/>
        <w:rPr>
          <w:rFonts w:ascii="Times New Roman" w:hAnsi="Times New Roman" w:cs="Times New Roman"/>
          <w:sz w:val="24"/>
          <w:szCs w:val="24"/>
        </w:rPr>
      </w:pPr>
    </w:p>
    <w:p w:rsidR="00823904" w:rsidRPr="00823904" w:rsidRDefault="00823904" w:rsidP="00823904">
      <w:pPr>
        <w:spacing w:line="240" w:lineRule="auto"/>
        <w:jc w:val="both"/>
        <w:rPr>
          <w:rFonts w:ascii="Times New Roman" w:eastAsia="Times New Roman" w:hAnsi="Times New Roman" w:cs="Times New Roman"/>
          <w:bCs/>
          <w:color w:val="000000"/>
          <w:sz w:val="24"/>
          <w:szCs w:val="24"/>
        </w:rPr>
      </w:pPr>
    </w:p>
    <w:p w:rsidR="00823904" w:rsidRPr="00823904" w:rsidRDefault="00823904" w:rsidP="00823904">
      <w:pPr>
        <w:spacing w:line="240" w:lineRule="auto"/>
        <w:jc w:val="both"/>
        <w:rPr>
          <w:rFonts w:ascii="Times New Roman" w:eastAsia="Times New Roman" w:hAnsi="Times New Roman" w:cs="Times New Roman"/>
          <w:bCs/>
          <w:color w:val="000000"/>
          <w:sz w:val="24"/>
          <w:szCs w:val="24"/>
        </w:rPr>
      </w:pPr>
    </w:p>
    <w:p w:rsidR="00823904" w:rsidRPr="00823904" w:rsidRDefault="00823904" w:rsidP="00823904">
      <w:pPr>
        <w:spacing w:line="240" w:lineRule="auto"/>
        <w:jc w:val="both"/>
        <w:rPr>
          <w:rFonts w:ascii="Times New Roman"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823904" w:rsidRPr="00823904" w:rsidRDefault="00823904" w:rsidP="00823904">
      <w:pPr>
        <w:spacing w:line="240" w:lineRule="auto"/>
        <w:ind w:left="288"/>
        <w:contextualSpacing/>
        <w:jc w:val="both"/>
        <w:rPr>
          <w:rFonts w:ascii="Times New Roman" w:eastAsia="Calibri" w:hAnsi="Times New Roman" w:cs="Times New Roman"/>
          <w:sz w:val="24"/>
          <w:szCs w:val="24"/>
        </w:rPr>
      </w:pPr>
    </w:p>
    <w:p w:rsidR="001E7932" w:rsidRDefault="001E7932" w:rsidP="00E56D9A">
      <w:pPr>
        <w:jc w:val="center"/>
        <w:rPr>
          <w:rFonts w:ascii="Times New Roman" w:hAnsi="Times New Roman" w:cs="Times New Roman"/>
          <w:b/>
          <w:sz w:val="28"/>
          <w:szCs w:val="28"/>
        </w:rPr>
        <w:sectPr w:rsidR="001E7932" w:rsidSect="001E7932">
          <w:footerReference w:type="default" r:id="rId7"/>
          <w:pgSz w:w="12240" w:h="15840"/>
          <w:pgMar w:top="1440" w:right="1440" w:bottom="1440" w:left="1440" w:header="720" w:footer="720" w:gutter="0"/>
          <w:pgNumType w:fmt="lowerRoman" w:start="2"/>
          <w:cols w:space="720"/>
        </w:sectPr>
      </w:pPr>
    </w:p>
    <w:p w:rsidR="00E56D9A" w:rsidRPr="000103F2" w:rsidRDefault="00E56D9A" w:rsidP="00E56D9A">
      <w:pPr>
        <w:jc w:val="center"/>
        <w:rPr>
          <w:rFonts w:ascii="Times New Roman" w:hAnsi="Times New Roman" w:cs="Times New Roman"/>
          <w:b/>
          <w:sz w:val="28"/>
          <w:szCs w:val="28"/>
        </w:rPr>
      </w:pPr>
      <w:r w:rsidRPr="000103F2">
        <w:rPr>
          <w:rFonts w:ascii="Times New Roman" w:hAnsi="Times New Roman" w:cs="Times New Roman"/>
          <w:b/>
          <w:sz w:val="28"/>
          <w:szCs w:val="28"/>
        </w:rPr>
        <w:lastRenderedPageBreak/>
        <w:t>Introduction</w:t>
      </w:r>
    </w:p>
    <w:p w:rsidR="00E56D9A" w:rsidRPr="00731C74" w:rsidRDefault="00E56D9A" w:rsidP="00E56D9A">
      <w:pPr>
        <w:spacing w:line="360" w:lineRule="auto"/>
        <w:jc w:val="both"/>
        <w:rPr>
          <w:rFonts w:ascii="Times New Roman" w:hAnsi="Times New Roman" w:cs="Times New Roman"/>
          <w:sz w:val="24"/>
          <w:szCs w:val="24"/>
        </w:rPr>
      </w:pPr>
      <w:r w:rsidRPr="00731C74">
        <w:rPr>
          <w:rFonts w:ascii="Times New Roman" w:hAnsi="Times New Roman" w:cs="Times New Roman"/>
          <w:sz w:val="24"/>
          <w:szCs w:val="24"/>
        </w:rPr>
        <w:t>The TSQ Quantum Discovery MAX is a triple quadrupole capable of performing quantitative H-SRM (Highly-Selected Reaction Monitoring) scans.  The additional selectivity is owed to the hyperquads</w:t>
      </w:r>
      <w:r w:rsidR="00772273">
        <w:rPr>
          <w:rFonts w:ascii="Times New Roman" w:hAnsi="Times New Roman" w:cs="Times New Roman"/>
          <w:sz w:val="24"/>
          <w:szCs w:val="24"/>
        </w:rPr>
        <w:t>,</w:t>
      </w:r>
      <w:r w:rsidRPr="00731C74">
        <w:rPr>
          <w:rFonts w:ascii="Times New Roman" w:hAnsi="Times New Roman" w:cs="Times New Roman"/>
          <w:sz w:val="24"/>
          <w:szCs w:val="24"/>
        </w:rPr>
        <w:t xml:space="preserve"> which have a hyperbolic profile compared to traditional quadrupoles that use round rods.  The increase in selectivity decreases the chance of a false positive.  The SRM scan results in two confirmation points of parent ion and product ion.  When used in conjunction with liquid chromatography an additional confirmation point of retention time is obtained.  These three confirmation points further decreases the chance of a false positive.  Another compound would need to have the same parent ion, product ion, and retention time to result in a false positive.</w:t>
      </w:r>
    </w:p>
    <w:p w:rsidR="00E56D9A" w:rsidRDefault="00772273" w:rsidP="00E56D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1 reports </w:t>
      </w:r>
      <w:r w:rsidR="00E56D9A" w:rsidRPr="00731C74">
        <w:rPr>
          <w:rFonts w:ascii="Times New Roman" w:hAnsi="Times New Roman" w:cs="Times New Roman"/>
          <w:sz w:val="24"/>
          <w:szCs w:val="24"/>
        </w:rPr>
        <w:t xml:space="preserve">the metabolomics of an isolated </w:t>
      </w:r>
      <w:r w:rsidR="00E56D9A" w:rsidRPr="00731C74">
        <w:rPr>
          <w:rFonts w:ascii="Times New Roman" w:hAnsi="Times New Roman" w:cs="Times New Roman"/>
          <w:i/>
          <w:sz w:val="24"/>
          <w:szCs w:val="24"/>
        </w:rPr>
        <w:t xml:space="preserve">Roseobacter, </w:t>
      </w:r>
      <w:r w:rsidR="00E56D9A" w:rsidRPr="00731C74">
        <w:rPr>
          <w:rFonts w:ascii="Times New Roman" w:eastAsia="Calibri" w:hAnsi="Times New Roman" w:cs="Times New Roman"/>
          <w:i/>
          <w:sz w:val="24"/>
          <w:szCs w:val="24"/>
        </w:rPr>
        <w:t>Sulfitobacter</w:t>
      </w:r>
      <w:r w:rsidR="00E56D9A" w:rsidRPr="00731C74">
        <w:rPr>
          <w:rFonts w:ascii="Times New Roman" w:eastAsia="Calibri" w:hAnsi="Times New Roman" w:cs="Times New Roman"/>
          <w:sz w:val="24"/>
          <w:szCs w:val="24"/>
        </w:rPr>
        <w:t xml:space="preserve"> sp. 2047,</w:t>
      </w:r>
      <w:r w:rsidR="00E56D9A" w:rsidRPr="00731C74">
        <w:rPr>
          <w:rFonts w:ascii="Times New Roman" w:hAnsi="Times New Roman" w:cs="Times New Roman"/>
          <w:i/>
          <w:sz w:val="24"/>
          <w:szCs w:val="24"/>
        </w:rPr>
        <w:t xml:space="preserve"> </w:t>
      </w:r>
      <w:r w:rsidR="00E56D9A" w:rsidRPr="00731C74">
        <w:rPr>
          <w:rFonts w:ascii="Times New Roman" w:hAnsi="Times New Roman" w:cs="Times New Roman"/>
          <w:sz w:val="24"/>
          <w:szCs w:val="24"/>
        </w:rPr>
        <w:t xml:space="preserve">in response to a Roseophage viral infection.  Metabolomics is the </w:t>
      </w:r>
      <w:r>
        <w:rPr>
          <w:rFonts w:ascii="Times New Roman" w:hAnsi="Times New Roman" w:cs="Times New Roman"/>
          <w:sz w:val="24"/>
          <w:szCs w:val="24"/>
        </w:rPr>
        <w:t xml:space="preserve">simultaneous </w:t>
      </w:r>
      <w:r w:rsidR="00E56D9A" w:rsidRPr="00731C74">
        <w:rPr>
          <w:rFonts w:ascii="Times New Roman" w:hAnsi="Times New Roman" w:cs="Times New Roman"/>
          <w:sz w:val="24"/>
          <w:szCs w:val="24"/>
        </w:rPr>
        <w:t>study of</w:t>
      </w:r>
      <w:r>
        <w:rPr>
          <w:rFonts w:ascii="Times New Roman" w:hAnsi="Times New Roman" w:cs="Times New Roman"/>
          <w:sz w:val="24"/>
          <w:szCs w:val="24"/>
        </w:rPr>
        <w:t xml:space="preserve"> a large number of</w:t>
      </w:r>
      <w:r w:rsidR="00E56D9A" w:rsidRPr="00731C74">
        <w:rPr>
          <w:rFonts w:ascii="Times New Roman" w:hAnsi="Times New Roman" w:cs="Times New Roman"/>
          <w:sz w:val="24"/>
          <w:szCs w:val="24"/>
        </w:rPr>
        <w:t xml:space="preserve"> individual metabolites to provide a wholistic understanding of metabolic pathways.  To achieve this goal</w:t>
      </w:r>
      <w:r>
        <w:rPr>
          <w:rFonts w:ascii="Times New Roman" w:hAnsi="Times New Roman" w:cs="Times New Roman"/>
          <w:sz w:val="24"/>
          <w:szCs w:val="24"/>
        </w:rPr>
        <w:t>,</w:t>
      </w:r>
      <w:r w:rsidR="00E56D9A" w:rsidRPr="00731C74">
        <w:rPr>
          <w:rFonts w:ascii="Times New Roman" w:hAnsi="Times New Roman" w:cs="Times New Roman"/>
          <w:sz w:val="24"/>
          <w:szCs w:val="24"/>
        </w:rPr>
        <w:t xml:space="preserve"> discrete time points are chosen strategically to monitor the change in the metabolic pool</w:t>
      </w:r>
      <w:r w:rsidR="00E56D9A">
        <w:rPr>
          <w:rFonts w:ascii="Times New Roman" w:hAnsi="Times New Roman" w:cs="Times New Roman"/>
          <w:sz w:val="24"/>
          <w:szCs w:val="24"/>
        </w:rPr>
        <w:t>.  Extraction solvent quenches the metabolism and provides a snapshot of the metabolic pools at each time point.  However, the metabolic pool concentrations alone do not provide the complete story of how the virus changes the metabolism of the host.  A difference in pool concentration can be the result of faster assembly of the metabolite or slower disassembly.  A flux analysis is needed to complement the pool concentrations.  The appearance of labeled metabolite in the pool determines the rate of assembly</w:t>
      </w:r>
      <w:r>
        <w:rPr>
          <w:rFonts w:ascii="Times New Roman" w:hAnsi="Times New Roman" w:cs="Times New Roman"/>
          <w:sz w:val="24"/>
          <w:szCs w:val="24"/>
        </w:rPr>
        <w:t>,</w:t>
      </w:r>
      <w:r w:rsidR="00E56D9A">
        <w:rPr>
          <w:rFonts w:ascii="Times New Roman" w:hAnsi="Times New Roman" w:cs="Times New Roman"/>
          <w:sz w:val="24"/>
          <w:szCs w:val="24"/>
        </w:rPr>
        <w:t xml:space="preserve"> and the disappearance of unlabeled metabolite determines the rate of disassembly.</w:t>
      </w:r>
    </w:p>
    <w:p w:rsidR="00E56D9A" w:rsidRDefault="00772273" w:rsidP="00E56D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2 reports </w:t>
      </w:r>
      <w:r w:rsidR="00E56D9A">
        <w:rPr>
          <w:rFonts w:ascii="Times New Roman" w:hAnsi="Times New Roman" w:cs="Times New Roman"/>
          <w:sz w:val="24"/>
          <w:szCs w:val="24"/>
        </w:rPr>
        <w:t xml:space="preserve">the lipidomics of twelve Holstein dairy cows after calving.  Lipidomics is similar to metabolomics except the subject of study is lipids.  The time points were chosen to be in week intervals extending to late lactation.  Plasma and milk samples were collected to correlate the differences between the two.  The idea is that the lipids in the milk are taken from the bloodstream.  An increase in concentration of a lipid in the milk can be correlated to a decrease in concentration of the lipid in plasma.  Isolating the week of lactation when a lipid is low in the plasma can provide insight on when supplementation of this lipid should be provided to the cow. </w:t>
      </w:r>
    </w:p>
    <w:p w:rsidR="00781A36" w:rsidRDefault="00781A36" w:rsidP="00E56D9A">
      <w:pPr>
        <w:pStyle w:val="NoSpacing"/>
        <w:rPr>
          <w:rFonts w:ascii="Times New Roman" w:eastAsiaTheme="minorHAnsi" w:hAnsi="Times New Roman"/>
          <w:sz w:val="24"/>
          <w:szCs w:val="24"/>
        </w:rPr>
      </w:pPr>
    </w:p>
    <w:p w:rsidR="00781A36" w:rsidRDefault="00781A36" w:rsidP="005E3076">
      <w:pPr>
        <w:pStyle w:val="NoSpacing"/>
        <w:jc w:val="center"/>
        <w:rPr>
          <w:rFonts w:ascii="Times New Roman" w:hAnsi="Times New Roman"/>
          <w:b/>
          <w:sz w:val="28"/>
          <w:szCs w:val="28"/>
        </w:rPr>
      </w:pPr>
    </w:p>
    <w:p w:rsidR="005E3076" w:rsidRPr="0083245E" w:rsidRDefault="005E3076" w:rsidP="005E3076">
      <w:pPr>
        <w:pStyle w:val="NoSpacing"/>
        <w:jc w:val="center"/>
        <w:rPr>
          <w:rFonts w:ascii="Times New Roman" w:hAnsi="Times New Roman"/>
          <w:b/>
          <w:sz w:val="28"/>
          <w:szCs w:val="28"/>
        </w:rPr>
      </w:pPr>
      <w:r w:rsidRPr="0083245E">
        <w:rPr>
          <w:rFonts w:ascii="Times New Roman" w:hAnsi="Times New Roman"/>
          <w:b/>
          <w:sz w:val="28"/>
          <w:szCs w:val="28"/>
        </w:rPr>
        <w:lastRenderedPageBreak/>
        <w:t>Chapter 1</w:t>
      </w:r>
    </w:p>
    <w:p w:rsidR="005E3076" w:rsidRPr="0083245E" w:rsidRDefault="005E3076" w:rsidP="005E3076">
      <w:pPr>
        <w:pStyle w:val="NoSpacing"/>
        <w:jc w:val="center"/>
        <w:rPr>
          <w:rFonts w:ascii="Times New Roman" w:hAnsi="Times New Roman"/>
          <w:b/>
          <w:sz w:val="28"/>
          <w:szCs w:val="28"/>
        </w:rPr>
      </w:pPr>
    </w:p>
    <w:p w:rsidR="005E3076" w:rsidRPr="0083245E" w:rsidRDefault="005E3076" w:rsidP="005E3076">
      <w:pPr>
        <w:pStyle w:val="NoSpacing"/>
        <w:jc w:val="center"/>
        <w:rPr>
          <w:rFonts w:ascii="Times New Roman" w:hAnsi="Times New Roman"/>
          <w:b/>
          <w:sz w:val="28"/>
          <w:szCs w:val="28"/>
        </w:rPr>
      </w:pPr>
      <w:r w:rsidRPr="0083245E">
        <w:rPr>
          <w:rFonts w:ascii="Times New Roman" w:hAnsi="Times New Roman"/>
          <w:b/>
          <w:sz w:val="28"/>
          <w:szCs w:val="28"/>
        </w:rPr>
        <w:t>Metabolic Response of a Roseobacter to Phage Infection: Insights into the Influence of Viral Lysis on Ocean Biogeochemistry</w:t>
      </w: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Default="005E3076" w:rsidP="005E3076">
      <w:pPr>
        <w:spacing w:after="0" w:line="240" w:lineRule="auto"/>
        <w:jc w:val="both"/>
        <w:rPr>
          <w:rFonts w:ascii="Times New Roman" w:eastAsia="Calibri" w:hAnsi="Times New Roman" w:cs="Times New Roman"/>
          <w:sz w:val="24"/>
          <w:szCs w:val="24"/>
        </w:rPr>
      </w:pPr>
    </w:p>
    <w:p w:rsidR="005E3076" w:rsidRPr="0083245E" w:rsidRDefault="005E3076" w:rsidP="005E3076">
      <w:pPr>
        <w:spacing w:after="0" w:line="240" w:lineRule="auto"/>
        <w:jc w:val="both"/>
        <w:rPr>
          <w:rFonts w:ascii="Times New Roman" w:eastAsia="Calibri" w:hAnsi="Times New Roman" w:cs="Times New Roman"/>
          <w:sz w:val="24"/>
          <w:szCs w:val="24"/>
        </w:rPr>
      </w:pPr>
      <w:r w:rsidRPr="0083245E">
        <w:rPr>
          <w:rFonts w:ascii="Times New Roman" w:eastAsia="Calibri" w:hAnsi="Times New Roman" w:cs="Times New Roman"/>
          <w:sz w:val="24"/>
          <w:szCs w:val="24"/>
        </w:rPr>
        <w:lastRenderedPageBreak/>
        <w:t>Material for Abstract</w:t>
      </w:r>
      <w:r w:rsidR="00E5538D">
        <w:rPr>
          <w:rFonts w:ascii="Times New Roman" w:eastAsia="Calibri" w:hAnsi="Times New Roman" w:cs="Times New Roman"/>
          <w:sz w:val="24"/>
          <w:szCs w:val="24"/>
        </w:rPr>
        <w:t>,</w:t>
      </w:r>
      <w:r w:rsidR="00E5538D">
        <w:rPr>
          <w:rFonts w:ascii="Times New Roman" w:eastAsia="Calibri" w:hAnsi="Times New Roman" w:cs="Times New Roman"/>
        </w:rPr>
        <w:t xml:space="preserve"> </w:t>
      </w:r>
      <w:r w:rsidR="00E5538D" w:rsidRPr="0083245E">
        <w:rPr>
          <w:rFonts w:ascii="Times New Roman" w:eastAsia="Calibri" w:hAnsi="Times New Roman" w:cs="Times New Roman"/>
        </w:rPr>
        <w:t>Introduction</w:t>
      </w:r>
      <w:r w:rsidR="00E5538D">
        <w:rPr>
          <w:rFonts w:ascii="Times New Roman" w:eastAsia="Calibri" w:hAnsi="Times New Roman" w:cs="Times New Roman"/>
          <w:sz w:val="24"/>
          <w:szCs w:val="24"/>
        </w:rPr>
        <w:t xml:space="preserve">, </w:t>
      </w:r>
      <w:r w:rsidR="00E5538D" w:rsidRPr="0083245E">
        <w:rPr>
          <w:rFonts w:ascii="Times New Roman" w:eastAsia="Calibri" w:hAnsi="Times New Roman" w:cs="Times New Roman"/>
          <w:sz w:val="24"/>
          <w:szCs w:val="24"/>
        </w:rPr>
        <w:t xml:space="preserve">Roseobacter Biology, Roseophage, and </w:t>
      </w:r>
      <w:r w:rsidR="00E5538D" w:rsidRPr="0083245E">
        <w:rPr>
          <w:rFonts w:ascii="Times New Roman" w:hAnsi="Times New Roman" w:cs="Times New Roman"/>
          <w:sz w:val="24"/>
          <w:szCs w:val="24"/>
        </w:rPr>
        <w:t>Molecular Tools and Marine Virus Communities</w:t>
      </w:r>
      <w:r w:rsidR="00E5538D" w:rsidRPr="0083245E">
        <w:rPr>
          <w:rFonts w:ascii="Times New Roman" w:eastAsia="Calibri" w:hAnsi="Times New Roman" w:cs="Times New Roman"/>
        </w:rPr>
        <w:t xml:space="preserve"> taken from:</w:t>
      </w:r>
    </w:p>
    <w:p w:rsidR="005E3076" w:rsidRPr="0083245E" w:rsidRDefault="005E3076" w:rsidP="005E3076">
      <w:pPr>
        <w:spacing w:after="0" w:line="240" w:lineRule="auto"/>
        <w:jc w:val="both"/>
        <w:rPr>
          <w:rFonts w:ascii="Times New Roman" w:eastAsia="Calibri" w:hAnsi="Times New Roman" w:cs="Times New Roman"/>
          <w:bCs/>
          <w:sz w:val="24"/>
          <w:szCs w:val="24"/>
        </w:rPr>
      </w:pPr>
    </w:p>
    <w:p w:rsidR="005E3076" w:rsidRPr="0083245E" w:rsidRDefault="005E3076" w:rsidP="005E3076">
      <w:pPr>
        <w:spacing w:after="0" w:line="240" w:lineRule="auto"/>
        <w:jc w:val="both"/>
        <w:rPr>
          <w:rFonts w:ascii="Times New Roman" w:eastAsia="Calibri" w:hAnsi="Times New Roman" w:cs="Times New Roman"/>
          <w:b/>
          <w:sz w:val="24"/>
          <w:szCs w:val="24"/>
        </w:rPr>
      </w:pPr>
      <w:r w:rsidRPr="0083245E">
        <w:rPr>
          <w:rFonts w:ascii="Times New Roman" w:eastAsia="Calibri" w:hAnsi="Times New Roman" w:cs="Times New Roman"/>
          <w:bCs/>
          <w:sz w:val="24"/>
          <w:szCs w:val="24"/>
        </w:rPr>
        <w:t>Ankrah, N. Y. D., May, A. L., Middleton J. L., Jones D. R., Hadden, M., Gooding, J. R., LeCleir, G. R.</w:t>
      </w:r>
      <w:r w:rsidRPr="0083245E">
        <w:rPr>
          <w:rFonts w:ascii="Times New Roman" w:eastAsia="Calibri" w:hAnsi="Times New Roman" w:cs="Times New Roman"/>
          <w:bCs/>
          <w:sz w:val="24"/>
          <w:szCs w:val="24"/>
          <w:vertAlign w:val="superscript"/>
        </w:rPr>
        <w:t xml:space="preserve"> </w:t>
      </w:r>
      <w:r w:rsidRPr="0083245E">
        <w:rPr>
          <w:rFonts w:ascii="Times New Roman" w:eastAsia="Calibri" w:hAnsi="Times New Roman" w:cs="Times New Roman"/>
          <w:bCs/>
          <w:sz w:val="24"/>
          <w:szCs w:val="24"/>
        </w:rPr>
        <w:t xml:space="preserve">, Wilhelm S. W., Campagna, S. R. and Buchan, A. </w:t>
      </w:r>
      <w:r w:rsidRPr="0083245E">
        <w:rPr>
          <w:rFonts w:ascii="Times New Roman" w:eastAsia="Calibri" w:hAnsi="Times New Roman" w:cs="Times New Roman"/>
          <w:sz w:val="24"/>
          <w:szCs w:val="24"/>
        </w:rPr>
        <w:t>Metabolic response of a Roseobacter to phage infection: insights into the influence of viral lysis on ocean biogeochemistry,</w:t>
      </w:r>
      <w:r w:rsidRPr="0083245E">
        <w:rPr>
          <w:rFonts w:ascii="Times New Roman" w:eastAsia="Calibri" w:hAnsi="Times New Roman" w:cs="Times New Roman"/>
          <w:b/>
          <w:sz w:val="24"/>
          <w:szCs w:val="24"/>
        </w:rPr>
        <w:t xml:space="preserve"> </w:t>
      </w:r>
      <w:r w:rsidR="00220CE7">
        <w:rPr>
          <w:rFonts w:ascii="Times New Roman" w:hAnsi="Times New Roman" w:cs="Times New Roman"/>
          <w:i/>
          <w:sz w:val="24"/>
          <w:szCs w:val="24"/>
        </w:rPr>
        <w:t>submitted.</w:t>
      </w:r>
    </w:p>
    <w:p w:rsidR="005E3076" w:rsidRDefault="005E3076" w:rsidP="005E3076">
      <w:pPr>
        <w:pStyle w:val="NoSpacing"/>
        <w:rPr>
          <w:rFonts w:ascii="Times New Roman" w:hAnsi="Times New Roman"/>
          <w:b/>
          <w:sz w:val="24"/>
          <w:szCs w:val="24"/>
        </w:rPr>
      </w:pPr>
    </w:p>
    <w:p w:rsidR="00E5538D" w:rsidRPr="0083245E" w:rsidRDefault="00E5538D" w:rsidP="005E3076">
      <w:pPr>
        <w:pStyle w:val="NoSpacing"/>
        <w:rPr>
          <w:rFonts w:ascii="Times New Roman" w:hAnsi="Times New Roman"/>
          <w:b/>
          <w:sz w:val="24"/>
          <w:szCs w:val="24"/>
        </w:rPr>
      </w:pPr>
    </w:p>
    <w:p w:rsidR="005E3076" w:rsidRPr="0083245E" w:rsidRDefault="005E3076" w:rsidP="005E3076">
      <w:pPr>
        <w:pStyle w:val="NoSpacing"/>
        <w:jc w:val="center"/>
        <w:rPr>
          <w:rFonts w:ascii="Times New Roman" w:hAnsi="Times New Roman"/>
          <w:b/>
          <w:sz w:val="28"/>
          <w:szCs w:val="28"/>
        </w:rPr>
      </w:pPr>
      <w:r w:rsidRPr="0083245E">
        <w:rPr>
          <w:rFonts w:ascii="Times New Roman" w:hAnsi="Times New Roman"/>
          <w:b/>
          <w:sz w:val="28"/>
          <w:szCs w:val="28"/>
        </w:rPr>
        <w:t>Abstract</w:t>
      </w:r>
    </w:p>
    <w:p w:rsidR="005E3076" w:rsidRPr="0083245E" w:rsidRDefault="005E3076" w:rsidP="005E3076">
      <w:pPr>
        <w:pStyle w:val="NoSpacing"/>
        <w:jc w:val="center"/>
        <w:rPr>
          <w:rFonts w:ascii="Times New Roman" w:hAnsi="Times New Roman"/>
          <w:b/>
          <w:sz w:val="24"/>
          <w:szCs w:val="24"/>
        </w:rPr>
      </w:pPr>
    </w:p>
    <w:p w:rsidR="005E3076" w:rsidRPr="0083245E" w:rsidRDefault="005E3076" w:rsidP="005E3076">
      <w:pPr>
        <w:pStyle w:val="NoSpacing"/>
        <w:spacing w:line="360" w:lineRule="auto"/>
        <w:jc w:val="both"/>
        <w:rPr>
          <w:rFonts w:ascii="Times New Roman" w:hAnsi="Times New Roman"/>
          <w:sz w:val="24"/>
          <w:szCs w:val="24"/>
        </w:rPr>
      </w:pPr>
      <w:r w:rsidRPr="0083245E">
        <w:rPr>
          <w:rFonts w:ascii="Times New Roman" w:hAnsi="Times New Roman"/>
          <w:sz w:val="24"/>
          <w:szCs w:val="24"/>
        </w:rPr>
        <w:t>Viruses contribute significantly to the mortality of marine microbes and consequently alter species composition and influence biogeochemistry. While it is well established that host cells provide metabolic resources for virus replication, the extent to which</w:t>
      </w:r>
      <w:r w:rsidRPr="0083245E">
        <w:rPr>
          <w:rFonts w:ascii="Times New Roman" w:hAnsi="Times New Roman"/>
          <w:bCs/>
          <w:sz w:val="24"/>
          <w:szCs w:val="24"/>
        </w:rPr>
        <w:t xml:space="preserve"> the infection process reshapes host metabolism at a global level and the subsequent effect of this alteration on the quantity and quality of material released into the environment following viral lysis is less understood. To address this fun</w:t>
      </w:r>
      <w:r w:rsidR="008F1122">
        <w:rPr>
          <w:rFonts w:ascii="Times New Roman" w:hAnsi="Times New Roman"/>
          <w:bCs/>
          <w:sz w:val="24"/>
          <w:szCs w:val="24"/>
        </w:rPr>
        <w:t>damental gap in knowledge, a LC/</w:t>
      </w:r>
      <w:r w:rsidRPr="0083245E">
        <w:rPr>
          <w:rFonts w:ascii="Times New Roman" w:hAnsi="Times New Roman"/>
          <w:bCs/>
          <w:sz w:val="24"/>
          <w:szCs w:val="24"/>
        </w:rPr>
        <w:t xml:space="preserve">MS/MS metabolomics approach was used to quantify global intracellular metabolite changes in cultures and extracellular lysate profiles of phage infected </w:t>
      </w:r>
      <w:r w:rsidRPr="0083245E">
        <w:rPr>
          <w:rFonts w:ascii="Times New Roman" w:hAnsi="Times New Roman"/>
          <w:bCs/>
          <w:i/>
          <w:sz w:val="24"/>
          <w:szCs w:val="24"/>
        </w:rPr>
        <w:t>Roseobacter</w:t>
      </w:r>
      <w:r w:rsidRPr="0083245E">
        <w:rPr>
          <w:rFonts w:ascii="Times New Roman" w:hAnsi="Times New Roman"/>
          <w:bCs/>
          <w:sz w:val="24"/>
          <w:szCs w:val="24"/>
        </w:rPr>
        <w:t xml:space="preserve">. In contrast to a simple model in which all extracellular compounds were increased in concentration due to lysis, &lt; 30% of the measured compounds displayed increased concentrations. The measurable extracellular metabolic profiles were significantly altered,  including enrichments in amino acids involved in stress responses and acyl-CoAs. </w:t>
      </w:r>
      <w:r w:rsidRPr="0083245E">
        <w:rPr>
          <w:rFonts w:ascii="Times New Roman" w:hAnsi="Times New Roman"/>
          <w:sz w:val="24"/>
          <w:szCs w:val="24"/>
        </w:rPr>
        <w:t xml:space="preserve">We hypothesize that phage infection leads to a cellular stoichiometric imbalance of C:N due to the redirection of host metabolism towards the production of more nitrogen rich metabolites, needed to support new virion production. </w:t>
      </w:r>
      <w:r w:rsidRPr="0083245E">
        <w:rPr>
          <w:rFonts w:ascii="Times New Roman" w:hAnsi="Times New Roman"/>
          <w:bCs/>
          <w:sz w:val="24"/>
          <w:szCs w:val="24"/>
        </w:rPr>
        <w:t xml:space="preserve">Intracellular concentrations for 83 core metabolites were also measured over an infection cycle and by the end of the experiment, the majority (80%) were significantly elevated in infected populations. Experiments that monitor metabolite turnover using </w:t>
      </w:r>
      <w:r w:rsidRPr="0083245E">
        <w:rPr>
          <w:rFonts w:ascii="Times New Roman" w:hAnsi="Times New Roman"/>
          <w:bCs/>
          <w:sz w:val="24"/>
          <w:szCs w:val="24"/>
          <w:vertAlign w:val="superscript"/>
        </w:rPr>
        <w:t>13</w:t>
      </w:r>
      <w:r w:rsidRPr="0083245E">
        <w:rPr>
          <w:rFonts w:ascii="Times New Roman" w:hAnsi="Times New Roman"/>
          <w:bCs/>
          <w:sz w:val="24"/>
          <w:szCs w:val="24"/>
        </w:rPr>
        <w:t>C-acetate provide evidence that phage-infected populations have increased metabolic activity and directly scavenge metabolites released from lysed siblings, which offsets their increased need for nitrogen.</w:t>
      </w:r>
      <w:r w:rsidRPr="0083245E">
        <w:rPr>
          <w:rFonts w:ascii="Times New Roman" w:hAnsi="Times New Roman"/>
          <w:sz w:val="24"/>
          <w:szCs w:val="24"/>
        </w:rPr>
        <w:t xml:space="preserve"> </w:t>
      </w: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rPr>
          <w:rFonts w:ascii="Times New Roman" w:hAnsi="Times New Roman" w:cs="Times New Roman"/>
        </w:rPr>
      </w:pPr>
    </w:p>
    <w:p w:rsidR="005E3076" w:rsidRPr="0083245E" w:rsidRDefault="005E3076" w:rsidP="005E3076">
      <w:pPr>
        <w:jc w:val="center"/>
        <w:rPr>
          <w:rFonts w:ascii="Times New Roman" w:hAnsi="Times New Roman" w:cs="Times New Roman"/>
          <w:b/>
          <w:sz w:val="28"/>
          <w:szCs w:val="28"/>
        </w:rPr>
      </w:pPr>
      <w:r w:rsidRPr="0083245E">
        <w:rPr>
          <w:rFonts w:ascii="Times New Roman" w:hAnsi="Times New Roman" w:cs="Times New Roman"/>
          <w:b/>
          <w:sz w:val="28"/>
          <w:szCs w:val="28"/>
        </w:rPr>
        <w:lastRenderedPageBreak/>
        <w:t>Background and Significance</w:t>
      </w:r>
    </w:p>
    <w:p w:rsidR="005E3076" w:rsidRPr="0083245E" w:rsidRDefault="005E3076" w:rsidP="005E3076">
      <w:pPr>
        <w:jc w:val="center"/>
        <w:rPr>
          <w:rFonts w:ascii="Times New Roman" w:eastAsia="Calibri" w:hAnsi="Times New Roman" w:cs="Times New Roman"/>
          <w:b/>
          <w:sz w:val="28"/>
          <w:szCs w:val="28"/>
        </w:rPr>
      </w:pPr>
    </w:p>
    <w:p w:rsidR="005E3076" w:rsidRDefault="005E3076" w:rsidP="005E3076">
      <w:pPr>
        <w:spacing w:line="360" w:lineRule="auto"/>
        <w:jc w:val="both"/>
        <w:rPr>
          <w:rFonts w:ascii="Times New Roman" w:eastAsia="Calibri" w:hAnsi="Times New Roman" w:cs="Times New Roman"/>
          <w:b/>
          <w:i/>
          <w:sz w:val="24"/>
          <w:szCs w:val="24"/>
        </w:rPr>
      </w:pPr>
      <w:r w:rsidRPr="0083245E">
        <w:rPr>
          <w:rFonts w:ascii="Times New Roman" w:eastAsia="Calibri" w:hAnsi="Times New Roman" w:cs="Times New Roman"/>
          <w:b/>
          <w:i/>
          <w:sz w:val="24"/>
          <w:szCs w:val="24"/>
        </w:rPr>
        <w:t>Introduction</w:t>
      </w:r>
    </w:p>
    <w:p w:rsidR="005E3076" w:rsidRDefault="005E3076" w:rsidP="005E3076">
      <w:pPr>
        <w:spacing w:line="360" w:lineRule="auto"/>
        <w:jc w:val="both"/>
        <w:rPr>
          <w:rFonts w:ascii="Times New Roman" w:eastAsia="Calibri" w:hAnsi="Times New Roman" w:cs="Times New Roman"/>
          <w:b/>
          <w:i/>
          <w:sz w:val="24"/>
          <w:szCs w:val="24"/>
        </w:rPr>
      </w:pPr>
      <w:r w:rsidRPr="0083245E">
        <w:rPr>
          <w:rFonts w:ascii="Times New Roman" w:eastAsia="Calibri" w:hAnsi="Times New Roman" w:cs="Times New Roman"/>
          <w:sz w:val="24"/>
          <w:szCs w:val="24"/>
        </w:rPr>
        <w:t>It is estimated that one billion tons of carbon are released in the world’s oceans each day as a result of virus lysis.</w:t>
      </w:r>
      <w:r w:rsidR="009C68DC">
        <w:rPr>
          <w:rFonts w:ascii="Times New Roman" w:eastAsia="Calibri" w:hAnsi="Times New Roman" w:cs="Times New Roman"/>
          <w:sz w:val="24"/>
          <w:szCs w:val="24"/>
          <w:vertAlign w:val="superscript"/>
        </w:rPr>
        <w:t>1</w:t>
      </w:r>
      <w:r w:rsidRPr="0083245E">
        <w:rPr>
          <w:rFonts w:ascii="Times New Roman" w:eastAsia="Calibri" w:hAnsi="Times New Roman" w:cs="Times New Roman"/>
          <w:sz w:val="24"/>
          <w:szCs w:val="24"/>
        </w:rPr>
        <w:t xml:space="preserve"> The released dissolved organic matter (DOM) is a major contributor to marine microbial activity</w:t>
      </w:r>
      <w:r w:rsidR="009C68DC">
        <w:rPr>
          <w:rFonts w:ascii="Times New Roman" w:eastAsia="Calibri" w:hAnsi="Times New Roman" w:cs="Times New Roman"/>
          <w:sz w:val="24"/>
          <w:szCs w:val="24"/>
          <w:vertAlign w:val="superscript"/>
        </w:rPr>
        <w:t>2</w:t>
      </w:r>
      <w:r w:rsidRPr="0083245E">
        <w:rPr>
          <w:rFonts w:ascii="Times New Roman" w:eastAsia="Calibri" w:hAnsi="Times New Roman" w:cs="Times New Roman"/>
          <w:sz w:val="24"/>
          <w:szCs w:val="24"/>
        </w:rPr>
        <w:t>, stimulating both primary and secondary productivity</w:t>
      </w:r>
      <w:r w:rsidR="009C68DC">
        <w:rPr>
          <w:rFonts w:ascii="Times New Roman" w:eastAsia="Calibri" w:hAnsi="Times New Roman" w:cs="Times New Roman"/>
          <w:sz w:val="24"/>
          <w:szCs w:val="24"/>
          <w:vertAlign w:val="superscript"/>
        </w:rPr>
        <w:t>3</w:t>
      </w:r>
      <w:r w:rsidR="002A449E">
        <w:rPr>
          <w:rFonts w:ascii="Times New Roman" w:eastAsia="Calibri" w:hAnsi="Times New Roman" w:cs="Times New Roman"/>
          <w:sz w:val="24"/>
          <w:szCs w:val="24"/>
          <w:vertAlign w:val="superscript"/>
        </w:rPr>
        <w:t>-</w:t>
      </w:r>
      <w:r w:rsidR="009C68DC">
        <w:rPr>
          <w:rFonts w:ascii="Times New Roman" w:eastAsia="Calibri" w:hAnsi="Times New Roman" w:cs="Times New Roman"/>
          <w:sz w:val="24"/>
          <w:szCs w:val="24"/>
          <w:vertAlign w:val="superscript"/>
        </w:rPr>
        <w:t>5</w:t>
      </w:r>
      <w:r w:rsidRPr="0083245E">
        <w:rPr>
          <w:rFonts w:ascii="Times New Roman" w:eastAsia="Calibri" w:hAnsi="Times New Roman" w:cs="Times New Roman"/>
          <w:sz w:val="24"/>
          <w:szCs w:val="24"/>
        </w:rPr>
        <w:t>.  Through their lytic activities, viruses influence the flow of carbon, nitrogen and other nutrients in the marine environments.</w:t>
      </w:r>
      <w:r w:rsidR="002A449E">
        <w:rPr>
          <w:rFonts w:ascii="Times New Roman" w:eastAsia="Calibri" w:hAnsi="Times New Roman" w:cs="Times New Roman"/>
          <w:sz w:val="24"/>
          <w:szCs w:val="24"/>
          <w:vertAlign w:val="superscript"/>
        </w:rPr>
        <w:t>1, 4, 6-</w:t>
      </w:r>
      <w:r w:rsidR="009C68DC">
        <w:rPr>
          <w:rFonts w:ascii="Times New Roman" w:eastAsia="Calibri" w:hAnsi="Times New Roman" w:cs="Times New Roman"/>
          <w:sz w:val="24"/>
          <w:szCs w:val="24"/>
          <w:vertAlign w:val="superscript"/>
        </w:rPr>
        <w:t>10</w:t>
      </w:r>
      <w:r w:rsidRPr="0083245E">
        <w:rPr>
          <w:rFonts w:ascii="Times New Roman" w:eastAsia="Calibri" w:hAnsi="Times New Roman" w:cs="Times New Roman"/>
          <w:sz w:val="24"/>
          <w:szCs w:val="24"/>
          <w:vertAlign w:val="superscript"/>
        </w:rPr>
        <w:t xml:space="preserve">  </w:t>
      </w:r>
      <w:r w:rsidRPr="0083245E">
        <w:rPr>
          <w:rFonts w:ascii="Times New Roman" w:eastAsia="Calibri" w:hAnsi="Times New Roman" w:cs="Times New Roman"/>
          <w:sz w:val="24"/>
          <w:szCs w:val="24"/>
        </w:rPr>
        <w:t>While previous studies have revealed that viral lysates can be rich in free and combined amino acids</w:t>
      </w:r>
      <w:r w:rsidR="009C68DC">
        <w:rPr>
          <w:rFonts w:ascii="Times New Roman" w:eastAsia="Calibri" w:hAnsi="Times New Roman" w:cs="Times New Roman"/>
          <w:sz w:val="24"/>
          <w:szCs w:val="24"/>
          <w:vertAlign w:val="superscript"/>
        </w:rPr>
        <w:t>3</w:t>
      </w:r>
      <w:r w:rsidRPr="0083245E">
        <w:rPr>
          <w:rFonts w:ascii="Times New Roman" w:eastAsia="Calibri" w:hAnsi="Times New Roman" w:cs="Times New Roman"/>
          <w:sz w:val="24"/>
          <w:szCs w:val="24"/>
        </w:rPr>
        <w:t xml:space="preserve"> and may be an important source of labile organic nitrogen,</w:t>
      </w:r>
      <w:r w:rsidR="009C68DC">
        <w:rPr>
          <w:rFonts w:ascii="Times New Roman" w:eastAsia="Calibri" w:hAnsi="Times New Roman" w:cs="Times New Roman"/>
          <w:sz w:val="24"/>
          <w:szCs w:val="24"/>
          <w:vertAlign w:val="superscript"/>
        </w:rPr>
        <w:t>11</w:t>
      </w:r>
      <w:r w:rsidRPr="0083245E">
        <w:rPr>
          <w:rFonts w:ascii="Times New Roman" w:eastAsia="Calibri" w:hAnsi="Times New Roman" w:cs="Times New Roman"/>
          <w:sz w:val="24"/>
          <w:szCs w:val="24"/>
        </w:rPr>
        <w:t xml:space="preserve"> we know relatively little of the distinct chemical character of viral-derived DOM. Furthermore, the extent to which viral redirection of host metabolism alters cellular constituents released as a result of lysis remains an open question. </w:t>
      </w:r>
    </w:p>
    <w:p w:rsidR="005E3076" w:rsidRDefault="005E3076" w:rsidP="005E3076">
      <w:pPr>
        <w:spacing w:line="360" w:lineRule="auto"/>
        <w:jc w:val="both"/>
        <w:rPr>
          <w:rFonts w:ascii="Times New Roman" w:eastAsia="Calibri" w:hAnsi="Times New Roman" w:cs="Times New Roman"/>
          <w:b/>
          <w:i/>
          <w:sz w:val="24"/>
          <w:szCs w:val="24"/>
        </w:rPr>
      </w:pPr>
    </w:p>
    <w:p w:rsidR="005E3076" w:rsidRPr="0083245E" w:rsidRDefault="005E3076" w:rsidP="005E3076">
      <w:pPr>
        <w:spacing w:line="360" w:lineRule="auto"/>
        <w:jc w:val="both"/>
        <w:rPr>
          <w:rFonts w:ascii="Times New Roman" w:eastAsia="Calibri" w:hAnsi="Times New Roman" w:cs="Times New Roman"/>
          <w:b/>
          <w:i/>
          <w:sz w:val="24"/>
          <w:szCs w:val="24"/>
        </w:rPr>
      </w:pPr>
      <w:r w:rsidRPr="0083245E">
        <w:rPr>
          <w:rFonts w:ascii="Times New Roman" w:eastAsia="Calibri" w:hAnsi="Times New Roman" w:cs="Times New Roman"/>
          <w:sz w:val="24"/>
          <w:szCs w:val="24"/>
        </w:rPr>
        <w:t>Although the majority of viruses in aquatic systems are thought to be phage,</w:t>
      </w:r>
      <w:r w:rsidR="009C68DC">
        <w:rPr>
          <w:rFonts w:ascii="Times New Roman" w:eastAsia="Calibri" w:hAnsi="Times New Roman" w:cs="Times New Roman"/>
          <w:sz w:val="24"/>
          <w:szCs w:val="24"/>
          <w:vertAlign w:val="superscript"/>
        </w:rPr>
        <w:t>1</w:t>
      </w:r>
      <w:r w:rsidRPr="0083245E">
        <w:rPr>
          <w:rFonts w:ascii="Times New Roman" w:eastAsia="Calibri" w:hAnsi="Times New Roman" w:cs="Times New Roman"/>
          <w:sz w:val="24"/>
          <w:szCs w:val="24"/>
          <w:vertAlign w:val="superscript"/>
        </w:rPr>
        <w:t xml:space="preserve">, </w:t>
      </w:r>
      <w:r w:rsidR="009C68DC">
        <w:rPr>
          <w:rFonts w:ascii="Times New Roman" w:eastAsia="Calibri" w:hAnsi="Times New Roman" w:cs="Times New Roman"/>
          <w:sz w:val="24"/>
          <w:szCs w:val="24"/>
          <w:vertAlign w:val="superscript"/>
        </w:rPr>
        <w:t>12</w:t>
      </w:r>
      <w:r w:rsidRPr="0083245E">
        <w:rPr>
          <w:rFonts w:ascii="Times New Roman" w:eastAsia="Calibri" w:hAnsi="Times New Roman" w:cs="Times New Roman"/>
          <w:sz w:val="24"/>
          <w:szCs w:val="24"/>
          <w:vertAlign w:val="superscript"/>
        </w:rPr>
        <w:t xml:space="preserve"> </w:t>
      </w:r>
      <w:r w:rsidRPr="0083245E">
        <w:rPr>
          <w:rFonts w:ascii="Times New Roman" w:eastAsia="Calibri" w:hAnsi="Times New Roman" w:cs="Times New Roman"/>
          <w:sz w:val="24"/>
          <w:szCs w:val="24"/>
        </w:rPr>
        <w:t xml:space="preserve">relatively few environmentally relevant marine phage-host systems have been described. Bacteria belonging to the </w:t>
      </w:r>
      <w:r w:rsidRPr="0083245E">
        <w:rPr>
          <w:rFonts w:ascii="Times New Roman" w:eastAsia="Calibri" w:hAnsi="Times New Roman" w:cs="Times New Roman"/>
          <w:i/>
          <w:sz w:val="24"/>
          <w:szCs w:val="24"/>
        </w:rPr>
        <w:t xml:space="preserve">Roseobacter </w:t>
      </w:r>
      <w:r w:rsidRPr="0083245E">
        <w:rPr>
          <w:rFonts w:ascii="Times New Roman" w:eastAsia="Calibri" w:hAnsi="Times New Roman" w:cs="Times New Roman"/>
          <w:sz w:val="24"/>
          <w:szCs w:val="24"/>
        </w:rPr>
        <w:t>lineage are abundant in marine systems and carry out critical biogeochemical transformations.</w:t>
      </w:r>
      <w:r w:rsidR="009C68DC">
        <w:rPr>
          <w:rFonts w:ascii="Times New Roman" w:eastAsia="Calibri" w:hAnsi="Times New Roman" w:cs="Times New Roman"/>
          <w:sz w:val="24"/>
          <w:szCs w:val="24"/>
          <w:vertAlign w:val="superscript"/>
        </w:rPr>
        <w:t>13</w:t>
      </w:r>
      <w:r w:rsidR="002A449E">
        <w:rPr>
          <w:rFonts w:ascii="Times New Roman" w:eastAsia="Calibri" w:hAnsi="Times New Roman" w:cs="Times New Roman"/>
          <w:sz w:val="24"/>
          <w:szCs w:val="24"/>
          <w:vertAlign w:val="superscript"/>
        </w:rPr>
        <w:t>-</w:t>
      </w:r>
      <w:r w:rsidR="009C68DC">
        <w:rPr>
          <w:rFonts w:ascii="Times New Roman" w:eastAsia="Calibri" w:hAnsi="Times New Roman" w:cs="Times New Roman"/>
          <w:sz w:val="24"/>
          <w:szCs w:val="24"/>
          <w:vertAlign w:val="superscript"/>
        </w:rPr>
        <w:t>17</w:t>
      </w:r>
      <w:r w:rsidRPr="0083245E">
        <w:rPr>
          <w:rFonts w:ascii="Times New Roman" w:eastAsia="Calibri" w:hAnsi="Times New Roman" w:cs="Times New Roman"/>
          <w:sz w:val="24"/>
          <w:szCs w:val="24"/>
        </w:rPr>
        <w:t xml:space="preserve">  Their abundance and amenability to cultivation make </w:t>
      </w:r>
      <w:r w:rsidRPr="0083245E">
        <w:rPr>
          <w:rFonts w:ascii="Times New Roman" w:eastAsia="Calibri" w:hAnsi="Times New Roman" w:cs="Times New Roman"/>
          <w:i/>
          <w:sz w:val="24"/>
          <w:szCs w:val="24"/>
        </w:rPr>
        <w:t>Roseobacter</w:t>
      </w:r>
      <w:r w:rsidRPr="0083245E">
        <w:rPr>
          <w:rFonts w:ascii="Times New Roman" w:eastAsia="Calibri" w:hAnsi="Times New Roman" w:cs="Times New Roman"/>
          <w:sz w:val="24"/>
          <w:szCs w:val="24"/>
        </w:rPr>
        <w:t xml:space="preserve"> a tractable model for investigating the influence of bacteriophage on both host metabolism and DOM release.</w:t>
      </w:r>
      <w:r w:rsidR="009C68DC">
        <w:rPr>
          <w:rFonts w:ascii="Times New Roman" w:eastAsia="Calibri" w:hAnsi="Times New Roman" w:cs="Times New Roman"/>
          <w:sz w:val="24"/>
          <w:szCs w:val="24"/>
          <w:vertAlign w:val="superscript"/>
        </w:rPr>
        <w:t>13</w:t>
      </w:r>
      <w:r w:rsidRPr="0083245E">
        <w:rPr>
          <w:rFonts w:ascii="Times New Roman" w:eastAsia="Calibri" w:hAnsi="Times New Roman" w:cs="Times New Roman"/>
          <w:sz w:val="24"/>
          <w:szCs w:val="24"/>
          <w:vertAlign w:val="superscript"/>
        </w:rPr>
        <w:t xml:space="preserve">, </w:t>
      </w:r>
      <w:r w:rsidR="009C68DC">
        <w:rPr>
          <w:rFonts w:ascii="Times New Roman" w:eastAsia="Calibri" w:hAnsi="Times New Roman" w:cs="Times New Roman"/>
          <w:sz w:val="24"/>
          <w:szCs w:val="24"/>
          <w:vertAlign w:val="superscript"/>
        </w:rPr>
        <w:t>14</w:t>
      </w:r>
    </w:p>
    <w:p w:rsidR="005E3076" w:rsidRDefault="005E3076" w:rsidP="005E3076">
      <w:pPr>
        <w:spacing w:line="360" w:lineRule="auto"/>
        <w:jc w:val="both"/>
        <w:rPr>
          <w:rFonts w:ascii="Times New Roman" w:eastAsia="Calibri" w:hAnsi="Times New Roman" w:cs="Times New Roman"/>
          <w:sz w:val="24"/>
          <w:szCs w:val="24"/>
        </w:rPr>
      </w:pPr>
    </w:p>
    <w:p w:rsidR="005E3076" w:rsidRPr="005D64C2" w:rsidRDefault="005E3076" w:rsidP="005D64C2">
      <w:pPr>
        <w:spacing w:line="360" w:lineRule="auto"/>
        <w:jc w:val="both"/>
        <w:rPr>
          <w:rFonts w:ascii="Times New Roman" w:eastAsia="Calibri" w:hAnsi="Times New Roman" w:cs="Times New Roman"/>
          <w:sz w:val="24"/>
          <w:szCs w:val="24"/>
        </w:rPr>
      </w:pPr>
      <w:r w:rsidRPr="0083245E">
        <w:rPr>
          <w:rFonts w:ascii="Times New Roman" w:eastAsia="Calibri" w:hAnsi="Times New Roman" w:cs="Times New Roman"/>
          <w:sz w:val="24"/>
          <w:szCs w:val="24"/>
        </w:rPr>
        <w:t>Although there have been numerous studies of the composition of biologically produced DOM in marine systems,</w:t>
      </w:r>
      <w:r w:rsidR="009C68DC">
        <w:rPr>
          <w:rFonts w:ascii="Times New Roman" w:eastAsia="Calibri" w:hAnsi="Times New Roman" w:cs="Times New Roman"/>
          <w:sz w:val="24"/>
          <w:szCs w:val="24"/>
          <w:vertAlign w:val="superscript"/>
        </w:rPr>
        <w:t>3</w:t>
      </w:r>
      <w:r w:rsidR="002A449E">
        <w:rPr>
          <w:rFonts w:ascii="Times New Roman" w:eastAsia="Calibri" w:hAnsi="Times New Roman" w:cs="Times New Roman"/>
          <w:sz w:val="24"/>
          <w:szCs w:val="24"/>
          <w:vertAlign w:val="superscript"/>
        </w:rPr>
        <w:t>-</w:t>
      </w:r>
      <w:r w:rsidR="009C68DC">
        <w:rPr>
          <w:rFonts w:ascii="Times New Roman" w:eastAsia="Calibri" w:hAnsi="Times New Roman" w:cs="Times New Roman"/>
          <w:sz w:val="24"/>
          <w:szCs w:val="24"/>
          <w:vertAlign w:val="superscript"/>
        </w:rPr>
        <w:t>5</w:t>
      </w:r>
      <w:r w:rsidRPr="0083245E">
        <w:rPr>
          <w:rFonts w:ascii="Times New Roman" w:eastAsia="Calibri" w:hAnsi="Times New Roman" w:cs="Times New Roman"/>
          <w:sz w:val="24"/>
          <w:szCs w:val="24"/>
          <w:vertAlign w:val="superscript"/>
        </w:rPr>
        <w:t xml:space="preserve">, </w:t>
      </w:r>
      <w:r w:rsidR="009C68DC">
        <w:rPr>
          <w:rFonts w:ascii="Times New Roman" w:eastAsia="Calibri" w:hAnsi="Times New Roman" w:cs="Times New Roman"/>
          <w:sz w:val="24"/>
          <w:szCs w:val="24"/>
          <w:vertAlign w:val="superscript"/>
        </w:rPr>
        <w:t>10, 18, 19</w:t>
      </w:r>
      <w:r w:rsidRPr="0083245E">
        <w:rPr>
          <w:rFonts w:ascii="Times New Roman" w:eastAsia="Calibri" w:hAnsi="Times New Roman" w:cs="Times New Roman"/>
          <w:sz w:val="24"/>
          <w:szCs w:val="24"/>
          <w:vertAlign w:val="superscript"/>
        </w:rPr>
        <w:t xml:space="preserve"> </w:t>
      </w:r>
      <w:r w:rsidRPr="0083245E">
        <w:rPr>
          <w:rFonts w:ascii="Times New Roman" w:eastAsia="Calibri" w:hAnsi="Times New Roman" w:cs="Times New Roman"/>
          <w:sz w:val="24"/>
          <w:szCs w:val="24"/>
        </w:rPr>
        <w:t>most  have focused on characterization of the material bulk properties, such as C:N or the size distribution of the particulate matter. Only recently has the technology necessary to allow identification of specific compounds within DOM become available.</w:t>
      </w:r>
      <w:r w:rsidR="009C68DC">
        <w:rPr>
          <w:rFonts w:ascii="Times New Roman" w:eastAsia="Calibri" w:hAnsi="Times New Roman" w:cs="Times New Roman"/>
          <w:sz w:val="24"/>
          <w:szCs w:val="24"/>
          <w:vertAlign w:val="superscript"/>
        </w:rPr>
        <w:t>20</w:t>
      </w:r>
      <w:r w:rsidRPr="0083245E">
        <w:rPr>
          <w:rFonts w:ascii="Times New Roman" w:eastAsia="Calibri" w:hAnsi="Times New Roman" w:cs="Times New Roman"/>
          <w:sz w:val="24"/>
          <w:szCs w:val="24"/>
          <w:vertAlign w:val="superscript"/>
        </w:rPr>
        <w:t xml:space="preserve">, </w:t>
      </w:r>
      <w:r w:rsidR="009C68DC">
        <w:rPr>
          <w:rFonts w:ascii="Times New Roman" w:eastAsia="Calibri" w:hAnsi="Times New Roman" w:cs="Times New Roman"/>
          <w:sz w:val="24"/>
          <w:szCs w:val="24"/>
          <w:vertAlign w:val="superscript"/>
        </w:rPr>
        <w:t>21</w:t>
      </w:r>
      <w:r w:rsidRPr="0083245E">
        <w:rPr>
          <w:rFonts w:ascii="Times New Roman" w:eastAsia="Calibri" w:hAnsi="Times New Roman" w:cs="Times New Roman"/>
          <w:sz w:val="24"/>
          <w:szCs w:val="24"/>
          <w:vertAlign w:val="superscript"/>
        </w:rPr>
        <w:t xml:space="preserve"> </w:t>
      </w:r>
      <w:r w:rsidRPr="0083245E">
        <w:rPr>
          <w:rFonts w:ascii="Times New Roman" w:eastAsia="Calibri" w:hAnsi="Times New Roman" w:cs="Times New Roman"/>
          <w:sz w:val="24"/>
          <w:szCs w:val="24"/>
        </w:rPr>
        <w:t xml:space="preserve"> However, the compositional heterogeneity of DOM makes it difficult to extract and detect specific metabolites from seawater. To address this concern, we have implemented methods that identify and characterize metabolites in marine bacteria and their culture filtrates and can be extended to studies of natural marine systems. Specifically, targeted liquid chromatography-</w:t>
      </w:r>
      <w:r w:rsidRPr="0083245E">
        <w:rPr>
          <w:rFonts w:ascii="Times New Roman" w:eastAsia="Calibri" w:hAnsi="Times New Roman" w:cs="Times New Roman"/>
          <w:sz w:val="24"/>
          <w:szCs w:val="24"/>
        </w:rPr>
        <w:lastRenderedPageBreak/>
        <w:t>tandem mass spectrometry (LC-MS/MS) based metabolomics</w:t>
      </w:r>
      <w:r w:rsidR="009C68DC">
        <w:rPr>
          <w:rFonts w:ascii="Times New Roman" w:eastAsia="Calibri" w:hAnsi="Times New Roman" w:cs="Times New Roman"/>
          <w:sz w:val="24"/>
          <w:szCs w:val="24"/>
          <w:vertAlign w:val="superscript"/>
        </w:rPr>
        <w:t>20</w:t>
      </w:r>
      <w:r w:rsidRPr="0083245E">
        <w:rPr>
          <w:rFonts w:ascii="Times New Roman" w:eastAsia="Calibri" w:hAnsi="Times New Roman" w:cs="Times New Roman"/>
          <w:sz w:val="24"/>
          <w:szCs w:val="24"/>
          <w:vertAlign w:val="superscript"/>
        </w:rPr>
        <w:t xml:space="preserve">, </w:t>
      </w:r>
      <w:r w:rsidR="009C68DC">
        <w:rPr>
          <w:rFonts w:ascii="Times New Roman" w:eastAsia="Calibri" w:hAnsi="Times New Roman" w:cs="Times New Roman"/>
          <w:sz w:val="24"/>
          <w:szCs w:val="24"/>
          <w:vertAlign w:val="superscript"/>
        </w:rPr>
        <w:t>21</w:t>
      </w:r>
      <w:r w:rsidRPr="0083245E">
        <w:rPr>
          <w:rFonts w:ascii="Times New Roman" w:eastAsia="Calibri" w:hAnsi="Times New Roman" w:cs="Times New Roman"/>
          <w:sz w:val="24"/>
          <w:szCs w:val="24"/>
        </w:rPr>
        <w:t xml:space="preserve"> </w:t>
      </w:r>
      <w:r w:rsidRPr="0083245E">
        <w:rPr>
          <w:rFonts w:ascii="Times New Roman" w:eastAsia="Calibri" w:hAnsi="Times New Roman" w:cs="Times New Roman"/>
          <w:b/>
          <w:sz w:val="24"/>
          <w:szCs w:val="24"/>
        </w:rPr>
        <w:fldChar w:fldCharType="begin">
          <w:fldData xml:space="preserve">PEVuZE5vdGU+PENpdGU+PEF1dGhvcj5CYWphZDwvQXV0aG9yPjxZZWFyPjIwMDY8L1llYXI+PFJl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==
</w:fldData>
        </w:fldChar>
      </w:r>
      <w:r w:rsidRPr="0083245E">
        <w:rPr>
          <w:rFonts w:ascii="Times New Roman" w:eastAsia="Calibri" w:hAnsi="Times New Roman" w:cs="Times New Roman"/>
          <w:b/>
          <w:sz w:val="24"/>
          <w:szCs w:val="24"/>
        </w:rPr>
        <w:instrText xml:space="preserve"> ADDIN EN.CITE </w:instrText>
      </w:r>
      <w:r w:rsidRPr="0083245E">
        <w:rPr>
          <w:rFonts w:ascii="Times New Roman" w:eastAsia="Calibri" w:hAnsi="Times New Roman" w:cs="Times New Roman"/>
          <w:b/>
          <w:sz w:val="24"/>
          <w:szCs w:val="24"/>
        </w:rPr>
        <w:fldChar w:fldCharType="begin">
          <w:fldData xml:space="preserve">PEVuZE5vdGU+PENpdGU+PEF1dGhvcj5CYWphZDwvQXV0aG9yPjxZZWFyPjIwMDY8L1llYXI+PFJl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==
</w:fldData>
        </w:fldChar>
      </w:r>
      <w:r w:rsidRPr="0083245E">
        <w:rPr>
          <w:rFonts w:ascii="Times New Roman" w:eastAsia="Calibri" w:hAnsi="Times New Roman" w:cs="Times New Roman"/>
          <w:b/>
          <w:sz w:val="24"/>
          <w:szCs w:val="24"/>
        </w:rPr>
        <w:instrText xml:space="preserve"> ADDIN EN.CITE.DATA </w:instrText>
      </w:r>
      <w:r w:rsidRPr="0083245E">
        <w:rPr>
          <w:rFonts w:ascii="Times New Roman" w:eastAsia="Calibri" w:hAnsi="Times New Roman" w:cs="Times New Roman"/>
          <w:b/>
          <w:sz w:val="24"/>
          <w:szCs w:val="24"/>
        </w:rPr>
      </w:r>
      <w:r w:rsidRPr="0083245E">
        <w:rPr>
          <w:rFonts w:ascii="Times New Roman" w:eastAsia="Calibri" w:hAnsi="Times New Roman" w:cs="Times New Roman"/>
          <w:b/>
          <w:sz w:val="24"/>
          <w:szCs w:val="24"/>
        </w:rPr>
        <w:fldChar w:fldCharType="end"/>
      </w:r>
      <w:r w:rsidRPr="0083245E">
        <w:rPr>
          <w:rFonts w:ascii="Times New Roman" w:eastAsia="Calibri" w:hAnsi="Times New Roman" w:cs="Times New Roman"/>
          <w:b/>
          <w:sz w:val="24"/>
          <w:szCs w:val="24"/>
        </w:rPr>
      </w:r>
      <w:r w:rsidRPr="0083245E">
        <w:rPr>
          <w:rFonts w:ascii="Times New Roman" w:eastAsia="Calibri" w:hAnsi="Times New Roman" w:cs="Times New Roman"/>
          <w:b/>
          <w:sz w:val="24"/>
          <w:szCs w:val="24"/>
        </w:rPr>
        <w:fldChar w:fldCharType="end"/>
      </w:r>
      <w:r w:rsidRPr="0083245E">
        <w:rPr>
          <w:rFonts w:ascii="Times New Roman" w:eastAsia="Calibri" w:hAnsi="Times New Roman" w:cs="Times New Roman"/>
          <w:sz w:val="24"/>
          <w:szCs w:val="24"/>
        </w:rPr>
        <w:t xml:space="preserve">were used to monitor both metabolite concentrations and turnover rates in these systems. Herein we report a study of a roseobacter-roseophage system that probed the effect of viral infection on composition of both the intra- and extracellular water-soluble, small molecule metabolites, thus giving insight into both the impact on ocean biogeochemistry and host metabolism. These results provide support for the hypothesis that virally infected cells are physiologically distinct from their uninfected counterparts. </w:t>
      </w:r>
    </w:p>
    <w:p w:rsidR="005D64C2" w:rsidRDefault="005D64C2" w:rsidP="005E3076">
      <w:pPr>
        <w:widowControl w:val="0"/>
        <w:spacing w:line="360" w:lineRule="auto"/>
        <w:jc w:val="both"/>
        <w:rPr>
          <w:rFonts w:ascii="Times New Roman" w:hAnsi="Times New Roman" w:cs="Times New Roman"/>
          <w:b/>
          <w:i/>
          <w:sz w:val="24"/>
          <w:szCs w:val="24"/>
        </w:rPr>
      </w:pPr>
    </w:p>
    <w:p w:rsidR="00A866A8" w:rsidRPr="0083245E" w:rsidRDefault="00A866A8" w:rsidP="00A866A8">
      <w:pPr>
        <w:widowControl w:val="0"/>
        <w:spacing w:line="360" w:lineRule="auto"/>
        <w:jc w:val="both"/>
        <w:rPr>
          <w:rFonts w:ascii="Times New Roman" w:hAnsi="Times New Roman" w:cs="Times New Roman"/>
          <w:b/>
          <w:i/>
          <w:sz w:val="24"/>
          <w:szCs w:val="24"/>
        </w:rPr>
      </w:pPr>
      <w:r w:rsidRPr="0083245E">
        <w:rPr>
          <w:rFonts w:ascii="Times New Roman" w:hAnsi="Times New Roman" w:cs="Times New Roman"/>
          <w:b/>
          <w:i/>
          <w:sz w:val="24"/>
          <w:szCs w:val="24"/>
        </w:rPr>
        <w:t xml:space="preserve">Roseobacter Biology </w:t>
      </w:r>
    </w:p>
    <w:p w:rsidR="00A866A8" w:rsidRDefault="00A866A8" w:rsidP="00A866A8">
      <w:pPr>
        <w:widowControl w:val="0"/>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The most abundant and biogeochemically important organisms in the world’s oceans are bacterioplankton.  The application of molecular tools to the study of picoplankton has enriched the understanding of the diversity of picoplankton, which in turn, developed an image of the distribution of picoplankton members in the last 20 years.</w:t>
      </w:r>
      <w:r>
        <w:rPr>
          <w:rFonts w:ascii="Times New Roman" w:eastAsia="Cambria" w:hAnsi="Times New Roman" w:cs="Times New Roman"/>
          <w:sz w:val="24"/>
          <w:szCs w:val="24"/>
          <w:vertAlign w:val="superscript"/>
        </w:rPr>
        <w:t>22</w:t>
      </w:r>
      <w:r w:rsidRPr="0083245E">
        <w:rPr>
          <w:rFonts w:ascii="Times New Roman" w:eastAsia="Cambria" w:hAnsi="Times New Roman" w:cs="Times New Roman"/>
          <w:sz w:val="24"/>
          <w:szCs w:val="24"/>
          <w:vertAlign w:val="superscript"/>
        </w:rPr>
        <w:t xml:space="preserve">, </w:t>
      </w:r>
      <w:r>
        <w:rPr>
          <w:rFonts w:ascii="Times New Roman" w:eastAsia="Cambria" w:hAnsi="Times New Roman" w:cs="Times New Roman"/>
          <w:sz w:val="24"/>
          <w:szCs w:val="24"/>
          <w:vertAlign w:val="superscript"/>
        </w:rPr>
        <w:t>23</w:t>
      </w:r>
      <w:r>
        <w:rPr>
          <w:rFonts w:ascii="Times New Roman" w:eastAsia="Cambria" w:hAnsi="Times New Roman" w:cs="Times New Roman"/>
          <w:sz w:val="24"/>
          <w:szCs w:val="24"/>
        </w:rPr>
        <w:t xml:space="preserve">  </w:t>
      </w:r>
      <w:r w:rsidRPr="0083245E">
        <w:rPr>
          <w:rFonts w:ascii="Times New Roman" w:eastAsia="Cambria" w:hAnsi="Times New Roman" w:cs="Times New Roman"/>
          <w:sz w:val="24"/>
          <w:szCs w:val="24"/>
        </w:rPr>
        <w:t xml:space="preserve"> </w:t>
      </w:r>
      <w:proofErr w:type="gramStart"/>
      <w:r>
        <w:rPr>
          <w:rFonts w:ascii="Times New Roman" w:eastAsia="Cambria" w:hAnsi="Times New Roman" w:cs="Times New Roman"/>
          <w:sz w:val="24"/>
          <w:szCs w:val="24"/>
        </w:rPr>
        <w:t>The</w:t>
      </w:r>
      <w:proofErr w:type="gramEnd"/>
      <w:r>
        <w:rPr>
          <w:rFonts w:ascii="Times New Roman" w:eastAsia="Cambria" w:hAnsi="Times New Roman" w:cs="Times New Roman"/>
          <w:sz w:val="24"/>
          <w:szCs w:val="24"/>
        </w:rPr>
        <w:t xml:space="preserve"> target of this experiment is the </w:t>
      </w:r>
      <w:r w:rsidRPr="00BF7167">
        <w:rPr>
          <w:rFonts w:ascii="Times New Roman" w:eastAsia="Cambria" w:hAnsi="Times New Roman" w:cs="Times New Roman"/>
          <w:i/>
          <w:sz w:val="24"/>
          <w:szCs w:val="24"/>
        </w:rPr>
        <w:t>Roseobacter</w:t>
      </w:r>
      <w:r>
        <w:rPr>
          <w:rFonts w:ascii="Times New Roman" w:eastAsia="Cambria" w:hAnsi="Times New Roman" w:cs="Times New Roman"/>
          <w:sz w:val="24"/>
          <w:szCs w:val="24"/>
        </w:rPr>
        <w:t xml:space="preserve"> lineage, which is one of the major marine bacterial lineages identified in independent cultivation surveys.  Members of this lineage are classified as “model marine heterotrophs” and are studied to extrapolate conclusions for other marine heterotrophs.  This lineage is considered as a model for the following three reasons.  Firstly, they are abundant in the world’s oceans.  Secondly, they are easily cultured and maintained in the lab.  Thirdly, they carry out relevant biogeochemical processes.  Their abundance in the ocean is demonstrated by molecular-based experiments targeting the 16S rRNA genes, which shows that the </w:t>
      </w:r>
      <w:r w:rsidRPr="00433893">
        <w:rPr>
          <w:rFonts w:ascii="Times New Roman" w:eastAsia="Cambria" w:hAnsi="Times New Roman" w:cs="Times New Roman"/>
          <w:sz w:val="24"/>
          <w:szCs w:val="24"/>
        </w:rPr>
        <w:t>Roseobacter</w:t>
      </w:r>
      <w:r>
        <w:rPr>
          <w:rFonts w:ascii="Times New Roman" w:eastAsia="Cambria" w:hAnsi="Times New Roman" w:cs="Times New Roman"/>
          <w:sz w:val="24"/>
          <w:szCs w:val="24"/>
        </w:rPr>
        <w:t xml:space="preserve"> clade typically comprise ~20% of coastal and ~15% of mixed layer ocean of the total bacterioplankton community.</w:t>
      </w:r>
      <w:r>
        <w:rPr>
          <w:rFonts w:ascii="Times New Roman" w:eastAsia="Cambria" w:hAnsi="Times New Roman" w:cs="Times New Roman"/>
          <w:sz w:val="24"/>
          <w:szCs w:val="24"/>
          <w:vertAlign w:val="superscript"/>
        </w:rPr>
        <w:t>15</w:t>
      </w:r>
      <w:r w:rsidRPr="0083245E">
        <w:rPr>
          <w:rFonts w:ascii="Times New Roman" w:eastAsia="Cambria" w:hAnsi="Times New Roman" w:cs="Times New Roman"/>
          <w:sz w:val="24"/>
          <w:szCs w:val="24"/>
          <w:vertAlign w:val="superscript"/>
        </w:rPr>
        <w:t>,</w:t>
      </w:r>
      <w:r>
        <w:rPr>
          <w:rFonts w:ascii="Times New Roman" w:eastAsia="Cambria" w:hAnsi="Times New Roman" w:cs="Times New Roman"/>
          <w:sz w:val="24"/>
          <w:szCs w:val="24"/>
          <w:vertAlign w:val="superscript"/>
        </w:rPr>
        <w:t xml:space="preserve"> 17, 22, 24</w:t>
      </w:r>
      <w:r>
        <w:rPr>
          <w:rFonts w:ascii="Times New Roman" w:eastAsia="Cambria" w:hAnsi="Times New Roman" w:cs="Times New Roman"/>
          <w:sz w:val="24"/>
          <w:szCs w:val="24"/>
        </w:rPr>
        <w:t xml:space="preserve">  In conclusion, cultivated roseobacters serve as “model marine heterotrophs” to improve the understanding of marine bacterial ecology and physiology.</w:t>
      </w:r>
    </w:p>
    <w:p w:rsidR="00A866A8" w:rsidRDefault="00A866A8" w:rsidP="00A866A8">
      <w:pPr>
        <w:widowControl w:val="0"/>
        <w:spacing w:line="360" w:lineRule="auto"/>
        <w:jc w:val="both"/>
        <w:rPr>
          <w:rFonts w:ascii="Times New Roman" w:eastAsia="Cambria" w:hAnsi="Times New Roman" w:cs="Times New Roman"/>
          <w:sz w:val="24"/>
          <w:szCs w:val="24"/>
        </w:rPr>
      </w:pPr>
    </w:p>
    <w:p w:rsidR="00A866A8" w:rsidRPr="00F177EE" w:rsidRDefault="00A866A8" w:rsidP="00A866A8">
      <w:pPr>
        <w:widowControl w:val="0"/>
        <w:spacing w:line="36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Roseobacters have been linked to carbon and nutrient cycling in both culture and field-based studies.  The results from tracer studies determined that roseobacters are among the most active members in the bacterioplankton community in coastal and open ocean environments.</w:t>
      </w:r>
      <w:r>
        <w:rPr>
          <w:rFonts w:ascii="Times New Roman" w:eastAsia="Cambria" w:hAnsi="Times New Roman" w:cs="Times New Roman"/>
          <w:sz w:val="24"/>
          <w:szCs w:val="24"/>
          <w:vertAlign w:val="superscript"/>
        </w:rPr>
        <w:t>25-28</w:t>
      </w:r>
      <w:r>
        <w:rPr>
          <w:rFonts w:ascii="Times New Roman" w:eastAsia="Cambria" w:hAnsi="Times New Roman" w:cs="Times New Roman"/>
          <w:sz w:val="24"/>
          <w:szCs w:val="24"/>
        </w:rPr>
        <w:t xml:space="preserve">  Isolated lab cultures and natural roseobacter populations have the capability of converting various aliphatic compounds containing carbon, nitrogen, and sulfur, in addition to, aromatic </w:t>
      </w:r>
      <w:r>
        <w:rPr>
          <w:rFonts w:ascii="Times New Roman" w:eastAsia="Cambria" w:hAnsi="Times New Roman" w:cs="Times New Roman"/>
          <w:sz w:val="24"/>
          <w:szCs w:val="24"/>
        </w:rPr>
        <w:lastRenderedPageBreak/>
        <w:t>compounds abundant in coastal environments.</w:t>
      </w:r>
      <w:r>
        <w:rPr>
          <w:rFonts w:ascii="Times New Roman" w:eastAsia="Cambria" w:hAnsi="Times New Roman" w:cs="Times New Roman"/>
          <w:sz w:val="24"/>
          <w:szCs w:val="24"/>
          <w:vertAlign w:val="superscript"/>
        </w:rPr>
        <w:t>29-33</w:t>
      </w:r>
      <w:r>
        <w:rPr>
          <w:rFonts w:ascii="Times New Roman" w:eastAsia="Cambria" w:hAnsi="Times New Roman" w:cs="Times New Roman"/>
          <w:sz w:val="24"/>
          <w:szCs w:val="24"/>
        </w:rPr>
        <w:t xml:space="preserve">  Cultured roseobacter in the Buchan lab provides evidence that Fe is scavenged to produce structurally diverse siderophores, thus making roseobacter a reservoir of the element Fe, which was previously unrecognized.  In addition to scavenging Fe, roseobacters appear to play a role in processes that affect sulfur cycling.  Cultivated roseobacters are capable of converting inorganic sulfur and </w:t>
      </w:r>
      <w:r w:rsidRPr="0083245E">
        <w:rPr>
          <w:rFonts w:ascii="Times New Roman" w:eastAsia="Cambria" w:hAnsi="Times New Roman" w:cs="Times New Roman"/>
          <w:sz w:val="24"/>
          <w:szCs w:val="24"/>
        </w:rPr>
        <w:t>osmolyte dimethylsulfionio-propionate (DMSP)</w:t>
      </w:r>
      <w:r>
        <w:rPr>
          <w:rFonts w:ascii="Times New Roman" w:eastAsia="Cambria" w:hAnsi="Times New Roman" w:cs="Times New Roman"/>
          <w:sz w:val="24"/>
          <w:szCs w:val="24"/>
        </w:rPr>
        <w:t xml:space="preserve">.  The algal DMSP is either cleaved to form dimethylsulfide (DMS) or demethylated to form methanethiol (MeSH).  DMS readily fluxes to the atmosphere owing to its volatility where it affects cloud condensation nuclei and backscatters solar </w:t>
      </w:r>
      <w:proofErr w:type="gramStart"/>
      <w:r>
        <w:rPr>
          <w:rFonts w:ascii="Times New Roman" w:eastAsia="Cambria" w:hAnsi="Times New Roman" w:cs="Times New Roman"/>
          <w:sz w:val="24"/>
          <w:szCs w:val="24"/>
        </w:rPr>
        <w:t>radiation.</w:t>
      </w:r>
      <w:r>
        <w:rPr>
          <w:rFonts w:ascii="Times New Roman" w:eastAsia="Cambria" w:hAnsi="Times New Roman" w:cs="Times New Roman"/>
          <w:sz w:val="24"/>
          <w:szCs w:val="24"/>
          <w:vertAlign w:val="superscript"/>
        </w:rPr>
        <w:t>34</w:t>
      </w:r>
      <w:r>
        <w:rPr>
          <w:rFonts w:ascii="Times New Roman" w:eastAsia="Cambria" w:hAnsi="Times New Roman" w:cs="Times New Roman"/>
          <w:sz w:val="24"/>
          <w:szCs w:val="24"/>
        </w:rPr>
        <w:t xml:space="preserve">  MeSH</w:t>
      </w:r>
      <w:proofErr w:type="gramEnd"/>
      <w:r>
        <w:rPr>
          <w:rFonts w:ascii="Times New Roman" w:eastAsia="Cambria" w:hAnsi="Times New Roman" w:cs="Times New Roman"/>
          <w:sz w:val="24"/>
          <w:szCs w:val="24"/>
        </w:rPr>
        <w:t xml:space="preserve"> is likely to reside around the surface of ocean water where it is utilized by marine bacteria.  Therefore, the cleavage of DMSP, resulting in DMS formation, has important consequences on global climate regulation, while the demethylation of DMSP, resulting in MeSH, is importation in supplying carbon and sulfur to surface ocean marine bacteria.  Further evidence for the metabolic potential of roseobacters stems from the availability of ~40 roseobacter genome sequences which results in diverse metabolic functions of the </w:t>
      </w:r>
      <w:r>
        <w:rPr>
          <w:rFonts w:ascii="Times New Roman" w:eastAsia="Cambria" w:hAnsi="Times New Roman" w:cs="Times New Roman"/>
          <w:i/>
          <w:sz w:val="24"/>
          <w:szCs w:val="24"/>
        </w:rPr>
        <w:t>R</w:t>
      </w:r>
      <w:r w:rsidRPr="000B3190">
        <w:rPr>
          <w:rFonts w:ascii="Times New Roman" w:eastAsia="Cambria" w:hAnsi="Times New Roman" w:cs="Times New Roman"/>
          <w:i/>
          <w:sz w:val="24"/>
          <w:szCs w:val="24"/>
        </w:rPr>
        <w:t>ose</w:t>
      </w:r>
      <w:r>
        <w:rPr>
          <w:rFonts w:ascii="Times New Roman" w:eastAsia="Cambria" w:hAnsi="Times New Roman" w:cs="Times New Roman"/>
          <w:i/>
          <w:sz w:val="24"/>
          <w:szCs w:val="24"/>
        </w:rPr>
        <w:t>o</w:t>
      </w:r>
      <w:r w:rsidRPr="000B3190">
        <w:rPr>
          <w:rFonts w:ascii="Times New Roman" w:eastAsia="Cambria" w:hAnsi="Times New Roman" w:cs="Times New Roman"/>
          <w:i/>
          <w:sz w:val="24"/>
          <w:szCs w:val="24"/>
        </w:rPr>
        <w:t>bacte</w:t>
      </w:r>
      <w:r>
        <w:rPr>
          <w:rFonts w:ascii="Times New Roman" w:eastAsia="Cambria" w:hAnsi="Times New Roman" w:cs="Times New Roman"/>
          <w:sz w:val="24"/>
          <w:szCs w:val="24"/>
        </w:rPr>
        <w:t xml:space="preserve">r lineage.  In conclusion, the abundance, activity, and diversity of the </w:t>
      </w:r>
      <w:r w:rsidRPr="00433893">
        <w:rPr>
          <w:rFonts w:ascii="Times New Roman" w:eastAsia="Cambria" w:hAnsi="Times New Roman" w:cs="Times New Roman"/>
          <w:sz w:val="24"/>
          <w:szCs w:val="24"/>
        </w:rPr>
        <w:t>Roseobacter</w:t>
      </w:r>
      <w:r w:rsidRPr="00D071F1">
        <w:rPr>
          <w:rFonts w:ascii="Times New Roman" w:eastAsia="Cambria" w:hAnsi="Times New Roman" w:cs="Times New Roman"/>
          <w:sz w:val="24"/>
          <w:szCs w:val="24"/>
        </w:rPr>
        <w:t xml:space="preserve"> </w:t>
      </w:r>
      <w:r>
        <w:rPr>
          <w:rFonts w:ascii="Times New Roman" w:eastAsia="Cambria" w:hAnsi="Times New Roman" w:cs="Times New Roman"/>
          <w:sz w:val="24"/>
          <w:szCs w:val="24"/>
        </w:rPr>
        <w:t>clade suggest that relatively high growth and proliferation rates would occur in high-nutrient niches.  The dense population of roseobacter in the high-nutrient niche could in turn support high Roseophage viral loads and activity.</w:t>
      </w:r>
      <w:r>
        <w:rPr>
          <w:rFonts w:ascii="Times New Roman" w:eastAsia="Cambria" w:hAnsi="Times New Roman" w:cs="Times New Roman"/>
          <w:sz w:val="24"/>
          <w:szCs w:val="24"/>
          <w:vertAlign w:val="superscript"/>
        </w:rPr>
        <w:t>1</w:t>
      </w:r>
    </w:p>
    <w:p w:rsidR="00A866A8" w:rsidRDefault="00A866A8" w:rsidP="00A866A8">
      <w:pPr>
        <w:widowControl w:val="0"/>
        <w:spacing w:line="360" w:lineRule="auto"/>
        <w:jc w:val="both"/>
        <w:rPr>
          <w:rFonts w:ascii="Times New Roman" w:eastAsia="Cambria" w:hAnsi="Times New Roman" w:cs="Times New Roman"/>
          <w:b/>
          <w:sz w:val="24"/>
          <w:szCs w:val="24"/>
        </w:rPr>
      </w:pPr>
    </w:p>
    <w:p w:rsidR="00A866A8" w:rsidRPr="0083245E" w:rsidRDefault="00A866A8" w:rsidP="00A866A8">
      <w:pPr>
        <w:widowControl w:val="0"/>
        <w:spacing w:line="360" w:lineRule="auto"/>
        <w:jc w:val="both"/>
        <w:rPr>
          <w:rFonts w:ascii="Times New Roman" w:eastAsia="Cambria" w:hAnsi="Times New Roman" w:cs="Times New Roman"/>
          <w:b/>
          <w:sz w:val="24"/>
          <w:szCs w:val="24"/>
          <w:vertAlign w:val="superscript"/>
        </w:rPr>
      </w:pPr>
      <w:r w:rsidRPr="0083245E">
        <w:rPr>
          <w:rFonts w:ascii="Times New Roman" w:hAnsi="Times New Roman" w:cs="Times New Roman"/>
          <w:b/>
          <w:i/>
          <w:sz w:val="24"/>
          <w:szCs w:val="24"/>
        </w:rPr>
        <w:t>Roseophage</w:t>
      </w:r>
      <w:r w:rsidRPr="0083245E">
        <w:rPr>
          <w:rFonts w:ascii="Times New Roman" w:hAnsi="Times New Roman" w:cs="Times New Roman"/>
          <w:b/>
          <w:sz w:val="24"/>
          <w:szCs w:val="24"/>
        </w:rPr>
        <w:t xml:space="preserve"> </w:t>
      </w:r>
    </w:p>
    <w:p w:rsidR="00A866A8" w:rsidRDefault="00A866A8" w:rsidP="00A866A8">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importance of roseobacters in the biogeochemical cycling of elements has been recognized but, to date, there is a limited understanding of the phage that infects them.  Roseophages are tailed dsDNA viruses with modest genome sizes of ~50-75 kb that infect roseobacter.  Information on latency and burst size for roseophages is limited, but the information available suggests that these phages have the potential for high productivity.  There are 9 roseophages described in the literature, while two are members of the </w:t>
      </w:r>
      <w:r>
        <w:rPr>
          <w:rFonts w:ascii="Times New Roman" w:hAnsi="Times New Roman" w:cs="Times New Roman"/>
          <w:i/>
          <w:sz w:val="24"/>
          <w:szCs w:val="24"/>
        </w:rPr>
        <w:t>Siphovirid</w:t>
      </w:r>
      <w:r w:rsidRPr="0083245E">
        <w:rPr>
          <w:rFonts w:ascii="Times New Roman" w:hAnsi="Times New Roman" w:cs="Times New Roman"/>
          <w:i/>
          <w:sz w:val="24"/>
          <w:szCs w:val="24"/>
        </w:rPr>
        <w:t>a</w:t>
      </w:r>
      <w:r>
        <w:rPr>
          <w:rFonts w:ascii="Times New Roman" w:hAnsi="Times New Roman" w:cs="Times New Roman"/>
          <w:i/>
          <w:sz w:val="24"/>
          <w:szCs w:val="24"/>
        </w:rPr>
        <w:t>e</w:t>
      </w:r>
      <w:r w:rsidRPr="0083245E">
        <w:rPr>
          <w:rFonts w:ascii="Times New Roman" w:hAnsi="Times New Roman" w:cs="Times New Roman"/>
          <w:sz w:val="24"/>
          <w:szCs w:val="24"/>
        </w:rPr>
        <w:t xml:space="preserve"> family</w:t>
      </w:r>
      <w:r>
        <w:rPr>
          <w:rFonts w:ascii="Times New Roman" w:hAnsi="Times New Roman" w:cs="Times New Roman"/>
          <w:sz w:val="24"/>
          <w:szCs w:val="24"/>
        </w:rPr>
        <w:t xml:space="preserve">, and the remaining seven belong to the </w:t>
      </w:r>
      <w:r w:rsidRPr="0083245E">
        <w:rPr>
          <w:rFonts w:ascii="Times New Roman" w:hAnsi="Times New Roman" w:cs="Times New Roman"/>
          <w:i/>
          <w:sz w:val="24"/>
          <w:szCs w:val="24"/>
        </w:rPr>
        <w:t>Podoviridae</w:t>
      </w:r>
      <w:r>
        <w:rPr>
          <w:rFonts w:ascii="Times New Roman" w:hAnsi="Times New Roman" w:cs="Times New Roman"/>
          <w:sz w:val="24"/>
          <w:szCs w:val="24"/>
        </w:rPr>
        <w:t xml:space="preserve"> family.  A roseophage in the </w:t>
      </w:r>
      <w:r w:rsidRPr="0083245E">
        <w:rPr>
          <w:rFonts w:ascii="Times New Roman" w:hAnsi="Times New Roman" w:cs="Times New Roman"/>
          <w:i/>
          <w:sz w:val="24"/>
          <w:szCs w:val="24"/>
        </w:rPr>
        <w:t>Siphoviridae</w:t>
      </w:r>
      <w:r>
        <w:rPr>
          <w:rFonts w:ascii="Times New Roman" w:hAnsi="Times New Roman" w:cs="Times New Roman"/>
          <w:sz w:val="24"/>
          <w:szCs w:val="24"/>
        </w:rPr>
        <w:t xml:space="preserve"> family, the r</w:t>
      </w:r>
      <w:r w:rsidRPr="0083245E">
        <w:rPr>
          <w:rFonts w:ascii="Times New Roman" w:hAnsi="Times New Roman" w:cs="Times New Roman"/>
          <w:sz w:val="24"/>
          <w:szCs w:val="24"/>
        </w:rPr>
        <w:t>oseophage RDJLɸ1</w:t>
      </w:r>
      <w:r>
        <w:rPr>
          <w:rFonts w:ascii="Times New Roman" w:hAnsi="Times New Roman" w:cs="Times New Roman"/>
          <w:sz w:val="24"/>
          <w:szCs w:val="24"/>
        </w:rPr>
        <w:t xml:space="preserve">, infects </w:t>
      </w:r>
      <w:r w:rsidRPr="0083245E">
        <w:rPr>
          <w:rFonts w:ascii="Times New Roman" w:hAnsi="Times New Roman" w:cs="Times New Roman"/>
          <w:i/>
          <w:sz w:val="24"/>
          <w:szCs w:val="24"/>
        </w:rPr>
        <w:t>Roseobacter denitrificans</w:t>
      </w:r>
      <w:r>
        <w:rPr>
          <w:rFonts w:ascii="Times New Roman" w:hAnsi="Times New Roman" w:cs="Times New Roman"/>
          <w:sz w:val="24"/>
          <w:szCs w:val="24"/>
        </w:rPr>
        <w:t xml:space="preserve"> and has an estimated latency period of ~80 min and a burst size of ~</w:t>
      </w:r>
      <w:proofErr w:type="gramStart"/>
      <w:r>
        <w:rPr>
          <w:rFonts w:ascii="Times New Roman" w:hAnsi="Times New Roman" w:cs="Times New Roman"/>
          <w:sz w:val="24"/>
          <w:szCs w:val="24"/>
        </w:rPr>
        <w:t>200.</w:t>
      </w:r>
      <w:r>
        <w:rPr>
          <w:rFonts w:ascii="Times New Roman" w:hAnsi="Times New Roman" w:cs="Times New Roman"/>
          <w:sz w:val="24"/>
          <w:szCs w:val="24"/>
          <w:vertAlign w:val="superscript"/>
        </w:rPr>
        <w:t>35</w:t>
      </w:r>
      <w:r>
        <w:rPr>
          <w:rFonts w:ascii="Times New Roman" w:hAnsi="Times New Roman" w:cs="Times New Roman"/>
          <w:sz w:val="24"/>
          <w:szCs w:val="24"/>
        </w:rPr>
        <w:t xml:space="preserve">  The</w:t>
      </w:r>
      <w:proofErr w:type="gramEnd"/>
      <w:r>
        <w:rPr>
          <w:rFonts w:ascii="Times New Roman" w:hAnsi="Times New Roman" w:cs="Times New Roman"/>
          <w:sz w:val="24"/>
          <w:szCs w:val="24"/>
        </w:rPr>
        <w:t xml:space="preserve"> characterized members in the </w:t>
      </w:r>
      <w:r w:rsidRPr="0083245E">
        <w:rPr>
          <w:rFonts w:ascii="Times New Roman" w:hAnsi="Times New Roman" w:cs="Times New Roman"/>
          <w:i/>
          <w:sz w:val="24"/>
          <w:szCs w:val="24"/>
        </w:rPr>
        <w:t>Podoviridae</w:t>
      </w:r>
      <w:r w:rsidRPr="0083245E">
        <w:rPr>
          <w:rFonts w:ascii="Times New Roman" w:hAnsi="Times New Roman" w:cs="Times New Roman"/>
          <w:sz w:val="24"/>
          <w:szCs w:val="24"/>
        </w:rPr>
        <w:t xml:space="preserve"> family</w:t>
      </w:r>
      <w:r>
        <w:rPr>
          <w:rFonts w:ascii="Times New Roman" w:hAnsi="Times New Roman" w:cs="Times New Roman"/>
          <w:sz w:val="24"/>
          <w:szCs w:val="24"/>
        </w:rPr>
        <w:t xml:space="preserve"> belong to the </w:t>
      </w:r>
      <w:r w:rsidRPr="0083245E">
        <w:rPr>
          <w:rFonts w:ascii="Times New Roman" w:hAnsi="Times New Roman" w:cs="Times New Roman"/>
          <w:sz w:val="24"/>
          <w:szCs w:val="24"/>
        </w:rPr>
        <w:t>T7-like or N4-like genera</w:t>
      </w:r>
      <w:r>
        <w:rPr>
          <w:rFonts w:ascii="Times New Roman" w:hAnsi="Times New Roman" w:cs="Times New Roman"/>
          <w:sz w:val="24"/>
          <w:szCs w:val="24"/>
        </w:rPr>
        <w:t xml:space="preserve">.  Two N4-like roseophages, </w:t>
      </w:r>
      <w:r w:rsidRPr="0083245E">
        <w:rPr>
          <w:rFonts w:ascii="Times New Roman" w:hAnsi="Times New Roman" w:cs="Times New Roman"/>
          <w:sz w:val="24"/>
          <w:szCs w:val="24"/>
        </w:rPr>
        <w:t>DSS3ɸ</w:t>
      </w:r>
      <w:r>
        <w:rPr>
          <w:rFonts w:ascii="Times New Roman" w:hAnsi="Times New Roman" w:cs="Times New Roman"/>
          <w:sz w:val="24"/>
          <w:szCs w:val="24"/>
        </w:rPr>
        <w:t xml:space="preserve">2 and </w:t>
      </w:r>
      <w:r w:rsidRPr="0083245E">
        <w:rPr>
          <w:rFonts w:ascii="Times New Roman" w:hAnsi="Times New Roman" w:cs="Times New Roman"/>
          <w:sz w:val="24"/>
          <w:szCs w:val="24"/>
        </w:rPr>
        <w:t>EE36ɸ1</w:t>
      </w:r>
      <w:r>
        <w:rPr>
          <w:rFonts w:ascii="Times New Roman" w:hAnsi="Times New Roman" w:cs="Times New Roman"/>
          <w:sz w:val="24"/>
          <w:szCs w:val="24"/>
        </w:rPr>
        <w:t xml:space="preserve">, were </w:t>
      </w:r>
      <w:r>
        <w:rPr>
          <w:rFonts w:ascii="Times New Roman" w:hAnsi="Times New Roman" w:cs="Times New Roman"/>
          <w:sz w:val="24"/>
          <w:szCs w:val="24"/>
        </w:rPr>
        <w:lastRenderedPageBreak/>
        <w:t>isolated from the Chesapeake Bay area and have latency periods between 2-3 h and burst sizes that range from 350-1500.</w:t>
      </w:r>
      <w:r>
        <w:rPr>
          <w:rFonts w:ascii="Times New Roman" w:hAnsi="Times New Roman" w:cs="Times New Roman"/>
          <w:sz w:val="24"/>
          <w:szCs w:val="24"/>
          <w:vertAlign w:val="superscript"/>
        </w:rPr>
        <w:t>36</w:t>
      </w:r>
      <w:r>
        <w:rPr>
          <w:rFonts w:ascii="Times New Roman" w:hAnsi="Times New Roman" w:cs="Times New Roman"/>
          <w:sz w:val="24"/>
          <w:szCs w:val="24"/>
        </w:rPr>
        <w:t xml:space="preserve">  These burst sizes are in disagreement with the average of 24 for bacterioplankton</w:t>
      </w:r>
      <w:r w:rsidRPr="0083245E">
        <w:rPr>
          <w:rFonts w:ascii="Times New Roman" w:hAnsi="Times New Roman" w:cs="Times New Roman"/>
          <w:sz w:val="24"/>
          <w:szCs w:val="24"/>
        </w:rPr>
        <w:t>.</w:t>
      </w:r>
      <w:r>
        <w:rPr>
          <w:rFonts w:ascii="Times New Roman" w:hAnsi="Times New Roman" w:cs="Times New Roman"/>
          <w:sz w:val="24"/>
          <w:szCs w:val="24"/>
          <w:vertAlign w:val="superscript"/>
        </w:rPr>
        <w:t>37</w:t>
      </w:r>
      <w:r>
        <w:rPr>
          <w:rFonts w:ascii="Times New Roman" w:hAnsi="Times New Roman" w:cs="Times New Roman"/>
          <w:sz w:val="24"/>
          <w:szCs w:val="24"/>
        </w:rPr>
        <w:t xml:space="preserve">  This can be explained because latency and burst size depend on the physiological status of the host and have been found to be shorter and larger, respectively, in cultured studies than in natural environments.</w:t>
      </w:r>
      <w:r>
        <w:rPr>
          <w:rFonts w:ascii="Times New Roman" w:hAnsi="Times New Roman" w:cs="Times New Roman"/>
          <w:sz w:val="24"/>
          <w:szCs w:val="24"/>
          <w:vertAlign w:val="superscript"/>
        </w:rPr>
        <w:t>38</w:t>
      </w:r>
      <w:r w:rsidRPr="0083245E">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39</w:t>
      </w:r>
      <w:r>
        <w:rPr>
          <w:rFonts w:ascii="Times New Roman" w:hAnsi="Times New Roman" w:cs="Times New Roman"/>
          <w:sz w:val="24"/>
          <w:szCs w:val="24"/>
        </w:rPr>
        <w:t xml:space="preserve">  Regardless of the conflicting data, the data provides a step forward in the understanding of the potential of roseophage to cause viral lysis and change host metabolism, especially in high-nutrient niches where the host would be expected to have a higher metabolically active dense population.  </w:t>
      </w:r>
      <w:r w:rsidRPr="0083245E">
        <w:rPr>
          <w:rFonts w:ascii="Times New Roman" w:hAnsi="Times New Roman" w:cs="Times New Roman"/>
          <w:sz w:val="24"/>
          <w:szCs w:val="24"/>
        </w:rPr>
        <w:t xml:space="preserve"> </w:t>
      </w:r>
    </w:p>
    <w:p w:rsidR="00A866A8" w:rsidRDefault="00A866A8" w:rsidP="00A866A8">
      <w:pPr>
        <w:widowControl w:val="0"/>
        <w:spacing w:line="360" w:lineRule="auto"/>
        <w:jc w:val="both"/>
        <w:rPr>
          <w:rFonts w:ascii="Times New Roman" w:hAnsi="Times New Roman" w:cs="Times New Roman"/>
          <w:sz w:val="24"/>
          <w:szCs w:val="24"/>
        </w:rPr>
      </w:pPr>
    </w:p>
    <w:p w:rsidR="00A866A8" w:rsidRDefault="00A866A8" w:rsidP="00A866A8">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N4-like group has become the model for studies of roseophage biology.  The abundance of N4-like roseophage is greater in coastal environments compared to open </w:t>
      </w:r>
      <w:proofErr w:type="gramStart"/>
      <w:r>
        <w:rPr>
          <w:rFonts w:ascii="Times New Roman" w:hAnsi="Times New Roman" w:cs="Times New Roman"/>
          <w:sz w:val="24"/>
          <w:szCs w:val="24"/>
        </w:rPr>
        <w:t>ocean.</w:t>
      </w:r>
      <w:r>
        <w:rPr>
          <w:rFonts w:ascii="Times New Roman" w:hAnsi="Times New Roman" w:cs="Times New Roman"/>
          <w:sz w:val="24"/>
          <w:szCs w:val="24"/>
          <w:vertAlign w:val="superscript"/>
        </w:rPr>
        <w:t>36</w:t>
      </w:r>
      <w:r>
        <w:rPr>
          <w:rFonts w:ascii="Times New Roman" w:hAnsi="Times New Roman" w:cs="Times New Roman"/>
          <w:sz w:val="24"/>
          <w:szCs w:val="24"/>
        </w:rPr>
        <w:t xml:space="preserve">  The</w:t>
      </w:r>
      <w:proofErr w:type="gramEnd"/>
      <w:r>
        <w:rPr>
          <w:rFonts w:ascii="Times New Roman" w:hAnsi="Times New Roman" w:cs="Times New Roman"/>
          <w:sz w:val="24"/>
          <w:szCs w:val="24"/>
        </w:rPr>
        <w:t xml:space="preserve"> sequences can be found in metagenome databases, and there is high sequence conservation between the two characterized N4-like roseophages, </w:t>
      </w:r>
      <w:r w:rsidRPr="0083245E">
        <w:rPr>
          <w:rFonts w:ascii="Times New Roman" w:hAnsi="Times New Roman" w:cs="Times New Roman"/>
          <w:sz w:val="24"/>
          <w:szCs w:val="24"/>
        </w:rPr>
        <w:t>DSS3ɸ</w:t>
      </w:r>
      <w:r>
        <w:rPr>
          <w:rFonts w:ascii="Times New Roman" w:hAnsi="Times New Roman" w:cs="Times New Roman"/>
          <w:sz w:val="24"/>
          <w:szCs w:val="24"/>
        </w:rPr>
        <w:t xml:space="preserve">2 and </w:t>
      </w:r>
      <w:r w:rsidRPr="0083245E">
        <w:rPr>
          <w:rFonts w:ascii="Times New Roman" w:hAnsi="Times New Roman" w:cs="Times New Roman"/>
          <w:sz w:val="24"/>
          <w:szCs w:val="24"/>
        </w:rPr>
        <w:t>EE36ɸ1</w:t>
      </w:r>
      <w:r>
        <w:rPr>
          <w:rFonts w:ascii="Times New Roman" w:hAnsi="Times New Roman" w:cs="Times New Roman"/>
          <w:sz w:val="24"/>
          <w:szCs w:val="24"/>
        </w:rPr>
        <w:t xml:space="preserve">, of the </w:t>
      </w:r>
      <w:r w:rsidRPr="0083245E">
        <w:rPr>
          <w:rFonts w:ascii="Times New Roman" w:hAnsi="Times New Roman" w:cs="Times New Roman"/>
          <w:i/>
          <w:sz w:val="24"/>
          <w:szCs w:val="24"/>
        </w:rPr>
        <w:t>Podoviridae</w:t>
      </w:r>
      <w:r w:rsidRPr="0083245E">
        <w:rPr>
          <w:rFonts w:ascii="Times New Roman" w:hAnsi="Times New Roman" w:cs="Times New Roman"/>
          <w:sz w:val="24"/>
          <w:szCs w:val="24"/>
        </w:rPr>
        <w:t xml:space="preserve"> family</w:t>
      </w:r>
      <w:r>
        <w:rPr>
          <w:rFonts w:ascii="Times New Roman" w:hAnsi="Times New Roman" w:cs="Times New Roman"/>
          <w:sz w:val="24"/>
          <w:szCs w:val="24"/>
        </w:rPr>
        <w:t>.  Although the conservation in sequence is high, both phages infect different host.  Conservation in sequence is a poor predictor of preferred host as &gt;85% of all ORFs share 80-94% sequence identity.</w:t>
      </w:r>
      <w:r>
        <w:rPr>
          <w:rFonts w:ascii="Times New Roman" w:hAnsi="Times New Roman" w:cs="Times New Roman"/>
          <w:sz w:val="24"/>
          <w:szCs w:val="24"/>
          <w:vertAlign w:val="superscript"/>
        </w:rPr>
        <w:t>36</w:t>
      </w:r>
      <w:r>
        <w:rPr>
          <w:rFonts w:ascii="Times New Roman" w:hAnsi="Times New Roman" w:cs="Times New Roman"/>
          <w:sz w:val="24"/>
          <w:szCs w:val="24"/>
        </w:rPr>
        <w:t xml:space="preserve">  The correlation between the abundance of phage and host is yet to be determined, but the available data suggests a greater abundance of  N4-like roseophages in habitats favored by their specific hosts.</w:t>
      </w:r>
    </w:p>
    <w:p w:rsidR="00A866A8" w:rsidRDefault="00A866A8" w:rsidP="00A866A8">
      <w:pPr>
        <w:widowControl w:val="0"/>
        <w:spacing w:line="360" w:lineRule="auto"/>
        <w:jc w:val="both"/>
        <w:rPr>
          <w:rFonts w:ascii="Times New Roman" w:hAnsi="Times New Roman" w:cs="Times New Roman"/>
          <w:b/>
          <w:i/>
          <w:sz w:val="24"/>
          <w:szCs w:val="24"/>
        </w:rPr>
      </w:pPr>
    </w:p>
    <w:p w:rsidR="00A866A8" w:rsidRDefault="00A866A8" w:rsidP="00A866A8">
      <w:pPr>
        <w:widowControl w:val="0"/>
        <w:spacing w:line="360" w:lineRule="auto"/>
        <w:jc w:val="both"/>
        <w:rPr>
          <w:rFonts w:ascii="Times New Roman" w:hAnsi="Times New Roman" w:cs="Times New Roman"/>
          <w:sz w:val="24"/>
          <w:szCs w:val="24"/>
        </w:rPr>
      </w:pPr>
      <w:r w:rsidRPr="0083245E">
        <w:rPr>
          <w:rFonts w:ascii="Times New Roman" w:hAnsi="Times New Roman" w:cs="Times New Roman"/>
          <w:b/>
          <w:i/>
          <w:sz w:val="24"/>
          <w:szCs w:val="24"/>
        </w:rPr>
        <w:t>Molecular Tools and Marine Virus Communities</w:t>
      </w:r>
    </w:p>
    <w:p w:rsidR="00A866A8" w:rsidRPr="00F23A69" w:rsidRDefault="00A866A8" w:rsidP="00A866A8">
      <w:pPr>
        <w:widowControl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Genetic diversity is a function of the total abundance of different virus types (richness), the numerical distribution of viruses within and across groups (evenness), and the differences in genetics within and across groups (relatedness).  The comparisons of whole genomes have proven that conserved genes exist among different viral genomes and can be used as phylogenetic </w:t>
      </w:r>
      <w:proofErr w:type="gramStart"/>
      <w:r>
        <w:rPr>
          <w:rFonts w:ascii="Times New Roman" w:hAnsi="Times New Roman" w:cs="Times New Roman"/>
          <w:sz w:val="24"/>
          <w:szCs w:val="24"/>
        </w:rPr>
        <w:t>markers.</w:t>
      </w:r>
      <w:r>
        <w:rPr>
          <w:rFonts w:ascii="Times New Roman" w:hAnsi="Times New Roman" w:cs="Times New Roman"/>
          <w:sz w:val="24"/>
          <w:szCs w:val="24"/>
          <w:vertAlign w:val="superscript"/>
        </w:rPr>
        <w:t>40</w:t>
      </w:r>
      <w:r>
        <w:rPr>
          <w:rFonts w:ascii="Times New Roman" w:hAnsi="Times New Roman" w:cs="Times New Roman"/>
          <w:sz w:val="24"/>
          <w:szCs w:val="24"/>
        </w:rPr>
        <w:t xml:space="preserve">  These</w:t>
      </w:r>
      <w:proofErr w:type="gramEnd"/>
      <w:r>
        <w:rPr>
          <w:rFonts w:ascii="Times New Roman" w:hAnsi="Times New Roman" w:cs="Times New Roman"/>
          <w:sz w:val="24"/>
          <w:szCs w:val="24"/>
        </w:rPr>
        <w:t xml:space="preserve"> genes have been used in diversity studies, and viruses that infect primary producers are targeted.  The genes of interest are typically the cyanophage g20</w:t>
      </w:r>
      <w:r>
        <w:rPr>
          <w:rFonts w:ascii="Times New Roman" w:hAnsi="Times New Roman" w:cs="Times New Roman"/>
          <w:sz w:val="24"/>
          <w:szCs w:val="24"/>
          <w:vertAlign w:val="superscript"/>
        </w:rPr>
        <w:t>41</w:t>
      </w:r>
      <w:r>
        <w:rPr>
          <w:rFonts w:ascii="Times New Roman" w:hAnsi="Times New Roman" w:cs="Times New Roman"/>
          <w:sz w:val="24"/>
          <w:szCs w:val="24"/>
        </w:rPr>
        <w:t xml:space="preserve"> and the </w:t>
      </w:r>
      <w:r w:rsidRPr="0083245E">
        <w:rPr>
          <w:rFonts w:ascii="Times New Roman" w:hAnsi="Times New Roman" w:cs="Times New Roman"/>
          <w:i/>
          <w:sz w:val="24"/>
          <w:szCs w:val="24"/>
        </w:rPr>
        <w:t>Phycodnaviridae</w:t>
      </w:r>
      <w:r w:rsidRPr="0083245E">
        <w:rPr>
          <w:rFonts w:ascii="Times New Roman" w:hAnsi="Times New Roman" w:cs="Times New Roman"/>
          <w:sz w:val="24"/>
          <w:szCs w:val="24"/>
        </w:rPr>
        <w:t xml:space="preserve"> DNA polymerase</w:t>
      </w:r>
      <w:r w:rsidRPr="0083245E">
        <w:rPr>
          <w:rFonts w:ascii="Times New Roman" w:hAnsi="Times New Roman" w:cs="Times New Roman"/>
          <w:b/>
          <w:sz w:val="24"/>
          <w:szCs w:val="24"/>
        </w:rPr>
        <w:t xml:space="preserve"> </w:t>
      </w:r>
      <w:r w:rsidRPr="0083245E">
        <w:rPr>
          <w:rFonts w:ascii="Times New Roman" w:hAnsi="Times New Roman" w:cs="Times New Roman"/>
          <w:sz w:val="24"/>
          <w:szCs w:val="24"/>
        </w:rPr>
        <w:t>genes.</w:t>
      </w:r>
      <w:r>
        <w:rPr>
          <w:rFonts w:ascii="Times New Roman" w:hAnsi="Times New Roman" w:cs="Times New Roman"/>
          <w:sz w:val="24"/>
          <w:szCs w:val="24"/>
          <w:vertAlign w:val="superscript"/>
        </w:rPr>
        <w:t>42</w:t>
      </w:r>
      <w:r>
        <w:rPr>
          <w:rFonts w:ascii="Times New Roman" w:hAnsi="Times New Roman" w:cs="Times New Roman"/>
          <w:sz w:val="24"/>
          <w:szCs w:val="24"/>
        </w:rPr>
        <w:t xml:space="preserve">  The majority of roseophages have not been isolated in lab cultures as was determined by direct studies that sequenced viral fractions from seawater.  The diversity of viral metagenomes from the fractions confirmed previous hypotheses that </w:t>
      </w:r>
      <w:r>
        <w:rPr>
          <w:rFonts w:ascii="Times New Roman" w:hAnsi="Times New Roman" w:cs="Times New Roman"/>
          <w:sz w:val="24"/>
          <w:szCs w:val="24"/>
        </w:rPr>
        <w:lastRenderedPageBreak/>
        <w:t>roseophages exist as a diverse community, and previously unrecognized viral entities were identified.</w:t>
      </w:r>
      <w:r>
        <w:rPr>
          <w:rFonts w:ascii="Times New Roman" w:hAnsi="Times New Roman" w:cs="Times New Roman"/>
          <w:sz w:val="24"/>
          <w:szCs w:val="24"/>
          <w:vertAlign w:val="superscript"/>
        </w:rPr>
        <w:t>43</w:t>
      </w:r>
      <w:proofErr w:type="gramStart"/>
      <w:r>
        <w:rPr>
          <w:rFonts w:ascii="Times New Roman" w:hAnsi="Times New Roman" w:cs="Times New Roman"/>
          <w:sz w:val="24"/>
          <w:szCs w:val="24"/>
          <w:vertAlign w:val="superscript"/>
        </w:rPr>
        <w:t>,44</w:t>
      </w:r>
      <w:proofErr w:type="gramEnd"/>
      <w:r>
        <w:rPr>
          <w:rFonts w:ascii="Times New Roman" w:hAnsi="Times New Roman" w:cs="Times New Roman"/>
          <w:sz w:val="24"/>
          <w:szCs w:val="24"/>
        </w:rPr>
        <w:t xml:space="preserve">  To date much of the efforts to catalog the genetic diversity of marine viral communities have focused on richness and relatedness, while evenness, or specific quantification,</w:t>
      </w:r>
      <w:r>
        <w:rPr>
          <w:rFonts w:ascii="Times New Roman" w:hAnsi="Times New Roman" w:cs="Times New Roman"/>
          <w:sz w:val="24"/>
          <w:szCs w:val="24"/>
          <w:vertAlign w:val="superscript"/>
        </w:rPr>
        <w:t>45-47</w:t>
      </w:r>
      <w:r>
        <w:rPr>
          <w:rFonts w:ascii="Times New Roman" w:hAnsi="Times New Roman" w:cs="Times New Roman"/>
          <w:sz w:val="24"/>
          <w:szCs w:val="24"/>
        </w:rPr>
        <w:t xml:space="preserve"> has received less attention.</w:t>
      </w:r>
    </w:p>
    <w:p w:rsidR="005E3076" w:rsidRDefault="005E3076" w:rsidP="005E3076">
      <w:pPr>
        <w:spacing w:line="360" w:lineRule="auto"/>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b/>
          <w:i/>
          <w:sz w:val="24"/>
          <w:szCs w:val="24"/>
        </w:rPr>
        <w:t>Merits of Liquid Chromatography-Mass Spectrometry</w:t>
      </w:r>
    </w:p>
    <w:p w:rsidR="005E3076" w:rsidRPr="0083245E"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sz w:val="24"/>
          <w:szCs w:val="24"/>
        </w:rPr>
        <w:t xml:space="preserve">Liquid chromatography (LC) separates compounds from </w:t>
      </w:r>
      <w:r w:rsidR="00271ABF">
        <w:rPr>
          <w:rFonts w:ascii="Times New Roman" w:hAnsi="Times New Roman" w:cs="Times New Roman"/>
          <w:sz w:val="24"/>
          <w:szCs w:val="24"/>
        </w:rPr>
        <w:t>one another resulting in a confi</w:t>
      </w:r>
      <w:r w:rsidRPr="0083245E">
        <w:rPr>
          <w:rFonts w:ascii="Times New Roman" w:hAnsi="Times New Roman" w:cs="Times New Roman"/>
          <w:sz w:val="24"/>
          <w:szCs w:val="24"/>
        </w:rPr>
        <w:t>rmation point of retention time (RT) and separates compounds from ion suppression zones reducing ion suppression of target compounds when using Electrospray Ionization (ESI).  Direct infusion would result in all compounds and anything in the matrix present at the same time during ionization</w:t>
      </w:r>
      <w:r w:rsidR="00CC3CE4">
        <w:rPr>
          <w:rFonts w:ascii="Times New Roman" w:hAnsi="Times New Roman" w:cs="Times New Roman"/>
          <w:sz w:val="24"/>
          <w:szCs w:val="24"/>
        </w:rPr>
        <w:t>,</w:t>
      </w:r>
      <w:r w:rsidRPr="0083245E">
        <w:rPr>
          <w:rFonts w:ascii="Times New Roman" w:hAnsi="Times New Roman" w:cs="Times New Roman"/>
          <w:sz w:val="24"/>
          <w:szCs w:val="24"/>
        </w:rPr>
        <w:t xml:space="preserve"> </w:t>
      </w:r>
      <w:r w:rsidR="00FC4CC9">
        <w:rPr>
          <w:rFonts w:ascii="Times New Roman" w:hAnsi="Times New Roman" w:cs="Times New Roman"/>
          <w:sz w:val="24"/>
          <w:szCs w:val="24"/>
        </w:rPr>
        <w:t>in addition to</w:t>
      </w:r>
      <w:r w:rsidR="00CC3CE4">
        <w:rPr>
          <w:rFonts w:ascii="Times New Roman" w:hAnsi="Times New Roman" w:cs="Times New Roman"/>
          <w:sz w:val="24"/>
          <w:szCs w:val="24"/>
        </w:rPr>
        <w:t>,</w:t>
      </w:r>
      <w:r w:rsidR="00FC4CC9">
        <w:rPr>
          <w:rFonts w:ascii="Times New Roman" w:hAnsi="Times New Roman" w:cs="Times New Roman"/>
          <w:sz w:val="24"/>
          <w:szCs w:val="24"/>
        </w:rPr>
        <w:t xml:space="preserve"> manually infusing</w:t>
      </w:r>
      <w:r w:rsidRPr="0083245E">
        <w:rPr>
          <w:rFonts w:ascii="Times New Roman" w:hAnsi="Times New Roman" w:cs="Times New Roman"/>
          <w:sz w:val="24"/>
          <w:szCs w:val="24"/>
        </w:rPr>
        <w:t xml:space="preserve"> each sample which is impractical for a high volume of samples.  An autosampler can automate injections using flow injection analysis (FIA)</w:t>
      </w:r>
      <w:r w:rsidR="00CC3CE4">
        <w:rPr>
          <w:rFonts w:ascii="Times New Roman" w:hAnsi="Times New Roman" w:cs="Times New Roman"/>
          <w:sz w:val="24"/>
          <w:szCs w:val="24"/>
        </w:rPr>
        <w:t>,</w:t>
      </w:r>
      <w:r w:rsidRPr="0083245E">
        <w:rPr>
          <w:rFonts w:ascii="Times New Roman" w:hAnsi="Times New Roman" w:cs="Times New Roman"/>
          <w:sz w:val="24"/>
          <w:szCs w:val="24"/>
        </w:rPr>
        <w:t xml:space="preserve"> but will still result in ion suppression.  LC before ESI reduces ion su</w:t>
      </w:r>
      <w:r w:rsidR="00271ABF">
        <w:rPr>
          <w:rFonts w:ascii="Times New Roman" w:hAnsi="Times New Roman" w:cs="Times New Roman"/>
          <w:sz w:val="24"/>
          <w:szCs w:val="24"/>
        </w:rPr>
        <w:t>ppression and produces the confi</w:t>
      </w:r>
      <w:r w:rsidRPr="0083245E">
        <w:rPr>
          <w:rFonts w:ascii="Times New Roman" w:hAnsi="Times New Roman" w:cs="Times New Roman"/>
          <w:sz w:val="24"/>
          <w:szCs w:val="24"/>
        </w:rPr>
        <w:t>rmation point of RT reducing false positives.</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Mass spectrometry (MS) detection applies a mass filter that can separate compounds based on their difference in </w:t>
      </w:r>
      <w:r w:rsidRPr="00CC3CE4">
        <w:rPr>
          <w:rFonts w:ascii="Times New Roman" w:hAnsi="Times New Roman" w:cs="Times New Roman"/>
          <w:i/>
          <w:sz w:val="24"/>
          <w:szCs w:val="24"/>
        </w:rPr>
        <w:t>m/z</w:t>
      </w:r>
      <w:r w:rsidRPr="0083245E">
        <w:rPr>
          <w:rFonts w:ascii="Times New Roman" w:hAnsi="Times New Roman" w:cs="Times New Roman"/>
          <w:sz w:val="24"/>
          <w:szCs w:val="24"/>
        </w:rPr>
        <w:t xml:space="preserve"> removing the requirement of baseline resolution of chromatographic peaks when using UV-Vis as a detector.  However, in some cases MS requires baseline resolution when the isotope of a compound passes through the mass filter of another compound.  It would be almost impossible to know if an impurity co-elutes with a target compound when a shoulder is not present and erroneous quantitation would result using UV-Vis whereas MS can mass filter the impurity.  The ability of MS to mass filter impurities also saves method development time as baseline resolution is not required and when switching from standards to samples the introduction of impurities does not require further method development to achieve baseline resolution of sample impurities.</w:t>
      </w:r>
      <w:r w:rsidR="00E35DD4">
        <w:rPr>
          <w:rFonts w:ascii="Times New Roman" w:hAnsi="Times New Roman" w:cs="Times New Roman"/>
          <w:sz w:val="24"/>
          <w:szCs w:val="24"/>
          <w:vertAlign w:val="superscript"/>
        </w:rPr>
        <w:t>48</w:t>
      </w:r>
      <w:r w:rsidRPr="0083245E">
        <w:rPr>
          <w:rFonts w:ascii="Times New Roman" w:hAnsi="Times New Roman" w:cs="Times New Roman"/>
          <w:sz w:val="24"/>
          <w:szCs w:val="24"/>
        </w:rPr>
        <w:t xml:space="preserve">  </w:t>
      </w:r>
    </w:p>
    <w:p w:rsidR="00E5538D" w:rsidRDefault="00E5538D" w:rsidP="005E3076">
      <w:pPr>
        <w:spacing w:line="360" w:lineRule="auto"/>
        <w:jc w:val="both"/>
        <w:rPr>
          <w:rFonts w:ascii="Times New Roman" w:hAnsi="Times New Roman" w:cs="Times New Roman"/>
          <w:sz w:val="24"/>
          <w:szCs w:val="24"/>
        </w:rPr>
      </w:pPr>
    </w:p>
    <w:p w:rsidR="002A449E" w:rsidRDefault="002A449E"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vertAlign w:val="superscript"/>
        </w:rPr>
      </w:pPr>
      <w:r w:rsidRPr="0083245E">
        <w:rPr>
          <w:rFonts w:ascii="Times New Roman" w:hAnsi="Times New Roman" w:cs="Times New Roman"/>
          <w:sz w:val="24"/>
          <w:szCs w:val="24"/>
        </w:rPr>
        <w:lastRenderedPageBreak/>
        <w:t>The detection limits of MS is generally lower than UV-Vis</w:t>
      </w:r>
      <w:r w:rsidR="00CC3CE4">
        <w:rPr>
          <w:rFonts w:ascii="Times New Roman" w:hAnsi="Times New Roman" w:cs="Times New Roman"/>
          <w:sz w:val="24"/>
          <w:szCs w:val="24"/>
        </w:rPr>
        <w:t>,</w:t>
      </w:r>
      <w:r w:rsidRPr="0083245E">
        <w:rPr>
          <w:rFonts w:ascii="Times New Roman" w:hAnsi="Times New Roman" w:cs="Times New Roman"/>
          <w:sz w:val="24"/>
          <w:szCs w:val="24"/>
        </w:rPr>
        <w:t xml:space="preserve">  because UV-Vis uses one wavelength for all compounds in the analysis even though each compound has its own optimum lamba max and mobile phases have absorbance that results in background that changes when gradients are used.  MS/MS detection in Selected Reaction Monitoring (SRM) scan mode uses an optimized Collision Energy (CE) for each compound</w:t>
      </w:r>
      <w:r w:rsidR="00CC3CE4">
        <w:rPr>
          <w:rFonts w:ascii="Times New Roman" w:hAnsi="Times New Roman" w:cs="Times New Roman"/>
          <w:sz w:val="24"/>
          <w:szCs w:val="24"/>
        </w:rPr>
        <w:t>,</w:t>
      </w:r>
      <w:r w:rsidRPr="0083245E">
        <w:rPr>
          <w:rFonts w:ascii="Times New Roman" w:hAnsi="Times New Roman" w:cs="Times New Roman"/>
          <w:sz w:val="24"/>
          <w:szCs w:val="24"/>
        </w:rPr>
        <w:t xml:space="preserve"> and the background of mobile phases are mass filtered out of the chromatogram.  The advantage of MS detection is clear</w:t>
      </w:r>
      <w:r w:rsidR="00CC3CE4">
        <w:rPr>
          <w:rFonts w:ascii="Times New Roman" w:hAnsi="Times New Roman" w:cs="Times New Roman"/>
          <w:sz w:val="24"/>
          <w:szCs w:val="24"/>
        </w:rPr>
        <w:t>,</w:t>
      </w:r>
      <w:r w:rsidRPr="0083245E">
        <w:rPr>
          <w:rFonts w:ascii="Times New Roman" w:hAnsi="Times New Roman" w:cs="Times New Roman"/>
          <w:sz w:val="24"/>
          <w:szCs w:val="24"/>
        </w:rPr>
        <w:t xml:space="preserve"> but MS has its own challenge of needing an ion whereas UV-Vis needs a chromophore.  The ion is needed because neutrals are not affected by electric fields and cannot be guided to the detector nor mass filtered.  Many different ion sources utilizing different ionization mechanisms have been developed to circumvent this problem</w:t>
      </w:r>
      <w:r w:rsidR="005531B2">
        <w:rPr>
          <w:rFonts w:ascii="Times New Roman" w:hAnsi="Times New Roman" w:cs="Times New Roman"/>
          <w:sz w:val="24"/>
          <w:szCs w:val="24"/>
        </w:rPr>
        <w:t>,</w:t>
      </w:r>
      <w:r w:rsidRPr="0083245E">
        <w:rPr>
          <w:rFonts w:ascii="Times New Roman" w:hAnsi="Times New Roman" w:cs="Times New Roman"/>
          <w:sz w:val="24"/>
          <w:szCs w:val="24"/>
        </w:rPr>
        <w:t xml:space="preserve"> and derivatization of target compound</w:t>
      </w:r>
      <w:r w:rsidR="005531B2">
        <w:rPr>
          <w:rFonts w:ascii="Times New Roman" w:hAnsi="Times New Roman" w:cs="Times New Roman"/>
          <w:sz w:val="24"/>
          <w:szCs w:val="24"/>
        </w:rPr>
        <w:t>s</w:t>
      </w:r>
      <w:r w:rsidRPr="0083245E">
        <w:rPr>
          <w:rFonts w:ascii="Times New Roman" w:hAnsi="Times New Roman" w:cs="Times New Roman"/>
          <w:sz w:val="24"/>
          <w:szCs w:val="24"/>
        </w:rPr>
        <w:t xml:space="preserve"> to increase ionization efficiency</w:t>
      </w:r>
      <w:r w:rsidR="005531B2">
        <w:rPr>
          <w:rFonts w:ascii="Times New Roman" w:hAnsi="Times New Roman" w:cs="Times New Roman"/>
          <w:sz w:val="24"/>
          <w:szCs w:val="24"/>
        </w:rPr>
        <w:t xml:space="preserve"> has been used</w:t>
      </w:r>
      <w:r w:rsidRPr="0083245E">
        <w:rPr>
          <w:rFonts w:ascii="Times New Roman" w:hAnsi="Times New Roman" w:cs="Times New Roman"/>
          <w:sz w:val="24"/>
          <w:szCs w:val="24"/>
        </w:rPr>
        <w:t>.</w:t>
      </w:r>
      <w:r w:rsidR="00E35DD4">
        <w:rPr>
          <w:rFonts w:ascii="Times New Roman" w:hAnsi="Times New Roman" w:cs="Times New Roman"/>
          <w:sz w:val="24"/>
          <w:szCs w:val="24"/>
          <w:vertAlign w:val="superscript"/>
        </w:rPr>
        <w:t>49</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LC-MS results in two confirmation points of RT and </w:t>
      </w:r>
      <w:r w:rsidRPr="005531B2">
        <w:rPr>
          <w:rFonts w:ascii="Times New Roman" w:hAnsi="Times New Roman" w:cs="Times New Roman"/>
          <w:i/>
          <w:sz w:val="24"/>
          <w:szCs w:val="24"/>
        </w:rPr>
        <w:t>m/z</w:t>
      </w:r>
      <w:r w:rsidRPr="0083245E">
        <w:rPr>
          <w:rFonts w:ascii="Times New Roman" w:hAnsi="Times New Roman" w:cs="Times New Roman"/>
          <w:sz w:val="24"/>
          <w:szCs w:val="24"/>
        </w:rPr>
        <w:t xml:space="preserve"> to identify a compound.  More confirmation points and higher selectivity is obtained when performing MS/MS.  The SRM scan mode on a triple quadrupole results in three confirmation points of RT, parent ion, and product ion.  Further confirmation points are obtained by monitoring the same parent ion at other product ions to reduce false positives.</w:t>
      </w:r>
      <w:r w:rsidR="00E35DD4">
        <w:rPr>
          <w:rFonts w:ascii="Times New Roman" w:hAnsi="Times New Roman" w:cs="Times New Roman"/>
          <w:sz w:val="24"/>
          <w:szCs w:val="24"/>
          <w:vertAlign w:val="superscript"/>
        </w:rPr>
        <w:t>50</w:t>
      </w:r>
      <w:r w:rsidRPr="0083245E">
        <w:rPr>
          <w:rFonts w:ascii="Times New Roman" w:hAnsi="Times New Roman" w:cs="Times New Roman"/>
          <w:sz w:val="24"/>
          <w:szCs w:val="24"/>
        </w:rPr>
        <w:t xml:space="preserve"> </w:t>
      </w:r>
    </w:p>
    <w:p w:rsidR="005E3076" w:rsidRPr="0083245E" w:rsidRDefault="005E3076" w:rsidP="005E3076">
      <w:pPr>
        <w:spacing w:line="360" w:lineRule="auto"/>
        <w:jc w:val="both"/>
        <w:rPr>
          <w:rFonts w:ascii="Times New Roman" w:hAnsi="Times New Roman" w:cs="Times New Roman"/>
          <w:b/>
          <w:i/>
          <w:sz w:val="24"/>
          <w:szCs w:val="24"/>
        </w:rPr>
      </w:pPr>
    </w:p>
    <w:p w:rsidR="005E3076" w:rsidRDefault="005E3076" w:rsidP="005E3076">
      <w:pPr>
        <w:spacing w:line="360" w:lineRule="auto"/>
        <w:jc w:val="both"/>
        <w:rPr>
          <w:rFonts w:ascii="Times New Roman" w:hAnsi="Times New Roman" w:cs="Times New Roman"/>
          <w:b/>
          <w:i/>
          <w:sz w:val="24"/>
          <w:szCs w:val="24"/>
        </w:rPr>
      </w:pPr>
    </w:p>
    <w:p w:rsidR="005E3076" w:rsidRDefault="005E3076" w:rsidP="005E3076">
      <w:pPr>
        <w:spacing w:line="360" w:lineRule="auto"/>
        <w:jc w:val="both"/>
        <w:rPr>
          <w:rFonts w:ascii="Times New Roman" w:hAnsi="Times New Roman" w:cs="Times New Roman"/>
          <w:b/>
          <w:i/>
          <w:sz w:val="24"/>
          <w:szCs w:val="24"/>
        </w:rPr>
      </w:pPr>
    </w:p>
    <w:p w:rsidR="005E3076" w:rsidRDefault="005E3076" w:rsidP="005E3076">
      <w:pPr>
        <w:spacing w:line="360" w:lineRule="auto"/>
        <w:jc w:val="both"/>
        <w:rPr>
          <w:rFonts w:ascii="Times New Roman" w:hAnsi="Times New Roman" w:cs="Times New Roman"/>
          <w:b/>
          <w:i/>
          <w:sz w:val="24"/>
          <w:szCs w:val="24"/>
        </w:rPr>
      </w:pPr>
    </w:p>
    <w:p w:rsidR="00350523" w:rsidRDefault="00350523" w:rsidP="005E3076">
      <w:pPr>
        <w:spacing w:line="360" w:lineRule="auto"/>
        <w:jc w:val="both"/>
        <w:rPr>
          <w:rFonts w:ascii="Times New Roman" w:hAnsi="Times New Roman" w:cs="Times New Roman"/>
          <w:b/>
          <w:i/>
          <w:sz w:val="24"/>
          <w:szCs w:val="24"/>
        </w:rPr>
      </w:pPr>
    </w:p>
    <w:p w:rsidR="00350523" w:rsidRDefault="00350523" w:rsidP="005E3076">
      <w:pPr>
        <w:spacing w:line="360" w:lineRule="auto"/>
        <w:jc w:val="both"/>
        <w:rPr>
          <w:rFonts w:ascii="Times New Roman" w:hAnsi="Times New Roman" w:cs="Times New Roman"/>
          <w:b/>
          <w:i/>
          <w:sz w:val="24"/>
          <w:szCs w:val="24"/>
        </w:rPr>
      </w:pPr>
    </w:p>
    <w:p w:rsidR="00E5538D" w:rsidRDefault="00E5538D" w:rsidP="005E3076">
      <w:pPr>
        <w:spacing w:line="360" w:lineRule="auto"/>
        <w:jc w:val="both"/>
        <w:rPr>
          <w:rFonts w:ascii="Times New Roman" w:hAnsi="Times New Roman" w:cs="Times New Roman"/>
          <w:b/>
          <w:i/>
          <w:sz w:val="24"/>
          <w:szCs w:val="24"/>
        </w:rPr>
      </w:pPr>
    </w:p>
    <w:p w:rsidR="00E5538D" w:rsidRDefault="00E5538D" w:rsidP="005E3076">
      <w:pPr>
        <w:spacing w:line="360" w:lineRule="auto"/>
        <w:jc w:val="both"/>
        <w:rPr>
          <w:rFonts w:ascii="Times New Roman" w:hAnsi="Times New Roman" w:cs="Times New Roman"/>
          <w:b/>
          <w:i/>
          <w:sz w:val="24"/>
          <w:szCs w:val="24"/>
        </w:rPr>
      </w:pPr>
    </w:p>
    <w:p w:rsidR="002A449E" w:rsidRDefault="002A449E" w:rsidP="005E3076">
      <w:pPr>
        <w:spacing w:line="360" w:lineRule="auto"/>
        <w:jc w:val="both"/>
        <w:rPr>
          <w:rFonts w:ascii="Times New Roman" w:hAnsi="Times New Roman" w:cs="Times New Roman"/>
          <w:b/>
          <w:i/>
          <w:sz w:val="24"/>
          <w:szCs w:val="24"/>
        </w:rPr>
      </w:pPr>
    </w:p>
    <w:p w:rsidR="005E3076" w:rsidRPr="0083245E"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b/>
          <w:i/>
          <w:sz w:val="24"/>
          <w:szCs w:val="24"/>
        </w:rPr>
        <w:lastRenderedPageBreak/>
        <w:t>Triple Stage Quadrupole (TSQ) Quantum Discovery MAX</w:t>
      </w: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ESI</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The choice of an ion source should consider flow rate, molecular weight, polarity, thermal stability, dynamic range, and resistance to ion suppression.</w:t>
      </w:r>
      <w:r w:rsidR="00E35DD4">
        <w:rPr>
          <w:rFonts w:ascii="Times New Roman" w:hAnsi="Times New Roman" w:cs="Times New Roman"/>
          <w:sz w:val="24"/>
          <w:szCs w:val="24"/>
          <w:vertAlign w:val="superscript"/>
        </w:rPr>
        <w:t>51</w:t>
      </w:r>
      <w:r w:rsidRPr="0083245E">
        <w:rPr>
          <w:rFonts w:ascii="Times New Roman" w:hAnsi="Times New Roman" w:cs="Times New Roman"/>
          <w:sz w:val="24"/>
          <w:szCs w:val="24"/>
        </w:rPr>
        <w:t xml:space="preserve">  An Electrospray Ionization (ESI) source is suitable for flow rates of 1 mL/min, molecular weights greater than 100,000 amu and multiple charging</w:t>
      </w:r>
      <w:r w:rsidR="00E35DD4">
        <w:rPr>
          <w:rFonts w:ascii="Times New Roman" w:hAnsi="Times New Roman" w:cs="Times New Roman"/>
          <w:sz w:val="24"/>
          <w:szCs w:val="24"/>
          <w:vertAlign w:val="superscript"/>
        </w:rPr>
        <w:t>52</w:t>
      </w:r>
      <w:r w:rsidRPr="0083245E">
        <w:rPr>
          <w:rFonts w:ascii="Times New Roman" w:hAnsi="Times New Roman" w:cs="Times New Roman"/>
          <w:sz w:val="24"/>
          <w:szCs w:val="24"/>
        </w:rPr>
        <w:t xml:space="preserve"> allows a mass analyzer with lower mass range, polar compounds, heat labile compounds, and </w:t>
      </w:r>
      <w:r w:rsidR="005C0F2A">
        <w:rPr>
          <w:rFonts w:ascii="Times New Roman" w:hAnsi="Times New Roman" w:cs="Times New Roman"/>
          <w:sz w:val="24"/>
          <w:szCs w:val="24"/>
        </w:rPr>
        <w:t xml:space="preserve">has </w:t>
      </w:r>
      <w:r w:rsidRPr="0083245E">
        <w:rPr>
          <w:rFonts w:ascii="Times New Roman" w:hAnsi="Times New Roman" w:cs="Times New Roman"/>
          <w:sz w:val="24"/>
          <w:szCs w:val="24"/>
        </w:rPr>
        <w:t>a linear range of 3 to 5 orders of magnitude though ESI is not resistant to ion suppression.</w:t>
      </w:r>
      <w:r w:rsidR="00E35DD4">
        <w:rPr>
          <w:rFonts w:ascii="Times New Roman" w:hAnsi="Times New Roman" w:cs="Times New Roman"/>
          <w:sz w:val="24"/>
          <w:szCs w:val="24"/>
          <w:vertAlign w:val="superscript"/>
        </w:rPr>
        <w:t>53</w:t>
      </w:r>
      <w:r w:rsidRPr="0083245E">
        <w:rPr>
          <w:rFonts w:ascii="Times New Roman" w:hAnsi="Times New Roman" w:cs="Times New Roman"/>
          <w:sz w:val="24"/>
          <w:szCs w:val="24"/>
        </w:rPr>
        <w:t xml:space="preserve">  ESI is stable and robust</w:t>
      </w:r>
      <w:r w:rsidR="005C0F2A">
        <w:rPr>
          <w:rFonts w:ascii="Times New Roman" w:hAnsi="Times New Roman" w:cs="Times New Roman"/>
          <w:sz w:val="24"/>
          <w:szCs w:val="24"/>
        </w:rPr>
        <w:t>,</w:t>
      </w:r>
      <w:r w:rsidR="00E35DD4">
        <w:rPr>
          <w:rFonts w:ascii="Times New Roman" w:hAnsi="Times New Roman" w:cs="Times New Roman"/>
          <w:sz w:val="24"/>
          <w:szCs w:val="24"/>
          <w:vertAlign w:val="superscript"/>
        </w:rPr>
        <w:t>54</w:t>
      </w:r>
      <w:r w:rsidRPr="0083245E">
        <w:rPr>
          <w:rFonts w:ascii="Times New Roman" w:hAnsi="Times New Roman" w:cs="Times New Roman"/>
          <w:sz w:val="24"/>
          <w:szCs w:val="24"/>
        </w:rPr>
        <w:t xml:space="preserve"> performing the same throughout the duration of an experiment.  The merit of a large linear range in a multicomponent analysis is the ability to dilute the highest concentration compound to be in the linear range while still having the lowest concentrated compound in the linear range.</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The theory of ESI for positive mode is that positive ions are preformed</w:t>
      </w:r>
      <w:r w:rsidR="00E35DD4">
        <w:rPr>
          <w:rFonts w:ascii="Times New Roman" w:hAnsi="Times New Roman" w:cs="Times New Roman"/>
          <w:sz w:val="24"/>
          <w:szCs w:val="24"/>
          <w:vertAlign w:val="superscript"/>
        </w:rPr>
        <w:t>55</w:t>
      </w:r>
      <w:r w:rsidRPr="0083245E">
        <w:rPr>
          <w:rFonts w:ascii="Times New Roman" w:hAnsi="Times New Roman" w:cs="Times New Roman"/>
          <w:sz w:val="24"/>
          <w:szCs w:val="24"/>
        </w:rPr>
        <w:t xml:space="preserve"> in the solution controlled by the pH of the mobile phase</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then a positive charge is placed on the surface of the solvent using a spray voltage typically between 3 to 5 kV.  A small droplet is dried with nitrogen gas</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the positive charges are repelled from each other moving to the surface of the droplet.</w:t>
      </w:r>
      <w:r w:rsidR="00E35DD4">
        <w:rPr>
          <w:rFonts w:ascii="Times New Roman" w:hAnsi="Times New Roman" w:cs="Times New Roman"/>
          <w:sz w:val="24"/>
          <w:szCs w:val="24"/>
          <w:vertAlign w:val="superscript"/>
        </w:rPr>
        <w:t>56</w:t>
      </w:r>
      <w:r w:rsidR="005C0F2A">
        <w:rPr>
          <w:rFonts w:ascii="Times New Roman" w:hAnsi="Times New Roman" w:cs="Times New Roman"/>
          <w:sz w:val="24"/>
          <w:szCs w:val="24"/>
        </w:rPr>
        <w:t xml:space="preserve">  </w:t>
      </w:r>
      <w:r w:rsidRPr="0083245E">
        <w:rPr>
          <w:rFonts w:ascii="Times New Roman" w:hAnsi="Times New Roman" w:cs="Times New Roman"/>
          <w:sz w:val="24"/>
          <w:szCs w:val="24"/>
        </w:rPr>
        <w:t>When the droplet is too small for the positive charges to move away from each other</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 critical point is reached known as Rayleigh stability limit where electrostatic repulsions are greater than surface tension</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the droplet divides into small droplets.  The smaller droplets are further dried with nitrogen</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the Rayleigh stability limit is reached again and so on until the positive ion is ejected from the droplet into gas phase.</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ESI is a surface competition ionization mechanism</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when many ions are present not all ions will make it to the surface and be split into smaller droplets according to the charge residue process involving the formation of a Taylor Cone.</w:t>
      </w:r>
      <w:r w:rsidR="00E35DD4">
        <w:rPr>
          <w:rFonts w:ascii="Times New Roman" w:hAnsi="Times New Roman" w:cs="Times New Roman"/>
          <w:sz w:val="24"/>
          <w:szCs w:val="24"/>
          <w:vertAlign w:val="superscript"/>
        </w:rPr>
        <w:t>57</w:t>
      </w:r>
      <w:r w:rsidRPr="0083245E">
        <w:rPr>
          <w:rFonts w:ascii="Times New Roman" w:hAnsi="Times New Roman" w:cs="Times New Roman"/>
          <w:sz w:val="24"/>
          <w:szCs w:val="24"/>
        </w:rPr>
        <w:t xml:space="preserve">  Ion suppression exist because as the droplet dries the more volatile organics dry faster than water.  The more hydrophobic an ion is the more affinity it will have with the surface and the hydrophilic ions will be suppressed.  ESI works best </w:t>
      </w:r>
      <w:r w:rsidRPr="0083245E">
        <w:rPr>
          <w:rFonts w:ascii="Times New Roman" w:hAnsi="Times New Roman" w:cs="Times New Roman"/>
          <w:sz w:val="24"/>
          <w:szCs w:val="24"/>
        </w:rPr>
        <w:lastRenderedPageBreak/>
        <w:t>with high solvent volatility, optimized pH of the solvent system but less than 10 mM of salt when using a buffer, and with an initial small droplet meaning a small ID of fused silica tubing.</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The </w:t>
      </w:r>
      <w:r w:rsidRPr="0083245E">
        <w:rPr>
          <w:rFonts w:ascii="Times New Roman" w:hAnsi="Times New Roman" w:cs="Times New Roman"/>
          <w:color w:val="000000" w:themeColor="text1"/>
          <w:sz w:val="24"/>
          <w:szCs w:val="24"/>
        </w:rPr>
        <w:t>ESI probe of the Ion Max ion source is at a fixed</w:t>
      </w:r>
      <w:r w:rsidRPr="0083245E">
        <w:rPr>
          <w:rFonts w:ascii="Times New Roman" w:hAnsi="Times New Roman" w:cs="Times New Roman"/>
          <w:sz w:val="24"/>
          <w:szCs w:val="24"/>
        </w:rPr>
        <w:t xml:space="preserve"> 60˚ spray angle for best sensitivity and stability but can adjust side-to-side, front-to-back, and </w:t>
      </w:r>
      <w:r w:rsidR="005C0F2A">
        <w:rPr>
          <w:rFonts w:ascii="Times New Roman" w:hAnsi="Times New Roman" w:cs="Times New Roman"/>
          <w:sz w:val="24"/>
          <w:szCs w:val="24"/>
        </w:rPr>
        <w:t xml:space="preserve">up-and-down </w:t>
      </w:r>
      <w:r w:rsidRPr="0083245E">
        <w:rPr>
          <w:rFonts w:ascii="Times New Roman" w:hAnsi="Times New Roman" w:cs="Times New Roman"/>
          <w:sz w:val="24"/>
          <w:szCs w:val="24"/>
        </w:rPr>
        <w:t>for best signal.  Other ESI ion sources use a fixed 90˚ or 0˚ spray angle for the ESI probe.  The 90˚ spray angle is not best for sensitivity as gas phase ions are not vacuumed inside the ion transfer tube (ITT)</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0˚ spray angle is not best for stability as contamination of the inside of the MS results in an unstable environment for ion transmission.  The 60˚ spray angle is the compromise.</w:t>
      </w:r>
    </w:p>
    <w:p w:rsidR="005E3076" w:rsidRPr="0083245E" w:rsidRDefault="005E3076" w:rsidP="005E3076">
      <w:pPr>
        <w:spacing w:line="360" w:lineRule="auto"/>
        <w:jc w:val="both"/>
        <w:rPr>
          <w:rFonts w:ascii="Times New Roman" w:hAnsi="Times New Roman" w:cs="Times New Roman"/>
          <w:i/>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Mass Analysis</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The choice of a mass analyzer should consider mass range and mass accuracy.</w:t>
      </w:r>
      <w:r w:rsidR="00E35DD4">
        <w:rPr>
          <w:rFonts w:ascii="Times New Roman" w:hAnsi="Times New Roman" w:cs="Times New Roman"/>
          <w:sz w:val="24"/>
          <w:szCs w:val="24"/>
          <w:vertAlign w:val="superscript"/>
        </w:rPr>
        <w:t>58</w:t>
      </w:r>
      <w:r w:rsidR="005C0F2A">
        <w:rPr>
          <w:rFonts w:ascii="Times New Roman" w:hAnsi="Times New Roman" w:cs="Times New Roman"/>
          <w:sz w:val="24"/>
          <w:szCs w:val="24"/>
        </w:rPr>
        <w:t xml:space="preserve">  A quadrupole is four rods evenly spaced at </w:t>
      </w:r>
      <w:r w:rsidRPr="0083245E">
        <w:rPr>
          <w:rFonts w:ascii="Times New Roman" w:hAnsi="Times New Roman" w:cs="Times New Roman"/>
          <w:sz w:val="24"/>
          <w:szCs w:val="24"/>
        </w:rPr>
        <w:t xml:space="preserve">90˚ to each other.  Rods opposite of each other are connected electrically sharing the same amplitude and sign of </w:t>
      </w:r>
      <w:r w:rsidR="005C0F2A">
        <w:rPr>
          <w:rFonts w:ascii="Times New Roman" w:hAnsi="Times New Roman" w:cs="Times New Roman"/>
          <w:sz w:val="24"/>
          <w:szCs w:val="24"/>
        </w:rPr>
        <w:t>DC</w:t>
      </w:r>
      <w:r w:rsidRPr="0083245E">
        <w:rPr>
          <w:rFonts w:ascii="Times New Roman" w:hAnsi="Times New Roman" w:cs="Times New Roman"/>
          <w:sz w:val="24"/>
          <w:szCs w:val="24"/>
        </w:rPr>
        <w:t xml:space="preserve"> voltage while in the same phase of </w:t>
      </w:r>
      <w:r w:rsidR="005C0F2A">
        <w:rPr>
          <w:rFonts w:ascii="Times New Roman" w:hAnsi="Times New Roman" w:cs="Times New Roman"/>
          <w:sz w:val="24"/>
          <w:szCs w:val="24"/>
        </w:rPr>
        <w:t>AC</w:t>
      </w:r>
      <w:r w:rsidRPr="0083245E">
        <w:rPr>
          <w:rFonts w:ascii="Times New Roman" w:hAnsi="Times New Roman" w:cs="Times New Roman"/>
          <w:sz w:val="24"/>
          <w:szCs w:val="24"/>
        </w:rPr>
        <w:t xml:space="preserve"> voltage.  The voltages applied to the different rod pairs are equal in amplitude but opposite in sign</w:t>
      </w:r>
      <w:r w:rsidR="005C0F2A">
        <w:rPr>
          <w:rFonts w:ascii="Times New Roman" w:hAnsi="Times New Roman" w:cs="Times New Roman"/>
          <w:sz w:val="24"/>
          <w:szCs w:val="24"/>
        </w:rPr>
        <w:t>s, the DC voltage and AC voltage are</w:t>
      </w:r>
      <w:r w:rsidRPr="0083245E">
        <w:rPr>
          <w:rFonts w:ascii="Times New Roman" w:hAnsi="Times New Roman" w:cs="Times New Roman"/>
          <w:sz w:val="24"/>
          <w:szCs w:val="24"/>
        </w:rPr>
        <w:t xml:space="preserve"> 180˚ out of phase.  A quadrupole is a mass analyzer when a specific </w:t>
      </w:r>
      <w:r w:rsidR="005C0F2A">
        <w:rPr>
          <w:rFonts w:ascii="Times New Roman" w:hAnsi="Times New Roman" w:cs="Times New Roman"/>
          <w:sz w:val="24"/>
          <w:szCs w:val="24"/>
        </w:rPr>
        <w:t>DC/AC</w:t>
      </w:r>
      <w:r w:rsidRPr="0083245E">
        <w:rPr>
          <w:rFonts w:ascii="Times New Roman" w:hAnsi="Times New Roman" w:cs="Times New Roman"/>
          <w:sz w:val="24"/>
          <w:szCs w:val="24"/>
        </w:rPr>
        <w:t xml:space="preserve"> voltage is set allowing the transmission of a set </w:t>
      </w:r>
      <w:r w:rsidRPr="005C0F2A">
        <w:rPr>
          <w:rFonts w:ascii="Times New Roman" w:hAnsi="Times New Roman" w:cs="Times New Roman"/>
          <w:i/>
          <w:sz w:val="24"/>
          <w:szCs w:val="24"/>
        </w:rPr>
        <w:t>m/z</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a quadrupole is an ion transmission device (ITD) when only RF voltage is applied allowing the transmission of all ions.</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In SRM scan mode Q1 and Q3 are mass analyzers and Q2 is an ITD.  A parent ion is monitored using Q1</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a product ion is monitored using Q3.  This results in MS/MS</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isomers of the same RT can be mass filtered if they have a unique product ion.  Ions from the ESI source are guided into the ion transfer tube by a decreasing pressure gradient</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ion guides focus and transmit all ions into Q1.  In Q1 the parent ion has oscillations that result in </w:t>
      </w:r>
      <w:r w:rsidR="005C0F2A">
        <w:rPr>
          <w:rFonts w:ascii="Times New Roman" w:hAnsi="Times New Roman" w:cs="Times New Roman"/>
          <w:sz w:val="24"/>
          <w:szCs w:val="24"/>
        </w:rPr>
        <w:t xml:space="preserve">a </w:t>
      </w:r>
      <w:r w:rsidRPr="0083245E">
        <w:rPr>
          <w:rFonts w:ascii="Times New Roman" w:hAnsi="Times New Roman" w:cs="Times New Roman"/>
          <w:sz w:val="24"/>
          <w:szCs w:val="24"/>
        </w:rPr>
        <w:t xml:space="preserve">stable trajectory and is transmitted to Q2.  Other </w:t>
      </w:r>
      <w:r w:rsidRPr="005C0F2A">
        <w:rPr>
          <w:rFonts w:ascii="Times New Roman" w:hAnsi="Times New Roman" w:cs="Times New Roman"/>
          <w:i/>
          <w:sz w:val="24"/>
          <w:szCs w:val="24"/>
        </w:rPr>
        <w:t>m/z</w:t>
      </w:r>
      <w:r w:rsidRPr="0083245E">
        <w:rPr>
          <w:rFonts w:ascii="Times New Roman" w:hAnsi="Times New Roman" w:cs="Times New Roman"/>
          <w:sz w:val="24"/>
          <w:szCs w:val="24"/>
        </w:rPr>
        <w:t xml:space="preserve"> are unstable because they have oscillations that result in a trajectory </w:t>
      </w:r>
      <w:r w:rsidR="005C0F2A">
        <w:rPr>
          <w:rFonts w:ascii="Times New Roman" w:hAnsi="Times New Roman" w:cs="Times New Roman"/>
          <w:sz w:val="24"/>
          <w:szCs w:val="24"/>
        </w:rPr>
        <w:t>in which they collide</w:t>
      </w:r>
      <w:r w:rsidRPr="0083245E">
        <w:rPr>
          <w:rFonts w:ascii="Times New Roman" w:hAnsi="Times New Roman" w:cs="Times New Roman"/>
          <w:sz w:val="24"/>
          <w:szCs w:val="24"/>
        </w:rPr>
        <w:t xml:space="preserve"> with a quadrupole rod </w:t>
      </w:r>
      <w:r w:rsidR="005C0F2A">
        <w:rPr>
          <w:rFonts w:ascii="Times New Roman" w:hAnsi="Times New Roman" w:cs="Times New Roman"/>
          <w:sz w:val="24"/>
          <w:szCs w:val="24"/>
        </w:rPr>
        <w:t xml:space="preserve">thus </w:t>
      </w:r>
      <w:r w:rsidRPr="0083245E">
        <w:rPr>
          <w:rFonts w:ascii="Times New Roman" w:hAnsi="Times New Roman" w:cs="Times New Roman"/>
          <w:sz w:val="24"/>
          <w:szCs w:val="24"/>
        </w:rPr>
        <w:t>becoming neutralized and</w:t>
      </w:r>
      <w:r w:rsidR="005C0F2A">
        <w:rPr>
          <w:rFonts w:ascii="Times New Roman" w:hAnsi="Times New Roman" w:cs="Times New Roman"/>
          <w:sz w:val="24"/>
          <w:szCs w:val="24"/>
        </w:rPr>
        <w:t xml:space="preserve"> are pumped out by vacuum or miss</w:t>
      </w:r>
      <w:r w:rsidRPr="0083245E">
        <w:rPr>
          <w:rFonts w:ascii="Times New Roman" w:hAnsi="Times New Roman" w:cs="Times New Roman"/>
          <w:sz w:val="24"/>
          <w:szCs w:val="24"/>
        </w:rPr>
        <w:t xml:space="preserve"> the quadrupole rods </w:t>
      </w:r>
      <w:r w:rsidR="005C0F2A">
        <w:rPr>
          <w:rFonts w:ascii="Times New Roman" w:hAnsi="Times New Roman" w:cs="Times New Roman"/>
          <w:sz w:val="24"/>
          <w:szCs w:val="24"/>
        </w:rPr>
        <w:t xml:space="preserve">and are ejected from </w:t>
      </w:r>
      <w:r w:rsidRPr="0083245E">
        <w:rPr>
          <w:rFonts w:ascii="Times New Roman" w:hAnsi="Times New Roman" w:cs="Times New Roman"/>
          <w:sz w:val="24"/>
          <w:szCs w:val="24"/>
        </w:rPr>
        <w:t xml:space="preserve">Q1.  The parent ion collides </w:t>
      </w:r>
      <w:r w:rsidRPr="0083245E">
        <w:rPr>
          <w:rFonts w:ascii="Times New Roman" w:hAnsi="Times New Roman" w:cs="Times New Roman"/>
          <w:sz w:val="24"/>
          <w:szCs w:val="24"/>
        </w:rPr>
        <w:lastRenderedPageBreak/>
        <w:t>with argon gas in Q2</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a product ion is transmitted to Q3.  The product ion achieves stable oscillations in Q3</w:t>
      </w:r>
      <w:r w:rsidR="005C0F2A">
        <w:rPr>
          <w:rFonts w:ascii="Times New Roman" w:hAnsi="Times New Roman" w:cs="Times New Roman"/>
          <w:sz w:val="24"/>
          <w:szCs w:val="24"/>
        </w:rPr>
        <w:t>,</w:t>
      </w:r>
      <w:r w:rsidRPr="0083245E">
        <w:rPr>
          <w:rFonts w:ascii="Times New Roman" w:hAnsi="Times New Roman" w:cs="Times New Roman"/>
          <w:sz w:val="24"/>
          <w:szCs w:val="24"/>
        </w:rPr>
        <w:t xml:space="preserve"> and is transmitted to the detector.</w:t>
      </w:r>
    </w:p>
    <w:p w:rsidR="005E3076" w:rsidRDefault="005E3076" w:rsidP="005E3076">
      <w:pPr>
        <w:spacing w:line="360" w:lineRule="auto"/>
        <w:jc w:val="both"/>
        <w:rPr>
          <w:rFonts w:ascii="Times New Roman" w:hAnsi="Times New Roman" w:cs="Times New Roman"/>
          <w:sz w:val="24"/>
          <w:szCs w:val="24"/>
        </w:rPr>
      </w:pPr>
    </w:p>
    <w:p w:rsidR="005E3076" w:rsidRPr="00960541" w:rsidRDefault="005E3076" w:rsidP="005E3076">
      <w:pPr>
        <w:spacing w:line="360" w:lineRule="auto"/>
        <w:jc w:val="both"/>
        <w:rPr>
          <w:rFonts w:ascii="Times New Roman" w:hAnsi="Times New Roman" w:cs="Times New Roman"/>
          <w:sz w:val="24"/>
          <w:szCs w:val="24"/>
          <w:vertAlign w:val="superscript"/>
        </w:rPr>
      </w:pPr>
      <w:r w:rsidRPr="0083245E">
        <w:rPr>
          <w:rFonts w:ascii="Times New Roman" w:hAnsi="Times New Roman" w:cs="Times New Roman"/>
          <w:sz w:val="24"/>
          <w:szCs w:val="24"/>
        </w:rPr>
        <w:t xml:space="preserve">Q1 </w:t>
      </w:r>
      <w:r w:rsidR="005C0F2A">
        <w:rPr>
          <w:rFonts w:ascii="Times New Roman" w:hAnsi="Times New Roman" w:cs="Times New Roman"/>
          <w:sz w:val="24"/>
          <w:szCs w:val="24"/>
        </w:rPr>
        <w:t xml:space="preserve">and Q3 have a large 12 mm ID </w:t>
      </w:r>
      <w:r w:rsidRPr="0083245E">
        <w:rPr>
          <w:rFonts w:ascii="Times New Roman" w:hAnsi="Times New Roman" w:cs="Times New Roman"/>
          <w:sz w:val="24"/>
          <w:szCs w:val="24"/>
        </w:rPr>
        <w:t>hyperbolic profile that provides high ion transmission and good spectrum peak shape.</w:t>
      </w:r>
      <w:r w:rsidR="00E35DD4">
        <w:rPr>
          <w:rFonts w:ascii="Times New Roman" w:hAnsi="Times New Roman" w:cs="Times New Roman"/>
          <w:sz w:val="24"/>
          <w:szCs w:val="24"/>
          <w:vertAlign w:val="superscript"/>
        </w:rPr>
        <w:t>59</w:t>
      </w:r>
      <w:r w:rsidRPr="0083245E">
        <w:rPr>
          <w:rFonts w:ascii="Times New Roman" w:hAnsi="Times New Roman" w:cs="Times New Roman"/>
          <w:sz w:val="24"/>
          <w:szCs w:val="24"/>
        </w:rPr>
        <w:t xml:space="preserve">  These quadrupoles are often referred to as hyperquads because the rods are not round in shape but hyperbolic.</w:t>
      </w:r>
      <w:r w:rsidR="00E35DD4">
        <w:rPr>
          <w:rFonts w:ascii="Times New Roman" w:hAnsi="Times New Roman" w:cs="Times New Roman"/>
          <w:sz w:val="24"/>
          <w:szCs w:val="24"/>
          <w:vertAlign w:val="superscript"/>
        </w:rPr>
        <w:t>54</w:t>
      </w:r>
      <w:r w:rsidRPr="0083245E">
        <w:rPr>
          <w:rFonts w:ascii="Times New Roman" w:hAnsi="Times New Roman" w:cs="Times New Roman"/>
          <w:sz w:val="24"/>
          <w:szCs w:val="24"/>
        </w:rPr>
        <w:t xml:space="preserve">  The hyperquads are more selective without a loss in sensitivity</w:t>
      </w:r>
      <w:r>
        <w:rPr>
          <w:rFonts w:ascii="Times New Roman" w:hAnsi="Times New Roman" w:cs="Times New Roman"/>
          <w:sz w:val="24"/>
          <w:szCs w:val="24"/>
        </w:rPr>
        <w:t xml:space="preserve"> at the same FWHM</w:t>
      </w:r>
      <w:r w:rsidR="005C0F2A">
        <w:rPr>
          <w:rFonts w:ascii="Times New Roman" w:hAnsi="Times New Roman" w:cs="Times New Roman"/>
          <w:sz w:val="24"/>
          <w:szCs w:val="24"/>
        </w:rPr>
        <w:t xml:space="preserve"> (full width at half max) because the theory</w:t>
      </w:r>
      <w:r w:rsidRPr="0083245E">
        <w:rPr>
          <w:rFonts w:ascii="Times New Roman" w:hAnsi="Times New Roman" w:cs="Times New Roman"/>
          <w:sz w:val="24"/>
          <w:szCs w:val="24"/>
        </w:rPr>
        <w:t xml:space="preserve"> expects a hyperbolic profile and round rods just approximate using the ratio of ID to spacing of the round rods to lessen field faults.</w:t>
      </w:r>
      <w:r w:rsidR="00E35DD4">
        <w:rPr>
          <w:rFonts w:ascii="Times New Roman" w:hAnsi="Times New Roman" w:cs="Times New Roman"/>
          <w:sz w:val="24"/>
          <w:szCs w:val="24"/>
          <w:vertAlign w:val="superscript"/>
        </w:rPr>
        <w:t>60</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w:t>
      </w:r>
      <w:r w:rsidRPr="00960541">
        <w:rPr>
          <w:rFonts w:ascii="Times New Roman" w:hAnsi="Times New Roman" w:cs="Times New Roman"/>
          <w:sz w:val="24"/>
          <w:szCs w:val="24"/>
        </w:rPr>
        <w:t>Inferior round rod quadrupoles may be more selective than hyperquads at a lower set FWHM but at a loss of sen</w:t>
      </w:r>
      <w:r>
        <w:rPr>
          <w:rFonts w:ascii="Times New Roman" w:hAnsi="Times New Roman" w:cs="Times New Roman"/>
          <w:sz w:val="24"/>
          <w:szCs w:val="24"/>
        </w:rPr>
        <w:t>sitivity.  A mass spectrometrist</w:t>
      </w:r>
      <w:r w:rsidRPr="00960541">
        <w:rPr>
          <w:rFonts w:ascii="Times New Roman" w:hAnsi="Times New Roman" w:cs="Times New Roman"/>
          <w:sz w:val="24"/>
          <w:szCs w:val="24"/>
        </w:rPr>
        <w:t xml:space="preserve"> can achieve greater selectivity with inferior round rod technology by understanding the mass spectrometry par</w:t>
      </w:r>
      <w:r>
        <w:rPr>
          <w:rFonts w:ascii="Times New Roman" w:hAnsi="Times New Roman" w:cs="Times New Roman"/>
          <w:sz w:val="24"/>
          <w:szCs w:val="24"/>
        </w:rPr>
        <w:t xml:space="preserve">ameters that affect selectivity.  </w:t>
      </w:r>
      <w:r w:rsidRPr="0083245E">
        <w:rPr>
          <w:rFonts w:ascii="Times New Roman" w:hAnsi="Times New Roman" w:cs="Times New Roman"/>
          <w:sz w:val="24"/>
          <w:szCs w:val="24"/>
        </w:rPr>
        <w:t>The mass range of Q1 and Q3 is between 30 to 1500 m/z.</w:t>
      </w:r>
      <w:r w:rsidRPr="0083245E">
        <w:rPr>
          <w:rFonts w:ascii="Times New Roman" w:hAnsi="Times New Roman" w:cs="Times New Roman"/>
          <w:b/>
          <w:sz w:val="24"/>
          <w:szCs w:val="24"/>
        </w:rPr>
        <w:t xml:space="preserve">  </w:t>
      </w:r>
      <w:r w:rsidRPr="0083245E">
        <w:rPr>
          <w:rFonts w:ascii="Times New Roman" w:hAnsi="Times New Roman" w:cs="Times New Roman"/>
          <w:sz w:val="24"/>
          <w:szCs w:val="24"/>
        </w:rPr>
        <w:t>Q2 has a smaller ID and square profile because an ITD does not require large stable oscillations.  Q2 is bent 90˚ to take the ion source out of the line of sight with the detector.  This reduces noise because neutrals and photons do not take the 90˚ turn and interact with the detector.</w:t>
      </w:r>
      <w:r w:rsidR="00E35DD4">
        <w:rPr>
          <w:rFonts w:ascii="Times New Roman" w:hAnsi="Times New Roman" w:cs="Times New Roman"/>
          <w:sz w:val="24"/>
          <w:szCs w:val="24"/>
          <w:vertAlign w:val="superscript"/>
        </w:rPr>
        <w:t>61</w:t>
      </w:r>
      <w:r w:rsidRPr="0083245E">
        <w:rPr>
          <w:rFonts w:ascii="Times New Roman" w:hAnsi="Times New Roman" w:cs="Times New Roman"/>
          <w:sz w:val="24"/>
          <w:szCs w:val="24"/>
        </w:rPr>
        <w:t xml:space="preserve">  </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High voltage is applied to Q2 in between SRM scans to eliminate cross talk.</w:t>
      </w:r>
      <w:r w:rsidR="00E35DD4">
        <w:rPr>
          <w:rFonts w:ascii="Times New Roman" w:hAnsi="Times New Roman" w:cs="Times New Roman"/>
          <w:sz w:val="24"/>
          <w:szCs w:val="24"/>
          <w:vertAlign w:val="superscript"/>
        </w:rPr>
        <w:t>54</w:t>
      </w:r>
      <w:r w:rsidRPr="0083245E">
        <w:rPr>
          <w:rFonts w:ascii="Times New Roman" w:hAnsi="Times New Roman" w:cs="Times New Roman"/>
          <w:sz w:val="24"/>
          <w:szCs w:val="24"/>
        </w:rPr>
        <w:t xml:space="preserve">  Crosstalk is when the product ion from the previous SRM scan remains in Q2 during the next SRM scan.  Crosstalk is only an issue when the next SRM scan shares the same product ion as previous SRM scans and the compound elutes at the same RT.  This is common for classes of compounds such as phosphatidylcholine as all share the same phosphocholine head group as a product ion and elute at similar RT in high throughput methods.</w:t>
      </w:r>
      <w:r w:rsidR="00E35DD4">
        <w:rPr>
          <w:rFonts w:ascii="Times New Roman" w:hAnsi="Times New Roman" w:cs="Times New Roman"/>
          <w:sz w:val="24"/>
          <w:szCs w:val="24"/>
          <w:vertAlign w:val="superscript"/>
        </w:rPr>
        <w:t>62</w:t>
      </w:r>
      <w:r w:rsidRPr="0083245E">
        <w:rPr>
          <w:rFonts w:ascii="Times New Roman" w:hAnsi="Times New Roman" w:cs="Times New Roman"/>
          <w:sz w:val="24"/>
          <w:szCs w:val="24"/>
        </w:rPr>
        <w:t xml:space="preserve">  The product ion in Q2 from the previous scan can pass through Q3 and interact with the detector.  If two SRM transitions share the same product ion crosstalk may not be observed if other SRM transitions are scanned between the two allowing Q2 to purge.  </w:t>
      </w:r>
      <w:r w:rsidR="00C4277D">
        <w:rPr>
          <w:rFonts w:ascii="Times New Roman" w:hAnsi="Times New Roman" w:cs="Times New Roman"/>
          <w:sz w:val="24"/>
          <w:szCs w:val="24"/>
        </w:rPr>
        <w:t>Using h</w:t>
      </w:r>
      <w:r w:rsidRPr="0083245E">
        <w:rPr>
          <w:rFonts w:ascii="Times New Roman" w:hAnsi="Times New Roman" w:cs="Times New Roman"/>
          <w:sz w:val="24"/>
          <w:szCs w:val="24"/>
        </w:rPr>
        <w:t>igh voltage to avoid crosstalk  contributes to the pause time between SRM scans and is why SRM scans have a higher duty cycle than a full scan</w:t>
      </w:r>
      <w:r w:rsidR="00C4277D">
        <w:rPr>
          <w:rFonts w:ascii="Times New Roman" w:hAnsi="Times New Roman" w:cs="Times New Roman"/>
          <w:sz w:val="24"/>
          <w:szCs w:val="24"/>
        </w:rPr>
        <w:t>,</w:t>
      </w:r>
      <w:r w:rsidRPr="0083245E">
        <w:rPr>
          <w:rFonts w:ascii="Times New Roman" w:hAnsi="Times New Roman" w:cs="Times New Roman"/>
          <w:sz w:val="24"/>
          <w:szCs w:val="24"/>
        </w:rPr>
        <w:t xml:space="preserve"> but</w:t>
      </w:r>
      <w:r w:rsidR="00C4277D">
        <w:rPr>
          <w:rFonts w:ascii="Times New Roman" w:hAnsi="Times New Roman" w:cs="Times New Roman"/>
          <w:sz w:val="24"/>
          <w:szCs w:val="24"/>
        </w:rPr>
        <w:t xml:space="preserve"> are </w:t>
      </w:r>
      <w:r w:rsidRPr="0083245E">
        <w:rPr>
          <w:rFonts w:ascii="Times New Roman" w:hAnsi="Times New Roman" w:cs="Times New Roman"/>
          <w:sz w:val="24"/>
          <w:szCs w:val="24"/>
        </w:rPr>
        <w:t xml:space="preserve">more quantitative as interferences are removed for the next scan in addition to removing interferences through an additional mass analyzer. </w:t>
      </w:r>
    </w:p>
    <w:p w:rsidR="005E3076" w:rsidRDefault="005E3076" w:rsidP="005E3076">
      <w:pPr>
        <w:spacing w:line="360" w:lineRule="auto"/>
        <w:jc w:val="both"/>
        <w:rPr>
          <w:rFonts w:ascii="Times New Roman" w:hAnsi="Times New Roman" w:cs="Times New Roman"/>
          <w:i/>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lastRenderedPageBreak/>
        <w:t>Detector</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The choice of a detector should consider dynamic range, sensitivity, and discrimination.  The detector is an electron multiplier</w:t>
      </w:r>
      <w:r w:rsidR="00C4277D">
        <w:rPr>
          <w:rFonts w:ascii="Times New Roman" w:hAnsi="Times New Roman" w:cs="Times New Roman"/>
          <w:sz w:val="24"/>
          <w:szCs w:val="24"/>
        </w:rPr>
        <w:t>,</w:t>
      </w:r>
      <w:r w:rsidRPr="0083245E">
        <w:rPr>
          <w:rFonts w:ascii="Times New Roman" w:hAnsi="Times New Roman" w:cs="Times New Roman"/>
          <w:sz w:val="24"/>
          <w:szCs w:val="24"/>
        </w:rPr>
        <w:t xml:space="preserve"> and in positive mode a product ion is attracted to the conversion dynode by applying -15kV.  The product ion strikes the surface of the conversion dynode</w:t>
      </w:r>
      <w:r w:rsidR="00C4277D">
        <w:rPr>
          <w:rFonts w:ascii="Times New Roman" w:hAnsi="Times New Roman" w:cs="Times New Roman"/>
          <w:sz w:val="24"/>
          <w:szCs w:val="24"/>
        </w:rPr>
        <w:t>,</w:t>
      </w:r>
      <w:r w:rsidRPr="0083245E">
        <w:rPr>
          <w:rFonts w:ascii="Times New Roman" w:hAnsi="Times New Roman" w:cs="Times New Roman"/>
          <w:sz w:val="24"/>
          <w:szCs w:val="24"/>
        </w:rPr>
        <w:t xml:space="preserve"> and one or more secondary particles of negative ions or electrons are produced.  The secondary particles are now repelled by the -15kV on the conversion dynode</w:t>
      </w:r>
      <w:r w:rsidR="00C4277D">
        <w:rPr>
          <w:rFonts w:ascii="Times New Roman" w:hAnsi="Times New Roman" w:cs="Times New Roman"/>
          <w:sz w:val="24"/>
          <w:szCs w:val="24"/>
        </w:rPr>
        <w:t>,</w:t>
      </w:r>
      <w:r w:rsidRPr="0083245E">
        <w:rPr>
          <w:rFonts w:ascii="Times New Roman" w:hAnsi="Times New Roman" w:cs="Times New Roman"/>
          <w:sz w:val="24"/>
          <w:szCs w:val="24"/>
        </w:rPr>
        <w:t xml:space="preserve"> and the concave shape of the conversion dynode focuses the particles into the acceleration voltage of the electron multiplier of about +1kV.  The conversion dynode and electron multiplier are off axis in respect to Q3 to reduce background noise from neutrals.  The secondary particles strike the electron multiplier causing electrons to be ejected</w:t>
      </w:r>
      <w:r w:rsidR="00C4277D">
        <w:rPr>
          <w:rFonts w:ascii="Times New Roman" w:hAnsi="Times New Roman" w:cs="Times New Roman"/>
          <w:sz w:val="24"/>
          <w:szCs w:val="24"/>
        </w:rPr>
        <w:t>,</w:t>
      </w:r>
      <w:r w:rsidRPr="0083245E">
        <w:rPr>
          <w:rFonts w:ascii="Times New Roman" w:hAnsi="Times New Roman" w:cs="Times New Roman"/>
          <w:sz w:val="24"/>
          <w:szCs w:val="24"/>
        </w:rPr>
        <w:t xml:space="preserve"> and because of the funnel shape of the electron multiplier the ejected electrons do not travel far until striking the electron multiplier resulting in a cascade of electrons or gain.  The result is a measurable current that is converted to voltage </w:t>
      </w:r>
      <w:r w:rsidR="00C4277D">
        <w:rPr>
          <w:rFonts w:ascii="Times New Roman" w:hAnsi="Times New Roman" w:cs="Times New Roman"/>
          <w:sz w:val="24"/>
          <w:szCs w:val="24"/>
        </w:rPr>
        <w:t>before</w:t>
      </w:r>
      <w:r w:rsidRPr="0083245E">
        <w:rPr>
          <w:rFonts w:ascii="Times New Roman" w:hAnsi="Times New Roman" w:cs="Times New Roman"/>
          <w:sz w:val="24"/>
          <w:szCs w:val="24"/>
        </w:rPr>
        <w:t xml:space="preserve"> an analog-to-digital converter is used to display a number.</w:t>
      </w:r>
      <w:r w:rsidR="008A52B7">
        <w:rPr>
          <w:rFonts w:ascii="Times New Roman" w:hAnsi="Times New Roman" w:cs="Times New Roman"/>
          <w:sz w:val="24"/>
          <w:szCs w:val="24"/>
          <w:vertAlign w:val="superscript"/>
        </w:rPr>
        <w:t>63</w:t>
      </w:r>
      <w:r w:rsidRPr="0083245E">
        <w:rPr>
          <w:rFonts w:ascii="Times New Roman" w:hAnsi="Times New Roman" w:cs="Times New Roman"/>
          <w:sz w:val="24"/>
          <w:szCs w:val="24"/>
        </w:rPr>
        <w:t xml:space="preserve">  Mass discrimination exists with electron multipliers because one product ion of a larger mass striking the conversion dynode will eject more secondary particles than one product ion of a smaller mass resulting in a stronger signal.</w:t>
      </w:r>
      <w:r w:rsidR="008A52B7">
        <w:rPr>
          <w:rFonts w:ascii="Times New Roman" w:hAnsi="Times New Roman" w:cs="Times New Roman"/>
          <w:sz w:val="24"/>
          <w:szCs w:val="24"/>
          <w:vertAlign w:val="superscript"/>
        </w:rPr>
        <w:t>64</w:t>
      </w:r>
      <w:r w:rsidRPr="0083245E">
        <w:rPr>
          <w:rFonts w:ascii="Times New Roman" w:hAnsi="Times New Roman" w:cs="Times New Roman"/>
          <w:sz w:val="24"/>
          <w:szCs w:val="24"/>
        </w:rPr>
        <w:t xml:space="preserve">  </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The gain of an electron multiplier is the measure of how many electrons are generated from a single ion.  During the first few months the gain from an electron multiplier is not stable and requires a gain procedure to reset a typical gain of 10</w:t>
      </w:r>
      <w:r w:rsidRPr="0083245E">
        <w:rPr>
          <w:rFonts w:ascii="Times New Roman" w:hAnsi="Times New Roman" w:cs="Times New Roman"/>
          <w:sz w:val="24"/>
          <w:szCs w:val="24"/>
          <w:vertAlign w:val="superscript"/>
        </w:rPr>
        <w:t>5</w:t>
      </w:r>
      <w:r w:rsidRPr="0083245E">
        <w:rPr>
          <w:rFonts w:ascii="Times New Roman" w:hAnsi="Times New Roman" w:cs="Times New Roman"/>
          <w:sz w:val="24"/>
          <w:szCs w:val="24"/>
        </w:rPr>
        <w:t xml:space="preserve"> to avoid a higher gain that would result in saturation or a lower gain that would prevent low limits of detection.</w:t>
      </w:r>
      <w:r w:rsidR="00471B3A">
        <w:rPr>
          <w:rFonts w:ascii="Times New Roman" w:hAnsi="Times New Roman" w:cs="Times New Roman"/>
          <w:sz w:val="24"/>
          <w:szCs w:val="24"/>
          <w:vertAlign w:val="superscript"/>
        </w:rPr>
        <w:t>65</w:t>
      </w:r>
      <w:r w:rsidRPr="0083245E">
        <w:rPr>
          <w:rFonts w:ascii="Times New Roman" w:hAnsi="Times New Roman" w:cs="Times New Roman"/>
          <w:sz w:val="24"/>
          <w:szCs w:val="24"/>
        </w:rPr>
        <w:t xml:space="preserve">  External calibration curves without an internal standard should be acquired in a similar timeframe during this time when the electron multiplier is new</w:t>
      </w:r>
      <w:r w:rsidR="00C4277D">
        <w:rPr>
          <w:rFonts w:ascii="Times New Roman" w:hAnsi="Times New Roman" w:cs="Times New Roman"/>
          <w:sz w:val="24"/>
          <w:szCs w:val="24"/>
        </w:rPr>
        <w:t>,</w:t>
      </w:r>
      <w:r w:rsidRPr="0083245E">
        <w:rPr>
          <w:rFonts w:ascii="Times New Roman" w:hAnsi="Times New Roman" w:cs="Times New Roman"/>
          <w:sz w:val="24"/>
          <w:szCs w:val="24"/>
        </w:rPr>
        <w:t xml:space="preserve"> and a gain procedure should not be conducted mid experiment.  The gain procedure uses direct infusion of the </w:t>
      </w:r>
      <w:r w:rsidRPr="0083245E">
        <w:rPr>
          <w:rFonts w:ascii="Times New Roman" w:hAnsi="Times New Roman" w:cs="Times New Roman"/>
          <w:color w:val="000000" w:themeColor="text1"/>
          <w:sz w:val="24"/>
          <w:szCs w:val="24"/>
        </w:rPr>
        <w:t>polytyrosine hexamer.  The ion optics are placed out of focus so that the ion beam is lost</w:t>
      </w:r>
      <w:r w:rsidR="00C4277D">
        <w:rPr>
          <w:rFonts w:ascii="Times New Roman" w:hAnsi="Times New Roman" w:cs="Times New Roman"/>
          <w:color w:val="000000" w:themeColor="text1"/>
          <w:sz w:val="24"/>
          <w:szCs w:val="24"/>
        </w:rPr>
        <w:t>;</w:t>
      </w:r>
      <w:r w:rsidRPr="0083245E">
        <w:rPr>
          <w:rFonts w:ascii="Times New Roman" w:hAnsi="Times New Roman" w:cs="Times New Roman"/>
          <w:color w:val="000000" w:themeColor="text1"/>
          <w:sz w:val="24"/>
          <w:szCs w:val="24"/>
        </w:rPr>
        <w:t xml:space="preserve"> then</w:t>
      </w:r>
      <w:r w:rsidR="00C4277D">
        <w:rPr>
          <w:rFonts w:ascii="Times New Roman" w:hAnsi="Times New Roman" w:cs="Times New Roman"/>
          <w:color w:val="000000" w:themeColor="text1"/>
          <w:sz w:val="24"/>
          <w:szCs w:val="24"/>
        </w:rPr>
        <w:t xml:space="preserve"> they are</w:t>
      </w:r>
      <w:r w:rsidRPr="0083245E">
        <w:rPr>
          <w:rFonts w:ascii="Times New Roman" w:hAnsi="Times New Roman" w:cs="Times New Roman"/>
          <w:color w:val="000000" w:themeColor="text1"/>
          <w:sz w:val="24"/>
          <w:szCs w:val="24"/>
        </w:rPr>
        <w:t xml:space="preserve"> slowly refocused until the electron multiplier detects one ion at 1000 ions/sec.  Then the acceleration voltage of the electron multiplier is adjusted to achieve a gain.  The faster the acceleration of secondary particles into the electron multiplier</w:t>
      </w:r>
      <w:r w:rsidR="00C4277D">
        <w:rPr>
          <w:rFonts w:ascii="Times New Roman" w:hAnsi="Times New Roman" w:cs="Times New Roman"/>
          <w:color w:val="000000" w:themeColor="text1"/>
          <w:sz w:val="24"/>
          <w:szCs w:val="24"/>
        </w:rPr>
        <w:t>,</w:t>
      </w:r>
      <w:r w:rsidRPr="0083245E">
        <w:rPr>
          <w:rFonts w:ascii="Times New Roman" w:hAnsi="Times New Roman" w:cs="Times New Roman"/>
          <w:color w:val="000000" w:themeColor="text1"/>
          <w:sz w:val="24"/>
          <w:szCs w:val="24"/>
        </w:rPr>
        <w:t xml:space="preserve"> the more ejected electrons will result from the impact.  Any calibrant can be used for </w:t>
      </w:r>
      <w:r w:rsidR="00C4277D">
        <w:rPr>
          <w:rFonts w:ascii="Times New Roman" w:hAnsi="Times New Roman" w:cs="Times New Roman"/>
          <w:color w:val="000000" w:themeColor="text1"/>
          <w:sz w:val="24"/>
          <w:szCs w:val="24"/>
        </w:rPr>
        <w:t xml:space="preserve">the </w:t>
      </w:r>
      <w:r w:rsidRPr="0083245E">
        <w:rPr>
          <w:rFonts w:ascii="Times New Roman" w:hAnsi="Times New Roman" w:cs="Times New Roman"/>
          <w:color w:val="000000" w:themeColor="text1"/>
          <w:sz w:val="24"/>
          <w:szCs w:val="24"/>
        </w:rPr>
        <w:t xml:space="preserve">gain procedure but it is important to use the same calibrant because of mass discrimination.  Equivalent gains from a low mass and high mass calibrant would result in higher </w:t>
      </w:r>
      <w:r w:rsidRPr="0083245E">
        <w:rPr>
          <w:rFonts w:ascii="Times New Roman" w:hAnsi="Times New Roman" w:cs="Times New Roman"/>
          <w:color w:val="000000" w:themeColor="text1"/>
          <w:sz w:val="24"/>
          <w:szCs w:val="24"/>
        </w:rPr>
        <w:lastRenderedPageBreak/>
        <w:t>and lower acceleration voltages of the electron multiplier, respectively.  High ion transmission and high gain ages the electron multiplier faster as only a finite amount of electrons exist to be ejected</w:t>
      </w:r>
      <w:r w:rsidR="00C4277D">
        <w:rPr>
          <w:rFonts w:ascii="Times New Roman" w:hAnsi="Times New Roman" w:cs="Times New Roman"/>
          <w:color w:val="000000" w:themeColor="text1"/>
          <w:sz w:val="24"/>
          <w:szCs w:val="24"/>
        </w:rPr>
        <w:t>,</w:t>
      </w:r>
      <w:r w:rsidRPr="0083245E">
        <w:rPr>
          <w:rFonts w:ascii="Times New Roman" w:hAnsi="Times New Roman" w:cs="Times New Roman"/>
          <w:color w:val="000000" w:themeColor="text1"/>
          <w:sz w:val="24"/>
          <w:szCs w:val="24"/>
        </w:rPr>
        <w:t xml:space="preserve"> and once a gain of 10</w:t>
      </w:r>
      <w:r w:rsidRPr="0083245E">
        <w:rPr>
          <w:rFonts w:ascii="Times New Roman" w:hAnsi="Times New Roman" w:cs="Times New Roman"/>
          <w:color w:val="000000" w:themeColor="text1"/>
          <w:sz w:val="24"/>
          <w:szCs w:val="24"/>
          <w:vertAlign w:val="superscript"/>
        </w:rPr>
        <w:t>5</w:t>
      </w:r>
      <w:r w:rsidRPr="0083245E">
        <w:rPr>
          <w:rFonts w:ascii="Times New Roman" w:hAnsi="Times New Roman" w:cs="Times New Roman"/>
          <w:color w:val="000000" w:themeColor="text1"/>
          <w:sz w:val="24"/>
          <w:szCs w:val="24"/>
        </w:rPr>
        <w:t xml:space="preserve"> cannot be achieved the electron multiplier needs to be replaced.</w:t>
      </w:r>
    </w:p>
    <w:p w:rsidR="005E3076" w:rsidRPr="0083245E" w:rsidRDefault="005E3076" w:rsidP="005E3076">
      <w:pPr>
        <w:spacing w:line="360" w:lineRule="auto"/>
        <w:jc w:val="both"/>
        <w:rPr>
          <w:rFonts w:ascii="Times New Roman" w:hAnsi="Times New Roman" w:cs="Times New Roman"/>
          <w:sz w:val="24"/>
          <w:szCs w:val="24"/>
        </w:rPr>
      </w:pPr>
    </w:p>
    <w:p w:rsidR="005E3076" w:rsidRPr="00C32F90" w:rsidRDefault="005E3076" w:rsidP="005E3076">
      <w:pPr>
        <w:spacing w:line="360" w:lineRule="auto"/>
        <w:jc w:val="both"/>
        <w:rPr>
          <w:rFonts w:ascii="Times New Roman" w:hAnsi="Times New Roman" w:cs="Times New Roman"/>
          <w:sz w:val="24"/>
          <w:szCs w:val="24"/>
        </w:rPr>
      </w:pPr>
      <w:r w:rsidRPr="00C32F90">
        <w:rPr>
          <w:rFonts w:ascii="Times New Roman" w:hAnsi="Times New Roman" w:cs="Times New Roman"/>
          <w:b/>
          <w:i/>
          <w:sz w:val="24"/>
          <w:szCs w:val="24"/>
        </w:rPr>
        <w:t>High Performance Liquid Chromatography and Tandem Mass Spectrometry Method Transfer Routine</w:t>
      </w:r>
    </w:p>
    <w:p w:rsidR="005E3076" w:rsidRPr="0083245E" w:rsidRDefault="005E3076" w:rsidP="005E3076">
      <w:pPr>
        <w:spacing w:line="360" w:lineRule="auto"/>
        <w:jc w:val="both"/>
        <w:rPr>
          <w:rFonts w:ascii="Times New Roman" w:hAnsi="Times New Roman" w:cs="Times New Roman"/>
          <w:b/>
          <w:i/>
          <w:sz w:val="24"/>
          <w:szCs w:val="24"/>
          <w:vertAlign w:val="superscript"/>
        </w:rPr>
      </w:pPr>
      <w:r w:rsidRPr="0083245E">
        <w:rPr>
          <w:rFonts w:ascii="Times New Roman" w:hAnsi="Times New Roman" w:cs="Times New Roman"/>
          <w:sz w:val="24"/>
          <w:szCs w:val="24"/>
        </w:rPr>
        <w:t xml:space="preserve">Using an established method developed in another lab requires optimization of parameters.  Many times the parameters are not reported, mistyped, or </w:t>
      </w:r>
      <w:r w:rsidR="006B00B1">
        <w:rPr>
          <w:rFonts w:ascii="Times New Roman" w:hAnsi="Times New Roman" w:cs="Times New Roman"/>
          <w:sz w:val="24"/>
          <w:szCs w:val="24"/>
        </w:rPr>
        <w:t xml:space="preserve">are </w:t>
      </w:r>
      <w:r w:rsidRPr="0083245E">
        <w:rPr>
          <w:rFonts w:ascii="Times New Roman" w:hAnsi="Times New Roman" w:cs="Times New Roman"/>
          <w:sz w:val="24"/>
          <w:szCs w:val="24"/>
        </w:rPr>
        <w:t xml:space="preserve">for a different mass analyzer, ion source, and column.  </w:t>
      </w:r>
      <w:r w:rsidR="00015D97">
        <w:rPr>
          <w:rFonts w:ascii="Times New Roman" w:hAnsi="Times New Roman" w:cs="Times New Roman"/>
          <w:sz w:val="24"/>
          <w:szCs w:val="24"/>
        </w:rPr>
        <w:t>Differences exist from one instrument to another e</w:t>
      </w:r>
      <w:r w:rsidRPr="0083245E">
        <w:rPr>
          <w:rFonts w:ascii="Times New Roman" w:hAnsi="Times New Roman" w:cs="Times New Roman"/>
          <w:sz w:val="24"/>
          <w:szCs w:val="24"/>
        </w:rPr>
        <w:t>ven when parameters are provided for the same mass analyzer and ion source</w:t>
      </w:r>
      <w:r w:rsidR="00015D97">
        <w:rPr>
          <w:rFonts w:ascii="Times New Roman" w:hAnsi="Times New Roman" w:cs="Times New Roman"/>
          <w:sz w:val="24"/>
          <w:szCs w:val="24"/>
        </w:rPr>
        <w:t xml:space="preserve"> but different brand.</w:t>
      </w:r>
      <w:r w:rsidRPr="0083245E">
        <w:rPr>
          <w:rFonts w:ascii="Times New Roman" w:hAnsi="Times New Roman" w:cs="Times New Roman"/>
          <w:sz w:val="24"/>
          <w:szCs w:val="24"/>
        </w:rPr>
        <w:t xml:space="preserve"> </w:t>
      </w:r>
      <w:r w:rsidR="00015D97">
        <w:rPr>
          <w:rFonts w:ascii="Times New Roman" w:hAnsi="Times New Roman" w:cs="Times New Roman"/>
          <w:sz w:val="24"/>
          <w:szCs w:val="24"/>
        </w:rPr>
        <w:t xml:space="preserve">Furthermore, </w:t>
      </w:r>
      <w:r w:rsidRPr="0083245E">
        <w:rPr>
          <w:rFonts w:ascii="Times New Roman" w:hAnsi="Times New Roman" w:cs="Times New Roman"/>
          <w:sz w:val="24"/>
          <w:szCs w:val="24"/>
        </w:rPr>
        <w:t xml:space="preserve">differences exist </w:t>
      </w:r>
      <w:r w:rsidR="00015D97">
        <w:rPr>
          <w:rFonts w:ascii="Times New Roman" w:hAnsi="Times New Roman" w:cs="Times New Roman"/>
          <w:sz w:val="24"/>
          <w:szCs w:val="24"/>
        </w:rPr>
        <w:t xml:space="preserve">across brands </w:t>
      </w:r>
      <w:r w:rsidRPr="0083245E">
        <w:rPr>
          <w:rFonts w:ascii="Times New Roman" w:hAnsi="Times New Roman" w:cs="Times New Roman"/>
          <w:sz w:val="24"/>
          <w:szCs w:val="24"/>
        </w:rPr>
        <w:t>from the beginning wh</w:t>
      </w:r>
      <w:r w:rsidR="00015D97">
        <w:rPr>
          <w:rFonts w:ascii="Times New Roman" w:hAnsi="Times New Roman" w:cs="Times New Roman"/>
          <w:sz w:val="24"/>
          <w:szCs w:val="24"/>
        </w:rPr>
        <w:t>en they are new and as they age.  Chromatographic</w:t>
      </w:r>
      <w:r w:rsidRPr="0083245E">
        <w:rPr>
          <w:rFonts w:ascii="Times New Roman" w:hAnsi="Times New Roman" w:cs="Times New Roman"/>
          <w:sz w:val="24"/>
          <w:szCs w:val="24"/>
        </w:rPr>
        <w:t xml:space="preserve"> differences in retention time and peak shape can exist from column to column of same geometric pa</w:t>
      </w:r>
      <w:r w:rsidR="00015D97">
        <w:rPr>
          <w:rFonts w:ascii="Times New Roman" w:hAnsi="Times New Roman" w:cs="Times New Roman"/>
          <w:sz w:val="24"/>
          <w:szCs w:val="24"/>
        </w:rPr>
        <w:t xml:space="preserve">rameters, stationary phase, </w:t>
      </w:r>
      <w:r w:rsidRPr="0083245E">
        <w:rPr>
          <w:rFonts w:ascii="Times New Roman" w:hAnsi="Times New Roman" w:cs="Times New Roman"/>
          <w:sz w:val="24"/>
          <w:szCs w:val="24"/>
        </w:rPr>
        <w:t>brand</w:t>
      </w:r>
      <w:r w:rsidR="00015D97">
        <w:rPr>
          <w:rFonts w:ascii="Times New Roman" w:hAnsi="Times New Roman" w:cs="Times New Roman"/>
          <w:sz w:val="24"/>
          <w:szCs w:val="24"/>
        </w:rPr>
        <w:t>, and all of these can also change as the column ages.</w:t>
      </w:r>
      <w:r w:rsidR="00471B3A">
        <w:rPr>
          <w:rFonts w:ascii="Times New Roman" w:hAnsi="Times New Roman" w:cs="Times New Roman"/>
          <w:sz w:val="24"/>
          <w:szCs w:val="24"/>
          <w:vertAlign w:val="superscript"/>
        </w:rPr>
        <w:t>66</w:t>
      </w:r>
    </w:p>
    <w:p w:rsidR="005E3076" w:rsidRPr="0083245E" w:rsidRDefault="005E3076" w:rsidP="005E3076">
      <w:pPr>
        <w:spacing w:line="360" w:lineRule="auto"/>
        <w:jc w:val="both"/>
        <w:rPr>
          <w:rFonts w:ascii="Times New Roman" w:hAnsi="Times New Roman" w:cs="Times New Roman"/>
          <w:b/>
          <w:i/>
          <w:sz w:val="24"/>
          <w:szCs w:val="24"/>
        </w:rPr>
      </w:pPr>
    </w:p>
    <w:p w:rsidR="005E3076" w:rsidRPr="0083245E"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b/>
          <w:i/>
          <w:sz w:val="24"/>
          <w:szCs w:val="24"/>
        </w:rPr>
        <w:t>Optimization of Chromatography</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Chromatography differences in retention times and peak shapes arise from differences in matrix, gradient delay volume, dead volume, loop size, pump proportioning, flow rate, and re-equilibration.  The pressure limitations of the LC pump and carryover of an autosampler need also be considered.  In general, the chemical reactivity and pH stability of lines, rotor, columns, pump seals, and etc. should be considered before using a sample solvent, wash solvent, or mobile phase.  PEEK and stainless steel are common for lines while titanium is overall more inert</w:t>
      </w:r>
      <w:r w:rsidR="00471B3A">
        <w:rPr>
          <w:rFonts w:ascii="Times New Roman" w:hAnsi="Times New Roman" w:cs="Times New Roman"/>
          <w:sz w:val="24"/>
          <w:szCs w:val="24"/>
          <w:vertAlign w:val="superscript"/>
        </w:rPr>
        <w:t>67</w:t>
      </w:r>
      <w:r w:rsidRPr="0083245E">
        <w:rPr>
          <w:rFonts w:ascii="Times New Roman" w:hAnsi="Times New Roman" w:cs="Times New Roman"/>
          <w:sz w:val="24"/>
          <w:szCs w:val="24"/>
        </w:rPr>
        <w:t xml:space="preserve"> but expensive.</w:t>
      </w:r>
    </w:p>
    <w:p w:rsidR="005E3076" w:rsidRPr="0083245E" w:rsidRDefault="005E3076" w:rsidP="005E3076">
      <w:pPr>
        <w:spacing w:line="360" w:lineRule="auto"/>
        <w:jc w:val="both"/>
        <w:rPr>
          <w:rFonts w:ascii="Times New Roman" w:hAnsi="Times New Roman" w:cs="Times New Roman"/>
          <w:i/>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Matrix Effect</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Sample matrix is everything surrounding one molecule of target compound in the sample.  This includes particulates, salts, sample solvent, pH, other target or non-target compounds, and even other molecules of the target compound.  Sample preparation steps of centrifugation and solid </w:t>
      </w:r>
      <w:r w:rsidR="00961A0B">
        <w:rPr>
          <w:rFonts w:ascii="Times New Roman" w:hAnsi="Times New Roman" w:cs="Times New Roman"/>
          <w:sz w:val="24"/>
          <w:szCs w:val="24"/>
        </w:rPr>
        <w:lastRenderedPageBreak/>
        <w:t>phase extraction (SPE) are</w:t>
      </w:r>
      <w:r w:rsidRPr="0083245E">
        <w:rPr>
          <w:rFonts w:ascii="Times New Roman" w:hAnsi="Times New Roman" w:cs="Times New Roman"/>
          <w:sz w:val="24"/>
          <w:szCs w:val="24"/>
        </w:rPr>
        <w:t xml:space="preserve"> common to remove matrix.  Centrifugation </w:t>
      </w:r>
      <w:r w:rsidR="00961A0B">
        <w:rPr>
          <w:rFonts w:ascii="Times New Roman" w:hAnsi="Times New Roman" w:cs="Times New Roman"/>
          <w:sz w:val="24"/>
          <w:szCs w:val="24"/>
        </w:rPr>
        <w:t>helps remove</w:t>
      </w:r>
      <w:r w:rsidRPr="0083245E">
        <w:rPr>
          <w:rFonts w:ascii="Times New Roman" w:hAnsi="Times New Roman" w:cs="Times New Roman"/>
          <w:sz w:val="24"/>
          <w:szCs w:val="24"/>
        </w:rPr>
        <w:t xml:space="preserve"> particulates</w:t>
      </w:r>
      <w:r w:rsidR="00961A0B">
        <w:rPr>
          <w:rFonts w:ascii="Times New Roman" w:hAnsi="Times New Roman" w:cs="Times New Roman"/>
          <w:sz w:val="24"/>
          <w:szCs w:val="24"/>
        </w:rPr>
        <w:t>,</w:t>
      </w:r>
      <w:r w:rsidRPr="0083245E">
        <w:rPr>
          <w:rFonts w:ascii="Times New Roman" w:hAnsi="Times New Roman" w:cs="Times New Roman"/>
          <w:sz w:val="24"/>
          <w:szCs w:val="24"/>
        </w:rPr>
        <w:t xml:space="preserve"> </w:t>
      </w:r>
      <w:r w:rsidR="00961A0B">
        <w:rPr>
          <w:rFonts w:ascii="Times New Roman" w:hAnsi="Times New Roman" w:cs="Times New Roman"/>
          <w:sz w:val="24"/>
          <w:szCs w:val="24"/>
        </w:rPr>
        <w:t>al</w:t>
      </w:r>
      <w:r w:rsidRPr="0083245E">
        <w:rPr>
          <w:rFonts w:ascii="Times New Roman" w:hAnsi="Times New Roman" w:cs="Times New Roman"/>
          <w:sz w:val="24"/>
          <w:szCs w:val="24"/>
        </w:rPr>
        <w:t xml:space="preserve">though </w:t>
      </w:r>
      <w:r w:rsidR="00961A0B">
        <w:rPr>
          <w:rFonts w:ascii="Times New Roman" w:hAnsi="Times New Roman" w:cs="Times New Roman"/>
          <w:sz w:val="24"/>
          <w:szCs w:val="24"/>
        </w:rPr>
        <w:t>use of a</w:t>
      </w:r>
      <w:r w:rsidRPr="0083245E">
        <w:rPr>
          <w:rFonts w:ascii="Times New Roman" w:hAnsi="Times New Roman" w:cs="Times New Roman"/>
          <w:sz w:val="24"/>
          <w:szCs w:val="24"/>
        </w:rPr>
        <w:t xml:space="preserve"> guard column is also preferred as band broadening and pressure increase is insignificant at installment</w:t>
      </w:r>
      <w:r w:rsidR="00961A0B">
        <w:rPr>
          <w:rFonts w:ascii="Times New Roman" w:hAnsi="Times New Roman" w:cs="Times New Roman"/>
          <w:sz w:val="24"/>
          <w:szCs w:val="24"/>
        </w:rPr>
        <w:t>.  However,</w:t>
      </w:r>
      <w:r w:rsidRPr="0083245E">
        <w:rPr>
          <w:rFonts w:ascii="Times New Roman" w:hAnsi="Times New Roman" w:cs="Times New Roman"/>
          <w:sz w:val="24"/>
          <w:szCs w:val="24"/>
        </w:rPr>
        <w:t xml:space="preserve"> the pressure will slowly increase as the guard column is contaminated.  The same steady increase in pressure is observed as the frit of a column entrance is contaminated</w:t>
      </w:r>
      <w:r w:rsidR="00961A0B">
        <w:rPr>
          <w:rFonts w:ascii="Times New Roman" w:hAnsi="Times New Roman" w:cs="Times New Roman"/>
          <w:sz w:val="24"/>
          <w:szCs w:val="24"/>
        </w:rPr>
        <w:t>,</w:t>
      </w:r>
      <w:r w:rsidRPr="0083245E">
        <w:rPr>
          <w:rFonts w:ascii="Times New Roman" w:hAnsi="Times New Roman" w:cs="Times New Roman"/>
          <w:sz w:val="24"/>
          <w:szCs w:val="24"/>
        </w:rPr>
        <w:t xml:space="preserve"> but a guard column can be replaced whereas a column must be flushed in reverse flow or replaced at a higher cost.  SPE removes interfering compounds and salts that also cause ion suppression of ESI.</w:t>
      </w:r>
      <w:r w:rsidR="00471B3A">
        <w:rPr>
          <w:rFonts w:ascii="Times New Roman" w:hAnsi="Times New Roman" w:cs="Times New Roman"/>
          <w:sz w:val="24"/>
          <w:szCs w:val="24"/>
          <w:vertAlign w:val="superscript"/>
        </w:rPr>
        <w:t>68</w:t>
      </w:r>
      <w:r w:rsidRPr="0083245E">
        <w:rPr>
          <w:rFonts w:ascii="Times New Roman" w:hAnsi="Times New Roman" w:cs="Times New Roman"/>
          <w:sz w:val="24"/>
          <w:szCs w:val="24"/>
        </w:rPr>
        <w:t xml:space="preserve">  Sample solvent that is not identical to the initial mobile phase composition will change chromatography as the initial mobile phase composition is a combination of mobile phase and sample solvent.</w:t>
      </w:r>
      <w:r w:rsidR="00471B3A">
        <w:rPr>
          <w:rFonts w:ascii="Times New Roman" w:hAnsi="Times New Roman" w:cs="Times New Roman"/>
          <w:sz w:val="24"/>
          <w:szCs w:val="24"/>
          <w:vertAlign w:val="superscript"/>
        </w:rPr>
        <w:t>69</w:t>
      </w:r>
      <w:r w:rsidRPr="0083245E">
        <w:rPr>
          <w:rFonts w:ascii="Times New Roman" w:hAnsi="Times New Roman" w:cs="Times New Roman"/>
          <w:sz w:val="24"/>
          <w:szCs w:val="24"/>
        </w:rPr>
        <w:t xml:space="preserve">  Temperature changes of the column may result from endothermic and exothermic reactions with the mobile phase and the mixing of sample temperature.  Precipitation may occur if the eluent strength of the sample solvent is stronger than the mobile phase or a</w:t>
      </w:r>
      <w:r w:rsidR="00961A0B">
        <w:rPr>
          <w:rFonts w:ascii="Times New Roman" w:hAnsi="Times New Roman" w:cs="Times New Roman"/>
          <w:sz w:val="24"/>
          <w:szCs w:val="24"/>
        </w:rPr>
        <w:t>t a different</w:t>
      </w:r>
      <w:r w:rsidRPr="0083245E">
        <w:rPr>
          <w:rFonts w:ascii="Times New Roman" w:hAnsi="Times New Roman" w:cs="Times New Roman"/>
          <w:sz w:val="24"/>
          <w:szCs w:val="24"/>
        </w:rPr>
        <w:t xml:space="preserve"> in pH.  The effect depends on sample solvent, injection loop size, and flow rate.</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If a buffer is used as a mobile phase</w:t>
      </w:r>
      <w:r w:rsidR="006F4CF1">
        <w:rPr>
          <w:rFonts w:ascii="Times New Roman" w:hAnsi="Times New Roman" w:cs="Times New Roman"/>
          <w:sz w:val="24"/>
          <w:szCs w:val="24"/>
        </w:rPr>
        <w:t>,</w:t>
      </w:r>
      <w:r w:rsidRPr="0083245E">
        <w:rPr>
          <w:rFonts w:ascii="Times New Roman" w:hAnsi="Times New Roman" w:cs="Times New Roman"/>
          <w:sz w:val="24"/>
          <w:szCs w:val="24"/>
        </w:rPr>
        <w:t xml:space="preserve"> the buffer capacity may need to be increased if a split peak is observed.  The protonation of analytes and stationary phase controls retention.</w:t>
      </w:r>
      <w:r w:rsidR="00471B3A">
        <w:rPr>
          <w:rFonts w:ascii="Times New Roman" w:hAnsi="Times New Roman" w:cs="Times New Roman"/>
          <w:sz w:val="24"/>
          <w:szCs w:val="24"/>
          <w:vertAlign w:val="superscript"/>
        </w:rPr>
        <w:t>70</w:t>
      </w:r>
      <w:r w:rsidRPr="0083245E">
        <w:rPr>
          <w:rFonts w:ascii="Times New Roman" w:hAnsi="Times New Roman" w:cs="Times New Roman"/>
          <w:sz w:val="24"/>
          <w:szCs w:val="24"/>
        </w:rPr>
        <w:t xml:space="preserve">  Increasing the buffer capacity through the addition of more salt will cause ion suppression of ESI,</w:t>
      </w:r>
      <w:r w:rsidR="006F4CF1">
        <w:rPr>
          <w:rFonts w:ascii="Times New Roman" w:hAnsi="Times New Roman" w:cs="Times New Roman"/>
          <w:sz w:val="24"/>
          <w:szCs w:val="24"/>
        </w:rPr>
        <w:t xml:space="preserve"> and</w:t>
      </w:r>
      <w:r w:rsidRPr="0083245E">
        <w:rPr>
          <w:rFonts w:ascii="Times New Roman" w:hAnsi="Times New Roman" w:cs="Times New Roman"/>
          <w:sz w:val="24"/>
          <w:szCs w:val="24"/>
        </w:rPr>
        <w:t xml:space="preserve"> require testing </w:t>
      </w:r>
      <w:r w:rsidR="006F4CF1">
        <w:rPr>
          <w:rFonts w:ascii="Times New Roman" w:hAnsi="Times New Roman" w:cs="Times New Roman"/>
          <w:sz w:val="24"/>
          <w:szCs w:val="24"/>
        </w:rPr>
        <w:t xml:space="preserve">the </w:t>
      </w:r>
      <w:r w:rsidRPr="0083245E">
        <w:rPr>
          <w:rFonts w:ascii="Times New Roman" w:hAnsi="Times New Roman" w:cs="Times New Roman"/>
          <w:sz w:val="24"/>
          <w:szCs w:val="24"/>
        </w:rPr>
        <w:t xml:space="preserve">solubility of buffer in </w:t>
      </w:r>
      <w:r w:rsidR="006F4CF1">
        <w:rPr>
          <w:rFonts w:ascii="Times New Roman" w:hAnsi="Times New Roman" w:cs="Times New Roman"/>
          <w:sz w:val="24"/>
          <w:szCs w:val="24"/>
        </w:rPr>
        <w:t xml:space="preserve">the </w:t>
      </w:r>
      <w:r w:rsidRPr="0083245E">
        <w:rPr>
          <w:rFonts w:ascii="Times New Roman" w:hAnsi="Times New Roman" w:cs="Times New Roman"/>
          <w:sz w:val="24"/>
          <w:szCs w:val="24"/>
        </w:rPr>
        <w:t>highest organic percentage</w:t>
      </w:r>
      <w:r w:rsidR="006F4CF1">
        <w:rPr>
          <w:rFonts w:ascii="Times New Roman" w:hAnsi="Times New Roman" w:cs="Times New Roman"/>
          <w:sz w:val="24"/>
          <w:szCs w:val="24"/>
        </w:rPr>
        <w:t>.</w:t>
      </w:r>
      <w:r w:rsidR="00471B3A">
        <w:rPr>
          <w:rFonts w:ascii="Times New Roman" w:hAnsi="Times New Roman" w:cs="Times New Roman"/>
          <w:sz w:val="24"/>
          <w:szCs w:val="24"/>
          <w:vertAlign w:val="superscript"/>
        </w:rPr>
        <w:t>71</w:t>
      </w:r>
      <w:r w:rsidR="006F4CF1">
        <w:rPr>
          <w:rFonts w:ascii="Times New Roman" w:hAnsi="Times New Roman" w:cs="Times New Roman"/>
          <w:sz w:val="24"/>
          <w:szCs w:val="24"/>
          <w:vertAlign w:val="superscript"/>
        </w:rPr>
        <w:t xml:space="preserve">  </w:t>
      </w:r>
      <w:r w:rsidR="006F4CF1">
        <w:rPr>
          <w:rFonts w:ascii="Times New Roman" w:hAnsi="Times New Roman" w:cs="Times New Roman"/>
          <w:sz w:val="24"/>
          <w:szCs w:val="24"/>
        </w:rPr>
        <w:t xml:space="preserve">The </w:t>
      </w:r>
      <w:r w:rsidRPr="0083245E">
        <w:rPr>
          <w:rFonts w:ascii="Times New Roman" w:hAnsi="Times New Roman" w:cs="Times New Roman"/>
          <w:sz w:val="24"/>
          <w:szCs w:val="24"/>
        </w:rPr>
        <w:t xml:space="preserve">steepness of </w:t>
      </w:r>
      <w:r w:rsidR="006F4CF1">
        <w:rPr>
          <w:rFonts w:ascii="Times New Roman" w:hAnsi="Times New Roman" w:cs="Times New Roman"/>
          <w:sz w:val="24"/>
          <w:szCs w:val="24"/>
        </w:rPr>
        <w:t>slope to re-equilibrate, and the column may also need to be altered</w:t>
      </w:r>
      <w:r w:rsidR="000F5B21">
        <w:rPr>
          <w:rFonts w:ascii="Times New Roman" w:hAnsi="Times New Roman" w:cs="Times New Roman"/>
          <w:sz w:val="24"/>
          <w:szCs w:val="24"/>
        </w:rPr>
        <w:t>,</w:t>
      </w:r>
      <w:r w:rsidRPr="0083245E">
        <w:rPr>
          <w:rFonts w:ascii="Times New Roman" w:hAnsi="Times New Roman" w:cs="Times New Roman"/>
          <w:sz w:val="24"/>
          <w:szCs w:val="24"/>
        </w:rPr>
        <w:t xml:space="preserve"> therefore first try</w:t>
      </w:r>
      <w:r w:rsidR="000F5B21">
        <w:rPr>
          <w:rFonts w:ascii="Times New Roman" w:hAnsi="Times New Roman" w:cs="Times New Roman"/>
          <w:sz w:val="24"/>
          <w:szCs w:val="24"/>
        </w:rPr>
        <w:t>ing</w:t>
      </w:r>
      <w:r w:rsidRPr="0083245E">
        <w:rPr>
          <w:rFonts w:ascii="Times New Roman" w:hAnsi="Times New Roman" w:cs="Times New Roman"/>
          <w:sz w:val="24"/>
          <w:szCs w:val="24"/>
        </w:rPr>
        <w:t xml:space="preserve"> alternatives like buffering or adjusting the pH of the sample, injecting</w:t>
      </w:r>
      <w:r w:rsidR="000F5B21">
        <w:rPr>
          <w:rFonts w:ascii="Times New Roman" w:hAnsi="Times New Roman" w:cs="Times New Roman"/>
          <w:sz w:val="24"/>
          <w:szCs w:val="24"/>
        </w:rPr>
        <w:t xml:space="preserve"> smaller loop sizes, and clarify the buffer preparation procedure is preferred.</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vertAlign w:val="superscript"/>
        </w:rPr>
      </w:pPr>
      <w:r w:rsidRPr="0083245E">
        <w:rPr>
          <w:rFonts w:ascii="Times New Roman" w:hAnsi="Times New Roman" w:cs="Times New Roman"/>
          <w:sz w:val="24"/>
          <w:szCs w:val="24"/>
        </w:rPr>
        <w:t>It is common for the preparation of buffers to not be reported</w:t>
      </w:r>
      <w:r w:rsidR="003F19A5">
        <w:rPr>
          <w:rFonts w:ascii="Times New Roman" w:hAnsi="Times New Roman" w:cs="Times New Roman"/>
          <w:sz w:val="24"/>
          <w:szCs w:val="24"/>
        </w:rPr>
        <w:t>,</w:t>
      </w:r>
      <w:r w:rsidRPr="0083245E">
        <w:rPr>
          <w:rFonts w:ascii="Times New Roman" w:hAnsi="Times New Roman" w:cs="Times New Roman"/>
          <w:sz w:val="24"/>
          <w:szCs w:val="24"/>
        </w:rPr>
        <w:t xml:space="preserve"> and adjusting for ta</w:t>
      </w:r>
      <w:r w:rsidR="003F19A5">
        <w:rPr>
          <w:rFonts w:ascii="Times New Roman" w:hAnsi="Times New Roman" w:cs="Times New Roman"/>
          <w:sz w:val="24"/>
          <w:szCs w:val="24"/>
        </w:rPr>
        <w:t>rget pH in aqueous solution by</w:t>
      </w:r>
      <w:r w:rsidRPr="0083245E">
        <w:rPr>
          <w:rFonts w:ascii="Times New Roman" w:hAnsi="Times New Roman" w:cs="Times New Roman"/>
          <w:sz w:val="24"/>
          <w:szCs w:val="24"/>
        </w:rPr>
        <w:t xml:space="preserve"> adding organic solvent rather than adjusting for target pH in the final aqueous-organic mixture will result in a different pH affecting buffer capacity.</w:t>
      </w:r>
      <w:r w:rsidR="00471B3A">
        <w:rPr>
          <w:rFonts w:ascii="Times New Roman" w:hAnsi="Times New Roman" w:cs="Times New Roman"/>
          <w:sz w:val="24"/>
          <w:szCs w:val="24"/>
          <w:vertAlign w:val="superscript"/>
        </w:rPr>
        <w:t>72</w:t>
      </w:r>
      <w:r w:rsidRPr="0083245E">
        <w:rPr>
          <w:rFonts w:ascii="Times New Roman" w:hAnsi="Times New Roman" w:cs="Times New Roman"/>
          <w:sz w:val="24"/>
          <w:szCs w:val="24"/>
        </w:rPr>
        <w:t xml:space="preserve">  The reason is a different pH scale due to a unique autoprotolysis constant (</w:t>
      </w:r>
      <w:r w:rsidRPr="003F19A5">
        <w:rPr>
          <w:rFonts w:ascii="Times New Roman" w:hAnsi="Times New Roman" w:cs="Times New Roman"/>
          <w:i/>
          <w:sz w:val="24"/>
          <w:szCs w:val="24"/>
        </w:rPr>
        <w:t>K</w:t>
      </w:r>
      <w:r w:rsidRPr="003F19A5">
        <w:rPr>
          <w:rFonts w:ascii="Times New Roman" w:hAnsi="Times New Roman" w:cs="Times New Roman"/>
          <w:i/>
          <w:sz w:val="24"/>
          <w:szCs w:val="24"/>
          <w:vertAlign w:val="subscript"/>
        </w:rPr>
        <w:t>w</w:t>
      </w:r>
      <w:r w:rsidRPr="0083245E">
        <w:rPr>
          <w:rFonts w:ascii="Times New Roman" w:hAnsi="Times New Roman" w:cs="Times New Roman"/>
          <w:sz w:val="24"/>
          <w:szCs w:val="24"/>
        </w:rPr>
        <w:t>) at every solvent composition and temperature in addition to a change in buffer p</w:t>
      </w:r>
      <w:r w:rsidRPr="003F19A5">
        <w:rPr>
          <w:rFonts w:ascii="Times New Roman" w:hAnsi="Times New Roman" w:cs="Times New Roman"/>
          <w:i/>
          <w:sz w:val="24"/>
          <w:szCs w:val="24"/>
        </w:rPr>
        <w:t>K</w:t>
      </w:r>
      <w:r w:rsidRPr="003F19A5">
        <w:rPr>
          <w:rFonts w:ascii="Times New Roman" w:hAnsi="Times New Roman" w:cs="Times New Roman"/>
          <w:i/>
          <w:sz w:val="24"/>
          <w:szCs w:val="24"/>
          <w:vertAlign w:val="subscript"/>
        </w:rPr>
        <w:t>a</w:t>
      </w:r>
      <w:r w:rsidRPr="0083245E">
        <w:rPr>
          <w:rFonts w:ascii="Times New Roman" w:hAnsi="Times New Roman" w:cs="Times New Roman"/>
          <w:sz w:val="24"/>
          <w:szCs w:val="24"/>
        </w:rPr>
        <w:t>.</w:t>
      </w:r>
      <w:r w:rsidR="00471B3A">
        <w:rPr>
          <w:rFonts w:ascii="Times New Roman" w:hAnsi="Times New Roman" w:cs="Times New Roman"/>
          <w:sz w:val="24"/>
          <w:szCs w:val="24"/>
          <w:vertAlign w:val="superscript"/>
        </w:rPr>
        <w:t>72</w:t>
      </w:r>
      <w:r w:rsidRPr="0083245E">
        <w:rPr>
          <w:rFonts w:ascii="Times New Roman" w:hAnsi="Times New Roman" w:cs="Times New Roman"/>
          <w:sz w:val="24"/>
          <w:szCs w:val="24"/>
        </w:rPr>
        <w:t xml:space="preserve">  Preparation of a buffer by weights and volumes is the clearest way to report a buffer preparation</w:t>
      </w:r>
      <w:r w:rsidR="003F19A5">
        <w:rPr>
          <w:rFonts w:ascii="Times New Roman" w:hAnsi="Times New Roman" w:cs="Times New Roman"/>
          <w:sz w:val="24"/>
          <w:szCs w:val="24"/>
        </w:rPr>
        <w:t>,</w:t>
      </w:r>
      <w:r w:rsidRPr="0083245E">
        <w:rPr>
          <w:rFonts w:ascii="Times New Roman" w:hAnsi="Times New Roman" w:cs="Times New Roman"/>
          <w:sz w:val="24"/>
          <w:szCs w:val="24"/>
        </w:rPr>
        <w:t xml:space="preserve"> but is not used in chromatography literature.</w:t>
      </w:r>
      <w:r w:rsidR="00471B3A">
        <w:rPr>
          <w:rFonts w:ascii="Times New Roman" w:hAnsi="Times New Roman" w:cs="Times New Roman"/>
          <w:sz w:val="24"/>
          <w:szCs w:val="24"/>
          <w:vertAlign w:val="superscript"/>
        </w:rPr>
        <w:t>73</w:t>
      </w:r>
      <w:r w:rsidRPr="0083245E">
        <w:rPr>
          <w:rFonts w:ascii="Times New Roman" w:hAnsi="Times New Roman" w:cs="Times New Roman"/>
          <w:sz w:val="24"/>
          <w:szCs w:val="24"/>
        </w:rPr>
        <w:t xml:space="preserve">   The pH controls the protonation of analytes</w:t>
      </w:r>
      <w:r w:rsidR="003F19A5">
        <w:rPr>
          <w:rFonts w:ascii="Times New Roman" w:hAnsi="Times New Roman" w:cs="Times New Roman"/>
          <w:sz w:val="24"/>
          <w:szCs w:val="24"/>
        </w:rPr>
        <w:t>,</w:t>
      </w:r>
      <w:r w:rsidRPr="0083245E">
        <w:rPr>
          <w:rFonts w:ascii="Times New Roman" w:hAnsi="Times New Roman" w:cs="Times New Roman"/>
          <w:sz w:val="24"/>
          <w:szCs w:val="24"/>
        </w:rPr>
        <w:t xml:space="preserve"> and ions formed by ESI are preformed </w:t>
      </w:r>
      <w:r w:rsidRPr="0083245E">
        <w:rPr>
          <w:rFonts w:ascii="Times New Roman" w:hAnsi="Times New Roman" w:cs="Times New Roman"/>
          <w:sz w:val="24"/>
          <w:szCs w:val="24"/>
        </w:rPr>
        <w:lastRenderedPageBreak/>
        <w:t>in the mobile phase resulting in a different response at a different pH.  The consequences of using a different pH outside of the range of column stability are cleaving the stationary phase resulting in column bleed or dissolving the support particles.  The pH stability range for polymer support particles is larger than silica though both are typically tested at a low temperature</w:t>
      </w:r>
      <w:r w:rsidR="00FB27F7">
        <w:rPr>
          <w:rFonts w:ascii="Times New Roman" w:hAnsi="Times New Roman" w:cs="Times New Roman"/>
          <w:sz w:val="24"/>
          <w:szCs w:val="24"/>
        </w:rPr>
        <w:t>,</w:t>
      </w:r>
      <w:r w:rsidRPr="0083245E">
        <w:rPr>
          <w:rFonts w:ascii="Times New Roman" w:hAnsi="Times New Roman" w:cs="Times New Roman"/>
          <w:sz w:val="24"/>
          <w:szCs w:val="24"/>
        </w:rPr>
        <w:t xml:space="preserve"> and methods that use higher column oven temperatures will shorten the pH stability range.  Buffers greater than 10 mM are not recommended for ESI</w:t>
      </w:r>
      <w:r w:rsidR="00471B3A">
        <w:rPr>
          <w:rFonts w:ascii="Times New Roman" w:hAnsi="Times New Roman" w:cs="Times New Roman"/>
          <w:sz w:val="24"/>
          <w:szCs w:val="24"/>
          <w:vertAlign w:val="superscript"/>
        </w:rPr>
        <w:t>74</w:t>
      </w:r>
      <w:r w:rsidRPr="0083245E">
        <w:rPr>
          <w:rFonts w:ascii="Times New Roman" w:hAnsi="Times New Roman" w:cs="Times New Roman"/>
          <w:sz w:val="24"/>
          <w:szCs w:val="24"/>
        </w:rPr>
        <w:t xml:space="preserve"> because of ion suppression</w:t>
      </w:r>
      <w:r w:rsidR="00FB27F7">
        <w:rPr>
          <w:rFonts w:ascii="Times New Roman" w:hAnsi="Times New Roman" w:cs="Times New Roman"/>
          <w:sz w:val="24"/>
          <w:szCs w:val="24"/>
        </w:rPr>
        <w:t>,</w:t>
      </w:r>
      <w:r w:rsidRPr="0083245E">
        <w:rPr>
          <w:rFonts w:ascii="Times New Roman" w:hAnsi="Times New Roman" w:cs="Times New Roman"/>
          <w:sz w:val="24"/>
          <w:szCs w:val="24"/>
        </w:rPr>
        <w:t xml:space="preserve"> and some buffers </w:t>
      </w:r>
      <w:r w:rsidR="00FB27F7">
        <w:rPr>
          <w:rFonts w:ascii="Times New Roman" w:hAnsi="Times New Roman" w:cs="Times New Roman"/>
          <w:sz w:val="24"/>
          <w:szCs w:val="24"/>
        </w:rPr>
        <w:t xml:space="preserve">even </w:t>
      </w:r>
      <w:r w:rsidRPr="0083245E">
        <w:rPr>
          <w:rFonts w:ascii="Times New Roman" w:hAnsi="Times New Roman" w:cs="Times New Roman"/>
          <w:sz w:val="24"/>
          <w:szCs w:val="24"/>
        </w:rPr>
        <w:t>at low concentrations, such as phosphate buffers, result in significant ion suppression and should be replaced with an ESI compatible buffer.</w:t>
      </w:r>
      <w:r w:rsidR="00471B3A">
        <w:rPr>
          <w:rFonts w:ascii="Times New Roman" w:hAnsi="Times New Roman" w:cs="Times New Roman"/>
          <w:sz w:val="24"/>
          <w:szCs w:val="24"/>
          <w:vertAlign w:val="superscript"/>
        </w:rPr>
        <w:t>75</w:t>
      </w:r>
      <w:r w:rsidRPr="0083245E">
        <w:rPr>
          <w:rFonts w:ascii="Times New Roman" w:hAnsi="Times New Roman" w:cs="Times New Roman"/>
          <w:sz w:val="24"/>
          <w:szCs w:val="24"/>
          <w:vertAlign w:val="superscript"/>
        </w:rPr>
        <w:t xml:space="preserve">, </w:t>
      </w:r>
      <w:r w:rsidR="00471B3A">
        <w:rPr>
          <w:rFonts w:ascii="Times New Roman" w:hAnsi="Times New Roman" w:cs="Times New Roman"/>
          <w:sz w:val="24"/>
          <w:szCs w:val="24"/>
          <w:vertAlign w:val="superscript"/>
        </w:rPr>
        <w:t>76</w:t>
      </w:r>
    </w:p>
    <w:p w:rsidR="005E3076" w:rsidRPr="0083245E" w:rsidRDefault="005E3076" w:rsidP="005E3076">
      <w:pPr>
        <w:spacing w:line="360" w:lineRule="auto"/>
        <w:jc w:val="both"/>
        <w:rPr>
          <w:rFonts w:ascii="Times New Roman" w:hAnsi="Times New Roman" w:cs="Times New Roman"/>
          <w:i/>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Gradient Delay Volume</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Gradient delay volume is the volume that exists after the proportioning valves of the pump and the inlet of the column.  This volume causes a delay in the time a gradient is received by the column from when it is entered in the instrument method.  The gradient delay volume is often not reported and is an important variable for gradient methods on different LC pumps.  </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To maintain separation</w:t>
      </w:r>
      <w:r w:rsidR="009E768D">
        <w:rPr>
          <w:rFonts w:ascii="Times New Roman" w:hAnsi="Times New Roman" w:cs="Times New Roman"/>
          <w:sz w:val="24"/>
          <w:szCs w:val="24"/>
        </w:rPr>
        <w:t>,</w:t>
      </w:r>
      <w:r w:rsidRPr="0083245E">
        <w:rPr>
          <w:rFonts w:ascii="Times New Roman" w:hAnsi="Times New Roman" w:cs="Times New Roman"/>
          <w:sz w:val="24"/>
          <w:szCs w:val="24"/>
        </w:rPr>
        <w:t xml:space="preserve"> the start of the gradient should be </w:t>
      </w:r>
      <w:r w:rsidR="009E768D">
        <w:rPr>
          <w:rFonts w:ascii="Times New Roman" w:hAnsi="Times New Roman" w:cs="Times New Roman"/>
          <w:sz w:val="24"/>
          <w:szCs w:val="24"/>
        </w:rPr>
        <w:t>start earlier</w:t>
      </w:r>
      <w:r w:rsidRPr="0083245E">
        <w:rPr>
          <w:rFonts w:ascii="Times New Roman" w:hAnsi="Times New Roman" w:cs="Times New Roman"/>
          <w:sz w:val="24"/>
          <w:szCs w:val="24"/>
        </w:rPr>
        <w:t xml:space="preserve"> by the extra gradient delay volume or the start of the gradient should be delayed by the less gradient delay volume.  This may not be possible as pre run conditions in the line are from re-equilibration resulting in an initial isocratic.  If the gradient starts before the isocratic can clear the lines than lowering gradient delay volume by bypassing the thermal equilibrating tubing is an option though this allows mobile phase to enter the column at room temperature. Shorter analysis times are achieved by starting re-equilibration sooner accounting for gradient delay volume leaving one column and post column tubing volume as a safeguard to prevent a rapid change in gradient while samples are still in the system.  </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The determination of gradient delay volume is traditionally achieved by spiking methanol with ethyl paraben, purging the lines, flushing the mixing chambers with water, then running 100% spiked methanol to a UV-Vis detector at 254 nm.</w:t>
      </w:r>
      <w:r w:rsidR="00471B3A">
        <w:rPr>
          <w:rFonts w:ascii="Times New Roman" w:hAnsi="Times New Roman" w:cs="Times New Roman"/>
          <w:sz w:val="24"/>
          <w:szCs w:val="24"/>
          <w:vertAlign w:val="superscript"/>
        </w:rPr>
        <w:t>77</w:t>
      </w:r>
      <w:r w:rsidRPr="0083245E">
        <w:rPr>
          <w:rFonts w:ascii="Times New Roman" w:hAnsi="Times New Roman" w:cs="Times New Roman"/>
          <w:sz w:val="24"/>
          <w:szCs w:val="24"/>
        </w:rPr>
        <w:t xml:space="preserve">  The difference of the time it takes for </w:t>
      </w:r>
      <w:r w:rsidRPr="0083245E">
        <w:rPr>
          <w:rFonts w:ascii="Times New Roman" w:hAnsi="Times New Roman" w:cs="Times New Roman"/>
          <w:sz w:val="24"/>
          <w:szCs w:val="24"/>
        </w:rPr>
        <w:lastRenderedPageBreak/>
        <w:t>detection of ethyl paraben and the start of the run multiplied by the flow rate is the total gradient delay volume.  To get the gradient delay volume of the pump the dead volume of tubing and detector are subtracted.  An alternative to approximate the gradient delay volume is to use an acidic mobile phase and pH paper.</w:t>
      </w: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Dead Volume</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Dead volume</w:t>
      </w:r>
      <w:r w:rsidR="009E768D">
        <w:rPr>
          <w:rFonts w:ascii="Times New Roman" w:hAnsi="Times New Roman" w:cs="Times New Roman"/>
          <w:sz w:val="24"/>
          <w:szCs w:val="24"/>
        </w:rPr>
        <w:t>,</w:t>
      </w:r>
      <w:r w:rsidRPr="0083245E">
        <w:rPr>
          <w:rFonts w:ascii="Times New Roman" w:hAnsi="Times New Roman" w:cs="Times New Roman"/>
          <w:sz w:val="24"/>
          <w:szCs w:val="24"/>
        </w:rPr>
        <w:t xml:space="preserve"> also known as void volume</w:t>
      </w:r>
      <w:r w:rsidR="009E768D">
        <w:rPr>
          <w:rFonts w:ascii="Times New Roman" w:hAnsi="Times New Roman" w:cs="Times New Roman"/>
          <w:sz w:val="24"/>
          <w:szCs w:val="24"/>
        </w:rPr>
        <w:t>,</w:t>
      </w:r>
      <w:r w:rsidRPr="0083245E">
        <w:rPr>
          <w:rFonts w:ascii="Times New Roman" w:hAnsi="Times New Roman" w:cs="Times New Roman"/>
          <w:sz w:val="24"/>
          <w:szCs w:val="24"/>
        </w:rPr>
        <w:t xml:space="preserve"> in the rotor slots, pre column tubing and post column tubing affects RT and band broadening.  In addition to the dead volume of tubing, factors such as bottoming out loops and tubing and cutting tubing at a 90˚ angle contribute dead volume.  The dead volume in rotor slots may be slightly different from the slots in another rotor and it is best not to change the rotor in mid analysis as the rotor slot used to fill the loop is the same slot used to inject sample onto the column which adds to the total amount of sample injected onto the column in addition to the loop.  The dead volume in stator ports contribute to loop injection</w:t>
      </w:r>
      <w:r w:rsidR="009E768D">
        <w:rPr>
          <w:rFonts w:ascii="Times New Roman" w:hAnsi="Times New Roman" w:cs="Times New Roman"/>
          <w:sz w:val="24"/>
          <w:szCs w:val="24"/>
        </w:rPr>
        <w:t>,</w:t>
      </w:r>
      <w:r w:rsidRPr="0083245E">
        <w:rPr>
          <w:rFonts w:ascii="Times New Roman" w:hAnsi="Times New Roman" w:cs="Times New Roman"/>
          <w:sz w:val="24"/>
          <w:szCs w:val="24"/>
        </w:rPr>
        <w:t xml:space="preserve"> and the dead volume of another stator port will be different but more of a consequence would be the difference in port depths.  The ferrule of a stainless steel loop is swaged permanently setting the length of a nib which may not bottom out on another stator adding dead volume which adds to sample loop injection.  For this reason when the loop is removed the ends of the loop must be placed back in the original ports because the port depths vary within a stator.</w:t>
      </w: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Loop Size Injections</w:t>
      </w: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sz w:val="24"/>
          <w:szCs w:val="24"/>
        </w:rPr>
        <w:t xml:space="preserve">Loop size injections may need to be </w:t>
      </w:r>
      <w:r w:rsidR="009E768D">
        <w:rPr>
          <w:rFonts w:ascii="Times New Roman" w:hAnsi="Times New Roman" w:cs="Times New Roman"/>
          <w:sz w:val="24"/>
          <w:szCs w:val="24"/>
        </w:rPr>
        <w:t>made</w:t>
      </w:r>
      <w:r w:rsidRPr="0083245E">
        <w:rPr>
          <w:rFonts w:ascii="Times New Roman" w:hAnsi="Times New Roman" w:cs="Times New Roman"/>
          <w:sz w:val="24"/>
          <w:szCs w:val="24"/>
        </w:rPr>
        <w:t xml:space="preserve"> larger if the concentration of s</w:t>
      </w:r>
      <w:r w:rsidR="009E768D">
        <w:rPr>
          <w:rFonts w:ascii="Times New Roman" w:hAnsi="Times New Roman" w:cs="Times New Roman"/>
          <w:sz w:val="24"/>
          <w:szCs w:val="24"/>
        </w:rPr>
        <w:t xml:space="preserve">ample is too low for </w:t>
      </w:r>
      <w:r w:rsidRPr="0083245E">
        <w:rPr>
          <w:rFonts w:ascii="Times New Roman" w:hAnsi="Times New Roman" w:cs="Times New Roman"/>
          <w:sz w:val="24"/>
          <w:szCs w:val="24"/>
        </w:rPr>
        <w:t>detection</w:t>
      </w:r>
      <w:r w:rsidR="00471B3A">
        <w:rPr>
          <w:rFonts w:ascii="Times New Roman" w:hAnsi="Times New Roman" w:cs="Times New Roman"/>
          <w:sz w:val="24"/>
          <w:szCs w:val="24"/>
          <w:vertAlign w:val="superscript"/>
        </w:rPr>
        <w:t>78</w:t>
      </w:r>
      <w:r w:rsidRPr="0083245E">
        <w:rPr>
          <w:rFonts w:ascii="Times New Roman" w:hAnsi="Times New Roman" w:cs="Times New Roman"/>
          <w:sz w:val="24"/>
          <w:szCs w:val="24"/>
        </w:rPr>
        <w:t xml:space="preserve"> or </w:t>
      </w:r>
      <w:r w:rsidR="009E768D">
        <w:rPr>
          <w:rFonts w:ascii="Times New Roman" w:hAnsi="Times New Roman" w:cs="Times New Roman"/>
          <w:sz w:val="24"/>
          <w:szCs w:val="24"/>
        </w:rPr>
        <w:t xml:space="preserve">if </w:t>
      </w:r>
      <w:r w:rsidRPr="0083245E">
        <w:rPr>
          <w:rFonts w:ascii="Times New Roman" w:hAnsi="Times New Roman" w:cs="Times New Roman"/>
          <w:sz w:val="24"/>
          <w:szCs w:val="24"/>
        </w:rPr>
        <w:t>broader peaks are desired for duty cycle considerations and smaller if the sample is limited or sample matrix affects chromatography.</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Full loop injections are the most precise because the loop is overfilled which removes error from syringe precision to meter sample into the loop, uptake </w:t>
      </w:r>
      <w:r w:rsidR="009E768D">
        <w:rPr>
          <w:rFonts w:ascii="Times New Roman" w:hAnsi="Times New Roman" w:cs="Times New Roman"/>
          <w:sz w:val="24"/>
          <w:szCs w:val="24"/>
        </w:rPr>
        <w:t xml:space="preserve">of </w:t>
      </w:r>
      <w:r w:rsidRPr="0083245E">
        <w:rPr>
          <w:rFonts w:ascii="Times New Roman" w:hAnsi="Times New Roman" w:cs="Times New Roman"/>
          <w:sz w:val="24"/>
          <w:szCs w:val="24"/>
        </w:rPr>
        <w:t xml:space="preserve">a sample, and from sample loss during transfer to loop.  Full loop is used when </w:t>
      </w:r>
      <w:r w:rsidR="009E768D">
        <w:rPr>
          <w:rFonts w:ascii="Times New Roman" w:hAnsi="Times New Roman" w:cs="Times New Roman"/>
          <w:sz w:val="24"/>
          <w:szCs w:val="24"/>
        </w:rPr>
        <w:t xml:space="preserve">the </w:t>
      </w:r>
      <w:r w:rsidRPr="0083245E">
        <w:rPr>
          <w:rFonts w:ascii="Times New Roman" w:hAnsi="Times New Roman" w:cs="Times New Roman"/>
          <w:sz w:val="24"/>
          <w:szCs w:val="24"/>
        </w:rPr>
        <w:t xml:space="preserve">sample amount is in excess as the formula for </w:t>
      </w:r>
      <w:r w:rsidR="009E768D">
        <w:rPr>
          <w:rFonts w:ascii="Times New Roman" w:hAnsi="Times New Roman" w:cs="Times New Roman"/>
          <w:sz w:val="24"/>
          <w:szCs w:val="24"/>
        </w:rPr>
        <w:t xml:space="preserve">determining the needed </w:t>
      </w:r>
      <w:r w:rsidRPr="0083245E">
        <w:rPr>
          <w:rFonts w:ascii="Times New Roman" w:hAnsi="Times New Roman" w:cs="Times New Roman"/>
          <w:sz w:val="24"/>
          <w:szCs w:val="24"/>
        </w:rPr>
        <w:t>sample amount is 3 times the nominal loop volume plus dead volume and some excess sample.</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lastRenderedPageBreak/>
        <w:t>Partial loop injections are less precise than full loop because the sample is metered into the loop by the syringe motor</w:t>
      </w:r>
      <w:r w:rsidR="009E768D">
        <w:rPr>
          <w:rFonts w:ascii="Times New Roman" w:hAnsi="Times New Roman" w:cs="Times New Roman"/>
          <w:sz w:val="24"/>
          <w:szCs w:val="24"/>
        </w:rPr>
        <w:t>,</w:t>
      </w:r>
      <w:r w:rsidRPr="0083245E">
        <w:rPr>
          <w:rFonts w:ascii="Times New Roman" w:hAnsi="Times New Roman" w:cs="Times New Roman"/>
          <w:sz w:val="24"/>
          <w:szCs w:val="24"/>
        </w:rPr>
        <w:t xml:space="preserve"> and like all motors the performance degrades with age until replacement.  Partial loop uses less sample than full loop as the formula is the requested injection volume plus 22 µL.  Partial loop allows the flexibility of injecting variable amounts and is useful in determining the optimum injection volume </w:t>
      </w:r>
      <w:r w:rsidR="009E768D">
        <w:rPr>
          <w:rFonts w:ascii="Times New Roman" w:hAnsi="Times New Roman" w:cs="Times New Roman"/>
          <w:sz w:val="24"/>
          <w:szCs w:val="24"/>
        </w:rPr>
        <w:t>before</w:t>
      </w:r>
      <w:r w:rsidRPr="0083245E">
        <w:rPr>
          <w:rFonts w:ascii="Times New Roman" w:hAnsi="Times New Roman" w:cs="Times New Roman"/>
          <w:sz w:val="24"/>
          <w:szCs w:val="24"/>
        </w:rPr>
        <w:t xml:space="preserve"> switching to full loop for quantitation.</w:t>
      </w:r>
      <w:r w:rsidR="00471B3A">
        <w:rPr>
          <w:rFonts w:ascii="Times New Roman" w:hAnsi="Times New Roman" w:cs="Times New Roman"/>
          <w:sz w:val="24"/>
          <w:szCs w:val="24"/>
          <w:vertAlign w:val="superscript"/>
        </w:rPr>
        <w:t>79</w:t>
      </w:r>
      <w:r w:rsidRPr="0083245E">
        <w:rPr>
          <w:rFonts w:ascii="Times New Roman" w:hAnsi="Times New Roman" w:cs="Times New Roman"/>
          <w:sz w:val="24"/>
          <w:szCs w:val="24"/>
        </w:rPr>
        <w:t xml:space="preserve">  Partial loop injects mobile phase that remains in the loop onto the column adding gradient delay volume as the loop is back flushed.  This will cause slightly different chromatography when switching to full loop because the gradient delay volume is missing resulting in lower retention times.  To minimize this effect only use a loop large enough for maximum injection volume.</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No waste injections are the least precise because of syringe precision uptake, metering, and sample loss during transfer to loop.  The sample loss is decreased using a slower loop loading speed but any loss affects precision as only the requested injection volume is taken from the sample.  No waste injection is used when the sample is limited and diluting the sample, lowering dead volume of transfer tube, using smaller autosampler vial or insert, or commanding the auto sampler needle to find bottom is not an option.  The chromatography is affected as air and flush solvent is injected onto the column in addition to the sample.  Matching the flush solvent to the mobile phase will lessen the effect.</w:t>
      </w:r>
    </w:p>
    <w:p w:rsidR="005E3076" w:rsidRDefault="005E3076" w:rsidP="005E3076">
      <w:pPr>
        <w:spacing w:line="360" w:lineRule="auto"/>
        <w:jc w:val="both"/>
        <w:rPr>
          <w:rFonts w:ascii="Times New Roman" w:hAnsi="Times New Roman" w:cs="Times New Roman"/>
          <w:sz w:val="24"/>
          <w:szCs w:val="24"/>
        </w:rPr>
      </w:pPr>
    </w:p>
    <w:p w:rsidR="00350523"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Laminar flow in microfluidics</w:t>
      </w:r>
      <w:r w:rsidR="000E1449">
        <w:rPr>
          <w:rFonts w:ascii="Times New Roman" w:hAnsi="Times New Roman" w:cs="Times New Roman"/>
          <w:sz w:val="24"/>
          <w:szCs w:val="24"/>
          <w:vertAlign w:val="superscript"/>
        </w:rPr>
        <w:t>80</w:t>
      </w:r>
      <w:r w:rsidRPr="0083245E">
        <w:rPr>
          <w:rFonts w:ascii="Times New Roman" w:hAnsi="Times New Roman" w:cs="Times New Roman"/>
          <w:sz w:val="24"/>
          <w:szCs w:val="24"/>
        </w:rPr>
        <w:t xml:space="preserve"> and the dif</w:t>
      </w:r>
      <w:r w:rsidR="009E768D">
        <w:rPr>
          <w:rFonts w:ascii="Times New Roman" w:hAnsi="Times New Roman" w:cs="Times New Roman"/>
          <w:sz w:val="24"/>
          <w:szCs w:val="24"/>
        </w:rPr>
        <w:t>ferences in nominal loop volume</w:t>
      </w:r>
      <w:r w:rsidRPr="0083245E">
        <w:rPr>
          <w:rFonts w:ascii="Times New Roman" w:hAnsi="Times New Roman" w:cs="Times New Roman"/>
          <w:sz w:val="24"/>
          <w:szCs w:val="24"/>
        </w:rPr>
        <w:t xml:space="preserve"> determine how much sample is needed for full loop </w:t>
      </w:r>
      <w:r w:rsidR="009E768D">
        <w:rPr>
          <w:rFonts w:ascii="Times New Roman" w:hAnsi="Times New Roman" w:cs="Times New Roman"/>
          <w:sz w:val="24"/>
          <w:szCs w:val="24"/>
        </w:rPr>
        <w:t xml:space="preserve">injection </w:t>
      </w:r>
      <w:r w:rsidRPr="0083245E">
        <w:rPr>
          <w:rFonts w:ascii="Times New Roman" w:hAnsi="Times New Roman" w:cs="Times New Roman"/>
          <w:sz w:val="24"/>
          <w:szCs w:val="24"/>
        </w:rPr>
        <w:t>and the sample restriction</w:t>
      </w:r>
      <w:r w:rsidR="009E768D">
        <w:rPr>
          <w:rFonts w:ascii="Times New Roman" w:hAnsi="Times New Roman" w:cs="Times New Roman"/>
          <w:sz w:val="24"/>
          <w:szCs w:val="24"/>
        </w:rPr>
        <w:t>s</w:t>
      </w:r>
      <w:r w:rsidRPr="0083245E">
        <w:rPr>
          <w:rFonts w:ascii="Times New Roman" w:hAnsi="Times New Roman" w:cs="Times New Roman"/>
          <w:sz w:val="24"/>
          <w:szCs w:val="24"/>
        </w:rPr>
        <w:t xml:space="preserve"> of partial loop</w:t>
      </w:r>
      <w:r w:rsidR="009E768D">
        <w:rPr>
          <w:rFonts w:ascii="Times New Roman" w:hAnsi="Times New Roman" w:cs="Times New Roman"/>
          <w:sz w:val="24"/>
          <w:szCs w:val="24"/>
        </w:rPr>
        <w:t xml:space="preserve"> injection</w:t>
      </w:r>
      <w:r w:rsidRPr="0083245E">
        <w:rPr>
          <w:rFonts w:ascii="Times New Roman" w:hAnsi="Times New Roman" w:cs="Times New Roman"/>
          <w:sz w:val="24"/>
          <w:szCs w:val="24"/>
        </w:rPr>
        <w:t>.</w:t>
      </w:r>
      <w:r w:rsidR="00471B3A">
        <w:rPr>
          <w:rFonts w:ascii="Times New Roman" w:hAnsi="Times New Roman" w:cs="Times New Roman"/>
          <w:sz w:val="24"/>
          <w:szCs w:val="24"/>
          <w:vertAlign w:val="superscript"/>
        </w:rPr>
        <w:t>66</w:t>
      </w:r>
      <w:r w:rsidRPr="0083245E">
        <w:rPr>
          <w:rFonts w:ascii="Times New Roman" w:hAnsi="Times New Roman" w:cs="Times New Roman"/>
          <w:sz w:val="24"/>
          <w:szCs w:val="24"/>
        </w:rPr>
        <w:t xml:space="preserve">  A 10 µL sample volume can occupy 20 µL of tubing volume due to laminar flow</w:t>
      </w:r>
      <w:r w:rsidR="00AC30E2">
        <w:rPr>
          <w:rFonts w:ascii="Times New Roman" w:hAnsi="Times New Roman" w:cs="Times New Roman"/>
          <w:sz w:val="24"/>
          <w:szCs w:val="24"/>
        </w:rPr>
        <w:t>,</w:t>
      </w:r>
      <w:r w:rsidRPr="0083245E">
        <w:rPr>
          <w:rFonts w:ascii="Times New Roman" w:hAnsi="Times New Roman" w:cs="Times New Roman"/>
          <w:sz w:val="24"/>
          <w:szCs w:val="24"/>
        </w:rPr>
        <w:t xml:space="preserve"> and loops are ±20% of the nominal volume.</w:t>
      </w:r>
      <w:r w:rsidR="000E1449">
        <w:rPr>
          <w:rFonts w:ascii="Times New Roman" w:hAnsi="Times New Roman" w:cs="Times New Roman"/>
          <w:sz w:val="24"/>
          <w:szCs w:val="24"/>
          <w:vertAlign w:val="superscript"/>
        </w:rPr>
        <w:t>81</w:t>
      </w:r>
      <w:r w:rsidRPr="0083245E">
        <w:rPr>
          <w:rFonts w:ascii="Times New Roman" w:hAnsi="Times New Roman" w:cs="Times New Roman"/>
          <w:sz w:val="24"/>
          <w:szCs w:val="24"/>
        </w:rPr>
        <w:t xml:space="preserve">  The full loop formula uses 3 times the injection volume to account for laminar flow and actual loop volume.</w:t>
      </w:r>
      <w:r w:rsidR="000E1449">
        <w:rPr>
          <w:rFonts w:ascii="Times New Roman" w:hAnsi="Times New Roman" w:cs="Times New Roman"/>
          <w:sz w:val="24"/>
          <w:szCs w:val="24"/>
          <w:vertAlign w:val="superscript"/>
        </w:rPr>
        <w:t>82</w:t>
      </w:r>
      <w:r w:rsidRPr="0083245E">
        <w:rPr>
          <w:rFonts w:ascii="Times New Roman" w:hAnsi="Times New Roman" w:cs="Times New Roman"/>
          <w:sz w:val="24"/>
          <w:szCs w:val="24"/>
        </w:rPr>
        <w:t xml:space="preserve">  The injection volume for partial loop cannot be more than half of 80% the nominal loop volume.  The 80% assumes the shortest loop possible</w:t>
      </w:r>
      <w:r w:rsidR="00AC30E2">
        <w:rPr>
          <w:rFonts w:ascii="Times New Roman" w:hAnsi="Times New Roman" w:cs="Times New Roman"/>
          <w:sz w:val="24"/>
          <w:szCs w:val="24"/>
        </w:rPr>
        <w:t>,</w:t>
      </w:r>
      <w:r w:rsidRPr="0083245E">
        <w:rPr>
          <w:rFonts w:ascii="Times New Roman" w:hAnsi="Times New Roman" w:cs="Times New Roman"/>
          <w:sz w:val="24"/>
          <w:szCs w:val="24"/>
        </w:rPr>
        <w:t xml:space="preserve"> and the half prevents overfilling the loop losing sample because of laminar flow.  Since loops vary ±20% of the nominal volume</w:t>
      </w:r>
      <w:r w:rsidR="00AC30E2">
        <w:rPr>
          <w:rFonts w:ascii="Times New Roman" w:hAnsi="Times New Roman" w:cs="Times New Roman"/>
          <w:sz w:val="24"/>
          <w:szCs w:val="24"/>
        </w:rPr>
        <w:t>,</w:t>
      </w:r>
      <w:r w:rsidRPr="0083245E">
        <w:rPr>
          <w:rFonts w:ascii="Times New Roman" w:hAnsi="Times New Roman" w:cs="Times New Roman"/>
          <w:sz w:val="24"/>
          <w:szCs w:val="24"/>
        </w:rPr>
        <w:t xml:space="preserve"> switching the current inline loop with a loop of same nominal value would deliver different sample volume to the column</w:t>
      </w:r>
      <w:r w:rsidR="00AC30E2">
        <w:rPr>
          <w:rFonts w:ascii="Times New Roman" w:hAnsi="Times New Roman" w:cs="Times New Roman"/>
          <w:sz w:val="24"/>
          <w:szCs w:val="24"/>
        </w:rPr>
        <w:t>,</w:t>
      </w:r>
      <w:r w:rsidRPr="0083245E">
        <w:rPr>
          <w:rFonts w:ascii="Times New Roman" w:hAnsi="Times New Roman" w:cs="Times New Roman"/>
          <w:sz w:val="24"/>
          <w:szCs w:val="24"/>
        </w:rPr>
        <w:t xml:space="preserve"> and results could not be compared when using full loop.</w:t>
      </w:r>
    </w:p>
    <w:p w:rsidR="005E3076" w:rsidRPr="00350523"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i/>
          <w:sz w:val="24"/>
          <w:szCs w:val="24"/>
        </w:rPr>
        <w:lastRenderedPageBreak/>
        <w:t>Pump Proportioning and Flow Rates of LC Pump</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The pump proportioning and flow rates of LC pumps should be investigated if chromatography is significantly different.  Pump proportioning is port dependent and switching ports may resolve the issue.  Ethyl </w:t>
      </w:r>
      <w:r w:rsidR="00AC30E2">
        <w:rPr>
          <w:rFonts w:ascii="Times New Roman" w:hAnsi="Times New Roman" w:cs="Times New Roman"/>
          <w:sz w:val="24"/>
          <w:szCs w:val="24"/>
        </w:rPr>
        <w:t>paraben and a UV-Vis detector are</w:t>
      </w:r>
      <w:r w:rsidRPr="0083245E">
        <w:rPr>
          <w:rFonts w:ascii="Times New Roman" w:hAnsi="Times New Roman" w:cs="Times New Roman"/>
          <w:sz w:val="24"/>
          <w:szCs w:val="24"/>
        </w:rPr>
        <w:t xml:space="preserve"> used to determine if two ports are proportioning correctly at a given flow rate.</w:t>
      </w:r>
      <w:r w:rsidR="00471B3A">
        <w:rPr>
          <w:rFonts w:ascii="Times New Roman" w:hAnsi="Times New Roman" w:cs="Times New Roman"/>
          <w:sz w:val="24"/>
          <w:szCs w:val="24"/>
          <w:vertAlign w:val="superscript"/>
        </w:rPr>
        <w:t>77</w:t>
      </w:r>
      <w:r w:rsidRPr="0083245E">
        <w:rPr>
          <w:rFonts w:ascii="Times New Roman" w:hAnsi="Times New Roman" w:cs="Times New Roman"/>
          <w:sz w:val="24"/>
          <w:szCs w:val="24"/>
        </w:rPr>
        <w:t xml:space="preserve">  </w:t>
      </w:r>
      <w:r w:rsidR="00AC30E2">
        <w:rPr>
          <w:rFonts w:ascii="Times New Roman" w:hAnsi="Times New Roman" w:cs="Times New Roman"/>
          <w:sz w:val="24"/>
          <w:szCs w:val="24"/>
        </w:rPr>
        <w:t>A f</w:t>
      </w:r>
      <w:r w:rsidRPr="0083245E">
        <w:rPr>
          <w:rFonts w:ascii="Times New Roman" w:hAnsi="Times New Roman" w:cs="Times New Roman"/>
          <w:sz w:val="24"/>
          <w:szCs w:val="24"/>
        </w:rPr>
        <w:t xml:space="preserve">low rate test at a given flow rate is </w:t>
      </w:r>
      <w:r w:rsidR="00AC30E2">
        <w:rPr>
          <w:rFonts w:ascii="Times New Roman" w:hAnsi="Times New Roman" w:cs="Times New Roman"/>
          <w:sz w:val="24"/>
          <w:szCs w:val="24"/>
        </w:rPr>
        <w:t>done</w:t>
      </w:r>
      <w:r w:rsidRPr="0083245E">
        <w:rPr>
          <w:rFonts w:ascii="Times New Roman" w:hAnsi="Times New Roman" w:cs="Times New Roman"/>
          <w:sz w:val="24"/>
          <w:szCs w:val="24"/>
        </w:rPr>
        <w:t xml:space="preserve"> using one port and a 10 mL volumetric flask   Differences in pump proportioning or flow rate may explain why the chromatography is different or if the pump is within specifications then one must question if the pump the LC method was developed with was out of specifications.  Product data supplied with the pump will have a certificate certifying a proportioning and flow rate test</w:t>
      </w:r>
      <w:r w:rsidR="00AC30E2">
        <w:rPr>
          <w:rFonts w:ascii="Times New Roman" w:hAnsi="Times New Roman" w:cs="Times New Roman"/>
          <w:sz w:val="24"/>
          <w:szCs w:val="24"/>
        </w:rPr>
        <w:t>,</w:t>
      </w:r>
      <w:r w:rsidRPr="0083245E">
        <w:rPr>
          <w:rFonts w:ascii="Times New Roman" w:hAnsi="Times New Roman" w:cs="Times New Roman"/>
          <w:sz w:val="24"/>
          <w:szCs w:val="24"/>
        </w:rPr>
        <w:t xml:space="preserve"> but </w:t>
      </w:r>
      <w:r w:rsidR="00AC30E2">
        <w:rPr>
          <w:rFonts w:ascii="Times New Roman" w:hAnsi="Times New Roman" w:cs="Times New Roman"/>
          <w:sz w:val="24"/>
          <w:szCs w:val="24"/>
        </w:rPr>
        <w:t xml:space="preserve">one </w:t>
      </w:r>
      <w:r w:rsidRPr="0083245E">
        <w:rPr>
          <w:rFonts w:ascii="Times New Roman" w:hAnsi="Times New Roman" w:cs="Times New Roman"/>
          <w:sz w:val="24"/>
          <w:szCs w:val="24"/>
        </w:rPr>
        <w:t>should test the flow and proportioning at the flow and gradient of the LC method.  The proportioning and flow rate is less precise at low flow rates</w:t>
      </w:r>
      <w:r w:rsidR="000E1449">
        <w:rPr>
          <w:rFonts w:ascii="Times New Roman" w:hAnsi="Times New Roman" w:cs="Times New Roman"/>
          <w:sz w:val="24"/>
          <w:szCs w:val="24"/>
          <w:vertAlign w:val="superscript"/>
        </w:rPr>
        <w:t>83</w:t>
      </w:r>
      <w:r w:rsidRPr="0083245E">
        <w:rPr>
          <w:rFonts w:ascii="Times New Roman" w:hAnsi="Times New Roman" w:cs="Times New Roman"/>
          <w:sz w:val="24"/>
          <w:szCs w:val="24"/>
        </w:rPr>
        <w:t xml:space="preserve"> as the relative error is higher</w:t>
      </w:r>
      <w:r w:rsidR="00AC30E2">
        <w:rPr>
          <w:rFonts w:ascii="Times New Roman" w:hAnsi="Times New Roman" w:cs="Times New Roman"/>
          <w:sz w:val="24"/>
          <w:szCs w:val="24"/>
        </w:rPr>
        <w:t>,</w:t>
      </w:r>
      <w:r w:rsidRPr="0083245E">
        <w:rPr>
          <w:rFonts w:ascii="Times New Roman" w:hAnsi="Times New Roman" w:cs="Times New Roman"/>
          <w:sz w:val="24"/>
          <w:szCs w:val="24"/>
        </w:rPr>
        <w:t xml:space="preserve"> and the proportioning is less reproducible at steep gradients due to gradient distortion</w:t>
      </w:r>
      <w:r w:rsidR="000E1449">
        <w:rPr>
          <w:rFonts w:ascii="Times New Roman" w:hAnsi="Times New Roman" w:cs="Times New Roman"/>
          <w:sz w:val="24"/>
          <w:szCs w:val="24"/>
          <w:vertAlign w:val="superscript"/>
        </w:rPr>
        <w:t>84</w:t>
      </w:r>
      <w:r w:rsidRPr="0083245E">
        <w:rPr>
          <w:rFonts w:ascii="Times New Roman" w:hAnsi="Times New Roman" w:cs="Times New Roman"/>
          <w:sz w:val="24"/>
          <w:szCs w:val="24"/>
        </w:rPr>
        <w:t xml:space="preserve"> meaning steep gradients at low flow rates are the least reproducible.  The flow rate for an isocratic is different if the mobile phase is hand-mixed or online mixed by the pump because the volumes of water and organic solvents are not additive.</w:t>
      </w:r>
      <w:r w:rsidR="00471B3A">
        <w:rPr>
          <w:rFonts w:ascii="Times New Roman" w:hAnsi="Times New Roman" w:cs="Times New Roman"/>
          <w:sz w:val="24"/>
          <w:szCs w:val="24"/>
          <w:vertAlign w:val="superscript"/>
        </w:rPr>
        <w:t>66</w:t>
      </w:r>
      <w:r w:rsidRPr="0083245E">
        <w:rPr>
          <w:rFonts w:ascii="Times New Roman" w:hAnsi="Times New Roman" w:cs="Times New Roman"/>
          <w:sz w:val="24"/>
          <w:szCs w:val="24"/>
        </w:rPr>
        <w:t xml:space="preserve">  This means the flow rate changes during a gradient throughout the analysis.</w:t>
      </w:r>
    </w:p>
    <w:p w:rsidR="005E3076" w:rsidRDefault="005E3076" w:rsidP="005E3076">
      <w:pPr>
        <w:spacing w:line="360" w:lineRule="auto"/>
        <w:jc w:val="both"/>
        <w:rPr>
          <w:rFonts w:ascii="Times New Roman" w:hAnsi="Times New Roman" w:cs="Times New Roman"/>
          <w:i/>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i/>
          <w:sz w:val="24"/>
          <w:szCs w:val="24"/>
        </w:rPr>
        <w:t>Re-equilibration</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Re-equilibration of a column ensures that each sequential injection of a sample experiences the same initial column conditions as the sample before.  This is accomplished by running the initial mobile phase composition at the end of a chromatographic run.  The duration of the re-equilibration for typical packed col</w:t>
      </w:r>
      <w:r w:rsidR="00AC30E2">
        <w:rPr>
          <w:rFonts w:ascii="Times New Roman" w:hAnsi="Times New Roman" w:cs="Times New Roman"/>
          <w:sz w:val="24"/>
          <w:szCs w:val="24"/>
        </w:rPr>
        <w:t>umns is a time that allows for 10-3</w:t>
      </w:r>
      <w:r w:rsidRPr="0083245E">
        <w:rPr>
          <w:rFonts w:ascii="Times New Roman" w:hAnsi="Times New Roman" w:cs="Times New Roman"/>
          <w:sz w:val="24"/>
          <w:szCs w:val="24"/>
        </w:rPr>
        <w:t>0 column void volumes which is dependent on flow rate and column void volume.  The differences in matrices of samples, such as salts, may change the column void volumes required for re-equilibration.  To shorten analysis times</w:t>
      </w:r>
      <w:r w:rsidR="00AC30E2">
        <w:rPr>
          <w:rFonts w:ascii="Times New Roman" w:hAnsi="Times New Roman" w:cs="Times New Roman"/>
          <w:sz w:val="24"/>
          <w:szCs w:val="24"/>
        </w:rPr>
        <w:t>,</w:t>
      </w:r>
      <w:r w:rsidRPr="0083245E">
        <w:rPr>
          <w:rFonts w:ascii="Times New Roman" w:hAnsi="Times New Roman" w:cs="Times New Roman"/>
          <w:sz w:val="24"/>
          <w:szCs w:val="24"/>
        </w:rPr>
        <w:t xml:space="preserve"> lower the column volumes to a minimum that maintains chromatographic reproducibility from sample to sample, increase the flow rate during re-equilibration within pressure limitations, and increase the steepness of the slope to initial mobile phase composition.  Chromatographic irreproducibility may not be observed until several samples later when testing lower column volumes. The steepness of the slope from final mobile phase composition to initial </w:t>
      </w:r>
      <w:r w:rsidRPr="0083245E">
        <w:rPr>
          <w:rFonts w:ascii="Times New Roman" w:hAnsi="Times New Roman" w:cs="Times New Roman"/>
          <w:sz w:val="24"/>
          <w:szCs w:val="24"/>
        </w:rPr>
        <w:lastRenderedPageBreak/>
        <w:t>mobile phase composition depends on buffer solubility.  If no buffer is used then the steepness can be a vertical line</w:t>
      </w:r>
      <w:r w:rsidR="00AC30E2">
        <w:rPr>
          <w:rFonts w:ascii="Times New Roman" w:hAnsi="Times New Roman" w:cs="Times New Roman"/>
          <w:sz w:val="24"/>
          <w:szCs w:val="24"/>
        </w:rPr>
        <w:t>,</w:t>
      </w:r>
      <w:r w:rsidRPr="0083245E">
        <w:rPr>
          <w:rFonts w:ascii="Times New Roman" w:hAnsi="Times New Roman" w:cs="Times New Roman"/>
          <w:sz w:val="24"/>
          <w:szCs w:val="24"/>
        </w:rPr>
        <w:t xml:space="preserve"> but if a buffer is used the solubility of the buffer in the organic mobile phase needs to be considered and a less steep approach to initial mobile phase compositions will prevent precipitation of salts.</w:t>
      </w:r>
    </w:p>
    <w:p w:rsidR="005E3076" w:rsidRDefault="005E3076" w:rsidP="005E3076">
      <w:pPr>
        <w:spacing w:line="360" w:lineRule="auto"/>
        <w:jc w:val="both"/>
        <w:rPr>
          <w:rFonts w:ascii="Times New Roman" w:hAnsi="Times New Roman" w:cs="Times New Roman"/>
          <w:i/>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 xml:space="preserve">Pressure </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The backpressure limits of the LC pump limits the selection of columns.  HPLC pumps can handle pressures less than 400 bar</w:t>
      </w:r>
      <w:r w:rsidR="00AC30E2">
        <w:rPr>
          <w:rFonts w:ascii="Times New Roman" w:hAnsi="Times New Roman" w:cs="Times New Roman"/>
          <w:sz w:val="24"/>
          <w:szCs w:val="24"/>
        </w:rPr>
        <w:t>,</w:t>
      </w:r>
      <w:r w:rsidRPr="0083245E">
        <w:rPr>
          <w:rFonts w:ascii="Times New Roman" w:hAnsi="Times New Roman" w:cs="Times New Roman"/>
          <w:sz w:val="24"/>
          <w:szCs w:val="24"/>
        </w:rPr>
        <w:t xml:space="preserve"> and UPLC pumps can handle pressures greater than 400 bar.  Long columns, high flow rates, and sub-2 µm particles cause pressures too great for an HPLC pump.</w:t>
      </w:r>
      <w:r w:rsidR="00471B3A">
        <w:rPr>
          <w:rFonts w:ascii="Times New Roman" w:hAnsi="Times New Roman" w:cs="Times New Roman"/>
          <w:sz w:val="24"/>
          <w:szCs w:val="24"/>
          <w:vertAlign w:val="superscript"/>
        </w:rPr>
        <w:t>67</w:t>
      </w:r>
      <w:r w:rsidRPr="0083245E">
        <w:rPr>
          <w:rFonts w:ascii="Times New Roman" w:hAnsi="Times New Roman" w:cs="Times New Roman"/>
          <w:sz w:val="24"/>
          <w:szCs w:val="24"/>
        </w:rPr>
        <w:t xml:space="preserve">  A method employing a sub- 2 µm column on a UPLC pump can be scaled up using a formula</w:t>
      </w:r>
      <w:r w:rsidR="000E1449">
        <w:rPr>
          <w:rFonts w:ascii="Times New Roman" w:hAnsi="Times New Roman" w:cs="Times New Roman"/>
          <w:sz w:val="24"/>
          <w:szCs w:val="24"/>
          <w:vertAlign w:val="superscript"/>
        </w:rPr>
        <w:t>85</w:t>
      </w:r>
      <w:r w:rsidRPr="0083245E">
        <w:rPr>
          <w:rFonts w:ascii="Times New Roman" w:hAnsi="Times New Roman" w:cs="Times New Roman"/>
          <w:sz w:val="24"/>
          <w:szCs w:val="24"/>
        </w:rPr>
        <w:t xml:space="preserve"> to a column suitable for a HPLC pump without significant further optimization.  This formula can also be used to scale down a HPLC method to UPLC.  A larger ID of a column al</w:t>
      </w:r>
      <w:r w:rsidR="001F5C2E">
        <w:rPr>
          <w:rFonts w:ascii="Times New Roman" w:hAnsi="Times New Roman" w:cs="Times New Roman"/>
          <w:sz w:val="24"/>
          <w:szCs w:val="24"/>
        </w:rPr>
        <w:t>lows for larger loop injections.  L</w:t>
      </w:r>
      <w:r w:rsidRPr="0083245E">
        <w:rPr>
          <w:rFonts w:ascii="Times New Roman" w:hAnsi="Times New Roman" w:cs="Times New Roman"/>
          <w:sz w:val="24"/>
          <w:szCs w:val="24"/>
        </w:rPr>
        <w:t xml:space="preserve">onger length </w:t>
      </w:r>
      <w:r w:rsidR="001F5C2E">
        <w:rPr>
          <w:rFonts w:ascii="Times New Roman" w:hAnsi="Times New Roman" w:cs="Times New Roman"/>
          <w:sz w:val="24"/>
          <w:szCs w:val="24"/>
        </w:rPr>
        <w:t>allow for further separation.  S</w:t>
      </w:r>
      <w:r w:rsidRPr="0083245E">
        <w:rPr>
          <w:rFonts w:ascii="Times New Roman" w:hAnsi="Times New Roman" w:cs="Times New Roman"/>
          <w:sz w:val="24"/>
          <w:szCs w:val="24"/>
        </w:rPr>
        <w:t>maller particle size is</w:t>
      </w:r>
      <w:r w:rsidR="001F5C2E">
        <w:rPr>
          <w:rFonts w:ascii="Times New Roman" w:hAnsi="Times New Roman" w:cs="Times New Roman"/>
          <w:sz w:val="24"/>
          <w:szCs w:val="24"/>
        </w:rPr>
        <w:t xml:space="preserve"> for</w:t>
      </w:r>
      <w:r w:rsidRPr="0083245E">
        <w:rPr>
          <w:rFonts w:ascii="Times New Roman" w:hAnsi="Times New Roman" w:cs="Times New Roman"/>
          <w:sz w:val="24"/>
          <w:szCs w:val="24"/>
        </w:rPr>
        <w:t xml:space="preserve"> better resolution, a</w:t>
      </w:r>
      <w:r w:rsidR="001F5C2E">
        <w:rPr>
          <w:rFonts w:ascii="Times New Roman" w:hAnsi="Times New Roman" w:cs="Times New Roman"/>
          <w:sz w:val="24"/>
          <w:szCs w:val="24"/>
        </w:rPr>
        <w:t xml:space="preserve">nd pore size can be altered </w:t>
      </w:r>
      <w:r w:rsidRPr="0083245E">
        <w:rPr>
          <w:rFonts w:ascii="Times New Roman" w:hAnsi="Times New Roman" w:cs="Times New Roman"/>
          <w:sz w:val="24"/>
          <w:szCs w:val="24"/>
        </w:rPr>
        <w:t>for selectivity.  Factors that can be changed to lower pressure without changing the column are higher ID of tubing and higher column temperature.  Though the ID of tubing should be chosen to properly load a column of a specific ID</w:t>
      </w:r>
      <w:r w:rsidR="001F5C2E">
        <w:rPr>
          <w:rFonts w:ascii="Times New Roman" w:hAnsi="Times New Roman" w:cs="Times New Roman"/>
          <w:sz w:val="24"/>
          <w:szCs w:val="24"/>
        </w:rPr>
        <w:t>,</w:t>
      </w:r>
      <w:r w:rsidR="00471B3A">
        <w:rPr>
          <w:rFonts w:ascii="Times New Roman" w:hAnsi="Times New Roman" w:cs="Times New Roman"/>
          <w:sz w:val="24"/>
          <w:szCs w:val="24"/>
          <w:vertAlign w:val="superscript"/>
        </w:rPr>
        <w:t>67</w:t>
      </w:r>
      <w:r w:rsidRPr="0083245E">
        <w:rPr>
          <w:rFonts w:ascii="Times New Roman" w:hAnsi="Times New Roman" w:cs="Times New Roman"/>
          <w:sz w:val="24"/>
          <w:szCs w:val="24"/>
          <w:vertAlign w:val="superscript"/>
        </w:rPr>
        <w:t xml:space="preserve"> </w:t>
      </w:r>
      <w:r w:rsidRPr="0083245E">
        <w:rPr>
          <w:rFonts w:ascii="Times New Roman" w:hAnsi="Times New Roman" w:cs="Times New Roman"/>
          <w:sz w:val="24"/>
          <w:szCs w:val="24"/>
        </w:rPr>
        <w:t xml:space="preserve"> and raising the column temperature may decr</w:t>
      </w:r>
      <w:r>
        <w:rPr>
          <w:rFonts w:ascii="Times New Roman" w:hAnsi="Times New Roman" w:cs="Times New Roman"/>
          <w:sz w:val="24"/>
          <w:szCs w:val="24"/>
        </w:rPr>
        <w:t xml:space="preserve">ease pH stability of the column.  Pressures that are under 400 bar but cause leaks can be addressed by selecting the proper ferrule.  The ferrule clamps down on the PEEK tubing and prevents the line from slipping out of the ferrule resulting in a leak.  A stainless steel ferrule on PEEK tubing can handle higher pressures than PEEK ferrules.  </w:t>
      </w:r>
      <w:r w:rsidRPr="0083245E">
        <w:rPr>
          <w:rFonts w:ascii="Times New Roman" w:hAnsi="Times New Roman" w:cs="Times New Roman"/>
          <w:sz w:val="24"/>
          <w:szCs w:val="24"/>
        </w:rPr>
        <w:t xml:space="preserve">The more viscous the mobile phases </w:t>
      </w:r>
      <w:r w:rsidR="000E1449">
        <w:rPr>
          <w:rFonts w:ascii="Times New Roman" w:hAnsi="Times New Roman" w:cs="Times New Roman"/>
          <w:sz w:val="24"/>
          <w:szCs w:val="24"/>
          <w:vertAlign w:val="superscript"/>
        </w:rPr>
        <w:t>86</w:t>
      </w:r>
      <w:r w:rsidRPr="0083245E">
        <w:rPr>
          <w:rFonts w:ascii="Times New Roman" w:hAnsi="Times New Roman" w:cs="Times New Roman"/>
          <w:sz w:val="24"/>
          <w:szCs w:val="24"/>
          <w:vertAlign w:val="superscript"/>
        </w:rPr>
        <w:t xml:space="preserve">, </w:t>
      </w:r>
      <w:r w:rsidR="000E1449">
        <w:rPr>
          <w:rFonts w:ascii="Times New Roman" w:hAnsi="Times New Roman" w:cs="Times New Roman"/>
          <w:sz w:val="24"/>
          <w:szCs w:val="24"/>
          <w:vertAlign w:val="superscript"/>
        </w:rPr>
        <w:t>87</w:t>
      </w:r>
      <w:r w:rsidRPr="0083245E">
        <w:rPr>
          <w:rFonts w:ascii="Times New Roman" w:hAnsi="Times New Roman" w:cs="Times New Roman"/>
          <w:sz w:val="24"/>
          <w:szCs w:val="24"/>
        </w:rPr>
        <w:t xml:space="preserve"> the higher pressure and increasing the column temperature will lower the viscosity though retention times may shift</w:t>
      </w:r>
      <w:r w:rsidR="001F5C2E">
        <w:rPr>
          <w:rFonts w:ascii="Times New Roman" w:hAnsi="Times New Roman" w:cs="Times New Roman"/>
          <w:sz w:val="24"/>
          <w:szCs w:val="24"/>
        </w:rPr>
        <w:t>,</w:t>
      </w:r>
      <w:r w:rsidRPr="0083245E">
        <w:rPr>
          <w:rFonts w:ascii="Times New Roman" w:hAnsi="Times New Roman" w:cs="Times New Roman"/>
          <w:sz w:val="24"/>
          <w:szCs w:val="24"/>
        </w:rPr>
        <w:t xml:space="preserve"> and the stability of the column may decrease.  During a chromatographic run that uses a gradient</w:t>
      </w:r>
      <w:r w:rsidR="001F5C2E">
        <w:rPr>
          <w:rFonts w:ascii="Times New Roman" w:hAnsi="Times New Roman" w:cs="Times New Roman"/>
          <w:sz w:val="24"/>
          <w:szCs w:val="24"/>
        </w:rPr>
        <w:t>,</w:t>
      </w:r>
      <w:r w:rsidRPr="0083245E">
        <w:rPr>
          <w:rFonts w:ascii="Times New Roman" w:hAnsi="Times New Roman" w:cs="Times New Roman"/>
          <w:sz w:val="24"/>
          <w:szCs w:val="24"/>
        </w:rPr>
        <w:t xml:space="preserve"> the pressure will change in response to the new viscosity</w:t>
      </w:r>
      <w:r w:rsidR="001F5C2E">
        <w:rPr>
          <w:rFonts w:ascii="Times New Roman" w:hAnsi="Times New Roman" w:cs="Times New Roman"/>
          <w:sz w:val="24"/>
          <w:szCs w:val="24"/>
        </w:rPr>
        <w:t>,</w:t>
      </w:r>
      <w:r w:rsidRPr="0083245E">
        <w:rPr>
          <w:rFonts w:ascii="Times New Roman" w:hAnsi="Times New Roman" w:cs="Times New Roman"/>
          <w:sz w:val="24"/>
          <w:szCs w:val="24"/>
        </w:rPr>
        <w:t xml:space="preserve"> and the pressure at the most viscous mixture </w:t>
      </w:r>
      <w:r w:rsidR="000E1449">
        <w:rPr>
          <w:rFonts w:ascii="Times New Roman" w:hAnsi="Times New Roman" w:cs="Times New Roman"/>
          <w:sz w:val="24"/>
          <w:szCs w:val="24"/>
          <w:vertAlign w:val="superscript"/>
        </w:rPr>
        <w:t>81</w:t>
      </w:r>
      <w:r w:rsidRPr="0083245E">
        <w:rPr>
          <w:rFonts w:ascii="Times New Roman" w:hAnsi="Times New Roman" w:cs="Times New Roman"/>
          <w:sz w:val="24"/>
          <w:szCs w:val="24"/>
          <w:vertAlign w:val="superscript"/>
        </w:rPr>
        <w:t xml:space="preserve">, </w:t>
      </w:r>
      <w:r w:rsidR="000E1449">
        <w:rPr>
          <w:rFonts w:ascii="Times New Roman" w:hAnsi="Times New Roman" w:cs="Times New Roman"/>
          <w:sz w:val="24"/>
          <w:szCs w:val="24"/>
          <w:vertAlign w:val="superscript"/>
        </w:rPr>
        <w:t>88</w:t>
      </w:r>
      <w:r w:rsidRPr="0083245E">
        <w:rPr>
          <w:rFonts w:ascii="Times New Roman" w:hAnsi="Times New Roman" w:cs="Times New Roman"/>
          <w:sz w:val="24"/>
          <w:szCs w:val="24"/>
        </w:rPr>
        <w:t xml:space="preserve"> will determine pump suitability.  Lower pressure allows for higher flow rates, longer columns, and smaller particle size.</w:t>
      </w:r>
    </w:p>
    <w:p w:rsidR="005E3076" w:rsidRPr="0083245E" w:rsidRDefault="005E3076" w:rsidP="005E3076">
      <w:pPr>
        <w:spacing w:line="360" w:lineRule="auto"/>
        <w:jc w:val="both"/>
        <w:rPr>
          <w:rFonts w:ascii="Times New Roman" w:hAnsi="Times New Roman" w:cs="Times New Roman"/>
          <w:i/>
          <w:sz w:val="24"/>
          <w:szCs w:val="24"/>
        </w:rPr>
      </w:pPr>
    </w:p>
    <w:p w:rsidR="005E3076" w:rsidRDefault="005E3076" w:rsidP="005E3076">
      <w:pPr>
        <w:spacing w:line="360" w:lineRule="auto"/>
        <w:jc w:val="both"/>
        <w:rPr>
          <w:rFonts w:ascii="Times New Roman" w:hAnsi="Times New Roman" w:cs="Times New Roman"/>
          <w:i/>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lastRenderedPageBreak/>
        <w:t>Carryover</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An autosampler is needed for large </w:t>
      </w:r>
      <w:r w:rsidR="001F5C2E">
        <w:rPr>
          <w:rFonts w:ascii="Times New Roman" w:hAnsi="Times New Roman" w:cs="Times New Roman"/>
          <w:sz w:val="24"/>
          <w:szCs w:val="24"/>
        </w:rPr>
        <w:t>number</w:t>
      </w:r>
      <w:r w:rsidRPr="0083245E">
        <w:rPr>
          <w:rFonts w:ascii="Times New Roman" w:hAnsi="Times New Roman" w:cs="Times New Roman"/>
          <w:sz w:val="24"/>
          <w:szCs w:val="24"/>
        </w:rPr>
        <w:t>s of samples as it is impractical for a person to manually inject each sample</w:t>
      </w:r>
      <w:r w:rsidR="001F5C2E">
        <w:rPr>
          <w:rFonts w:ascii="Times New Roman" w:hAnsi="Times New Roman" w:cs="Times New Roman"/>
          <w:sz w:val="24"/>
          <w:szCs w:val="24"/>
        </w:rPr>
        <w:t>,</w:t>
      </w:r>
      <w:r w:rsidRPr="0083245E">
        <w:rPr>
          <w:rFonts w:ascii="Times New Roman" w:hAnsi="Times New Roman" w:cs="Times New Roman"/>
          <w:sz w:val="24"/>
          <w:szCs w:val="24"/>
        </w:rPr>
        <w:t xml:space="preserve"> but each new sample shares the same plumbing as the previous sample resulting in carryover.  A wash solvent is used to clean the transfer tubing and wash the exterior of the needle between injections</w:t>
      </w:r>
      <w:r w:rsidR="001F5C2E">
        <w:rPr>
          <w:rFonts w:ascii="Times New Roman" w:hAnsi="Times New Roman" w:cs="Times New Roman"/>
          <w:sz w:val="24"/>
          <w:szCs w:val="24"/>
        </w:rPr>
        <w:t>,</w:t>
      </w:r>
      <w:r w:rsidRPr="0083245E">
        <w:rPr>
          <w:rFonts w:ascii="Times New Roman" w:hAnsi="Times New Roman" w:cs="Times New Roman"/>
          <w:sz w:val="24"/>
          <w:szCs w:val="24"/>
        </w:rPr>
        <w:t xml:space="preserve"> and the sample loop is back flushed with mobile phase onto the column and remains in line during the entire chromatographic run for adequate flush.  Typically 50:50 water:methanol is used as a flush but an alternative may be needed </w:t>
      </w:r>
      <w:r w:rsidR="001F5C2E">
        <w:rPr>
          <w:rFonts w:ascii="Times New Roman" w:hAnsi="Times New Roman" w:cs="Times New Roman"/>
          <w:sz w:val="24"/>
          <w:szCs w:val="24"/>
        </w:rPr>
        <w:t>to remove certain compounds keepimg</w:t>
      </w:r>
      <w:r w:rsidRPr="0083245E">
        <w:rPr>
          <w:rFonts w:ascii="Times New Roman" w:hAnsi="Times New Roman" w:cs="Times New Roman"/>
          <w:sz w:val="24"/>
          <w:szCs w:val="24"/>
        </w:rPr>
        <w:t xml:space="preserve"> pH in mind if the sample is not neutral.  However, a 6 port injection valve is used to switch from load sample loop with sample to inject sample in loop onto the column</w:t>
      </w:r>
      <w:r w:rsidR="001F5C2E">
        <w:rPr>
          <w:rFonts w:ascii="Times New Roman" w:hAnsi="Times New Roman" w:cs="Times New Roman"/>
          <w:sz w:val="24"/>
          <w:szCs w:val="24"/>
        </w:rPr>
        <w:t>.  D</w:t>
      </w:r>
      <w:r w:rsidRPr="0083245E">
        <w:rPr>
          <w:rFonts w:ascii="Times New Roman" w:hAnsi="Times New Roman" w:cs="Times New Roman"/>
          <w:sz w:val="24"/>
          <w:szCs w:val="24"/>
        </w:rPr>
        <w:t>uring the switch the sample is deposited onto the stator face which can only be cleaned by turning the rotor seal</w:t>
      </w:r>
      <w:r w:rsidR="001F5C2E">
        <w:rPr>
          <w:rFonts w:ascii="Times New Roman" w:hAnsi="Times New Roman" w:cs="Times New Roman"/>
          <w:sz w:val="24"/>
          <w:szCs w:val="24"/>
        </w:rPr>
        <w:t>,</w:t>
      </w:r>
      <w:r w:rsidRPr="0083245E">
        <w:rPr>
          <w:rFonts w:ascii="Times New Roman" w:hAnsi="Times New Roman" w:cs="Times New Roman"/>
          <w:sz w:val="24"/>
          <w:szCs w:val="24"/>
        </w:rPr>
        <w:t xml:space="preserve"> requiring blanks to be used in between samples to prevent false positives.</w:t>
      </w:r>
      <w:r w:rsidR="000E1449">
        <w:rPr>
          <w:rFonts w:ascii="Times New Roman" w:hAnsi="Times New Roman" w:cs="Times New Roman"/>
          <w:sz w:val="24"/>
          <w:szCs w:val="24"/>
          <w:vertAlign w:val="superscript"/>
        </w:rPr>
        <w:t>89</w:t>
      </w:r>
      <w:r w:rsidRPr="0083245E">
        <w:rPr>
          <w:rFonts w:ascii="Times New Roman" w:hAnsi="Times New Roman" w:cs="Times New Roman"/>
          <w:sz w:val="24"/>
          <w:szCs w:val="24"/>
        </w:rPr>
        <w:t xml:space="preserve">  The amount of blanks in between samples depends on compound and concentration</w:t>
      </w:r>
      <w:r w:rsidR="001F5C2E">
        <w:rPr>
          <w:rFonts w:ascii="Times New Roman" w:hAnsi="Times New Roman" w:cs="Times New Roman"/>
          <w:sz w:val="24"/>
          <w:szCs w:val="24"/>
        </w:rPr>
        <w:t>,</w:t>
      </w:r>
      <w:r w:rsidRPr="0083245E">
        <w:rPr>
          <w:rFonts w:ascii="Times New Roman" w:hAnsi="Times New Roman" w:cs="Times New Roman"/>
          <w:sz w:val="24"/>
          <w:szCs w:val="24"/>
        </w:rPr>
        <w:t xml:space="preserve"> and a sufficient amount of </w:t>
      </w:r>
      <w:r w:rsidR="001F5C2E">
        <w:rPr>
          <w:rFonts w:ascii="Times New Roman" w:hAnsi="Times New Roman" w:cs="Times New Roman"/>
          <w:sz w:val="24"/>
          <w:szCs w:val="24"/>
        </w:rPr>
        <w:t xml:space="preserve">test </w:t>
      </w:r>
      <w:r w:rsidRPr="0083245E">
        <w:rPr>
          <w:rFonts w:ascii="Times New Roman" w:hAnsi="Times New Roman" w:cs="Times New Roman"/>
          <w:sz w:val="24"/>
          <w:szCs w:val="24"/>
        </w:rPr>
        <w:t>blanks is used after a sample to determine when carryover is insignificant.</w:t>
      </w:r>
    </w:p>
    <w:p w:rsidR="005E3076" w:rsidRPr="0083245E" w:rsidRDefault="005E3076" w:rsidP="005E3076">
      <w:pPr>
        <w:spacing w:line="360" w:lineRule="auto"/>
        <w:jc w:val="both"/>
        <w:rPr>
          <w:rFonts w:ascii="Times New Roman" w:hAnsi="Times New Roman" w:cs="Times New Roman"/>
          <w:b/>
          <w:i/>
          <w:sz w:val="24"/>
          <w:szCs w:val="24"/>
        </w:rPr>
      </w:pPr>
    </w:p>
    <w:p w:rsidR="005E3076" w:rsidRPr="0083245E"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b/>
          <w:i/>
          <w:sz w:val="24"/>
          <w:szCs w:val="24"/>
        </w:rPr>
        <w:t>Tuning and Calibration</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The choice of tuning and calibration solution should include calibrants </w:t>
      </w:r>
      <w:r w:rsidR="001F5C2E">
        <w:rPr>
          <w:rFonts w:ascii="Times New Roman" w:hAnsi="Times New Roman" w:cs="Times New Roman"/>
          <w:sz w:val="24"/>
          <w:szCs w:val="24"/>
        </w:rPr>
        <w:t xml:space="preserve">whose </w:t>
      </w:r>
      <w:r w:rsidR="001F5C2E" w:rsidRPr="001F5C2E">
        <w:rPr>
          <w:rFonts w:ascii="Times New Roman" w:hAnsi="Times New Roman" w:cs="Times New Roman"/>
          <w:i/>
          <w:sz w:val="24"/>
          <w:szCs w:val="24"/>
        </w:rPr>
        <w:t>m/z</w:t>
      </w:r>
      <w:r w:rsidRPr="0083245E">
        <w:rPr>
          <w:rFonts w:ascii="Times New Roman" w:hAnsi="Times New Roman" w:cs="Times New Roman"/>
          <w:sz w:val="24"/>
          <w:szCs w:val="24"/>
        </w:rPr>
        <w:t xml:space="preserve"> are above and below all compounds in an analysis and not have a large range between calibrants.</w:t>
      </w:r>
    </w:p>
    <w:p w:rsidR="005E3076" w:rsidRDefault="005E3076" w:rsidP="005E3076">
      <w:pPr>
        <w:spacing w:line="360" w:lineRule="auto"/>
        <w:jc w:val="both"/>
        <w:rPr>
          <w:rFonts w:ascii="Times New Roman" w:hAnsi="Times New Roman" w:cs="Times New Roman"/>
          <w:sz w:val="24"/>
          <w:szCs w:val="24"/>
        </w:rPr>
      </w:pPr>
    </w:p>
    <w:p w:rsidR="005E3076" w:rsidRPr="0083245E" w:rsidRDefault="001F5C2E" w:rsidP="005E3076">
      <w:pPr>
        <w:spacing w:line="360" w:lineRule="auto"/>
        <w:jc w:val="both"/>
        <w:rPr>
          <w:rFonts w:ascii="Times New Roman" w:hAnsi="Times New Roman" w:cs="Times New Roman"/>
          <w:sz w:val="24"/>
          <w:szCs w:val="24"/>
        </w:rPr>
      </w:pPr>
      <w:r>
        <w:rPr>
          <w:rFonts w:ascii="Times New Roman" w:hAnsi="Times New Roman" w:cs="Times New Roman"/>
          <w:sz w:val="24"/>
          <w:szCs w:val="24"/>
        </w:rPr>
        <w:t>Direct infusion of</w:t>
      </w:r>
      <w:r w:rsidR="005E3076" w:rsidRPr="0083245E">
        <w:rPr>
          <w:rFonts w:ascii="Times New Roman" w:hAnsi="Times New Roman" w:cs="Times New Roman"/>
          <w:sz w:val="24"/>
          <w:szCs w:val="24"/>
        </w:rPr>
        <w:t xml:space="preserve"> </w:t>
      </w:r>
      <w:r w:rsidR="005E3076" w:rsidRPr="0083245E">
        <w:rPr>
          <w:rFonts w:ascii="Times New Roman" w:hAnsi="Times New Roman" w:cs="Times New Roman"/>
          <w:color w:val="000000" w:themeColor="text1"/>
          <w:sz w:val="24"/>
          <w:szCs w:val="24"/>
        </w:rPr>
        <w:t xml:space="preserve">Polytyrosine-1,3,6 tuning and calibration solution </w:t>
      </w:r>
      <w:r>
        <w:rPr>
          <w:rFonts w:ascii="Times New Roman" w:hAnsi="Times New Roman" w:cs="Times New Roman"/>
          <w:color w:val="000000" w:themeColor="text1"/>
          <w:sz w:val="24"/>
          <w:szCs w:val="24"/>
        </w:rPr>
        <w:t>can be used to</w:t>
      </w:r>
      <w:r w:rsidR="005E3076" w:rsidRPr="0083245E">
        <w:rPr>
          <w:rFonts w:ascii="Times New Roman" w:hAnsi="Times New Roman" w:cs="Times New Roman"/>
          <w:color w:val="000000" w:themeColor="text1"/>
          <w:sz w:val="24"/>
          <w:szCs w:val="24"/>
        </w:rPr>
        <w:t xml:space="preserve"> achieve a stable ion beam.</w:t>
      </w:r>
      <w:r w:rsidR="000E1449">
        <w:rPr>
          <w:rFonts w:ascii="Times New Roman" w:hAnsi="Times New Roman" w:cs="Times New Roman"/>
          <w:color w:val="000000" w:themeColor="text1"/>
          <w:sz w:val="24"/>
          <w:szCs w:val="24"/>
          <w:vertAlign w:val="superscript"/>
        </w:rPr>
        <w:t>90</w:t>
      </w:r>
      <w:r w:rsidR="005E3076" w:rsidRPr="0083245E">
        <w:rPr>
          <w:rFonts w:ascii="Times New Roman" w:hAnsi="Times New Roman" w:cs="Times New Roman"/>
          <w:color w:val="000000" w:themeColor="text1"/>
          <w:sz w:val="24"/>
          <w:szCs w:val="24"/>
        </w:rPr>
        <w:t xml:space="preserve">  The tuning procedure changes the voltages of the tube lens, ion guides, lenses, and quadrupole offset voltages on Q1 and Q3 to achieve optimum ion transmission.  The tube lens voltage is </w:t>
      </w:r>
      <w:r w:rsidR="005E3076" w:rsidRPr="001F5C2E">
        <w:rPr>
          <w:rFonts w:ascii="Times New Roman" w:hAnsi="Times New Roman" w:cs="Times New Roman"/>
          <w:i/>
          <w:color w:val="000000" w:themeColor="text1"/>
          <w:sz w:val="24"/>
          <w:szCs w:val="24"/>
        </w:rPr>
        <w:t>m/z</w:t>
      </w:r>
      <w:r w:rsidR="005E3076" w:rsidRPr="0083245E">
        <w:rPr>
          <w:rFonts w:ascii="Times New Roman" w:hAnsi="Times New Roman" w:cs="Times New Roman"/>
          <w:color w:val="000000" w:themeColor="text1"/>
          <w:sz w:val="24"/>
          <w:szCs w:val="24"/>
        </w:rPr>
        <w:t xml:space="preserve"> dependent and guides ions into the opening of the skimmer while solvent, neutrals, photons, and other </w:t>
      </w:r>
      <w:r w:rsidR="005E3076" w:rsidRPr="001F5C2E">
        <w:rPr>
          <w:rFonts w:ascii="Times New Roman" w:hAnsi="Times New Roman" w:cs="Times New Roman"/>
          <w:i/>
          <w:color w:val="000000" w:themeColor="text1"/>
          <w:sz w:val="24"/>
          <w:szCs w:val="24"/>
        </w:rPr>
        <w:t>m/z</w:t>
      </w:r>
      <w:r w:rsidR="005E3076" w:rsidRPr="0083245E">
        <w:rPr>
          <w:rFonts w:ascii="Times New Roman" w:hAnsi="Times New Roman" w:cs="Times New Roman"/>
          <w:color w:val="000000" w:themeColor="text1"/>
          <w:sz w:val="24"/>
          <w:szCs w:val="24"/>
        </w:rPr>
        <w:t xml:space="preserve"> ions collide with the skimmer and are pumped out by vacuum being skimmed from the ion beam.  The tube lens offset voltage, also known as skimmer offset voltage, additionally accelerates ions into atmospheric gas aiding in desolvation and increasing sensitivity.  The higher the voltage the more acceleration</w:t>
      </w:r>
      <w:r>
        <w:rPr>
          <w:rFonts w:ascii="Times New Roman" w:hAnsi="Times New Roman" w:cs="Times New Roman"/>
          <w:color w:val="000000" w:themeColor="text1"/>
          <w:sz w:val="24"/>
          <w:szCs w:val="24"/>
        </w:rPr>
        <w:t>,</w:t>
      </w:r>
      <w:r w:rsidR="005E3076" w:rsidRPr="0083245E">
        <w:rPr>
          <w:rFonts w:ascii="Times New Roman" w:hAnsi="Times New Roman" w:cs="Times New Roman"/>
          <w:color w:val="000000" w:themeColor="text1"/>
          <w:sz w:val="24"/>
          <w:szCs w:val="24"/>
        </w:rPr>
        <w:t xml:space="preserve"> and the collisions with atmospheric gas can result in fragmentation also known as ion source fragmentation.  The </w:t>
      </w:r>
      <w:r w:rsidR="005E3076" w:rsidRPr="0083245E">
        <w:rPr>
          <w:rFonts w:ascii="Times New Roman" w:hAnsi="Times New Roman" w:cs="Times New Roman"/>
          <w:color w:val="000000" w:themeColor="text1"/>
          <w:sz w:val="24"/>
          <w:szCs w:val="24"/>
        </w:rPr>
        <w:lastRenderedPageBreak/>
        <w:t>optimum voltage balances desolvation and fragmentation</w:t>
      </w:r>
      <w:r>
        <w:rPr>
          <w:rFonts w:ascii="Times New Roman" w:hAnsi="Times New Roman" w:cs="Times New Roman"/>
          <w:color w:val="000000" w:themeColor="text1"/>
          <w:sz w:val="24"/>
          <w:szCs w:val="24"/>
        </w:rPr>
        <w:t>,</w:t>
      </w:r>
      <w:r w:rsidR="005E3076" w:rsidRPr="0083245E">
        <w:rPr>
          <w:rFonts w:ascii="Times New Roman" w:hAnsi="Times New Roman" w:cs="Times New Roman"/>
          <w:color w:val="000000" w:themeColor="text1"/>
          <w:sz w:val="24"/>
          <w:szCs w:val="24"/>
        </w:rPr>
        <w:t xml:space="preserve"> but is typically set to 0V</w:t>
      </w:r>
      <w:r>
        <w:rPr>
          <w:rFonts w:ascii="Times New Roman" w:hAnsi="Times New Roman" w:cs="Times New Roman"/>
          <w:color w:val="000000" w:themeColor="text1"/>
          <w:sz w:val="24"/>
          <w:szCs w:val="24"/>
        </w:rPr>
        <w:t>,</w:t>
      </w:r>
      <w:r w:rsidR="005E3076" w:rsidRPr="0083245E">
        <w:rPr>
          <w:rFonts w:ascii="Times New Roman" w:hAnsi="Times New Roman" w:cs="Times New Roman"/>
          <w:color w:val="000000" w:themeColor="text1"/>
          <w:sz w:val="24"/>
          <w:szCs w:val="24"/>
        </w:rPr>
        <w:t xml:space="preserve"> and only one value can be used for all compounds in an analysis.  The calibrating procedure corrects for any mass drift from true values se</w:t>
      </w:r>
      <w:r>
        <w:rPr>
          <w:rFonts w:ascii="Times New Roman" w:hAnsi="Times New Roman" w:cs="Times New Roman"/>
          <w:color w:val="000000" w:themeColor="text1"/>
          <w:sz w:val="24"/>
          <w:szCs w:val="24"/>
        </w:rPr>
        <w:t>tting mass accuracy and controlling</w:t>
      </w:r>
      <w:r w:rsidR="005E3076" w:rsidRPr="0083245E">
        <w:rPr>
          <w:rFonts w:ascii="Times New Roman" w:hAnsi="Times New Roman" w:cs="Times New Roman"/>
          <w:color w:val="000000" w:themeColor="text1"/>
          <w:sz w:val="24"/>
          <w:szCs w:val="24"/>
        </w:rPr>
        <w:t xml:space="preserve"> mass resolution.  This low flow tune file can be used for direct infusion of compounds with little or no change</w:t>
      </w:r>
      <w:r>
        <w:rPr>
          <w:rFonts w:ascii="Times New Roman" w:hAnsi="Times New Roman" w:cs="Times New Roman"/>
          <w:color w:val="000000" w:themeColor="text1"/>
          <w:sz w:val="24"/>
          <w:szCs w:val="24"/>
        </w:rPr>
        <w:t xml:space="preserve">, and for a LC </w:t>
      </w:r>
      <w:r w:rsidR="005E3076" w:rsidRPr="0083245E">
        <w:rPr>
          <w:rFonts w:ascii="Times New Roman" w:hAnsi="Times New Roman" w:cs="Times New Roman"/>
          <w:color w:val="000000" w:themeColor="text1"/>
          <w:sz w:val="24"/>
          <w:szCs w:val="24"/>
        </w:rPr>
        <w:t>experiment after optimizing ion source parameters for LC flow and modifying the file.  This same procedure should be applied for negative ion mode.</w:t>
      </w:r>
    </w:p>
    <w:p w:rsidR="005E3076" w:rsidRPr="0083245E" w:rsidRDefault="005E3076" w:rsidP="005E3076">
      <w:pPr>
        <w:spacing w:line="360" w:lineRule="auto"/>
        <w:jc w:val="both"/>
        <w:rPr>
          <w:rFonts w:ascii="Times New Roman" w:hAnsi="Times New Roman" w:cs="Times New Roman"/>
          <w:b/>
          <w:i/>
          <w:sz w:val="24"/>
          <w:szCs w:val="24"/>
        </w:rPr>
      </w:pPr>
    </w:p>
    <w:p w:rsidR="005E3076" w:rsidRPr="0083245E"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b/>
          <w:i/>
          <w:sz w:val="24"/>
          <w:szCs w:val="24"/>
        </w:rPr>
        <w:t>Optimization of Ion Source Parameters at LC Flow</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ESI typically performs best with small droplets created by the small ID of fused silica tubing.  However, high flow rates may require larger ID of fused silica tubing to slow the linear velocity of the spray.  In addition, replacing fused silica with a metal needle is known to result in higher ion efficiency of negative ions.</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Direct infusion into LC flow</w:t>
      </w:r>
      <w:r w:rsidR="000E1449">
        <w:rPr>
          <w:rFonts w:ascii="Times New Roman" w:hAnsi="Times New Roman" w:cs="Times New Roman"/>
          <w:sz w:val="24"/>
          <w:szCs w:val="24"/>
          <w:vertAlign w:val="superscript"/>
        </w:rPr>
        <w:t>90</w:t>
      </w:r>
      <w:r w:rsidRPr="0083245E">
        <w:rPr>
          <w:rFonts w:ascii="Times New Roman" w:hAnsi="Times New Roman" w:cs="Times New Roman"/>
          <w:sz w:val="24"/>
          <w:szCs w:val="24"/>
        </w:rPr>
        <w:t xml:space="preserve"> is used to mimic conditions during a chromatographic run.  This technique consists of filling a syringe with the most thermally labile analyte in the chromatographic method at approximately 10 µM, dissolved in LC flow solvent, to yield a signal of 10</w:t>
      </w:r>
      <w:r w:rsidRPr="0083245E">
        <w:rPr>
          <w:rFonts w:ascii="Times New Roman" w:hAnsi="Times New Roman" w:cs="Times New Roman"/>
          <w:sz w:val="24"/>
          <w:szCs w:val="24"/>
          <w:vertAlign w:val="superscript"/>
        </w:rPr>
        <w:t>5</w:t>
      </w:r>
      <w:r w:rsidRPr="0083245E">
        <w:rPr>
          <w:rFonts w:ascii="Times New Roman" w:hAnsi="Times New Roman" w:cs="Times New Roman"/>
          <w:sz w:val="24"/>
          <w:szCs w:val="24"/>
        </w:rPr>
        <w:t>-10</w:t>
      </w:r>
      <w:r w:rsidRPr="0083245E">
        <w:rPr>
          <w:rFonts w:ascii="Times New Roman" w:hAnsi="Times New Roman" w:cs="Times New Roman"/>
          <w:sz w:val="24"/>
          <w:szCs w:val="24"/>
          <w:vertAlign w:val="superscript"/>
        </w:rPr>
        <w:t>7</w:t>
      </w:r>
      <w:r w:rsidRPr="0083245E">
        <w:rPr>
          <w:rFonts w:ascii="Times New Roman" w:hAnsi="Times New Roman" w:cs="Times New Roman"/>
          <w:sz w:val="24"/>
          <w:szCs w:val="24"/>
        </w:rPr>
        <w:t xml:space="preserve"> intensity and changing ion source parameters for an optimum stable signal.  A tee union is used to connect the LC pump and syringe with LC flow passing through the tee union with no change in direction and syringe flow entering </w:t>
      </w:r>
      <w:r w:rsidR="001F5C2E">
        <w:rPr>
          <w:rFonts w:ascii="Times New Roman" w:hAnsi="Times New Roman" w:cs="Times New Roman"/>
          <w:sz w:val="24"/>
          <w:szCs w:val="24"/>
        </w:rPr>
        <w:t xml:space="preserve">the </w:t>
      </w:r>
      <w:r w:rsidRPr="0083245E">
        <w:rPr>
          <w:rFonts w:ascii="Times New Roman" w:hAnsi="Times New Roman" w:cs="Times New Roman"/>
          <w:sz w:val="24"/>
          <w:szCs w:val="24"/>
        </w:rPr>
        <w:t>LC flow at a 90˚ angle at 5 µL/min</w:t>
      </w:r>
      <w:r w:rsidR="001F5C2E">
        <w:rPr>
          <w:rFonts w:ascii="Times New Roman" w:hAnsi="Times New Roman" w:cs="Times New Roman"/>
          <w:sz w:val="24"/>
          <w:szCs w:val="24"/>
        </w:rPr>
        <w:t>, which can be adjusted</w:t>
      </w:r>
      <w:r w:rsidR="008540CE">
        <w:rPr>
          <w:rFonts w:ascii="Times New Roman" w:hAnsi="Times New Roman" w:cs="Times New Roman"/>
          <w:sz w:val="24"/>
          <w:szCs w:val="24"/>
        </w:rPr>
        <w:t xml:space="preserve"> higher if needed while</w:t>
      </w:r>
      <w:r w:rsidRPr="0083245E">
        <w:rPr>
          <w:rFonts w:ascii="Times New Roman" w:hAnsi="Times New Roman" w:cs="Times New Roman"/>
          <w:sz w:val="24"/>
          <w:szCs w:val="24"/>
        </w:rPr>
        <w:t xml:space="preserve"> lower</w:t>
      </w:r>
      <w:r w:rsidR="008540CE">
        <w:rPr>
          <w:rFonts w:ascii="Times New Roman" w:hAnsi="Times New Roman" w:cs="Times New Roman"/>
          <w:sz w:val="24"/>
          <w:szCs w:val="24"/>
        </w:rPr>
        <w:t>ing</w:t>
      </w:r>
      <w:r w:rsidRPr="0083245E">
        <w:rPr>
          <w:rFonts w:ascii="Times New Roman" w:hAnsi="Times New Roman" w:cs="Times New Roman"/>
          <w:sz w:val="24"/>
          <w:szCs w:val="24"/>
        </w:rPr>
        <w:t xml:space="preserve"> the LC flow rate so that the addition of syringe flow and LC flow equals the method flow rate.  The highest percentage of water or the most nonvolatile solvent in the chromatographic method is used for LC flow to ensure evaporation at any point during a chromatographic run.  The ion source position, amount of drying gases, and ion transfer tube temperature is flow dependent.  The higher the flow</w:t>
      </w:r>
      <w:r w:rsidR="008540CE">
        <w:rPr>
          <w:rFonts w:ascii="Times New Roman" w:hAnsi="Times New Roman" w:cs="Times New Roman"/>
          <w:sz w:val="24"/>
          <w:szCs w:val="24"/>
        </w:rPr>
        <w:t>,</w:t>
      </w:r>
      <w:r w:rsidRPr="0083245E">
        <w:rPr>
          <w:rFonts w:ascii="Times New Roman" w:hAnsi="Times New Roman" w:cs="Times New Roman"/>
          <w:sz w:val="24"/>
          <w:szCs w:val="24"/>
        </w:rPr>
        <w:t xml:space="preserve"> the further the ESI nozzle will be positioned from the orifice, more drying gases will be needed, and the higher the ion transfer tube temperature</w:t>
      </w:r>
      <w:r w:rsidR="008540CE">
        <w:rPr>
          <w:rFonts w:ascii="Times New Roman" w:hAnsi="Times New Roman" w:cs="Times New Roman"/>
          <w:sz w:val="24"/>
          <w:szCs w:val="24"/>
        </w:rPr>
        <w:t xml:space="preserve"> will be</w:t>
      </w:r>
      <w:r w:rsidRPr="0083245E">
        <w:rPr>
          <w:rFonts w:ascii="Times New Roman" w:hAnsi="Times New Roman" w:cs="Times New Roman"/>
          <w:sz w:val="24"/>
          <w:szCs w:val="24"/>
        </w:rPr>
        <w:t xml:space="preserve"> to get strong and stable signal.  Spray voltage at an initial setting of 4000V for positive mode and 3000V for negative mode is used until position of </w:t>
      </w:r>
      <w:r w:rsidR="008540CE">
        <w:rPr>
          <w:rFonts w:ascii="Times New Roman" w:hAnsi="Times New Roman" w:cs="Times New Roman"/>
          <w:sz w:val="24"/>
          <w:szCs w:val="24"/>
        </w:rPr>
        <w:t xml:space="preserve">the </w:t>
      </w:r>
      <w:r w:rsidRPr="0083245E">
        <w:rPr>
          <w:rFonts w:ascii="Times New Roman" w:hAnsi="Times New Roman" w:cs="Times New Roman"/>
          <w:sz w:val="24"/>
          <w:szCs w:val="24"/>
        </w:rPr>
        <w:t xml:space="preserve">ion source is set </w:t>
      </w:r>
      <w:r w:rsidR="008540CE">
        <w:rPr>
          <w:rFonts w:ascii="Times New Roman" w:hAnsi="Times New Roman" w:cs="Times New Roman"/>
          <w:sz w:val="24"/>
          <w:szCs w:val="24"/>
        </w:rPr>
        <w:t>as well as</w:t>
      </w:r>
      <w:r w:rsidRPr="0083245E">
        <w:rPr>
          <w:rFonts w:ascii="Times New Roman" w:hAnsi="Times New Roman" w:cs="Times New Roman"/>
          <w:sz w:val="24"/>
          <w:szCs w:val="24"/>
        </w:rPr>
        <w:t xml:space="preserve"> all other parameters.  Negative mode typically uses less spray voltage than positive mode as arcing is more prone.</w:t>
      </w:r>
      <w:r w:rsidR="000E1449">
        <w:rPr>
          <w:rFonts w:ascii="Times New Roman" w:hAnsi="Times New Roman" w:cs="Times New Roman"/>
          <w:sz w:val="24"/>
          <w:szCs w:val="24"/>
          <w:vertAlign w:val="superscript"/>
        </w:rPr>
        <w:t>91</w:t>
      </w:r>
      <w:r w:rsidRPr="0083245E">
        <w:rPr>
          <w:rFonts w:ascii="Times New Roman" w:hAnsi="Times New Roman" w:cs="Times New Roman"/>
          <w:sz w:val="24"/>
          <w:szCs w:val="24"/>
        </w:rPr>
        <w:t xml:space="preserve">  Adjusting before setting ion </w:t>
      </w:r>
      <w:r w:rsidRPr="0083245E">
        <w:rPr>
          <w:rFonts w:ascii="Times New Roman" w:hAnsi="Times New Roman" w:cs="Times New Roman"/>
          <w:sz w:val="24"/>
          <w:szCs w:val="24"/>
        </w:rPr>
        <w:lastRenderedPageBreak/>
        <w:t>source position may cause arcing in the ion source as the ESI nozzle is too close to the MS orifice.  A setting of 90V for tube lens voltage is sufficient.  Set the ion source position to middle settings of all parameters and an initial ion transfer tube temperature of 290˚C.  Adjust the drying gases in the order of sheath, auxillary, and sweep.  Sheath gas is the nebulizing gas, auxillary is the drying gas, and sweep gas attempts to maintain a stable clean environment in the ion transfer tube to prevent loss of signal.  Sweep should be turned up as high as possible without losing signal intensity or stability.  Adjust the ion source position</w:t>
      </w:r>
      <w:r w:rsidR="008540CE">
        <w:rPr>
          <w:rFonts w:ascii="Times New Roman" w:hAnsi="Times New Roman" w:cs="Times New Roman"/>
          <w:sz w:val="24"/>
          <w:szCs w:val="24"/>
        </w:rPr>
        <w:t>,</w:t>
      </w:r>
      <w:r w:rsidRPr="0083245E">
        <w:rPr>
          <w:rFonts w:ascii="Times New Roman" w:hAnsi="Times New Roman" w:cs="Times New Roman"/>
          <w:sz w:val="24"/>
          <w:szCs w:val="24"/>
        </w:rPr>
        <w:t xml:space="preserve"> then adjust the ion transfer tube temperature.  A thermally labile analyte was previously chosen to ensure that thermal decomposition of other analytes in the chromatographic method will not occur.  Adjust spray voltage up or down in increments of 500V then in increments of 100V to get optimum.</w:t>
      </w:r>
    </w:p>
    <w:p w:rsidR="005E3076" w:rsidRPr="0083245E" w:rsidRDefault="005E3076" w:rsidP="005E3076">
      <w:pPr>
        <w:spacing w:line="360" w:lineRule="auto"/>
        <w:jc w:val="both"/>
        <w:rPr>
          <w:rFonts w:ascii="Times New Roman" w:hAnsi="Times New Roman" w:cs="Times New Roman"/>
          <w:b/>
          <w:i/>
          <w:sz w:val="24"/>
          <w:szCs w:val="24"/>
        </w:rPr>
      </w:pPr>
    </w:p>
    <w:p w:rsidR="005E3076" w:rsidRPr="0083245E"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b/>
          <w:i/>
          <w:sz w:val="24"/>
          <w:szCs w:val="24"/>
        </w:rPr>
        <w:t>SRM Optimization</w:t>
      </w:r>
    </w:p>
    <w:p w:rsidR="005E3076"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i/>
          <w:sz w:val="24"/>
          <w:szCs w:val="24"/>
        </w:rPr>
        <w:t>Identifying Parent and Product Ions</w:t>
      </w:r>
    </w:p>
    <w:p w:rsidR="005E3076" w:rsidRPr="006B7757"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sz w:val="24"/>
          <w:szCs w:val="24"/>
        </w:rPr>
        <w:t>Direct inf</w:t>
      </w:r>
      <w:r w:rsidR="008540CE">
        <w:rPr>
          <w:rFonts w:ascii="Times New Roman" w:hAnsi="Times New Roman" w:cs="Times New Roman"/>
          <w:sz w:val="24"/>
          <w:szCs w:val="24"/>
        </w:rPr>
        <w:t>usion of a</w:t>
      </w:r>
      <w:r w:rsidRPr="0083245E">
        <w:rPr>
          <w:rFonts w:ascii="Times New Roman" w:hAnsi="Times New Roman" w:cs="Times New Roman"/>
          <w:sz w:val="24"/>
          <w:szCs w:val="24"/>
        </w:rPr>
        <w:t xml:space="preserve"> </w:t>
      </w:r>
      <w:r w:rsidR="008540CE">
        <w:rPr>
          <w:rFonts w:ascii="Times New Roman" w:hAnsi="Times New Roman" w:cs="Times New Roman"/>
          <w:sz w:val="24"/>
          <w:szCs w:val="24"/>
        </w:rPr>
        <w:t>standard</w:t>
      </w:r>
      <w:r w:rsidRPr="0083245E">
        <w:rPr>
          <w:rFonts w:ascii="Times New Roman" w:hAnsi="Times New Roman" w:cs="Times New Roman"/>
          <w:sz w:val="24"/>
          <w:szCs w:val="24"/>
        </w:rPr>
        <w:t xml:space="preserve"> at </w:t>
      </w:r>
      <w:r w:rsidR="008540CE">
        <w:rPr>
          <w:rFonts w:ascii="Times New Roman" w:hAnsi="Times New Roman" w:cs="Times New Roman"/>
          <w:sz w:val="24"/>
          <w:szCs w:val="24"/>
        </w:rPr>
        <w:t xml:space="preserve">low flow rate of 5 to 20 µL/min is used to identify ions. </w:t>
      </w:r>
      <w:r w:rsidRPr="0083245E">
        <w:rPr>
          <w:rFonts w:ascii="Times New Roman" w:hAnsi="Times New Roman" w:cs="Times New Roman"/>
          <w:sz w:val="24"/>
          <w:szCs w:val="24"/>
        </w:rPr>
        <w:t xml:space="preserve">  If no standard is available then the sample to be measured can be placed in a syringe and direct infused.  The solvent system should include the mobile phases used in chromatographic separations as the parent ion may be an adduct ion.</w:t>
      </w:r>
      <w:r w:rsidR="000E1449">
        <w:rPr>
          <w:rFonts w:ascii="Times New Roman" w:hAnsi="Times New Roman" w:cs="Times New Roman"/>
          <w:sz w:val="24"/>
          <w:szCs w:val="24"/>
          <w:vertAlign w:val="superscript"/>
        </w:rPr>
        <w:t>92</w:t>
      </w:r>
      <w:r w:rsidRPr="0083245E">
        <w:rPr>
          <w:rFonts w:ascii="Times New Roman" w:hAnsi="Times New Roman" w:cs="Times New Roman"/>
          <w:sz w:val="24"/>
          <w:szCs w:val="24"/>
          <w:vertAlign w:val="superscript"/>
        </w:rPr>
        <w:t xml:space="preserve">, </w:t>
      </w:r>
      <w:r w:rsidR="000E1449">
        <w:rPr>
          <w:rFonts w:ascii="Times New Roman" w:hAnsi="Times New Roman" w:cs="Times New Roman"/>
          <w:sz w:val="24"/>
          <w:szCs w:val="24"/>
          <w:vertAlign w:val="superscript"/>
        </w:rPr>
        <w:t>93</w:t>
      </w:r>
      <w:r w:rsidRPr="0083245E">
        <w:rPr>
          <w:rFonts w:ascii="Times New Roman" w:hAnsi="Times New Roman" w:cs="Times New Roman"/>
          <w:sz w:val="24"/>
          <w:szCs w:val="24"/>
          <w:vertAlign w:val="superscript"/>
        </w:rPr>
        <w:t xml:space="preserve">, </w:t>
      </w:r>
      <w:r w:rsidR="000E1449">
        <w:rPr>
          <w:rFonts w:ascii="Times New Roman" w:hAnsi="Times New Roman" w:cs="Times New Roman"/>
          <w:sz w:val="24"/>
          <w:szCs w:val="24"/>
          <w:vertAlign w:val="superscript"/>
        </w:rPr>
        <w:t>94</w:t>
      </w:r>
      <w:r w:rsidRPr="0083245E">
        <w:rPr>
          <w:rFonts w:ascii="Times New Roman" w:hAnsi="Times New Roman" w:cs="Times New Roman"/>
          <w:sz w:val="24"/>
          <w:szCs w:val="24"/>
        </w:rPr>
        <w:t xml:space="preserve">  Set Q1 at FWHM 0.7 to full scan a range that includes the parent ion and possible adduct ions at a scan time of 1s and set Q3 as an ion transmission device (ITD).  Then set Q1 as a mass analyzer on the identified parent ion</w:t>
      </w:r>
      <w:r w:rsidR="008540CE">
        <w:rPr>
          <w:rFonts w:ascii="Times New Roman" w:hAnsi="Times New Roman" w:cs="Times New Roman"/>
          <w:sz w:val="24"/>
          <w:szCs w:val="24"/>
        </w:rPr>
        <w:t>,</w:t>
      </w:r>
      <w:r w:rsidRPr="0083245E">
        <w:rPr>
          <w:rFonts w:ascii="Times New Roman" w:hAnsi="Times New Roman" w:cs="Times New Roman"/>
          <w:sz w:val="24"/>
          <w:szCs w:val="24"/>
        </w:rPr>
        <w:t xml:space="preserve"> and set Q3 to full scan a range below the parent ion.  This is also known as product scan mode.  Start at a CE of 0 and increase in increments of 10 reaching 80 to observe all products at a collision gas pressure of 1.5 mtorr.  Perform the same procedure in negative ion mode.</w:t>
      </w: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Tube Lens</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Tube lens voltage is not flow dependent</w:t>
      </w:r>
      <w:r w:rsidR="008540CE">
        <w:rPr>
          <w:rFonts w:ascii="Times New Roman" w:hAnsi="Times New Roman" w:cs="Times New Roman"/>
          <w:sz w:val="24"/>
          <w:szCs w:val="24"/>
        </w:rPr>
        <w:t>,</w:t>
      </w:r>
      <w:r w:rsidRPr="0083245E">
        <w:rPr>
          <w:rFonts w:ascii="Times New Roman" w:hAnsi="Times New Roman" w:cs="Times New Roman"/>
          <w:sz w:val="24"/>
          <w:szCs w:val="24"/>
        </w:rPr>
        <w:t xml:space="preserve"> and direct infusion at low flow is appropriate.  Direct infuse compound and perform SRM optimization.  Tube lens voltage only depends on the parent ion and the same optimum can be applied to other SRM transitions of different product ions.  An optimized tube lens voltage will be found</w:t>
      </w:r>
      <w:r w:rsidR="008540CE">
        <w:rPr>
          <w:rFonts w:ascii="Times New Roman" w:hAnsi="Times New Roman" w:cs="Times New Roman"/>
          <w:sz w:val="24"/>
          <w:szCs w:val="24"/>
        </w:rPr>
        <w:t>,</w:t>
      </w:r>
      <w:r w:rsidRPr="0083245E">
        <w:rPr>
          <w:rFonts w:ascii="Times New Roman" w:hAnsi="Times New Roman" w:cs="Times New Roman"/>
          <w:sz w:val="24"/>
          <w:szCs w:val="24"/>
        </w:rPr>
        <w:t xml:space="preserve"> and a percent increase to tuned tube lens voltage will </w:t>
      </w:r>
      <w:r w:rsidRPr="0083245E">
        <w:rPr>
          <w:rFonts w:ascii="Times New Roman" w:hAnsi="Times New Roman" w:cs="Times New Roman"/>
          <w:sz w:val="24"/>
          <w:szCs w:val="24"/>
        </w:rPr>
        <w:lastRenderedPageBreak/>
        <w:t>be stated.  If ran a second time</w:t>
      </w:r>
      <w:r w:rsidR="00BD09FC">
        <w:rPr>
          <w:rFonts w:ascii="Times New Roman" w:hAnsi="Times New Roman" w:cs="Times New Roman"/>
          <w:sz w:val="24"/>
          <w:szCs w:val="24"/>
        </w:rPr>
        <w:t>,</w:t>
      </w:r>
      <w:r w:rsidRPr="0083245E">
        <w:rPr>
          <w:rFonts w:ascii="Times New Roman" w:hAnsi="Times New Roman" w:cs="Times New Roman"/>
          <w:sz w:val="24"/>
          <w:szCs w:val="24"/>
        </w:rPr>
        <w:t xml:space="preserve"> another optimum tube lens voltage will result as the maximum is not smooth and the percent increase may not be as much.  The tuning solution uses the monomer at 182 m/z, trimer at 508 m/z, and hexamer at 997 m/z of polytyrosine to determine the optimum tube lens voltage of all compounds by interpolating and extrapolating from the optimum value of the 3 compounds.  The </w:t>
      </w:r>
      <w:r w:rsidRPr="00BD09FC">
        <w:rPr>
          <w:rFonts w:ascii="Times New Roman" w:hAnsi="Times New Roman" w:cs="Times New Roman"/>
          <w:i/>
          <w:sz w:val="24"/>
          <w:szCs w:val="24"/>
        </w:rPr>
        <w:t>m/z</w:t>
      </w:r>
      <w:r w:rsidRPr="0083245E">
        <w:rPr>
          <w:rFonts w:ascii="Times New Roman" w:hAnsi="Times New Roman" w:cs="Times New Roman"/>
          <w:sz w:val="24"/>
          <w:szCs w:val="24"/>
        </w:rPr>
        <w:t xml:space="preserve"> values are 2 units less in negative mode.  The improvement is typically no more that 10% and fluctuates, requires typing in instrument method and finding new value every 3 months as part of routi</w:t>
      </w:r>
      <w:r w:rsidR="00BD09FC">
        <w:rPr>
          <w:rFonts w:ascii="Times New Roman" w:hAnsi="Times New Roman" w:cs="Times New Roman"/>
          <w:sz w:val="24"/>
          <w:szCs w:val="24"/>
        </w:rPr>
        <w:t>ne tuning;</w:t>
      </w:r>
      <w:r w:rsidRPr="0083245E">
        <w:rPr>
          <w:rFonts w:ascii="Times New Roman" w:hAnsi="Times New Roman" w:cs="Times New Roman"/>
          <w:sz w:val="24"/>
          <w:szCs w:val="24"/>
        </w:rPr>
        <w:t xml:space="preserve"> and for these reasons tuned tube lens voltage is preferred for high throughput analysis.  However, if necessary</w:t>
      </w:r>
      <w:r w:rsidR="00BD09FC">
        <w:rPr>
          <w:rFonts w:ascii="Times New Roman" w:hAnsi="Times New Roman" w:cs="Times New Roman"/>
          <w:sz w:val="24"/>
          <w:szCs w:val="24"/>
        </w:rPr>
        <w:t>,</w:t>
      </w:r>
      <w:r w:rsidRPr="0083245E">
        <w:rPr>
          <w:rFonts w:ascii="Times New Roman" w:hAnsi="Times New Roman" w:cs="Times New Roman"/>
          <w:sz w:val="24"/>
          <w:szCs w:val="24"/>
        </w:rPr>
        <w:t xml:space="preserve"> a specific tuning and calibration solution containing the compounds in the analysis can be made</w:t>
      </w:r>
      <w:r w:rsidR="00BD09FC">
        <w:rPr>
          <w:rFonts w:ascii="Times New Roman" w:hAnsi="Times New Roman" w:cs="Times New Roman"/>
          <w:sz w:val="24"/>
          <w:szCs w:val="24"/>
        </w:rPr>
        <w:t>,</w:t>
      </w:r>
      <w:r w:rsidRPr="0083245E">
        <w:rPr>
          <w:rFonts w:ascii="Times New Roman" w:hAnsi="Times New Roman" w:cs="Times New Roman"/>
          <w:sz w:val="24"/>
          <w:szCs w:val="24"/>
        </w:rPr>
        <w:t xml:space="preserve"> and sourcing this tune file in the instrument method would remove the requirement of manual typing with the added benefit of mass calibration.  If solubility issues are a problem</w:t>
      </w:r>
      <w:r w:rsidR="00BD09FC">
        <w:rPr>
          <w:rFonts w:ascii="Times New Roman" w:hAnsi="Times New Roman" w:cs="Times New Roman"/>
          <w:sz w:val="24"/>
          <w:szCs w:val="24"/>
        </w:rPr>
        <w:t>,</w:t>
      </w:r>
      <w:r w:rsidRPr="0083245E">
        <w:rPr>
          <w:rFonts w:ascii="Times New Roman" w:hAnsi="Times New Roman" w:cs="Times New Roman"/>
          <w:sz w:val="24"/>
          <w:szCs w:val="24"/>
        </w:rPr>
        <w:t xml:space="preserve"> then make a solution that only contains compounds in a given MS acquisition segment as each requires their own tune file.</w:t>
      </w: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Collision Energy</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Collision energy (CE) is the offset voltage on Q2 that results in acceleration of ions into the collision gas.  Offset voltages are </w:t>
      </w:r>
      <w:r w:rsidR="00BD09FC">
        <w:rPr>
          <w:rFonts w:ascii="Times New Roman" w:hAnsi="Times New Roman" w:cs="Times New Roman"/>
          <w:sz w:val="24"/>
          <w:szCs w:val="24"/>
        </w:rPr>
        <w:t>DC</w:t>
      </w:r>
      <w:r w:rsidRPr="0083245E">
        <w:rPr>
          <w:rFonts w:ascii="Times New Roman" w:hAnsi="Times New Roman" w:cs="Times New Roman"/>
          <w:sz w:val="24"/>
          <w:szCs w:val="24"/>
        </w:rPr>
        <w:t xml:space="preserve"> voltages that control acceleration and deceleration of ions, quadrupole rod pairs are equal in amplitude and sign, whereas, ramping </w:t>
      </w:r>
      <w:r w:rsidR="00BD09FC">
        <w:rPr>
          <w:rFonts w:ascii="Times New Roman" w:hAnsi="Times New Roman" w:cs="Times New Roman"/>
          <w:sz w:val="24"/>
          <w:szCs w:val="24"/>
        </w:rPr>
        <w:t>DC</w:t>
      </w:r>
      <w:r w:rsidRPr="0083245E">
        <w:rPr>
          <w:rFonts w:ascii="Times New Roman" w:hAnsi="Times New Roman" w:cs="Times New Roman"/>
          <w:sz w:val="24"/>
          <w:szCs w:val="24"/>
        </w:rPr>
        <w:t xml:space="preserve"> controls ion stability and quadrupole rod pairs are equal but opposite in sign.   The name offset is from a compared difference of applied voltage, in this case, the difference in voltage from the Q2 and the ion source resulting in acceleration of the parent ion as setting the translational kinetic energy (TKE).  Increasing offset voltage increases the TKE of a parent ion which increases the energy of a parent ion and molecule of argon gas collision, or collision energy.  An optimum exist</w:t>
      </w:r>
      <w:r w:rsidR="00BD09FC">
        <w:rPr>
          <w:rFonts w:ascii="Times New Roman" w:hAnsi="Times New Roman" w:cs="Times New Roman"/>
          <w:sz w:val="24"/>
          <w:szCs w:val="24"/>
        </w:rPr>
        <w:t>s</w:t>
      </w:r>
      <w:r w:rsidRPr="0083245E">
        <w:rPr>
          <w:rFonts w:ascii="Times New Roman" w:hAnsi="Times New Roman" w:cs="Times New Roman"/>
          <w:sz w:val="24"/>
          <w:szCs w:val="24"/>
        </w:rPr>
        <w:t xml:space="preserve"> at a balance as a low CE is only enough energy to cause the desired fragment in a higher energy population or from multiple collisions</w:t>
      </w:r>
      <w:r w:rsidR="00BD09FC">
        <w:rPr>
          <w:rFonts w:ascii="Times New Roman" w:hAnsi="Times New Roman" w:cs="Times New Roman"/>
          <w:sz w:val="24"/>
          <w:szCs w:val="24"/>
        </w:rPr>
        <w:t>;</w:t>
      </w:r>
      <w:r w:rsidRPr="0083245E">
        <w:rPr>
          <w:rFonts w:ascii="Times New Roman" w:hAnsi="Times New Roman" w:cs="Times New Roman"/>
          <w:sz w:val="24"/>
          <w:szCs w:val="24"/>
        </w:rPr>
        <w:t xml:space="preserve"> and a high CE results in further fragmentation or scattering.</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Collision energy is not flow dependent.  Direct infuse compound and perform SRM optimization on observed product ions at 1.5 mtorr collision gas pressure.  A breakdown curve will show the optimum CE.  A breakdown curve is produced by monitoring the signal intensity as different CE </w:t>
      </w:r>
      <w:r w:rsidRPr="0083245E">
        <w:rPr>
          <w:rFonts w:ascii="Times New Roman" w:hAnsi="Times New Roman" w:cs="Times New Roman"/>
          <w:sz w:val="24"/>
          <w:szCs w:val="24"/>
        </w:rPr>
        <w:lastRenderedPageBreak/>
        <w:t>are applied and the parent ion is broken down into fragments producing signal.</w:t>
      </w:r>
      <w:r w:rsidR="00CB7AD8">
        <w:rPr>
          <w:rFonts w:ascii="Times New Roman" w:hAnsi="Times New Roman" w:cs="Times New Roman"/>
          <w:sz w:val="24"/>
          <w:szCs w:val="24"/>
          <w:vertAlign w:val="superscript"/>
        </w:rPr>
        <w:t>95</w:t>
      </w:r>
      <w:r w:rsidRPr="0083245E">
        <w:rPr>
          <w:rFonts w:ascii="Times New Roman" w:hAnsi="Times New Roman" w:cs="Times New Roman"/>
          <w:sz w:val="24"/>
          <w:szCs w:val="24"/>
        </w:rPr>
        <w:t xml:space="preserve">  The CE that resulted in the highest signal is the optimum CE.  If the maximum is not smooth</w:t>
      </w:r>
      <w:r w:rsidR="00BD09FC">
        <w:rPr>
          <w:rFonts w:ascii="Times New Roman" w:hAnsi="Times New Roman" w:cs="Times New Roman"/>
          <w:sz w:val="24"/>
          <w:szCs w:val="24"/>
        </w:rPr>
        <w:t>,</w:t>
      </w:r>
      <w:r w:rsidRPr="0083245E">
        <w:rPr>
          <w:rFonts w:ascii="Times New Roman" w:hAnsi="Times New Roman" w:cs="Times New Roman"/>
          <w:sz w:val="24"/>
          <w:szCs w:val="24"/>
        </w:rPr>
        <w:t xml:space="preserve"> a different optimum CE will result when the SRM optimization is ran a second time.  Choose the SRM transitions that have the most stable breakdown down curve at the maximum as any fluctuation left or right in CE will not result in a significant change in signal.  The maximum does not just result in the highest y value but also is the smallest slope so small movement in the x direction is essentially the same y value.  </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Although other SRM transitions are not used for further optimization</w:t>
      </w:r>
      <w:r w:rsidR="00BD09FC">
        <w:rPr>
          <w:rFonts w:ascii="Times New Roman" w:hAnsi="Times New Roman" w:cs="Times New Roman"/>
          <w:sz w:val="24"/>
          <w:szCs w:val="24"/>
        </w:rPr>
        <w:t>,</w:t>
      </w:r>
      <w:r w:rsidRPr="0083245E">
        <w:rPr>
          <w:rFonts w:ascii="Times New Roman" w:hAnsi="Times New Roman" w:cs="Times New Roman"/>
          <w:sz w:val="24"/>
          <w:szCs w:val="24"/>
        </w:rPr>
        <w:t xml:space="preserve"> the breakdown curves should be saved as a screenshot if these SRM transitions will be needed later to resolve interference with the chosen SRM transitions.  The approach now is to find the SRM transition that is most suitable for quantitation based on the sensitivity but later a less sensitive SRM transition but more selective may be used.  It is common for classes of compounds with varying R groups to have the same CE when losing the same product ion</w:t>
      </w:r>
      <w:r w:rsidR="00BD09FC">
        <w:rPr>
          <w:rFonts w:ascii="Times New Roman" w:hAnsi="Times New Roman" w:cs="Times New Roman"/>
          <w:sz w:val="24"/>
          <w:szCs w:val="24"/>
        </w:rPr>
        <w:t>,</w:t>
      </w:r>
      <w:r w:rsidRPr="0083245E">
        <w:rPr>
          <w:rFonts w:ascii="Times New Roman" w:hAnsi="Times New Roman" w:cs="Times New Roman"/>
          <w:sz w:val="24"/>
          <w:szCs w:val="24"/>
        </w:rPr>
        <w:t xml:space="preserve"> and optimizing on one compound of this class may be sufficient.</w:t>
      </w:r>
      <w:r w:rsidR="00E35DD4">
        <w:rPr>
          <w:rFonts w:ascii="Times New Roman" w:hAnsi="Times New Roman" w:cs="Times New Roman"/>
          <w:sz w:val="24"/>
          <w:szCs w:val="24"/>
          <w:vertAlign w:val="superscript"/>
        </w:rPr>
        <w:t>62</w:t>
      </w:r>
      <w:r w:rsidRPr="0083245E">
        <w:rPr>
          <w:rFonts w:ascii="Times New Roman" w:hAnsi="Times New Roman" w:cs="Times New Roman"/>
          <w:sz w:val="24"/>
          <w:szCs w:val="24"/>
        </w:rPr>
        <w:t xml:space="preserve">  However, if in doubt optimize on the lowest </w:t>
      </w:r>
      <w:r w:rsidRPr="00BD09FC">
        <w:rPr>
          <w:rFonts w:ascii="Times New Roman" w:hAnsi="Times New Roman" w:cs="Times New Roman"/>
          <w:i/>
          <w:sz w:val="24"/>
          <w:szCs w:val="24"/>
        </w:rPr>
        <w:t>m/z</w:t>
      </w:r>
      <w:r w:rsidRPr="0083245E">
        <w:rPr>
          <w:rFonts w:ascii="Times New Roman" w:hAnsi="Times New Roman" w:cs="Times New Roman"/>
          <w:sz w:val="24"/>
          <w:szCs w:val="24"/>
        </w:rPr>
        <w:t xml:space="preserve"> and the highest </w:t>
      </w:r>
      <w:r w:rsidRPr="00BD09FC">
        <w:rPr>
          <w:rFonts w:ascii="Times New Roman" w:hAnsi="Times New Roman" w:cs="Times New Roman"/>
          <w:i/>
          <w:sz w:val="24"/>
          <w:szCs w:val="24"/>
        </w:rPr>
        <w:t>m/z</w:t>
      </w:r>
      <w:r w:rsidRPr="0083245E">
        <w:rPr>
          <w:rFonts w:ascii="Times New Roman" w:hAnsi="Times New Roman" w:cs="Times New Roman"/>
          <w:sz w:val="24"/>
          <w:szCs w:val="24"/>
        </w:rPr>
        <w:t xml:space="preserve"> to see if CE is conserved as CE controls the translational kinetic energy at which collisions take place</w:t>
      </w:r>
      <w:r w:rsidR="00BD09FC">
        <w:rPr>
          <w:rFonts w:ascii="Times New Roman" w:hAnsi="Times New Roman" w:cs="Times New Roman"/>
          <w:sz w:val="24"/>
          <w:szCs w:val="24"/>
        </w:rPr>
        <w:t>,</w:t>
      </w:r>
      <w:r w:rsidRPr="0083245E">
        <w:rPr>
          <w:rFonts w:ascii="Times New Roman" w:hAnsi="Times New Roman" w:cs="Times New Roman"/>
          <w:sz w:val="24"/>
          <w:szCs w:val="24"/>
        </w:rPr>
        <w:t xml:space="preserve"> and heavier </w:t>
      </w:r>
      <w:r w:rsidRPr="00BD09FC">
        <w:rPr>
          <w:rFonts w:ascii="Times New Roman" w:hAnsi="Times New Roman" w:cs="Times New Roman"/>
          <w:i/>
          <w:sz w:val="24"/>
          <w:szCs w:val="24"/>
        </w:rPr>
        <w:t>m/z</w:t>
      </w:r>
      <w:r w:rsidRPr="0083245E">
        <w:rPr>
          <w:rFonts w:ascii="Times New Roman" w:hAnsi="Times New Roman" w:cs="Times New Roman"/>
          <w:sz w:val="24"/>
          <w:szCs w:val="24"/>
        </w:rPr>
        <w:t xml:space="preserve"> would be predicted to accelerate slower at the same CE and result in less fragmentation shifting their optimum CE higher.  This is analogous to the principle that allows for </w:t>
      </w:r>
      <w:r w:rsidRPr="00BD09FC">
        <w:rPr>
          <w:rFonts w:ascii="Times New Roman" w:hAnsi="Times New Roman" w:cs="Times New Roman"/>
          <w:i/>
          <w:sz w:val="24"/>
          <w:szCs w:val="24"/>
        </w:rPr>
        <w:t>m/z</w:t>
      </w:r>
      <w:r w:rsidRPr="0083245E">
        <w:rPr>
          <w:rFonts w:ascii="Times New Roman" w:hAnsi="Times New Roman" w:cs="Times New Roman"/>
          <w:sz w:val="24"/>
          <w:szCs w:val="24"/>
        </w:rPr>
        <w:t xml:space="preserve"> separations using a time of flight mass analyzer as ions are lined up and receive the same acceleration voltage but higher TKE results for low </w:t>
      </w:r>
      <w:r w:rsidRPr="00BD09FC">
        <w:rPr>
          <w:rFonts w:ascii="Times New Roman" w:hAnsi="Times New Roman" w:cs="Times New Roman"/>
          <w:i/>
          <w:sz w:val="24"/>
          <w:szCs w:val="24"/>
        </w:rPr>
        <w:t>m/z</w:t>
      </w:r>
      <w:r w:rsidRPr="0083245E">
        <w:rPr>
          <w:rFonts w:ascii="Times New Roman" w:hAnsi="Times New Roman" w:cs="Times New Roman"/>
          <w:sz w:val="24"/>
          <w:szCs w:val="24"/>
        </w:rPr>
        <w:t xml:space="preserve"> and lower TKE results for higher </w:t>
      </w:r>
      <w:r w:rsidRPr="00BD09FC">
        <w:rPr>
          <w:rFonts w:ascii="Times New Roman" w:hAnsi="Times New Roman" w:cs="Times New Roman"/>
          <w:i/>
          <w:sz w:val="24"/>
          <w:szCs w:val="24"/>
        </w:rPr>
        <w:t>m/z</w:t>
      </w:r>
      <w:r w:rsidRPr="0083245E">
        <w:rPr>
          <w:rFonts w:ascii="Times New Roman" w:hAnsi="Times New Roman" w:cs="Times New Roman"/>
          <w:sz w:val="24"/>
          <w:szCs w:val="24"/>
        </w:rPr>
        <w:t xml:space="preserve"> achieving separation.</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CE is compound dependent and does not depend on ion transmission.  Therefore parameters of scan time, scan width, and FWHM does not change optimum CE</w:t>
      </w:r>
      <w:r w:rsidR="00BD09FC">
        <w:rPr>
          <w:rFonts w:ascii="Times New Roman" w:hAnsi="Times New Roman" w:cs="Times New Roman"/>
          <w:sz w:val="24"/>
          <w:szCs w:val="24"/>
        </w:rPr>
        <w:t>,</w:t>
      </w:r>
      <w:r w:rsidRPr="0083245E">
        <w:rPr>
          <w:rFonts w:ascii="Times New Roman" w:hAnsi="Times New Roman" w:cs="Times New Roman"/>
          <w:sz w:val="24"/>
          <w:szCs w:val="24"/>
        </w:rPr>
        <w:t xml:space="preserve"> but would only result in a higher intensity value at optimum CE on the breakdown curve as</w:t>
      </w:r>
      <w:r>
        <w:rPr>
          <w:rFonts w:ascii="Times New Roman" w:hAnsi="Times New Roman" w:cs="Times New Roman"/>
          <w:sz w:val="24"/>
          <w:szCs w:val="24"/>
        </w:rPr>
        <w:t xml:space="preserve"> these affect ion transmission.  </w:t>
      </w:r>
      <w:r w:rsidRPr="0083245E">
        <w:rPr>
          <w:rFonts w:ascii="Times New Roman" w:hAnsi="Times New Roman" w:cs="Times New Roman"/>
          <w:sz w:val="24"/>
          <w:szCs w:val="24"/>
        </w:rPr>
        <w:t>The quadrupole offset voltages for Q1 and Q3 are adjusted during tuning</w:t>
      </w:r>
      <w:r w:rsidR="00BD09FC">
        <w:rPr>
          <w:rFonts w:ascii="Times New Roman" w:hAnsi="Times New Roman" w:cs="Times New Roman"/>
          <w:sz w:val="24"/>
          <w:szCs w:val="24"/>
        </w:rPr>
        <w:t>,</w:t>
      </w:r>
      <w:r w:rsidRPr="0083245E">
        <w:rPr>
          <w:rFonts w:ascii="Times New Roman" w:hAnsi="Times New Roman" w:cs="Times New Roman"/>
          <w:sz w:val="24"/>
          <w:szCs w:val="24"/>
        </w:rPr>
        <w:t xml:space="preserve"> but CE stay the same within 1 unit before and after a tune suggesting that optimum CE does not need to be reacquired.</w:t>
      </w:r>
    </w:p>
    <w:p w:rsidR="005E3076" w:rsidRPr="0083245E" w:rsidRDefault="005E3076" w:rsidP="005E3076">
      <w:pPr>
        <w:spacing w:line="360" w:lineRule="auto"/>
        <w:jc w:val="both"/>
        <w:rPr>
          <w:rFonts w:ascii="Times New Roman" w:hAnsi="Times New Roman" w:cs="Times New Roman"/>
          <w:i/>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lastRenderedPageBreak/>
        <w:t>Collision Gas Pressure</w:t>
      </w:r>
    </w:p>
    <w:p w:rsidR="005E3076" w:rsidRPr="0083245E" w:rsidRDefault="005E3076" w:rsidP="005E3076">
      <w:pPr>
        <w:spacing w:line="360" w:lineRule="auto"/>
        <w:jc w:val="both"/>
        <w:rPr>
          <w:rFonts w:ascii="Times New Roman" w:hAnsi="Times New Roman" w:cs="Times New Roman"/>
          <w:color w:val="000000" w:themeColor="text1"/>
          <w:sz w:val="24"/>
          <w:szCs w:val="24"/>
        </w:rPr>
      </w:pPr>
      <w:r w:rsidRPr="0083245E">
        <w:rPr>
          <w:rFonts w:ascii="Times New Roman" w:hAnsi="Times New Roman" w:cs="Times New Roman"/>
          <w:sz w:val="24"/>
          <w:szCs w:val="24"/>
        </w:rPr>
        <w:t xml:space="preserve">The collision gas is </w:t>
      </w:r>
      <w:r w:rsidRPr="0083245E">
        <w:rPr>
          <w:rFonts w:ascii="Times New Roman" w:hAnsi="Times New Roman" w:cs="Times New Roman"/>
          <w:color w:val="000000" w:themeColor="text1"/>
          <w:sz w:val="24"/>
          <w:szCs w:val="24"/>
        </w:rPr>
        <w:t>ultra high purity argon chosen for its inertness and mass.  It is important for the collision gas to not form ions or react with the parent ion</w:t>
      </w:r>
      <w:r w:rsidR="00BD09FC">
        <w:rPr>
          <w:rFonts w:ascii="Times New Roman" w:hAnsi="Times New Roman" w:cs="Times New Roman"/>
          <w:color w:val="000000" w:themeColor="text1"/>
          <w:sz w:val="24"/>
          <w:szCs w:val="24"/>
        </w:rPr>
        <w:t>,</w:t>
      </w:r>
      <w:r w:rsidRPr="0083245E">
        <w:rPr>
          <w:rFonts w:ascii="Times New Roman" w:hAnsi="Times New Roman" w:cs="Times New Roman"/>
          <w:color w:val="000000" w:themeColor="text1"/>
          <w:sz w:val="24"/>
          <w:szCs w:val="24"/>
        </w:rPr>
        <w:t xml:space="preserve"> and for the mass to be heavy enough to transfer energy into the parent ion upon collision resulting in fragmentation and not to have energy transferred to it from the parent ion moving it out of the path.  The manifold which contains the mass analyzers Q1 and Q3 are under high vacuum of 10</w:t>
      </w:r>
      <w:r w:rsidRPr="0083245E">
        <w:rPr>
          <w:rFonts w:ascii="Times New Roman" w:hAnsi="Times New Roman" w:cs="Times New Roman"/>
          <w:color w:val="000000" w:themeColor="text1"/>
          <w:sz w:val="24"/>
          <w:szCs w:val="24"/>
          <w:vertAlign w:val="superscript"/>
        </w:rPr>
        <w:t>-6</w:t>
      </w:r>
      <w:r w:rsidRPr="0083245E">
        <w:rPr>
          <w:rFonts w:ascii="Times New Roman" w:hAnsi="Times New Roman" w:cs="Times New Roman"/>
          <w:color w:val="000000" w:themeColor="text1"/>
          <w:sz w:val="24"/>
          <w:szCs w:val="24"/>
        </w:rPr>
        <w:t xml:space="preserve"> torr as a long mean free path, preferably from ion source to detector, is desired to prevent collisions of ions resulting in scattering and lowering sensitivity.  However, Q2 is also in the manifold and an aluminum chamber called the collision cell covers Q2 and traps argon gas at mtorr pressure.  Lense</w:t>
      </w:r>
      <w:r w:rsidR="00BD09FC">
        <w:rPr>
          <w:rFonts w:ascii="Times New Roman" w:hAnsi="Times New Roman" w:cs="Times New Roman"/>
          <w:color w:val="000000" w:themeColor="text1"/>
          <w:sz w:val="24"/>
          <w:szCs w:val="24"/>
        </w:rPr>
        <w:t xml:space="preserve">s are used on both sides of Q2 </w:t>
      </w:r>
      <w:r w:rsidRPr="0083245E">
        <w:rPr>
          <w:rFonts w:ascii="Times New Roman" w:hAnsi="Times New Roman" w:cs="Times New Roman"/>
          <w:color w:val="000000" w:themeColor="text1"/>
          <w:sz w:val="24"/>
          <w:szCs w:val="24"/>
        </w:rPr>
        <w:t xml:space="preserve">to focus the ion beam, shield RF voltage applied </w:t>
      </w:r>
      <w:r w:rsidR="00BD09FC">
        <w:rPr>
          <w:rFonts w:ascii="Times New Roman" w:hAnsi="Times New Roman" w:cs="Times New Roman"/>
          <w:color w:val="000000" w:themeColor="text1"/>
          <w:sz w:val="24"/>
          <w:szCs w:val="24"/>
        </w:rPr>
        <w:t xml:space="preserve">to </w:t>
      </w:r>
      <w:r w:rsidRPr="0083245E">
        <w:rPr>
          <w:rFonts w:ascii="Times New Roman" w:hAnsi="Times New Roman" w:cs="Times New Roman"/>
          <w:color w:val="000000" w:themeColor="text1"/>
          <w:sz w:val="24"/>
          <w:szCs w:val="24"/>
        </w:rPr>
        <w:t>Q1 and Q3 from Q2 and vice versa, and to act as a baffles to prevent argon from entering the high vacuum region of mass analyzers Q1 and Q3.  The lenses are named because they focus the ion beam that passes through them and must have a hole to allow the passage of the ion beam to the detector resulting in escape of argon gas into the high vacuum region.  The previous breakdown curves were obtained at a collision gas pressure of 1.5 mtorr as this pressure typically results in enough fragmentation to achieve a breakdown curve.  However, an optimum setting of collision gas does exist.</w:t>
      </w:r>
    </w:p>
    <w:p w:rsidR="005E3076" w:rsidRPr="0083245E" w:rsidRDefault="005E3076" w:rsidP="005E3076">
      <w:pPr>
        <w:spacing w:line="360" w:lineRule="auto"/>
        <w:jc w:val="both"/>
        <w:rPr>
          <w:rFonts w:ascii="Times New Roman" w:hAnsi="Times New Roman" w:cs="Times New Roman"/>
          <w:b/>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Collection-induced dissociation (CID) is the process of a parent ion colliding with an argon molecule and converting its TKE into internal energy which fragments the parent ion.  The efficiency of the CID process is a balance between fragmentation and collection efficiency which both depend on the collision gas pressure.  The collection efficiency is the ratio of ions that exit the collision cell to those that enter the collision cell and assumes one fragment per parent ion.  The collection efficiency is nearly 100% when the collision gas pressure is 0 as no ions were scattered upon collision with argon but with other gases present in high vacuum resulting in a collision of Q2.  Collection efficiency depends on the mass of the parent ion</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as heavier masses are less prone to scatter than lighter masses when colliding with argon and the collision gas pressure as more pressure introduces more opportunities for collisions.  Fragmentation efficiency is the fraction of desired fragment ion to the remaining parent ion at the exit of the collision cell.  The fragmentation efficiency approaches 100% as the pressure of the collision gas is increased as </w:t>
      </w:r>
      <w:r w:rsidRPr="0083245E">
        <w:rPr>
          <w:rFonts w:ascii="Times New Roman" w:hAnsi="Times New Roman" w:cs="Times New Roman"/>
          <w:sz w:val="24"/>
          <w:szCs w:val="24"/>
        </w:rPr>
        <w:lastRenderedPageBreak/>
        <w:t>multiple collisions occur</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but the collection efficiency is decreased due to scattering.  Fragmentation efficiency is inversely proportional </w:t>
      </w:r>
      <w:r w:rsidR="00BC0E44">
        <w:rPr>
          <w:rFonts w:ascii="Times New Roman" w:hAnsi="Times New Roman" w:cs="Times New Roman"/>
          <w:sz w:val="24"/>
          <w:szCs w:val="24"/>
        </w:rPr>
        <w:t>to</w:t>
      </w:r>
      <w:r w:rsidRPr="0083245E">
        <w:rPr>
          <w:rFonts w:ascii="Times New Roman" w:hAnsi="Times New Roman" w:cs="Times New Roman"/>
          <w:sz w:val="24"/>
          <w:szCs w:val="24"/>
        </w:rPr>
        <w:t xml:space="preserve"> the stability of a parent ion as the more stable an ion is the less likely a fragment will result from a collision and to the mass as the vibrational energy from a collision is better distributed across many bonds of a </w:t>
      </w:r>
      <w:r w:rsidR="00BC0E44">
        <w:rPr>
          <w:rFonts w:ascii="Times New Roman" w:hAnsi="Times New Roman" w:cs="Times New Roman"/>
          <w:sz w:val="24"/>
          <w:szCs w:val="24"/>
        </w:rPr>
        <w:t xml:space="preserve">larger and heavier </w:t>
      </w:r>
      <w:r w:rsidRPr="0083245E">
        <w:rPr>
          <w:rFonts w:ascii="Times New Roman" w:hAnsi="Times New Roman" w:cs="Times New Roman"/>
          <w:sz w:val="24"/>
          <w:szCs w:val="24"/>
        </w:rPr>
        <w:t>ion.  The optimum CID efficiency will be at a collision gas pressure that is low enough to prevent scattering</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but high enough for collisions to take place for fragmentation to occur.</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To find the optimum setting of collision gas</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perform SRM optimization at collision gas pressures of 1, 2, 3, and 4 mtorr and obtain breakdown curves.  The optimum CE is typically within ± 2 units at any collision gas pressure</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but it is the intensity that changes at different collision gas pressures.  Identify the collision gas pressure that has the highest signal and test 0.5 mtorr higher and lower as the optimum could have been reached and decreased but still better than lower setting or the optimum was yet to be reached but decreased lower than previous setting.  The optimum collision gas pressure will result in the highest intensity of fragment ions.  The pressure of collision gas is not able to change fast enough for an optimal gas pressure for individual SRM transitions like voltages such as CE.  In a multi component analysis the same collision gas pressure must be used for all compounds so it is best to choose a pressure that is best for all.  Higher collision gas pressure is needed for massive ions to fragment</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and the scattering is negated because massive ions are less prone to scatter.  Therefore in a multi component analysis</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it is best to have parent ions within a mass range and be careful not to confuse the </w:t>
      </w:r>
      <w:r w:rsidRPr="00CB7AD8">
        <w:rPr>
          <w:rFonts w:ascii="Times New Roman" w:hAnsi="Times New Roman" w:cs="Times New Roman"/>
          <w:i/>
          <w:sz w:val="24"/>
          <w:szCs w:val="24"/>
        </w:rPr>
        <w:t>m/z</w:t>
      </w:r>
      <w:r w:rsidRPr="0083245E">
        <w:rPr>
          <w:rFonts w:ascii="Times New Roman" w:hAnsi="Times New Roman" w:cs="Times New Roman"/>
          <w:sz w:val="24"/>
          <w:szCs w:val="24"/>
        </w:rPr>
        <w:t xml:space="preserve"> of a parent ion with its mass as a massive parent ion can exist as a low </w:t>
      </w:r>
      <w:r w:rsidRPr="00CB7AD8">
        <w:rPr>
          <w:rFonts w:ascii="Times New Roman" w:hAnsi="Times New Roman" w:cs="Times New Roman"/>
          <w:i/>
          <w:sz w:val="24"/>
          <w:szCs w:val="24"/>
        </w:rPr>
        <w:t>m/z</w:t>
      </w:r>
      <w:r w:rsidRPr="0083245E">
        <w:rPr>
          <w:rFonts w:ascii="Times New Roman" w:hAnsi="Times New Roman" w:cs="Times New Roman"/>
          <w:sz w:val="24"/>
          <w:szCs w:val="24"/>
        </w:rPr>
        <w:t xml:space="preserve"> when carrying multiple charges.  Small differences in tank to tank purity of argon may exist</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and the tank should not be changed mid analysis as CID efficiency may change.</w:t>
      </w: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FWHM</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Full width at half max (FWHM) is a measure of mass resolution that is the full width of a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peak at half its maximum in a profile view spectrum.  The peaks are</w:t>
      </w:r>
      <w:r w:rsidR="00BC0E44">
        <w:rPr>
          <w:rFonts w:ascii="Times New Roman" w:hAnsi="Times New Roman" w:cs="Times New Roman"/>
          <w:sz w:val="24"/>
          <w:szCs w:val="24"/>
        </w:rPr>
        <w:t xml:space="preserve"> of</w:t>
      </w:r>
      <w:r w:rsidRPr="0083245E">
        <w:rPr>
          <w:rFonts w:ascii="Times New Roman" w:hAnsi="Times New Roman" w:cs="Times New Roman"/>
          <w:sz w:val="24"/>
          <w:szCs w:val="24"/>
        </w:rPr>
        <w:t xml:space="preserve"> Gaussian shape because some population of the ion beam becomes stable as the scan enters a Mathieus stability triangle,</w:t>
      </w:r>
      <w:r w:rsidR="00E35DD4">
        <w:rPr>
          <w:rFonts w:ascii="Times New Roman" w:hAnsi="Times New Roman" w:cs="Times New Roman"/>
          <w:sz w:val="24"/>
          <w:szCs w:val="24"/>
          <w:vertAlign w:val="superscript"/>
        </w:rPr>
        <w:t>60</w:t>
      </w:r>
      <w:r w:rsidRPr="0083245E">
        <w:rPr>
          <w:rFonts w:ascii="Times New Roman" w:hAnsi="Times New Roman" w:cs="Times New Roman"/>
          <w:sz w:val="24"/>
          <w:szCs w:val="24"/>
        </w:rPr>
        <w:t xml:space="preserve"> then as the scan proceeds the highest population of ions are stable at the true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and </w:t>
      </w:r>
      <w:r w:rsidRPr="0083245E">
        <w:rPr>
          <w:rFonts w:ascii="Times New Roman" w:hAnsi="Times New Roman" w:cs="Times New Roman"/>
          <w:sz w:val="24"/>
          <w:szCs w:val="24"/>
        </w:rPr>
        <w:lastRenderedPageBreak/>
        <w:t>as the scan leaves the stability triangl</w:t>
      </w:r>
      <w:r w:rsidR="00B97FE6">
        <w:rPr>
          <w:rFonts w:ascii="Times New Roman" w:hAnsi="Times New Roman" w:cs="Times New Roman"/>
          <w:sz w:val="24"/>
          <w:szCs w:val="24"/>
        </w:rPr>
        <w:t>e a lesser population is stable.  This is how a peak with width results from ions with no distribution in mass.</w:t>
      </w:r>
      <w:r w:rsidR="00B97FE6">
        <w:rPr>
          <w:rFonts w:ascii="Times New Roman" w:hAnsi="Times New Roman" w:cs="Times New Roman"/>
          <w:sz w:val="24"/>
          <w:szCs w:val="24"/>
          <w:vertAlign w:val="superscript"/>
        </w:rPr>
        <w:t>65</w:t>
      </w:r>
      <w:r w:rsidR="00B97FE6">
        <w:rPr>
          <w:rFonts w:ascii="Times New Roman" w:hAnsi="Times New Roman" w:cs="Times New Roman"/>
          <w:sz w:val="24"/>
          <w:szCs w:val="24"/>
        </w:rPr>
        <w:t xml:space="preserve">  </w:t>
      </w:r>
      <w:r w:rsidRPr="0083245E">
        <w:rPr>
          <w:rFonts w:ascii="Times New Roman" w:hAnsi="Times New Roman" w:cs="Times New Roman"/>
          <w:sz w:val="24"/>
          <w:szCs w:val="24"/>
        </w:rPr>
        <w:t xml:space="preserve">The scan is a constant </w:t>
      </w:r>
      <w:r w:rsidR="00BC0E44">
        <w:rPr>
          <w:rFonts w:ascii="Times New Roman" w:hAnsi="Times New Roman" w:cs="Times New Roman"/>
          <w:sz w:val="24"/>
          <w:szCs w:val="24"/>
        </w:rPr>
        <w:t>DC/AC</w:t>
      </w:r>
      <w:r w:rsidRPr="0083245E">
        <w:rPr>
          <w:rFonts w:ascii="Times New Roman" w:hAnsi="Times New Roman" w:cs="Times New Roman"/>
          <w:sz w:val="24"/>
          <w:szCs w:val="24"/>
        </w:rPr>
        <w:t xml:space="preserve"> ratio that increases in magnitude resulting in a linear line of positive slope for positive ions and negative slope for negative ions.  Alternating current (</w:t>
      </w:r>
      <w:r w:rsidR="00BC0E44">
        <w:rPr>
          <w:rFonts w:ascii="Times New Roman" w:hAnsi="Times New Roman" w:cs="Times New Roman"/>
          <w:sz w:val="24"/>
          <w:szCs w:val="24"/>
        </w:rPr>
        <w:t>AC</w:t>
      </w:r>
      <w:r w:rsidRPr="0083245E">
        <w:rPr>
          <w:rFonts w:ascii="Times New Roman" w:hAnsi="Times New Roman" w:cs="Times New Roman"/>
          <w:sz w:val="24"/>
          <w:szCs w:val="24"/>
        </w:rPr>
        <w:t xml:space="preserve">) is often referred to as radio frequency (RF) as the </w:t>
      </w:r>
      <w:r w:rsidR="00BC0E44">
        <w:rPr>
          <w:rFonts w:ascii="Times New Roman" w:hAnsi="Times New Roman" w:cs="Times New Roman"/>
          <w:sz w:val="24"/>
          <w:szCs w:val="24"/>
        </w:rPr>
        <w:t>AC</w:t>
      </w:r>
      <w:r w:rsidRPr="0083245E">
        <w:rPr>
          <w:rFonts w:ascii="Times New Roman" w:hAnsi="Times New Roman" w:cs="Times New Roman"/>
          <w:sz w:val="24"/>
          <w:szCs w:val="24"/>
        </w:rPr>
        <w:t xml:space="preserve"> used in mass spectrometry is similar to the frequency of radio waves.  If </w:t>
      </w:r>
      <w:r w:rsidR="00BC0E44">
        <w:rPr>
          <w:rFonts w:ascii="Times New Roman" w:hAnsi="Times New Roman" w:cs="Times New Roman"/>
          <w:sz w:val="24"/>
          <w:szCs w:val="24"/>
        </w:rPr>
        <w:t xml:space="preserve">one </w:t>
      </w:r>
      <w:r w:rsidRPr="0083245E">
        <w:rPr>
          <w:rFonts w:ascii="Times New Roman" w:hAnsi="Times New Roman" w:cs="Times New Roman"/>
          <w:sz w:val="24"/>
          <w:szCs w:val="24"/>
        </w:rPr>
        <w:t>extend</w:t>
      </w:r>
      <w:r w:rsidR="00BC0E44">
        <w:rPr>
          <w:rFonts w:ascii="Times New Roman" w:hAnsi="Times New Roman" w:cs="Times New Roman"/>
          <w:sz w:val="24"/>
          <w:szCs w:val="24"/>
        </w:rPr>
        <w:t>s</w:t>
      </w:r>
      <w:r w:rsidRPr="0083245E">
        <w:rPr>
          <w:rFonts w:ascii="Times New Roman" w:hAnsi="Times New Roman" w:cs="Times New Roman"/>
          <w:sz w:val="24"/>
          <w:szCs w:val="24"/>
        </w:rPr>
        <w:t xml:space="preserve"> a vertical line upwards at any point of the slope</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it will pass through the tip of a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stability triangle that is most stable at this </w:t>
      </w:r>
      <w:r w:rsidR="00BC0E44">
        <w:rPr>
          <w:rFonts w:ascii="Times New Roman" w:hAnsi="Times New Roman" w:cs="Times New Roman"/>
          <w:sz w:val="24"/>
          <w:szCs w:val="24"/>
        </w:rPr>
        <w:t>DC/AC</w:t>
      </w:r>
      <w:r w:rsidRPr="0083245E">
        <w:rPr>
          <w:rFonts w:ascii="Times New Roman" w:hAnsi="Times New Roman" w:cs="Times New Roman"/>
          <w:sz w:val="24"/>
          <w:szCs w:val="24"/>
        </w:rPr>
        <w:t xml:space="preserve"> ratio and can pass through the mass filter.  This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stability triangle is the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on a profile spectrum when extending a vertical line downwards to intersect the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x-axis on a spectrum.  When the </w:t>
      </w:r>
      <w:r w:rsidR="00B97FE6">
        <w:rPr>
          <w:rFonts w:ascii="Times New Roman" w:hAnsi="Times New Roman" w:cs="Times New Roman"/>
          <w:sz w:val="24"/>
          <w:szCs w:val="24"/>
        </w:rPr>
        <w:t>DC/AC</w:t>
      </w:r>
      <w:r w:rsidRPr="0083245E">
        <w:rPr>
          <w:rFonts w:ascii="Times New Roman" w:hAnsi="Times New Roman" w:cs="Times New Roman"/>
          <w:sz w:val="24"/>
          <w:szCs w:val="24"/>
        </w:rPr>
        <w:t xml:space="preserve"> ratio is at a point when the target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is most stable a vertical line extending upwards will pass through the tip of the target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stability triangle.  Then on the profile spectrum extending a line downwards will intersect the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x-axis of the target mass.  This extension downward is also known as a centroid and is viewed in centroid view.</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The idea for selectivity is for the </w:t>
      </w:r>
      <w:r w:rsidR="00BC0E44">
        <w:rPr>
          <w:rFonts w:ascii="Times New Roman" w:hAnsi="Times New Roman" w:cs="Times New Roman"/>
          <w:sz w:val="24"/>
          <w:szCs w:val="24"/>
        </w:rPr>
        <w:t>DC/AC</w:t>
      </w:r>
      <w:r w:rsidRPr="0083245E">
        <w:rPr>
          <w:rFonts w:ascii="Times New Roman" w:hAnsi="Times New Roman" w:cs="Times New Roman"/>
          <w:sz w:val="24"/>
          <w:szCs w:val="24"/>
        </w:rPr>
        <w:t xml:space="preserve"> ratio slope to pass only through the tips of the stability triangles approaching a FWHM of 0 because at the tips only one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is stable.  The FWHM increases as the </w:t>
      </w:r>
      <w:r w:rsidR="00BC0E44">
        <w:rPr>
          <w:rFonts w:ascii="Times New Roman" w:hAnsi="Times New Roman" w:cs="Times New Roman"/>
          <w:sz w:val="24"/>
          <w:szCs w:val="24"/>
        </w:rPr>
        <w:t>DC/AC</w:t>
      </w:r>
      <w:r w:rsidRPr="0083245E">
        <w:rPr>
          <w:rFonts w:ascii="Times New Roman" w:hAnsi="Times New Roman" w:cs="Times New Roman"/>
          <w:sz w:val="24"/>
          <w:szCs w:val="24"/>
        </w:rPr>
        <w:t xml:space="preserve"> ratio slope decreases becoming farther from the stability triang</w:t>
      </w:r>
      <w:r w:rsidR="00BC0E44">
        <w:rPr>
          <w:rFonts w:ascii="Times New Roman" w:hAnsi="Times New Roman" w:cs="Times New Roman"/>
          <w:sz w:val="24"/>
          <w:szCs w:val="24"/>
        </w:rPr>
        <w:t>le tips.  Selectivity is less at</w:t>
      </w:r>
      <w:r w:rsidRPr="0083245E">
        <w:rPr>
          <w:rFonts w:ascii="Times New Roman" w:hAnsi="Times New Roman" w:cs="Times New Roman"/>
          <w:sz w:val="24"/>
          <w:szCs w:val="24"/>
        </w:rPr>
        <w:t xml:space="preserve"> any point on the slope</w:t>
      </w:r>
      <w:r w:rsidR="00BC0E44">
        <w:rPr>
          <w:rFonts w:ascii="Times New Roman" w:hAnsi="Times New Roman" w:cs="Times New Roman"/>
          <w:sz w:val="24"/>
          <w:szCs w:val="24"/>
        </w:rPr>
        <w:t xml:space="preserve"> because ions</w:t>
      </w:r>
      <w:r w:rsidRPr="0083245E">
        <w:rPr>
          <w:rFonts w:ascii="Times New Roman" w:hAnsi="Times New Roman" w:cs="Times New Roman"/>
          <w:sz w:val="24"/>
          <w:szCs w:val="24"/>
        </w:rPr>
        <w:t xml:space="preserve"> will exist in more than one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stability triangle allowing other ions to pass through the mass filter in addition to the target </w:t>
      </w:r>
      <w:r w:rsidRPr="0083245E">
        <w:rPr>
          <w:rFonts w:ascii="Times New Roman" w:hAnsi="Times New Roman" w:cs="Times New Roman"/>
          <w:i/>
          <w:sz w:val="24"/>
          <w:szCs w:val="24"/>
        </w:rPr>
        <w:t>m/z</w:t>
      </w:r>
      <w:r w:rsidRPr="0083245E">
        <w:rPr>
          <w:rFonts w:ascii="Times New Roman" w:hAnsi="Times New Roman" w:cs="Times New Roman"/>
          <w:sz w:val="24"/>
          <w:szCs w:val="24"/>
        </w:rPr>
        <w:t>.  A SRM interference may be removed by decreasing the FWHM resulting in a smaller bandpass filter.</w:t>
      </w:r>
      <w:r w:rsidR="00E35DD4">
        <w:rPr>
          <w:rFonts w:ascii="Times New Roman" w:hAnsi="Times New Roman" w:cs="Times New Roman"/>
          <w:sz w:val="24"/>
          <w:szCs w:val="24"/>
          <w:vertAlign w:val="superscript"/>
        </w:rPr>
        <w:t>59</w:t>
      </w:r>
      <w:r w:rsidRPr="0083245E">
        <w:rPr>
          <w:rFonts w:ascii="Times New Roman" w:hAnsi="Times New Roman" w:cs="Times New Roman"/>
          <w:sz w:val="24"/>
          <w:szCs w:val="24"/>
        </w:rPr>
        <w:t xml:space="preserve">  This increase in selectivity results in a loss of sensitivity.  A 0.1 FWHM is about 30% and a 0.2 FWHM is about 60% of the signal of a 0.7 FWHM.</w:t>
      </w:r>
      <w:r w:rsidR="00471B3A">
        <w:rPr>
          <w:rFonts w:ascii="Times New Roman" w:hAnsi="Times New Roman" w:cs="Times New Roman"/>
          <w:sz w:val="24"/>
          <w:szCs w:val="24"/>
          <w:vertAlign w:val="superscript"/>
        </w:rPr>
        <w:t>65</w:t>
      </w:r>
      <w:r w:rsidR="00BC0E44">
        <w:rPr>
          <w:rFonts w:ascii="Times New Roman" w:hAnsi="Times New Roman" w:cs="Times New Roman"/>
          <w:sz w:val="24"/>
          <w:szCs w:val="24"/>
        </w:rPr>
        <w:t xml:space="preserve">  </w:t>
      </w:r>
      <w:r w:rsidRPr="0083245E">
        <w:rPr>
          <w:rFonts w:ascii="Times New Roman" w:hAnsi="Times New Roman" w:cs="Times New Roman"/>
          <w:sz w:val="24"/>
          <w:szCs w:val="24"/>
        </w:rPr>
        <w:t>Though sensitivity is lost</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LOD </w:t>
      </w:r>
      <w:r w:rsidR="00BC0E44">
        <w:rPr>
          <w:rFonts w:ascii="Times New Roman" w:hAnsi="Times New Roman" w:cs="Times New Roman"/>
          <w:sz w:val="24"/>
          <w:szCs w:val="24"/>
        </w:rPr>
        <w:t xml:space="preserve">(Limits of Detection) </w:t>
      </w:r>
      <w:r w:rsidRPr="0083245E">
        <w:rPr>
          <w:rFonts w:ascii="Times New Roman" w:hAnsi="Times New Roman" w:cs="Times New Roman"/>
          <w:sz w:val="24"/>
          <w:szCs w:val="24"/>
        </w:rPr>
        <w:t xml:space="preserve">may increase as </w:t>
      </w:r>
      <w:r w:rsidR="00BC0E44">
        <w:rPr>
          <w:rFonts w:ascii="Times New Roman" w:hAnsi="Times New Roman" w:cs="Times New Roman"/>
          <w:sz w:val="24"/>
          <w:szCs w:val="24"/>
        </w:rPr>
        <w:t xml:space="preserve">the </w:t>
      </w:r>
      <w:r w:rsidRPr="0083245E">
        <w:rPr>
          <w:rFonts w:ascii="Times New Roman" w:hAnsi="Times New Roman" w:cs="Times New Roman"/>
          <w:sz w:val="24"/>
          <w:szCs w:val="24"/>
        </w:rPr>
        <w:t xml:space="preserve">S/N ratio </w:t>
      </w:r>
      <w:r w:rsidR="00BC0E44">
        <w:rPr>
          <w:rFonts w:ascii="Times New Roman" w:hAnsi="Times New Roman" w:cs="Times New Roman"/>
          <w:sz w:val="24"/>
          <w:szCs w:val="24"/>
        </w:rPr>
        <w:t>might increase</w:t>
      </w:r>
      <w:r w:rsidRPr="0083245E">
        <w:rPr>
          <w:rFonts w:ascii="Times New Roman" w:hAnsi="Times New Roman" w:cs="Times New Roman"/>
          <w:sz w:val="24"/>
          <w:szCs w:val="24"/>
        </w:rPr>
        <w:t xml:space="preserve"> as noise is filtered out.  If sensitivity is too high</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the linear range on a calibration curve will decrease as saturation of the electron multiplier occurs before a large linear range can be established and increasing selectivity by lowering FWHM will reduce ion transmission, prevent saturation of the electron multiplier, and increase linear range allowing samples to have greater </w:t>
      </w:r>
      <w:r w:rsidR="00BC0E44">
        <w:rPr>
          <w:rFonts w:ascii="Times New Roman" w:hAnsi="Times New Roman" w:cs="Times New Roman"/>
          <w:sz w:val="24"/>
          <w:szCs w:val="24"/>
        </w:rPr>
        <w:t>range</w:t>
      </w:r>
      <w:r w:rsidRPr="0083245E">
        <w:rPr>
          <w:rFonts w:ascii="Times New Roman" w:hAnsi="Times New Roman" w:cs="Times New Roman"/>
          <w:sz w:val="24"/>
          <w:szCs w:val="24"/>
        </w:rPr>
        <w:t xml:space="preserve"> differences</w:t>
      </w:r>
      <w:r w:rsidR="00BC0E44">
        <w:rPr>
          <w:rFonts w:ascii="Times New Roman" w:hAnsi="Times New Roman" w:cs="Times New Roman"/>
          <w:sz w:val="24"/>
          <w:szCs w:val="24"/>
        </w:rPr>
        <w:t xml:space="preserve"> in concentrations</w:t>
      </w:r>
      <w:r w:rsidRPr="0083245E">
        <w:rPr>
          <w:rFonts w:ascii="Times New Roman" w:hAnsi="Times New Roman" w:cs="Times New Roman"/>
          <w:sz w:val="24"/>
          <w:szCs w:val="24"/>
        </w:rPr>
        <w:t>.  High ion efficiency, high CID efficiency</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and high mass will saturate the electron multiplier at lower concentrations than other compounds decreasing linear range.</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lastRenderedPageBreak/>
        <w:t>Quadrupole mass resolution is not linear</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meaning a setting of 0.7 FWHM does not result in all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having a 0.7 FWHM peak.  The mass resolution is less with higher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For example, at 0.7 FWHM the 182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of the tuning solution has baseline resolution of the +1 isotope peak but this baseline resolution is less with the 508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isotope clusters and the 997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has a valley height with the +1 isotope.  This valley can be resolved using 0.5 FWHM meaning lower FWHM is needed at higher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for the same resolution.  Each SRM transition may have its own FWHM values for Q1 a</w:t>
      </w:r>
      <w:r w:rsidR="00BC0E44">
        <w:rPr>
          <w:rFonts w:ascii="Times New Roman" w:hAnsi="Times New Roman" w:cs="Times New Roman"/>
          <w:sz w:val="24"/>
          <w:szCs w:val="24"/>
        </w:rPr>
        <w:t xml:space="preserve">nd Q3 though typically the same </w:t>
      </w:r>
      <w:r w:rsidRPr="0083245E">
        <w:rPr>
          <w:rFonts w:ascii="Times New Roman" w:hAnsi="Times New Roman" w:cs="Times New Roman"/>
          <w:sz w:val="24"/>
          <w:szCs w:val="24"/>
        </w:rPr>
        <w:t>setting for FWHM is placed on both Q1 and Q3 in an SRM experiment</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a compromise that balances sensitivity, selectivity, and mass resolution for all compounds in the analysis.</w:t>
      </w: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Microscans</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Microscans are smaller scans within allotted scan time.  These microscans are averaged when determining accurate </w:t>
      </w:r>
      <w:r w:rsidRPr="00BC0E44">
        <w:rPr>
          <w:rFonts w:ascii="Times New Roman" w:hAnsi="Times New Roman" w:cs="Times New Roman"/>
          <w:i/>
          <w:sz w:val="24"/>
          <w:szCs w:val="24"/>
        </w:rPr>
        <w:t>m/z</w:t>
      </w:r>
      <w:r w:rsidR="00BC0E44">
        <w:rPr>
          <w:rFonts w:ascii="Times New Roman" w:hAnsi="Times New Roman" w:cs="Times New Roman"/>
          <w:sz w:val="24"/>
          <w:szCs w:val="24"/>
        </w:rPr>
        <w:t>,</w:t>
      </w:r>
      <w:r w:rsidRPr="0083245E">
        <w:rPr>
          <w:rFonts w:ascii="Times New Roman" w:hAnsi="Times New Roman" w:cs="Times New Roman"/>
          <w:sz w:val="24"/>
          <w:szCs w:val="24"/>
        </w:rPr>
        <w:t xml:space="preserve"> and in an SRM experiment where quantitation is the goal</w:t>
      </w:r>
      <w:r w:rsidR="004C1F11">
        <w:rPr>
          <w:rFonts w:ascii="Times New Roman" w:hAnsi="Times New Roman" w:cs="Times New Roman"/>
          <w:sz w:val="24"/>
          <w:szCs w:val="24"/>
        </w:rPr>
        <w:t>,</w:t>
      </w:r>
      <w:r w:rsidRPr="0083245E">
        <w:rPr>
          <w:rFonts w:ascii="Times New Roman" w:hAnsi="Times New Roman" w:cs="Times New Roman"/>
          <w:sz w:val="24"/>
          <w:szCs w:val="24"/>
        </w:rPr>
        <w:t xml:space="preserve"> smoothing points is used to average the chromatogram.  </w:t>
      </w: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 xml:space="preserve">Scan Time </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Scan time, otherwise known as dwell time, is the allotted time for transmission of ions for a given SRM transition.  The higher </w:t>
      </w:r>
      <w:r w:rsidR="002325BB">
        <w:rPr>
          <w:rFonts w:ascii="Times New Roman" w:hAnsi="Times New Roman" w:cs="Times New Roman"/>
          <w:sz w:val="24"/>
          <w:szCs w:val="24"/>
        </w:rPr>
        <w:t xml:space="preserve">the </w:t>
      </w:r>
      <w:r w:rsidRPr="0083245E">
        <w:rPr>
          <w:rFonts w:ascii="Times New Roman" w:hAnsi="Times New Roman" w:cs="Times New Roman"/>
          <w:sz w:val="24"/>
          <w:szCs w:val="24"/>
        </w:rPr>
        <w:t>scan time the more sensitive the SRM transition as the electron multiplier has longer time to collect ions.  The stability of an SRM transition signal also increases with scan tim</w:t>
      </w:r>
      <w:r>
        <w:rPr>
          <w:rFonts w:ascii="Times New Roman" w:hAnsi="Times New Roman" w:cs="Times New Roman"/>
          <w:sz w:val="24"/>
          <w:szCs w:val="24"/>
        </w:rPr>
        <w:t xml:space="preserve">e as small changes in scan time </w:t>
      </w:r>
      <w:r w:rsidRPr="0083245E">
        <w:rPr>
          <w:rFonts w:ascii="Times New Roman" w:hAnsi="Times New Roman" w:cs="Times New Roman"/>
          <w:sz w:val="24"/>
          <w:szCs w:val="24"/>
        </w:rPr>
        <w:t>are less relative.  A scan time of 0.050</w:t>
      </w:r>
      <w:r w:rsidR="002325BB">
        <w:rPr>
          <w:rFonts w:ascii="Times New Roman" w:hAnsi="Times New Roman" w:cs="Times New Roman"/>
          <w:sz w:val="24"/>
          <w:szCs w:val="24"/>
        </w:rPr>
        <w:t xml:space="preserve"> </w:t>
      </w:r>
      <w:r w:rsidRPr="0083245E">
        <w:rPr>
          <w:rFonts w:ascii="Times New Roman" w:hAnsi="Times New Roman" w:cs="Times New Roman"/>
          <w:sz w:val="24"/>
          <w:szCs w:val="24"/>
        </w:rPr>
        <w:t>s is commonly used</w:t>
      </w:r>
      <w:r w:rsidR="002325BB">
        <w:rPr>
          <w:rFonts w:ascii="Times New Roman" w:hAnsi="Times New Roman" w:cs="Times New Roman"/>
          <w:sz w:val="24"/>
          <w:szCs w:val="24"/>
        </w:rPr>
        <w:t>,</w:t>
      </w:r>
      <w:r w:rsidRPr="0083245E">
        <w:rPr>
          <w:rFonts w:ascii="Times New Roman" w:hAnsi="Times New Roman" w:cs="Times New Roman"/>
          <w:sz w:val="24"/>
          <w:szCs w:val="24"/>
        </w:rPr>
        <w:t xml:space="preserve"> but scan times as short as 0.010</w:t>
      </w:r>
      <w:r w:rsidR="002325BB">
        <w:rPr>
          <w:rFonts w:ascii="Times New Roman" w:hAnsi="Times New Roman" w:cs="Times New Roman"/>
          <w:sz w:val="24"/>
          <w:szCs w:val="24"/>
        </w:rPr>
        <w:t xml:space="preserve"> </w:t>
      </w:r>
      <w:r w:rsidRPr="0083245E">
        <w:rPr>
          <w:rFonts w:ascii="Times New Roman" w:hAnsi="Times New Roman" w:cs="Times New Roman"/>
          <w:sz w:val="24"/>
          <w:szCs w:val="24"/>
        </w:rPr>
        <w:t>s are used when duty cycle is an issue.  A balance between scan time and duty cycle is made for quantitative reproducibility.  The scan time can be optimized for each SRM transition</w:t>
      </w:r>
      <w:r w:rsidR="002325BB">
        <w:rPr>
          <w:rFonts w:ascii="Times New Roman" w:hAnsi="Times New Roman" w:cs="Times New Roman"/>
          <w:sz w:val="24"/>
          <w:szCs w:val="24"/>
        </w:rPr>
        <w:t>,</w:t>
      </w:r>
      <w:r w:rsidRPr="0083245E">
        <w:rPr>
          <w:rFonts w:ascii="Times New Roman" w:hAnsi="Times New Roman" w:cs="Times New Roman"/>
          <w:sz w:val="24"/>
          <w:szCs w:val="24"/>
        </w:rPr>
        <w:t xml:space="preserve"> but typically the same scan time is used for all SRM transitions in an analysis.</w:t>
      </w:r>
    </w:p>
    <w:p w:rsidR="005E3076" w:rsidRPr="0083245E" w:rsidRDefault="005E3076" w:rsidP="005E3076">
      <w:pPr>
        <w:spacing w:line="360" w:lineRule="auto"/>
        <w:jc w:val="both"/>
        <w:rPr>
          <w:rFonts w:ascii="Times New Roman" w:hAnsi="Times New Roman" w:cs="Times New Roman"/>
          <w:b/>
          <w:sz w:val="24"/>
          <w:szCs w:val="24"/>
        </w:rPr>
      </w:pPr>
    </w:p>
    <w:p w:rsidR="005E3076" w:rsidRDefault="005E3076" w:rsidP="005E3076">
      <w:pPr>
        <w:spacing w:line="360" w:lineRule="auto"/>
        <w:jc w:val="both"/>
        <w:rPr>
          <w:rFonts w:ascii="Times New Roman" w:hAnsi="Times New Roman" w:cs="Times New Roman"/>
          <w:i/>
          <w:sz w:val="24"/>
          <w:szCs w:val="24"/>
        </w:rPr>
      </w:pPr>
    </w:p>
    <w:p w:rsidR="005E3076" w:rsidRDefault="005E3076" w:rsidP="005E3076">
      <w:pPr>
        <w:spacing w:line="360" w:lineRule="auto"/>
        <w:jc w:val="both"/>
        <w:rPr>
          <w:rFonts w:ascii="Times New Roman" w:hAnsi="Times New Roman" w:cs="Times New Roman"/>
          <w:i/>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lastRenderedPageBreak/>
        <w:t>Scan Width</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Scan width is the range of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that is scanned left and right of the specified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value in the SRM transition.  For example, a scan width of 1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means the quadrupole will start the scan 0.5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units to the left of the specified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value, increase in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and finish 0.5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units to the right of the specified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value summing the entire signal as one centroid reported as the specified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value.  A true SRM transition has no scan width as 100% of the scan time is spent on the apex of a peak allowing </w:t>
      </w:r>
      <w:r w:rsidR="002325BB">
        <w:rPr>
          <w:rFonts w:ascii="Times New Roman" w:hAnsi="Times New Roman" w:cs="Times New Roman"/>
          <w:sz w:val="24"/>
          <w:szCs w:val="24"/>
        </w:rPr>
        <w:t>for</w:t>
      </w:r>
      <w:r w:rsidRPr="0083245E">
        <w:rPr>
          <w:rFonts w:ascii="Times New Roman" w:hAnsi="Times New Roman" w:cs="Times New Roman"/>
          <w:sz w:val="24"/>
          <w:szCs w:val="24"/>
        </w:rPr>
        <w:t xml:space="preserve"> maximum ion transmission.  The selectivity and sensitivity improves with narrower scan width but the instrument must remain in mass calibration or can miss the peak entirely especially when the FWHM is low.</w:t>
      </w:r>
      <w:r w:rsidR="00E35DD4">
        <w:rPr>
          <w:rFonts w:ascii="Times New Roman" w:hAnsi="Times New Roman" w:cs="Times New Roman"/>
          <w:sz w:val="24"/>
          <w:szCs w:val="24"/>
          <w:vertAlign w:val="superscript"/>
        </w:rPr>
        <w:t>59</w:t>
      </w:r>
      <w:r w:rsidRPr="0083245E">
        <w:rPr>
          <w:rFonts w:ascii="Times New Roman" w:hAnsi="Times New Roman" w:cs="Times New Roman"/>
          <w:sz w:val="24"/>
          <w:szCs w:val="24"/>
        </w:rPr>
        <w:t xml:space="preserve">  A small drift in mass calibration will not affect the sensitivity gain from a narrow scan width over a large scan width as the time spent near the apex results in a greater signal than the brief time a large scan width spent on the apex.</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The scan width should be narrower when FWHM is lower</w:t>
      </w:r>
      <w:r w:rsidR="002325BB">
        <w:rPr>
          <w:rFonts w:ascii="Times New Roman" w:hAnsi="Times New Roman" w:cs="Times New Roman"/>
          <w:sz w:val="24"/>
          <w:szCs w:val="24"/>
        </w:rPr>
        <w:t>,</w:t>
      </w:r>
      <w:r w:rsidRPr="0083245E">
        <w:rPr>
          <w:rFonts w:ascii="Times New Roman" w:hAnsi="Times New Roman" w:cs="Times New Roman"/>
          <w:sz w:val="24"/>
          <w:szCs w:val="24"/>
        </w:rPr>
        <w:t xml:space="preserve"> as a scan width of 0.7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will cover most of a peak at 0.7 FWHM but the same scan width at 0.1 FWHM will spend time where no peak exists as the peak is much thinner.  The easiest way to avoid this is to set the scan width equal to</w:t>
      </w:r>
      <w:r w:rsidR="002325BB">
        <w:rPr>
          <w:rFonts w:ascii="Times New Roman" w:hAnsi="Times New Roman" w:cs="Times New Roman"/>
          <w:sz w:val="24"/>
          <w:szCs w:val="24"/>
        </w:rPr>
        <w:t xml:space="preserve"> or less than</w:t>
      </w:r>
      <w:r w:rsidRPr="0083245E">
        <w:rPr>
          <w:rFonts w:ascii="Times New Roman" w:hAnsi="Times New Roman" w:cs="Times New Roman"/>
          <w:sz w:val="24"/>
          <w:szCs w:val="24"/>
        </w:rPr>
        <w:t xml:space="preserve"> the FWHM.   A scan width of 1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at 0.7 FWHM is common and is used with nominal mass values to ensure enough ion transmission though this practice is not the best for selectivity and sensitivity.  The scan width can be optimized for each SRM transition but typically the same scan width is used for all compounds in an analysis.</w:t>
      </w:r>
    </w:p>
    <w:p w:rsidR="005E3076" w:rsidRPr="0083245E" w:rsidRDefault="005E3076" w:rsidP="005E3076">
      <w:pPr>
        <w:spacing w:line="360" w:lineRule="auto"/>
        <w:jc w:val="both"/>
        <w:rPr>
          <w:rFonts w:ascii="Times New Roman" w:hAnsi="Times New Roman" w:cs="Times New Roman"/>
          <w:i/>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Duty Cycle</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Duty cycle is the time that elapses until a SRM transition can be scanned again, in other words, the time between data points on a SRM transition chromatogram.</w:t>
      </w:r>
      <w:r w:rsidR="00CB7AD8">
        <w:rPr>
          <w:rFonts w:ascii="Times New Roman" w:hAnsi="Times New Roman" w:cs="Times New Roman"/>
          <w:sz w:val="24"/>
          <w:szCs w:val="24"/>
          <w:vertAlign w:val="superscript"/>
        </w:rPr>
        <w:t>96</w:t>
      </w:r>
      <w:r w:rsidRPr="0083245E">
        <w:rPr>
          <w:rFonts w:ascii="Times New Roman" w:hAnsi="Times New Roman" w:cs="Times New Roman"/>
          <w:sz w:val="24"/>
          <w:szCs w:val="24"/>
        </w:rPr>
        <w:t xml:space="preserve">  Each SRM transition consists of a scan time where ion transmission occurs and a pause time to purge the quadrupoles and allow ions in the detector region to finish flight to the electron multiplier to avoid crosstalk.  The scan time and pause time for each SRM transition in a scan cycle added together is the duty cycle</w:t>
      </w:r>
      <w:r w:rsidR="002325BB">
        <w:rPr>
          <w:rFonts w:ascii="Times New Roman" w:hAnsi="Times New Roman" w:cs="Times New Roman"/>
          <w:sz w:val="24"/>
          <w:szCs w:val="24"/>
        </w:rPr>
        <w:t>,</w:t>
      </w:r>
      <w:r w:rsidRPr="0083245E">
        <w:rPr>
          <w:rFonts w:ascii="Times New Roman" w:hAnsi="Times New Roman" w:cs="Times New Roman"/>
          <w:sz w:val="24"/>
          <w:szCs w:val="24"/>
        </w:rPr>
        <w:t xml:space="preserve"> but in practice an approximate duty cycle is calculated by neglecting the pause times as these are small relative to the scan time and often times not reported by the manufacturer.  A </w:t>
      </w:r>
      <w:r w:rsidRPr="0083245E">
        <w:rPr>
          <w:rFonts w:ascii="Times New Roman" w:hAnsi="Times New Roman" w:cs="Times New Roman"/>
          <w:sz w:val="24"/>
          <w:szCs w:val="24"/>
        </w:rPr>
        <w:lastRenderedPageBreak/>
        <w:t>scan cycle starts on the lowest parent mass and increases to the highest parent mass then the next scan cycle returns on the lowest parent mass never scanning in decreasing parent masses.  SRM scans are not a continuous signal</w:t>
      </w:r>
      <w:r w:rsidR="002325BB">
        <w:rPr>
          <w:rFonts w:ascii="Times New Roman" w:hAnsi="Times New Roman" w:cs="Times New Roman"/>
          <w:sz w:val="24"/>
          <w:szCs w:val="24"/>
        </w:rPr>
        <w:t>, instead</w:t>
      </w:r>
      <w:r w:rsidRPr="0083245E">
        <w:rPr>
          <w:rFonts w:ascii="Times New Roman" w:hAnsi="Times New Roman" w:cs="Times New Roman"/>
          <w:sz w:val="24"/>
          <w:szCs w:val="24"/>
        </w:rPr>
        <w:t xml:space="preserve"> the signal collected during the scan time is plotted as discrete points on a chromatogram and connected by straight lines to approximate where other discrete points would be if the duty cycle was lower.</w:t>
      </w:r>
    </w:p>
    <w:p w:rsidR="005E3076" w:rsidRPr="0083245E" w:rsidRDefault="005E3076" w:rsidP="005E3076">
      <w:pPr>
        <w:spacing w:line="360" w:lineRule="auto"/>
        <w:jc w:val="both"/>
        <w:rPr>
          <w:rFonts w:ascii="Times New Roman" w:hAnsi="Times New Roman" w:cs="Times New Roman"/>
          <w:sz w:val="24"/>
          <w:szCs w:val="24"/>
          <w:vertAlign w:val="superscript"/>
        </w:rPr>
      </w:pPr>
      <w:r w:rsidRPr="0083245E">
        <w:rPr>
          <w:rFonts w:ascii="Times New Roman" w:hAnsi="Times New Roman" w:cs="Times New Roman"/>
          <w:sz w:val="24"/>
          <w:szCs w:val="24"/>
        </w:rPr>
        <w:t>The duty cycle should be low enough to for a chromatographic peak to have at least 10 points.  The broadness of a peak in a chromatogram determines the maximum duty cycle allowed while maintaining 10 points per peak.  Broad peaks can have higher duty cycles whereas narrow peaks will require a lower duty cycle.  The peak is effectively traced with 10-15 points with an error in area of less than 10%.</w:t>
      </w:r>
      <w:r w:rsidR="00CB7AD8">
        <w:rPr>
          <w:rFonts w:ascii="Times New Roman" w:hAnsi="Times New Roman" w:cs="Times New Roman"/>
          <w:sz w:val="24"/>
          <w:szCs w:val="24"/>
          <w:vertAlign w:val="superscript"/>
        </w:rPr>
        <w:t>96</w:t>
      </w:r>
      <w:r w:rsidRPr="0083245E">
        <w:rPr>
          <w:rFonts w:ascii="Times New Roman" w:hAnsi="Times New Roman" w:cs="Times New Roman"/>
          <w:sz w:val="24"/>
          <w:szCs w:val="24"/>
        </w:rPr>
        <w:t xml:space="preserve">  More than 15 points per peak does not significantly improve area reproducibility</w:t>
      </w:r>
      <w:r w:rsidR="002325BB">
        <w:rPr>
          <w:rFonts w:ascii="Times New Roman" w:hAnsi="Times New Roman" w:cs="Times New Roman"/>
          <w:sz w:val="24"/>
          <w:szCs w:val="24"/>
        </w:rPr>
        <w:t>,</w:t>
      </w:r>
      <w:r w:rsidRPr="0083245E">
        <w:rPr>
          <w:rFonts w:ascii="Times New Roman" w:hAnsi="Times New Roman" w:cs="Times New Roman"/>
          <w:sz w:val="24"/>
          <w:szCs w:val="24"/>
        </w:rPr>
        <w:t xml:space="preserve"> and at less than 10 points results in poor area reproducibility, retention time shifts, broaden peaks, lower peak heights, and loss of sensitivity.</w:t>
      </w:r>
      <w:r w:rsidR="002D3CD0">
        <w:rPr>
          <w:rFonts w:ascii="Times New Roman" w:hAnsi="Times New Roman" w:cs="Times New Roman"/>
          <w:sz w:val="24"/>
          <w:szCs w:val="24"/>
          <w:vertAlign w:val="superscript"/>
        </w:rPr>
        <w:t>97</w:t>
      </w:r>
    </w:p>
    <w:p w:rsidR="005E3076" w:rsidRDefault="005E3076" w:rsidP="005E3076">
      <w:pPr>
        <w:spacing w:line="360" w:lineRule="auto"/>
        <w:jc w:val="both"/>
        <w:rPr>
          <w:rFonts w:ascii="Times New Roman" w:hAnsi="Times New Roman" w:cs="Times New Roman"/>
          <w:sz w:val="24"/>
          <w:szCs w:val="24"/>
        </w:rPr>
      </w:pPr>
    </w:p>
    <w:p w:rsidR="005E3076" w:rsidRPr="00663388"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Time segments for MS acquisition are used to lower the duty cycle while maintaining a high throughput analysis.  It is unnecessary to scan for a SRM transition before and after its retention time.  A complete list of SRM transitions for an experiment can be divided into smaller lists of similar retention times and placed in a time segment.  The duty cycle for the time segment is only of the SRM transitions in the smaller list and not of the complete SRM transitions list.  If the retention time of a compound or the broadness of its peak is in between time segments</w:t>
      </w:r>
      <w:r w:rsidR="002325BB">
        <w:rPr>
          <w:rFonts w:ascii="Times New Roman" w:hAnsi="Times New Roman" w:cs="Times New Roman"/>
          <w:sz w:val="24"/>
          <w:szCs w:val="24"/>
        </w:rPr>
        <w:t>,</w:t>
      </w:r>
      <w:r w:rsidRPr="0083245E">
        <w:rPr>
          <w:rFonts w:ascii="Times New Roman" w:hAnsi="Times New Roman" w:cs="Times New Roman"/>
          <w:sz w:val="24"/>
          <w:szCs w:val="24"/>
        </w:rPr>
        <w:t xml:space="preserve"> then it is placed in both time segments resulting in two duty cycles for one peak if the time segments do not have equivalent duty cycles.  This will not affect area reproducibility if each duty cycle when considered separately would result in at least 10 points per peak.  It is also unnecessary to scan for SRM transitions during column re-equilibration</w:t>
      </w:r>
      <w:r w:rsidR="002325BB">
        <w:rPr>
          <w:rFonts w:ascii="Times New Roman" w:hAnsi="Times New Roman" w:cs="Times New Roman"/>
          <w:sz w:val="24"/>
          <w:szCs w:val="24"/>
        </w:rPr>
        <w:t>,</w:t>
      </w:r>
      <w:r w:rsidRPr="0083245E">
        <w:rPr>
          <w:rFonts w:ascii="Times New Roman" w:hAnsi="Times New Roman" w:cs="Times New Roman"/>
          <w:sz w:val="24"/>
          <w:szCs w:val="24"/>
        </w:rPr>
        <w:t xml:space="preserve"> and MS acquisition is typically stopped allowing eluent to drain out of the ion source an alternative to a divert valve which adds more dead volume resulting in peak broadening. This conserves ion sources drying gases, extends the life of the electron multiplier, and prevents contamination resulting in charging.  Charging is when </w:t>
      </w:r>
      <w:r w:rsidR="002325BB">
        <w:rPr>
          <w:rFonts w:ascii="Times New Roman" w:hAnsi="Times New Roman" w:cs="Times New Roman"/>
          <w:sz w:val="24"/>
          <w:szCs w:val="24"/>
        </w:rPr>
        <w:t>ions form a capacitor and repel</w:t>
      </w:r>
      <w:r w:rsidRPr="0083245E">
        <w:rPr>
          <w:rFonts w:ascii="Times New Roman" w:hAnsi="Times New Roman" w:cs="Times New Roman"/>
          <w:sz w:val="24"/>
          <w:szCs w:val="24"/>
        </w:rPr>
        <w:t xml:space="preserve"> incoming ions of the same charge resulting in steady loss of signal that can be diagnosed by switching polarities, discha</w:t>
      </w:r>
      <w:r w:rsidR="002325BB">
        <w:rPr>
          <w:rFonts w:ascii="Times New Roman" w:hAnsi="Times New Roman" w:cs="Times New Roman"/>
          <w:sz w:val="24"/>
          <w:szCs w:val="24"/>
        </w:rPr>
        <w:t>rging the capacitor, and observing</w:t>
      </w:r>
      <w:r w:rsidRPr="0083245E">
        <w:rPr>
          <w:rFonts w:ascii="Times New Roman" w:hAnsi="Times New Roman" w:cs="Times New Roman"/>
          <w:sz w:val="24"/>
          <w:szCs w:val="24"/>
        </w:rPr>
        <w:t xml:space="preserve"> the signal return when returning the original polarity.  The solution is to sonicate or clean the contaminated part with Alcanox.</w:t>
      </w: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lastRenderedPageBreak/>
        <w:t>Profile and Centroid Data Type</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Profile data type is typically used for tune and calibration as the ion intensities at sampling intervals are connected to form a continuous line displaying the broadness of a peak that results from a set FWHM resolution.</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Centroid data type is typically used for data acquisition as scan speeds are faster and the disk space requirement to store the data is smaller than profile data type allowing faster data processing.  The sum of the sampling intervals across a peak are displayed as a single centroid causing peak height to be greater than profile data type.</w:t>
      </w: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 xml:space="preserve">SRM m/z Values </w:t>
      </w:r>
    </w:p>
    <w:p w:rsidR="005E3076"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The theoretical </w:t>
      </w:r>
      <w:r w:rsidRPr="0083245E">
        <w:rPr>
          <w:rFonts w:ascii="Times New Roman" w:hAnsi="Times New Roman" w:cs="Times New Roman"/>
          <w:i/>
          <w:sz w:val="24"/>
          <w:szCs w:val="24"/>
        </w:rPr>
        <w:t>m/z</w:t>
      </w:r>
      <w:r w:rsidRPr="0083245E">
        <w:rPr>
          <w:rFonts w:ascii="Times New Roman" w:hAnsi="Times New Roman" w:cs="Times New Roman"/>
          <w:sz w:val="24"/>
          <w:szCs w:val="24"/>
        </w:rPr>
        <w:t xml:space="preserve"> values for SRM transitions may be rounded to the tenths place</w:t>
      </w:r>
      <w:r>
        <w:rPr>
          <w:rFonts w:ascii="Times New Roman" w:hAnsi="Times New Roman" w:cs="Times New Roman"/>
          <w:sz w:val="24"/>
          <w:szCs w:val="24"/>
        </w:rPr>
        <w:t xml:space="preserve"> for 0.7 FWHM</w:t>
      </w:r>
      <w:r w:rsidRPr="0083245E">
        <w:rPr>
          <w:rFonts w:ascii="Times New Roman" w:hAnsi="Times New Roman" w:cs="Times New Roman"/>
          <w:sz w:val="24"/>
          <w:szCs w:val="24"/>
        </w:rPr>
        <w:t xml:space="preserve"> as the resolution of a quadrupole fluctuates beyond a tenth of a </w:t>
      </w:r>
      <w:r w:rsidRPr="0083245E">
        <w:rPr>
          <w:rFonts w:ascii="Times New Roman" w:hAnsi="Times New Roman" w:cs="Times New Roman"/>
          <w:i/>
          <w:sz w:val="24"/>
          <w:szCs w:val="24"/>
        </w:rPr>
        <w:t>m/z</w:t>
      </w:r>
      <w:r>
        <w:rPr>
          <w:rFonts w:ascii="Times New Roman" w:hAnsi="Times New Roman" w:cs="Times New Roman"/>
          <w:sz w:val="24"/>
          <w:szCs w:val="24"/>
        </w:rPr>
        <w:t xml:space="preserve"> value.</w:t>
      </w:r>
      <w:r w:rsidRPr="0083245E">
        <w:rPr>
          <w:rFonts w:ascii="Times New Roman" w:hAnsi="Times New Roman" w:cs="Times New Roman"/>
          <w:sz w:val="24"/>
          <w:szCs w:val="24"/>
        </w:rPr>
        <w:t xml:space="preserve">  Each SRM transition should have a unique parent mass as Xcalibur will combine SRM transitions of the same parent mass but different product masses into one chromatogram.  To prevent this add a thousandth </w:t>
      </w:r>
      <w:r w:rsidRPr="002325BB">
        <w:rPr>
          <w:rFonts w:ascii="Times New Roman" w:hAnsi="Times New Roman" w:cs="Times New Roman"/>
          <w:i/>
          <w:sz w:val="24"/>
          <w:szCs w:val="24"/>
        </w:rPr>
        <w:t>m/z</w:t>
      </w:r>
      <w:r w:rsidRPr="0083245E">
        <w:rPr>
          <w:rFonts w:ascii="Times New Roman" w:hAnsi="Times New Roman" w:cs="Times New Roman"/>
          <w:sz w:val="24"/>
          <w:szCs w:val="24"/>
        </w:rPr>
        <w:t xml:space="preserve"> value to SRM transitions that share the same parent mass</w:t>
      </w:r>
      <w:r>
        <w:rPr>
          <w:rFonts w:ascii="Times New Roman" w:hAnsi="Times New Roman" w:cs="Times New Roman"/>
          <w:sz w:val="24"/>
          <w:szCs w:val="24"/>
        </w:rPr>
        <w:t>es.  The rounding may cause the apex of the mass spectrum peak or the entire peak to be missed within a defined scan width at a lower FWHM such as 0.1 FWHM.</w:t>
      </w:r>
    </w:p>
    <w:p w:rsidR="005E3076" w:rsidRPr="000D07A3"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i/>
          <w:sz w:val="24"/>
          <w:szCs w:val="24"/>
        </w:rPr>
        <w:t>Conclusion</w:t>
      </w:r>
    </w:p>
    <w:p w:rsidR="00350523"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The three merits of optimizing SRM parameters are selectivity, sensitivity, and reproducibility.  Parameters that affect selectivity are FWHM and scan width that sometimes result in an increase in sensitivity as noise or an interference is removed increasing S/N ratio.  Parameters that affect sensitivity are those that increase ion transmission including tube lens voltage, collision energy, collision gas pressure, FWHM, scan time, scan width, and duty cycle.  Parameters that affect reproducibility are tube lens voltage, collision energy, scan time, and duty cycle.  </w:t>
      </w:r>
    </w:p>
    <w:p w:rsidR="005E3076"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lastRenderedPageBreak/>
        <w:t>Selectivity parameters may be adjusted to remove an interference in an SRM transition.  To mass filter an interference</w:t>
      </w:r>
      <w:r w:rsidR="002325BB">
        <w:rPr>
          <w:rFonts w:ascii="Times New Roman" w:hAnsi="Times New Roman" w:cs="Times New Roman"/>
          <w:sz w:val="24"/>
          <w:szCs w:val="24"/>
        </w:rPr>
        <w:t>,</w:t>
      </w:r>
      <w:r w:rsidRPr="0083245E">
        <w:rPr>
          <w:rFonts w:ascii="Times New Roman" w:hAnsi="Times New Roman" w:cs="Times New Roman"/>
          <w:sz w:val="24"/>
          <w:szCs w:val="24"/>
        </w:rPr>
        <w:t xml:space="preserve"> first lower the scan width as this will increase selectivity and sensitivity then try in combination or separately lowering FWHM as this will increase selectivity but decrease sensitivity.  If this fails to remove the interference</w:t>
      </w:r>
      <w:r w:rsidR="002325BB">
        <w:rPr>
          <w:rFonts w:ascii="Times New Roman" w:hAnsi="Times New Roman" w:cs="Times New Roman"/>
          <w:sz w:val="24"/>
          <w:szCs w:val="24"/>
        </w:rPr>
        <w:t>,</w:t>
      </w:r>
      <w:r w:rsidRPr="0083245E">
        <w:rPr>
          <w:rFonts w:ascii="Times New Roman" w:hAnsi="Times New Roman" w:cs="Times New Roman"/>
          <w:sz w:val="24"/>
          <w:szCs w:val="24"/>
        </w:rPr>
        <w:t xml:space="preserve"> then try a different SRM transition sufficient for quantitation utilizing </w:t>
      </w:r>
      <w:r w:rsidR="002325BB">
        <w:rPr>
          <w:rFonts w:ascii="Times New Roman" w:hAnsi="Times New Roman" w:cs="Times New Roman"/>
          <w:sz w:val="24"/>
          <w:szCs w:val="24"/>
        </w:rPr>
        <w:t xml:space="preserve">the </w:t>
      </w:r>
      <w:r w:rsidRPr="0083245E">
        <w:rPr>
          <w:rFonts w:ascii="Times New Roman" w:hAnsi="Times New Roman" w:cs="Times New Roman"/>
          <w:sz w:val="24"/>
          <w:szCs w:val="24"/>
        </w:rPr>
        <w:t>same parent mass but different product mass for the compound including SRM transitions in the other polarity mode.  Negative mode is typically less sensitive as a given concentration of a compound makes less negative ions than positive ions but more selective as the background also forms less negative ions than positive ions.  If mass filtering does not resolve the interference</w:t>
      </w:r>
      <w:r w:rsidR="002325BB">
        <w:rPr>
          <w:rFonts w:ascii="Times New Roman" w:hAnsi="Times New Roman" w:cs="Times New Roman"/>
          <w:sz w:val="24"/>
          <w:szCs w:val="24"/>
        </w:rPr>
        <w:t>, the</w:t>
      </w:r>
      <w:r w:rsidRPr="0083245E">
        <w:rPr>
          <w:rFonts w:ascii="Times New Roman" w:hAnsi="Times New Roman" w:cs="Times New Roman"/>
          <w:sz w:val="24"/>
          <w:szCs w:val="24"/>
        </w:rPr>
        <w:t>n seek another developed LC method.</w:t>
      </w:r>
      <w:r>
        <w:rPr>
          <w:rFonts w:ascii="Times New Roman" w:hAnsi="Times New Roman" w:cs="Times New Roman"/>
          <w:sz w:val="24"/>
          <w:szCs w:val="24"/>
        </w:rPr>
        <w:t xml:space="preserve">  Understanding the instrument allows one to know its limitations and not design an experiment outside of the limits or attempt to transfer an incompatible LC/MS method.</w:t>
      </w:r>
    </w:p>
    <w:p w:rsidR="005E3076" w:rsidRPr="00225D29"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b/>
          <w:i/>
          <w:sz w:val="24"/>
          <w:szCs w:val="24"/>
        </w:rPr>
        <w:t>Alternative Methods to Remove SRM Interference without Mass Filtering</w:t>
      </w:r>
    </w:p>
    <w:p w:rsidR="00350523"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As discussed before</w:t>
      </w:r>
      <w:r w:rsidR="002325BB">
        <w:rPr>
          <w:rFonts w:ascii="Times New Roman" w:hAnsi="Times New Roman" w:cs="Times New Roman"/>
          <w:sz w:val="24"/>
          <w:szCs w:val="24"/>
        </w:rPr>
        <w:t>,</w:t>
      </w:r>
      <w:r w:rsidRPr="0083245E">
        <w:rPr>
          <w:rFonts w:ascii="Times New Roman" w:hAnsi="Times New Roman" w:cs="Times New Roman"/>
          <w:sz w:val="24"/>
          <w:szCs w:val="24"/>
        </w:rPr>
        <w:t xml:space="preserve"> interferences can be mass filtered by increasing selectivity</w:t>
      </w:r>
      <w:r w:rsidR="002325BB">
        <w:rPr>
          <w:rFonts w:ascii="Times New Roman" w:hAnsi="Times New Roman" w:cs="Times New Roman"/>
          <w:sz w:val="24"/>
          <w:szCs w:val="24"/>
        </w:rPr>
        <w:t>,</w:t>
      </w:r>
      <w:r w:rsidRPr="0083245E">
        <w:rPr>
          <w:rFonts w:ascii="Times New Roman" w:hAnsi="Times New Roman" w:cs="Times New Roman"/>
          <w:sz w:val="24"/>
          <w:szCs w:val="24"/>
        </w:rPr>
        <w:t xml:space="preserve"> adjusting FWHM, scan width, or using a different SRM transition.  Alternatives to mass filtering an interference are </w:t>
      </w:r>
      <w:r w:rsidR="002325BB">
        <w:rPr>
          <w:rFonts w:ascii="Times New Roman" w:hAnsi="Times New Roman" w:cs="Times New Roman"/>
          <w:sz w:val="24"/>
          <w:szCs w:val="24"/>
        </w:rPr>
        <w:t xml:space="preserve">adjusting </w:t>
      </w:r>
      <w:r w:rsidRPr="0083245E">
        <w:rPr>
          <w:rFonts w:ascii="Times New Roman" w:hAnsi="Times New Roman" w:cs="Times New Roman"/>
          <w:sz w:val="24"/>
          <w:szCs w:val="24"/>
        </w:rPr>
        <w:t xml:space="preserve">sample preparation, chromatography and ion source.  </w:t>
      </w:r>
      <w:r w:rsidR="002325BB">
        <w:rPr>
          <w:rFonts w:ascii="Times New Roman" w:hAnsi="Times New Roman" w:cs="Times New Roman"/>
          <w:sz w:val="24"/>
          <w:szCs w:val="24"/>
        </w:rPr>
        <w:t>Suitable changes to s</w:t>
      </w:r>
      <w:r w:rsidRPr="0083245E">
        <w:rPr>
          <w:rFonts w:ascii="Times New Roman" w:hAnsi="Times New Roman" w:cs="Times New Roman"/>
          <w:sz w:val="24"/>
          <w:szCs w:val="24"/>
        </w:rPr>
        <w:t>ample preparation to remove interferences include solid</w:t>
      </w:r>
      <w:r w:rsidR="002325BB">
        <w:rPr>
          <w:rFonts w:ascii="Times New Roman" w:hAnsi="Times New Roman" w:cs="Times New Roman"/>
          <w:sz w:val="24"/>
          <w:szCs w:val="24"/>
        </w:rPr>
        <w:t xml:space="preserve"> phase extraction (SPE), liquid-liquid extraction</w:t>
      </w:r>
      <w:r w:rsidRPr="0083245E">
        <w:rPr>
          <w:rFonts w:ascii="Times New Roman" w:hAnsi="Times New Roman" w:cs="Times New Roman"/>
          <w:sz w:val="24"/>
          <w:szCs w:val="24"/>
        </w:rPr>
        <w:t>, and derivatization.  Derivatization changes the parent mass which leads to a different SRM transition though many times the ionization efficiency, chromatographic peak shape, and RT changes.</w:t>
      </w:r>
      <w:r w:rsidR="002D3CD0">
        <w:rPr>
          <w:rFonts w:ascii="Times New Roman" w:hAnsi="Times New Roman" w:cs="Times New Roman"/>
          <w:sz w:val="24"/>
          <w:szCs w:val="24"/>
          <w:vertAlign w:val="superscript"/>
        </w:rPr>
        <w:t>98</w:t>
      </w:r>
      <w:r w:rsidRPr="0083245E">
        <w:rPr>
          <w:rFonts w:ascii="Times New Roman" w:hAnsi="Times New Roman" w:cs="Times New Roman"/>
          <w:sz w:val="24"/>
          <w:szCs w:val="24"/>
        </w:rPr>
        <w:t xml:space="preserve">  Chromatography modifications </w:t>
      </w:r>
      <w:r w:rsidR="002325BB">
        <w:rPr>
          <w:rFonts w:ascii="Times New Roman" w:hAnsi="Times New Roman" w:cs="Times New Roman"/>
          <w:sz w:val="24"/>
          <w:szCs w:val="24"/>
        </w:rPr>
        <w:t>can be made which</w:t>
      </w:r>
      <w:r w:rsidRPr="0083245E">
        <w:rPr>
          <w:rFonts w:ascii="Times New Roman" w:hAnsi="Times New Roman" w:cs="Times New Roman"/>
          <w:sz w:val="24"/>
          <w:szCs w:val="24"/>
        </w:rPr>
        <w:t xml:space="preserve"> result in baseline resolution of interference and target compound in the chromatogram</w:t>
      </w:r>
      <w:r w:rsidR="002325BB">
        <w:rPr>
          <w:rFonts w:ascii="Times New Roman" w:hAnsi="Times New Roman" w:cs="Times New Roman"/>
          <w:sz w:val="24"/>
          <w:szCs w:val="24"/>
        </w:rPr>
        <w:t xml:space="preserve">, and these include alteration in </w:t>
      </w:r>
      <w:r w:rsidRPr="0083245E">
        <w:rPr>
          <w:rFonts w:ascii="Times New Roman" w:hAnsi="Times New Roman" w:cs="Times New Roman"/>
          <w:sz w:val="24"/>
          <w:szCs w:val="24"/>
        </w:rPr>
        <w:t>flow rate, gradient, geometrics of column, add modifier to mobile phase to form adduct ions,</w:t>
      </w:r>
      <w:r w:rsidR="000E1449">
        <w:rPr>
          <w:rFonts w:ascii="Times New Roman" w:hAnsi="Times New Roman" w:cs="Times New Roman"/>
          <w:sz w:val="24"/>
          <w:szCs w:val="24"/>
          <w:vertAlign w:val="superscript"/>
        </w:rPr>
        <w:t>92</w:t>
      </w:r>
      <w:r w:rsidRPr="0083245E">
        <w:rPr>
          <w:rFonts w:ascii="Times New Roman" w:hAnsi="Times New Roman" w:cs="Times New Roman"/>
          <w:sz w:val="24"/>
          <w:szCs w:val="24"/>
          <w:vertAlign w:val="superscript"/>
        </w:rPr>
        <w:t xml:space="preserve">, </w:t>
      </w:r>
      <w:r w:rsidR="000E1449">
        <w:rPr>
          <w:rFonts w:ascii="Times New Roman" w:hAnsi="Times New Roman" w:cs="Times New Roman"/>
          <w:sz w:val="24"/>
          <w:szCs w:val="24"/>
          <w:vertAlign w:val="superscript"/>
        </w:rPr>
        <w:t>93</w:t>
      </w:r>
      <w:r w:rsidRPr="0083245E">
        <w:rPr>
          <w:rFonts w:ascii="Times New Roman" w:hAnsi="Times New Roman" w:cs="Times New Roman"/>
          <w:sz w:val="24"/>
          <w:szCs w:val="24"/>
          <w:vertAlign w:val="superscript"/>
        </w:rPr>
        <w:t xml:space="preserve">, </w:t>
      </w:r>
      <w:r w:rsidR="000E1449">
        <w:rPr>
          <w:rFonts w:ascii="Times New Roman" w:hAnsi="Times New Roman" w:cs="Times New Roman"/>
          <w:sz w:val="24"/>
          <w:szCs w:val="24"/>
          <w:vertAlign w:val="superscript"/>
        </w:rPr>
        <w:t>94</w:t>
      </w:r>
      <w:r w:rsidRPr="0083245E">
        <w:rPr>
          <w:rFonts w:ascii="Times New Roman" w:hAnsi="Times New Roman" w:cs="Times New Roman"/>
          <w:sz w:val="24"/>
          <w:szCs w:val="24"/>
        </w:rPr>
        <w:t xml:space="preserve"> changing mobile phases, couple columns, or a column of different stationary phase.  </w:t>
      </w:r>
      <w:r w:rsidR="002325BB">
        <w:rPr>
          <w:rFonts w:ascii="Times New Roman" w:hAnsi="Times New Roman" w:cs="Times New Roman"/>
          <w:sz w:val="24"/>
          <w:szCs w:val="24"/>
        </w:rPr>
        <w:t>Several i</w:t>
      </w:r>
      <w:r w:rsidRPr="0083245E">
        <w:rPr>
          <w:rFonts w:ascii="Times New Roman" w:hAnsi="Times New Roman" w:cs="Times New Roman"/>
          <w:sz w:val="24"/>
          <w:szCs w:val="24"/>
        </w:rPr>
        <w:t>on sources are available such as ESI</w:t>
      </w:r>
      <w:r w:rsidR="00062EAD">
        <w:rPr>
          <w:rFonts w:ascii="Times New Roman" w:hAnsi="Times New Roman" w:cs="Times New Roman"/>
          <w:sz w:val="24"/>
          <w:szCs w:val="24"/>
        </w:rPr>
        <w:t xml:space="preserve"> (Electrospray Ionization)</w:t>
      </w:r>
      <w:r w:rsidRPr="0083245E">
        <w:rPr>
          <w:rFonts w:ascii="Times New Roman" w:hAnsi="Times New Roman" w:cs="Times New Roman"/>
          <w:sz w:val="24"/>
          <w:szCs w:val="24"/>
        </w:rPr>
        <w:t>, APCI</w:t>
      </w:r>
      <w:r w:rsidR="00062EAD">
        <w:rPr>
          <w:rFonts w:ascii="Times New Roman" w:hAnsi="Times New Roman" w:cs="Times New Roman"/>
          <w:sz w:val="24"/>
          <w:szCs w:val="24"/>
        </w:rPr>
        <w:t xml:space="preserve"> (Atmospheric Pressure Chemical Ionization)</w:t>
      </w:r>
      <w:r w:rsidRPr="0083245E">
        <w:rPr>
          <w:rFonts w:ascii="Times New Roman" w:hAnsi="Times New Roman" w:cs="Times New Roman"/>
          <w:sz w:val="24"/>
          <w:szCs w:val="24"/>
        </w:rPr>
        <w:t>, and APPI</w:t>
      </w:r>
      <w:r w:rsidR="00062EAD">
        <w:rPr>
          <w:rFonts w:ascii="Times New Roman" w:hAnsi="Times New Roman" w:cs="Times New Roman"/>
          <w:sz w:val="24"/>
          <w:szCs w:val="24"/>
        </w:rPr>
        <w:t xml:space="preserve"> (Atmospheric Pressure Photoionization)</w:t>
      </w:r>
      <w:r w:rsidRPr="0083245E">
        <w:rPr>
          <w:rFonts w:ascii="Times New Roman" w:hAnsi="Times New Roman" w:cs="Times New Roman"/>
          <w:sz w:val="24"/>
          <w:szCs w:val="24"/>
        </w:rPr>
        <w:t>.  Each have their own ionization mechanism</w:t>
      </w:r>
      <w:r w:rsidR="00062EAD">
        <w:rPr>
          <w:rFonts w:ascii="Times New Roman" w:hAnsi="Times New Roman" w:cs="Times New Roman"/>
          <w:sz w:val="24"/>
          <w:szCs w:val="24"/>
        </w:rPr>
        <w:t>,</w:t>
      </w:r>
      <w:r w:rsidRPr="0083245E">
        <w:rPr>
          <w:rFonts w:ascii="Times New Roman" w:hAnsi="Times New Roman" w:cs="Times New Roman"/>
          <w:sz w:val="24"/>
          <w:szCs w:val="24"/>
        </w:rPr>
        <w:t xml:space="preserve"> and the interference may not ionize efficiently with another ion source.  These techniques </w:t>
      </w:r>
      <w:r w:rsidR="00062EAD">
        <w:rPr>
          <w:rFonts w:ascii="Times New Roman" w:hAnsi="Times New Roman" w:cs="Times New Roman"/>
          <w:sz w:val="24"/>
          <w:szCs w:val="24"/>
        </w:rPr>
        <w:t>rely more on</w:t>
      </w:r>
      <w:r w:rsidRPr="0083245E">
        <w:rPr>
          <w:rFonts w:ascii="Times New Roman" w:hAnsi="Times New Roman" w:cs="Times New Roman"/>
          <w:sz w:val="24"/>
          <w:szCs w:val="24"/>
        </w:rPr>
        <w:t xml:space="preserve"> method development than method optimization and will not be discussed in detail.  Method development is labor intensiv</w:t>
      </w:r>
      <w:r w:rsidR="00062EAD">
        <w:rPr>
          <w:rFonts w:ascii="Times New Roman" w:hAnsi="Times New Roman" w:cs="Times New Roman"/>
          <w:sz w:val="24"/>
          <w:szCs w:val="24"/>
        </w:rPr>
        <w:t>e whereas method optimization results from</w:t>
      </w:r>
      <w:r w:rsidRPr="0083245E">
        <w:rPr>
          <w:rFonts w:ascii="Times New Roman" w:hAnsi="Times New Roman" w:cs="Times New Roman"/>
          <w:sz w:val="24"/>
          <w:szCs w:val="24"/>
        </w:rPr>
        <w:t xml:space="preserve"> small changes to an existing method</w:t>
      </w:r>
      <w:r w:rsidR="00062EAD">
        <w:rPr>
          <w:rFonts w:ascii="Times New Roman" w:hAnsi="Times New Roman" w:cs="Times New Roman"/>
          <w:sz w:val="24"/>
          <w:szCs w:val="24"/>
        </w:rPr>
        <w:t xml:space="preserve"> that require</w:t>
      </w:r>
      <w:r w:rsidRPr="0083245E">
        <w:rPr>
          <w:rFonts w:ascii="Times New Roman" w:hAnsi="Times New Roman" w:cs="Times New Roman"/>
          <w:sz w:val="24"/>
          <w:szCs w:val="24"/>
        </w:rPr>
        <w:t xml:space="preserve"> little time investment.</w:t>
      </w:r>
      <w:r w:rsidR="00BB2317">
        <w:rPr>
          <w:rFonts w:ascii="Times New Roman" w:hAnsi="Times New Roman" w:cs="Times New Roman"/>
          <w:sz w:val="24"/>
          <w:szCs w:val="24"/>
        </w:rPr>
        <w:t xml:space="preserve">  </w:t>
      </w:r>
    </w:p>
    <w:p w:rsidR="005E3076" w:rsidRPr="00350523"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b/>
          <w:i/>
          <w:sz w:val="24"/>
          <w:szCs w:val="24"/>
        </w:rPr>
        <w:lastRenderedPageBreak/>
        <w:t>Absolute Quantitation</w:t>
      </w:r>
      <w:r>
        <w:rPr>
          <w:rFonts w:ascii="Times New Roman" w:hAnsi="Times New Roman" w:cs="Times New Roman"/>
          <w:b/>
          <w:i/>
          <w:sz w:val="24"/>
          <w:szCs w:val="24"/>
        </w:rPr>
        <w:t xml:space="preserve"> using External Calibration Curves</w:t>
      </w:r>
    </w:p>
    <w:p w:rsidR="005E3076"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Absolute quantification is achieved by a calibration curve used to determine the unknown concentration of a compound in a sample by ap</w:t>
      </w:r>
      <w:r>
        <w:rPr>
          <w:rFonts w:ascii="Times New Roman" w:hAnsi="Times New Roman" w:cs="Times New Roman"/>
          <w:sz w:val="24"/>
          <w:szCs w:val="24"/>
        </w:rPr>
        <w:t xml:space="preserve">plying a fit and interpolating.  </w:t>
      </w:r>
      <w:r w:rsidRPr="00237B91">
        <w:rPr>
          <w:rFonts w:ascii="Times New Roman" w:hAnsi="Times New Roman" w:cs="Times New Roman"/>
          <w:sz w:val="24"/>
          <w:szCs w:val="24"/>
        </w:rPr>
        <w:t>It is common for quality controls to be prepared to test the % accuracy of the fit to predict</w:t>
      </w:r>
      <w:r>
        <w:rPr>
          <w:rFonts w:ascii="Times New Roman" w:hAnsi="Times New Roman" w:cs="Times New Roman"/>
          <w:sz w:val="24"/>
          <w:szCs w:val="24"/>
        </w:rPr>
        <w:t xml:space="preserve"> a known</w:t>
      </w:r>
      <w:r w:rsidRPr="00237B91">
        <w:rPr>
          <w:rFonts w:ascii="Times New Roman" w:hAnsi="Times New Roman" w:cs="Times New Roman"/>
          <w:sz w:val="24"/>
          <w:szCs w:val="24"/>
        </w:rPr>
        <w:t xml:space="preserve"> concentration and not rely solely on the R</w:t>
      </w:r>
      <w:r w:rsidRPr="00237B91">
        <w:rPr>
          <w:rFonts w:ascii="Times New Roman" w:hAnsi="Times New Roman" w:cs="Times New Roman"/>
          <w:sz w:val="24"/>
          <w:szCs w:val="24"/>
          <w:vertAlign w:val="superscript"/>
        </w:rPr>
        <w:t>2</w:t>
      </w:r>
      <w:r w:rsidRPr="00237B91">
        <w:rPr>
          <w:rFonts w:ascii="Times New Roman" w:hAnsi="Times New Roman" w:cs="Times New Roman"/>
          <w:sz w:val="24"/>
          <w:szCs w:val="24"/>
        </w:rPr>
        <w:t xml:space="preserve"> value to determine suitability of </w:t>
      </w:r>
      <w:r>
        <w:rPr>
          <w:rFonts w:ascii="Times New Roman" w:hAnsi="Times New Roman" w:cs="Times New Roman"/>
          <w:sz w:val="24"/>
          <w:szCs w:val="24"/>
        </w:rPr>
        <w:t xml:space="preserve">a </w:t>
      </w:r>
      <w:r w:rsidRPr="00237B91">
        <w:rPr>
          <w:rFonts w:ascii="Times New Roman" w:hAnsi="Times New Roman" w:cs="Times New Roman"/>
          <w:sz w:val="24"/>
          <w:szCs w:val="24"/>
        </w:rPr>
        <w:t>fit.  Alternatively, the calibration levels can be used to determine % accuracy at each calibration level as the fit is better or worse at prediction of concentrations in discrete</w:t>
      </w:r>
      <w:r>
        <w:rPr>
          <w:rFonts w:ascii="Times New Roman" w:hAnsi="Times New Roman" w:cs="Times New Roman"/>
          <w:sz w:val="24"/>
          <w:szCs w:val="24"/>
        </w:rPr>
        <w:t xml:space="preserve"> ranges due to an imperfect fit.  </w:t>
      </w:r>
    </w:p>
    <w:p w:rsidR="005E3076" w:rsidRDefault="005E3076" w:rsidP="005E3076">
      <w:pPr>
        <w:spacing w:line="360" w:lineRule="auto"/>
        <w:jc w:val="both"/>
        <w:rPr>
          <w:rFonts w:ascii="Times New Roman" w:hAnsi="Times New Roman" w:cs="Times New Roman"/>
          <w:sz w:val="24"/>
          <w:szCs w:val="24"/>
        </w:rPr>
      </w:pPr>
    </w:p>
    <w:p w:rsidR="005E3076" w:rsidRDefault="00303E63" w:rsidP="005E30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Calibration curves </w:t>
      </w:r>
      <w:r w:rsidR="005E3076" w:rsidRPr="0083245E">
        <w:rPr>
          <w:rFonts w:ascii="Times New Roman" w:hAnsi="Times New Roman" w:cs="Times New Roman"/>
          <w:sz w:val="24"/>
          <w:szCs w:val="24"/>
        </w:rPr>
        <w:t xml:space="preserve">using an external standard or an external standard </w:t>
      </w:r>
      <w:r>
        <w:rPr>
          <w:rFonts w:ascii="Times New Roman" w:hAnsi="Times New Roman" w:cs="Times New Roman"/>
          <w:sz w:val="24"/>
          <w:szCs w:val="24"/>
        </w:rPr>
        <w:t>plus</w:t>
      </w:r>
      <w:r w:rsidR="005E3076">
        <w:rPr>
          <w:rFonts w:ascii="Times New Roman" w:hAnsi="Times New Roman" w:cs="Times New Roman"/>
          <w:sz w:val="24"/>
          <w:szCs w:val="24"/>
        </w:rPr>
        <w:t xml:space="preserve"> internal standard is common.  The internal standard corrects for ion suppression and ion transmission losses due to the clogging of the ITT by the following formula:</w:t>
      </w:r>
    </w:p>
    <w:p w:rsidR="005E3076" w:rsidRDefault="005E3076" w:rsidP="005E3076">
      <w:pPr>
        <w:spacing w:line="360" w:lineRule="auto"/>
        <w:jc w:val="both"/>
        <w:rPr>
          <w:rFonts w:ascii="Times New Roman" w:hAnsi="Times New Roman" w:cs="Times New Roman"/>
          <w:sz w:val="24"/>
          <w:szCs w:val="24"/>
        </w:rPr>
      </w:pPr>
    </w:p>
    <w:p w:rsidR="005E3076" w:rsidRPr="0006760D" w:rsidRDefault="00CB2AB9" w:rsidP="005E3076">
      <w:pPr>
        <w:spacing w:line="360" w:lineRule="auto"/>
        <w:jc w:val="center"/>
        <w:rPr>
          <w:rFonts w:ascii="Times New Roman" w:eastAsiaTheme="minorEastAsia"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Area of External Standard</m:t>
              </m:r>
            </m:num>
            <m:den>
              <m:r>
                <w:rPr>
                  <w:rFonts w:ascii="Cambria Math" w:hAnsi="Cambria Math" w:cs="Times New Roman"/>
                  <w:sz w:val="24"/>
                  <w:szCs w:val="24"/>
                </w:rPr>
                <m:t>Area of Internal Standard</m:t>
              </m:r>
            </m:den>
          </m:f>
          <m:r>
            <w:rPr>
              <w:rFonts w:ascii="Cambria Math" w:hAnsi="Cambria Math" w:cs="Times New Roman"/>
              <w:sz w:val="24"/>
              <w:szCs w:val="24"/>
            </w:rPr>
            <m:t>=Area Ratio</m:t>
          </m:r>
        </m:oMath>
      </m:oMathPara>
    </w:p>
    <w:p w:rsidR="005E3076" w:rsidRPr="0006760D" w:rsidRDefault="005E3076" w:rsidP="00BB2317">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w:t>
      </w:r>
    </w:p>
    <w:p w:rsidR="005E3076" w:rsidRDefault="005E3076" w:rsidP="00BB2317">
      <w:pPr>
        <w:spacing w:line="360" w:lineRule="auto"/>
        <w:jc w:val="both"/>
        <w:rPr>
          <w:rFonts w:ascii="Times New Roman" w:hAnsi="Times New Roman" w:cs="Times New Roman"/>
          <w:sz w:val="24"/>
          <w:szCs w:val="24"/>
        </w:rPr>
      </w:pPr>
      <w:r w:rsidRPr="00501012">
        <w:rPr>
          <w:rFonts w:ascii="Times New Roman" w:hAnsi="Times New Roman" w:cs="Times New Roman"/>
          <w:sz w:val="24"/>
          <w:szCs w:val="24"/>
        </w:rPr>
        <w:t>This area ratio is used as the y-value on the calibration curve.  The percent loss due to ion suppression or transmission is equal for both external standard and internal standard.  The percent loss of ion suppression and transmission is applied to both the external standard and internal standard which cancels the percent loss factor.  For example, a 10% loss due to ion suppression and transmission</w:t>
      </w:r>
      <w:r>
        <w:rPr>
          <w:rFonts w:ascii="Times New Roman" w:hAnsi="Times New Roman" w:cs="Times New Roman"/>
          <w:sz w:val="24"/>
          <w:szCs w:val="24"/>
        </w:rPr>
        <w:t xml:space="preserve"> at an area ratio of 200/</w:t>
      </w:r>
      <w:r w:rsidRPr="00501012">
        <w:rPr>
          <w:rFonts w:ascii="Times New Roman" w:hAnsi="Times New Roman" w:cs="Times New Roman"/>
          <w:sz w:val="24"/>
          <w:szCs w:val="24"/>
        </w:rPr>
        <w:t xml:space="preserve">100 becomes 180/90 which remains </w:t>
      </w:r>
      <w:r>
        <w:rPr>
          <w:rFonts w:ascii="Times New Roman" w:hAnsi="Times New Roman" w:cs="Times New Roman"/>
          <w:sz w:val="24"/>
          <w:szCs w:val="24"/>
        </w:rPr>
        <w:t>an area ratio of 2.  The benefit of a calibration curve using external standard with internal standard is significant when a target compound free matrix is unavailable.  The sample solvent is used in the absence of a target compound free matrix to mimic sample conditions</w:t>
      </w:r>
      <w:r w:rsidR="00303E63">
        <w:rPr>
          <w:rFonts w:ascii="Times New Roman" w:hAnsi="Times New Roman" w:cs="Times New Roman"/>
          <w:sz w:val="24"/>
          <w:szCs w:val="24"/>
        </w:rPr>
        <w:t>,</w:t>
      </w:r>
      <w:r w:rsidR="00E35DD4">
        <w:rPr>
          <w:rFonts w:ascii="Times New Roman" w:hAnsi="Times New Roman" w:cs="Times New Roman"/>
          <w:sz w:val="24"/>
          <w:szCs w:val="24"/>
          <w:vertAlign w:val="superscript"/>
        </w:rPr>
        <w:t>48</w:t>
      </w:r>
      <w:r>
        <w:rPr>
          <w:rFonts w:ascii="Times New Roman" w:hAnsi="Times New Roman" w:cs="Times New Roman"/>
          <w:sz w:val="24"/>
          <w:szCs w:val="24"/>
        </w:rPr>
        <w:t xml:space="preserve"> but ion suppression in the sample matrix results in a lower area of target compound compared to the area of external standard at the same concentration.  </w:t>
      </w:r>
    </w:p>
    <w:p w:rsidR="005E3076"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i/>
          <w:sz w:val="24"/>
          <w:szCs w:val="24"/>
        </w:rPr>
      </w:pPr>
      <w:r w:rsidRPr="0083245E">
        <w:rPr>
          <w:rFonts w:ascii="Times New Roman" w:hAnsi="Times New Roman" w:cs="Times New Roman"/>
          <w:sz w:val="24"/>
          <w:szCs w:val="24"/>
        </w:rPr>
        <w:lastRenderedPageBreak/>
        <w:t>ESI calibration curves are sigmoidal</w:t>
      </w:r>
      <w:r w:rsidR="00303E63">
        <w:rPr>
          <w:rFonts w:ascii="Times New Roman" w:hAnsi="Times New Roman" w:cs="Times New Roman"/>
          <w:sz w:val="24"/>
          <w:szCs w:val="24"/>
        </w:rPr>
        <w:t>,</w:t>
      </w:r>
      <w:r w:rsidRPr="0083245E">
        <w:rPr>
          <w:rFonts w:ascii="Times New Roman" w:hAnsi="Times New Roman" w:cs="Times New Roman"/>
          <w:sz w:val="24"/>
          <w:szCs w:val="24"/>
        </w:rPr>
        <w:t xml:space="preserve"> and when a target compound free matrix is unavailable standard addition is not an option.  Standard addition determines the amount of target compound in the matrix from the x-intercept assuming linearity to the origin and a y-intercept of 0 in a target compound free matrix which is not the case for ESI cal</w:t>
      </w:r>
      <w:r>
        <w:rPr>
          <w:rFonts w:ascii="Times New Roman" w:hAnsi="Times New Roman" w:cs="Times New Roman"/>
          <w:sz w:val="24"/>
          <w:szCs w:val="24"/>
        </w:rPr>
        <w:t xml:space="preserve">ibration curves.  </w:t>
      </w:r>
      <w:r w:rsidRPr="0083245E">
        <w:rPr>
          <w:rFonts w:ascii="Times New Roman" w:hAnsi="Times New Roman" w:cs="Times New Roman"/>
          <w:sz w:val="24"/>
          <w:szCs w:val="24"/>
        </w:rPr>
        <w:t>Calibration curves are collected from low to high concentrations to prevent erroneous carryover</w:t>
      </w:r>
      <w:r w:rsidR="00303E63">
        <w:rPr>
          <w:rFonts w:ascii="Times New Roman" w:hAnsi="Times New Roman" w:cs="Times New Roman"/>
          <w:sz w:val="24"/>
          <w:szCs w:val="24"/>
        </w:rPr>
        <w:t>,</w:t>
      </w:r>
      <w:r w:rsidRPr="0083245E">
        <w:rPr>
          <w:rFonts w:ascii="Times New Roman" w:hAnsi="Times New Roman" w:cs="Times New Roman"/>
          <w:sz w:val="24"/>
          <w:szCs w:val="24"/>
        </w:rPr>
        <w:t xml:space="preserve"> and sample vials are not overfilled that would result in a vacuum.  A rough calibration curve before sample analysis is useful to determine if sample levels fall in the linear range</w:t>
      </w:r>
      <w:r w:rsidR="00303E63">
        <w:rPr>
          <w:rFonts w:ascii="Times New Roman" w:hAnsi="Times New Roman" w:cs="Times New Roman"/>
          <w:sz w:val="24"/>
          <w:szCs w:val="24"/>
        </w:rPr>
        <w:t>, the</w:t>
      </w:r>
      <w:r w:rsidRPr="0083245E">
        <w:rPr>
          <w:rFonts w:ascii="Times New Roman" w:hAnsi="Times New Roman" w:cs="Times New Roman"/>
          <w:sz w:val="24"/>
          <w:szCs w:val="24"/>
        </w:rPr>
        <w:t>n later a calibration curve</w:t>
      </w:r>
      <w:r w:rsidR="00303E63">
        <w:rPr>
          <w:rFonts w:ascii="Times New Roman" w:hAnsi="Times New Roman" w:cs="Times New Roman"/>
          <w:sz w:val="24"/>
          <w:szCs w:val="24"/>
        </w:rPr>
        <w:t xml:space="preserve"> is used</w:t>
      </w:r>
      <w:r w:rsidRPr="0083245E">
        <w:rPr>
          <w:rFonts w:ascii="Times New Roman" w:hAnsi="Times New Roman" w:cs="Times New Roman"/>
          <w:sz w:val="24"/>
          <w:szCs w:val="24"/>
        </w:rPr>
        <w:t xml:space="preserve"> for quantitation.  It is important to concentrate or dilute samples to fall in the linear range of a calibration curve for ease of data processing and </w:t>
      </w:r>
      <w:r w:rsidR="00303E63">
        <w:rPr>
          <w:rFonts w:ascii="Times New Roman" w:hAnsi="Times New Roman" w:cs="Times New Roman"/>
          <w:sz w:val="24"/>
          <w:szCs w:val="24"/>
        </w:rPr>
        <w:t xml:space="preserve">to maintain </w:t>
      </w:r>
      <w:r w:rsidRPr="0083245E">
        <w:rPr>
          <w:rFonts w:ascii="Times New Roman" w:hAnsi="Times New Roman" w:cs="Times New Roman"/>
          <w:sz w:val="24"/>
          <w:szCs w:val="24"/>
        </w:rPr>
        <w:t>sensitivity.  Furthermore, in high throughput analysis</w:t>
      </w:r>
      <w:r w:rsidR="00303E63">
        <w:rPr>
          <w:rFonts w:ascii="Times New Roman" w:hAnsi="Times New Roman" w:cs="Times New Roman"/>
          <w:sz w:val="24"/>
          <w:szCs w:val="24"/>
        </w:rPr>
        <w:t>,</w:t>
      </w:r>
      <w:r w:rsidRPr="0083245E">
        <w:rPr>
          <w:rFonts w:ascii="Times New Roman" w:hAnsi="Times New Roman" w:cs="Times New Roman"/>
          <w:sz w:val="24"/>
          <w:szCs w:val="24"/>
        </w:rPr>
        <w:t xml:space="preserve"> it may not be possible for all compounds in a sample to be in the linear portio</w:t>
      </w:r>
      <w:r w:rsidR="00DC178D">
        <w:rPr>
          <w:rFonts w:ascii="Times New Roman" w:hAnsi="Times New Roman" w:cs="Times New Roman"/>
          <w:sz w:val="24"/>
          <w:szCs w:val="24"/>
        </w:rPr>
        <w:t xml:space="preserve">n due to varying concentrations </w:t>
      </w:r>
      <w:r w:rsidRPr="0083245E">
        <w:rPr>
          <w:rFonts w:ascii="Times New Roman" w:hAnsi="Times New Roman" w:cs="Times New Roman"/>
          <w:sz w:val="24"/>
          <w:szCs w:val="24"/>
        </w:rPr>
        <w:t xml:space="preserve">thus a decision must be made on which compound or compounds have priority and must be in the linear portion.  </w:t>
      </w:r>
    </w:p>
    <w:p w:rsidR="005E3076" w:rsidRPr="0083245E" w:rsidRDefault="005E3076" w:rsidP="005E3076">
      <w:pPr>
        <w:spacing w:line="360" w:lineRule="auto"/>
        <w:jc w:val="both"/>
        <w:rPr>
          <w:rFonts w:ascii="Times New Roman" w:hAnsi="Times New Roman" w:cs="Times New Roman"/>
          <w:i/>
          <w:sz w:val="24"/>
          <w:szCs w:val="24"/>
        </w:rPr>
      </w:pPr>
    </w:p>
    <w:p w:rsidR="005E3076" w:rsidRPr="0083245E"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b/>
          <w:i/>
          <w:sz w:val="24"/>
          <w:szCs w:val="24"/>
        </w:rPr>
        <w:t>Data Processing</w:t>
      </w:r>
    </w:p>
    <w:p w:rsidR="005E3076" w:rsidRPr="0083245E"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Xcalibur Quan Browser was used with </w:t>
      </w:r>
      <w:r w:rsidR="00DC178D">
        <w:rPr>
          <w:rFonts w:ascii="Times New Roman" w:hAnsi="Times New Roman" w:cs="Times New Roman"/>
          <w:sz w:val="24"/>
          <w:szCs w:val="24"/>
        </w:rPr>
        <w:t xml:space="preserve">the </w:t>
      </w:r>
      <w:r w:rsidRPr="0083245E">
        <w:rPr>
          <w:rFonts w:ascii="Times New Roman" w:hAnsi="Times New Roman" w:cs="Times New Roman"/>
          <w:sz w:val="24"/>
          <w:szCs w:val="24"/>
        </w:rPr>
        <w:t>ICIS algorithm and 5 smoothing poin</w:t>
      </w:r>
      <w:r w:rsidR="00DC178D">
        <w:rPr>
          <w:rFonts w:ascii="Times New Roman" w:hAnsi="Times New Roman" w:cs="Times New Roman"/>
          <w:sz w:val="24"/>
          <w:szCs w:val="24"/>
        </w:rPr>
        <w:t>ts.  The formula for smoothing wa</w:t>
      </w:r>
      <w:r w:rsidRPr="0083245E">
        <w:rPr>
          <w:rFonts w:ascii="Times New Roman" w:hAnsi="Times New Roman" w:cs="Times New Roman"/>
          <w:sz w:val="24"/>
          <w:szCs w:val="24"/>
        </w:rPr>
        <w:t>s the moving average.  The effect of smoothing is more profound with more smoothing points or with chromatographic peaks of fewer data points.  A smoothing point setting of 15 may smooth a chromatographic peak of a few data points to baseline noise or distort data introducing false peaks.  Smoothing changes the area and RT</w:t>
      </w:r>
      <w:r w:rsidR="00DC178D">
        <w:rPr>
          <w:rFonts w:ascii="Times New Roman" w:hAnsi="Times New Roman" w:cs="Times New Roman"/>
          <w:sz w:val="24"/>
          <w:szCs w:val="24"/>
        </w:rPr>
        <w:t>,</w:t>
      </w:r>
      <w:r w:rsidRPr="0083245E">
        <w:rPr>
          <w:rFonts w:ascii="Times New Roman" w:hAnsi="Times New Roman" w:cs="Times New Roman"/>
          <w:sz w:val="24"/>
          <w:szCs w:val="24"/>
        </w:rPr>
        <w:t xml:space="preserve"> but no more than instrumental variation that would result if same sample was injected again.  </w:t>
      </w:r>
    </w:p>
    <w:p w:rsidR="00080007" w:rsidRPr="00DC178D" w:rsidRDefault="005E3076" w:rsidP="005E3076">
      <w:pPr>
        <w:spacing w:line="360" w:lineRule="auto"/>
        <w:jc w:val="both"/>
        <w:rPr>
          <w:rFonts w:ascii="Times New Roman" w:hAnsi="Times New Roman" w:cs="Times New Roman"/>
          <w:sz w:val="24"/>
          <w:szCs w:val="24"/>
        </w:rPr>
      </w:pPr>
      <w:r w:rsidRPr="0083245E">
        <w:rPr>
          <w:rFonts w:ascii="Times New Roman" w:hAnsi="Times New Roman" w:cs="Times New Roman"/>
          <w:sz w:val="24"/>
          <w:szCs w:val="24"/>
        </w:rPr>
        <w:t xml:space="preserve">This means if two unsmoothed chromatograms were obtained by duplicate injections of the same sample then smoothed chromatograms could have areas and RT in between the unsmoothed chromatograms.  Smoothing is applied before the algorithm sweeps the chromatogram helping the algorithm identify a peak and perform automatic integration which eases data processing and increases reproducibility as manual integration is not needed.  </w:t>
      </w:r>
    </w:p>
    <w:p w:rsidR="00350523" w:rsidRDefault="00350523" w:rsidP="005E3076">
      <w:pPr>
        <w:spacing w:line="360" w:lineRule="auto"/>
        <w:jc w:val="both"/>
        <w:rPr>
          <w:rFonts w:ascii="Times New Roman" w:hAnsi="Times New Roman" w:cs="Times New Roman"/>
          <w:b/>
          <w:i/>
          <w:sz w:val="24"/>
          <w:szCs w:val="24"/>
        </w:rPr>
      </w:pPr>
    </w:p>
    <w:p w:rsidR="00350523" w:rsidRDefault="00350523" w:rsidP="005E3076">
      <w:pPr>
        <w:spacing w:line="360" w:lineRule="auto"/>
        <w:jc w:val="both"/>
        <w:rPr>
          <w:rFonts w:ascii="Times New Roman" w:hAnsi="Times New Roman" w:cs="Times New Roman"/>
          <w:b/>
          <w:i/>
          <w:sz w:val="24"/>
          <w:szCs w:val="24"/>
        </w:rPr>
      </w:pPr>
    </w:p>
    <w:p w:rsidR="00350523" w:rsidRDefault="00350523" w:rsidP="005E3076">
      <w:pPr>
        <w:spacing w:line="360" w:lineRule="auto"/>
        <w:jc w:val="both"/>
        <w:rPr>
          <w:rFonts w:ascii="Times New Roman" w:hAnsi="Times New Roman" w:cs="Times New Roman"/>
          <w:b/>
          <w:i/>
          <w:sz w:val="24"/>
          <w:szCs w:val="24"/>
        </w:rPr>
      </w:pPr>
    </w:p>
    <w:p w:rsidR="005E3076" w:rsidRPr="0083245E" w:rsidRDefault="00080007" w:rsidP="005E3076">
      <w:pPr>
        <w:spacing w:line="36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Isotope Labeled SRM T</w:t>
      </w:r>
      <w:r w:rsidR="005E3076" w:rsidRPr="0083245E">
        <w:rPr>
          <w:rFonts w:ascii="Times New Roman" w:hAnsi="Times New Roman" w:cs="Times New Roman"/>
          <w:b/>
          <w:i/>
          <w:sz w:val="24"/>
          <w:szCs w:val="24"/>
        </w:rPr>
        <w:t xml:space="preserve">ransitions of </w:t>
      </w:r>
      <w:r w:rsidR="005E3076" w:rsidRPr="0083245E">
        <w:rPr>
          <w:rFonts w:ascii="Times New Roman" w:hAnsi="Times New Roman" w:cs="Times New Roman"/>
          <w:b/>
          <w:i/>
          <w:sz w:val="24"/>
          <w:szCs w:val="24"/>
          <w:vertAlign w:val="superscript"/>
        </w:rPr>
        <w:t>13</w:t>
      </w:r>
      <w:r w:rsidR="00850DF8">
        <w:rPr>
          <w:rFonts w:ascii="Times New Roman" w:hAnsi="Times New Roman" w:cs="Times New Roman"/>
          <w:b/>
          <w:i/>
          <w:sz w:val="24"/>
          <w:szCs w:val="24"/>
        </w:rPr>
        <w:t xml:space="preserve">C </w:t>
      </w:r>
      <w:r w:rsidR="005E3076" w:rsidRPr="0083245E">
        <w:rPr>
          <w:rFonts w:ascii="Times New Roman" w:hAnsi="Times New Roman" w:cs="Times New Roman"/>
          <w:b/>
          <w:i/>
          <w:sz w:val="24"/>
          <w:szCs w:val="24"/>
        </w:rPr>
        <w:t>Flux Experiment</w:t>
      </w:r>
    </w:p>
    <w:p w:rsidR="005E3076" w:rsidRPr="0083245E" w:rsidRDefault="005E3076" w:rsidP="005E3076">
      <w:pPr>
        <w:spacing w:line="360" w:lineRule="auto"/>
        <w:jc w:val="both"/>
        <w:rPr>
          <w:rFonts w:ascii="Times New Roman" w:hAnsi="Times New Roman" w:cs="Times New Roman"/>
          <w:b/>
          <w:i/>
          <w:sz w:val="24"/>
          <w:szCs w:val="24"/>
        </w:rPr>
      </w:pPr>
      <w:r w:rsidRPr="0083245E">
        <w:rPr>
          <w:rFonts w:ascii="Times New Roman" w:hAnsi="Times New Roman" w:cs="Times New Roman"/>
          <w:sz w:val="24"/>
          <w:szCs w:val="24"/>
        </w:rPr>
        <w:t xml:space="preserve">To determine all of the possibilities for isotopologues and isotopomers for parent and product ion a systematic approach was used.  The system of numbers separated by a hyphen is used to represent the number of </w:t>
      </w:r>
      <w:r w:rsidR="000A6C82">
        <w:rPr>
          <w:rFonts w:ascii="Times New Roman" w:hAnsi="Times New Roman" w:cs="Times New Roman"/>
          <w:sz w:val="24"/>
          <w:szCs w:val="24"/>
          <w:vertAlign w:val="superscript"/>
        </w:rPr>
        <w:t>13</w:t>
      </w:r>
      <w:r w:rsidR="000A6C82">
        <w:rPr>
          <w:rFonts w:ascii="Times New Roman" w:hAnsi="Times New Roman" w:cs="Times New Roman"/>
          <w:sz w:val="24"/>
          <w:szCs w:val="24"/>
        </w:rPr>
        <w:t>C</w:t>
      </w:r>
      <w:r w:rsidRPr="0083245E">
        <w:rPr>
          <w:rFonts w:ascii="Times New Roman" w:hAnsi="Times New Roman" w:cs="Times New Roman"/>
          <w:sz w:val="24"/>
          <w:szCs w:val="24"/>
        </w:rPr>
        <w:t xml:space="preserve"> in the parent</w:t>
      </w:r>
      <w:r w:rsidR="00C012E5">
        <w:rPr>
          <w:rFonts w:ascii="Times New Roman" w:hAnsi="Times New Roman" w:cs="Times New Roman"/>
          <w:sz w:val="24"/>
          <w:szCs w:val="24"/>
        </w:rPr>
        <w:t xml:space="preserve"> ion</w:t>
      </w:r>
      <w:r w:rsidRPr="0083245E">
        <w:rPr>
          <w:rFonts w:ascii="Times New Roman" w:hAnsi="Times New Roman" w:cs="Times New Roman"/>
          <w:sz w:val="24"/>
          <w:szCs w:val="24"/>
        </w:rPr>
        <w:t xml:space="preserve"> and the number of </w:t>
      </w:r>
      <w:r w:rsidR="000A6C82">
        <w:rPr>
          <w:rFonts w:ascii="Times New Roman" w:hAnsi="Times New Roman" w:cs="Times New Roman"/>
          <w:sz w:val="24"/>
          <w:szCs w:val="24"/>
          <w:vertAlign w:val="superscript"/>
        </w:rPr>
        <w:t>13</w:t>
      </w:r>
      <w:r w:rsidR="000A6C82">
        <w:rPr>
          <w:rFonts w:ascii="Times New Roman" w:hAnsi="Times New Roman" w:cs="Times New Roman"/>
          <w:sz w:val="24"/>
          <w:szCs w:val="24"/>
        </w:rPr>
        <w:t>C</w:t>
      </w:r>
      <w:r w:rsidRPr="0083245E">
        <w:rPr>
          <w:rFonts w:ascii="Times New Roman" w:hAnsi="Times New Roman" w:cs="Times New Roman"/>
          <w:sz w:val="24"/>
          <w:szCs w:val="24"/>
        </w:rPr>
        <w:t xml:space="preserve"> in the product</w:t>
      </w:r>
      <w:r w:rsidR="00C012E5">
        <w:rPr>
          <w:rFonts w:ascii="Times New Roman" w:hAnsi="Times New Roman" w:cs="Times New Roman"/>
          <w:sz w:val="24"/>
          <w:szCs w:val="24"/>
        </w:rPr>
        <w:t xml:space="preserve"> ion</w:t>
      </w:r>
      <w:r w:rsidR="000B6289">
        <w:rPr>
          <w:rFonts w:ascii="Times New Roman" w:hAnsi="Times New Roman" w:cs="Times New Roman"/>
          <w:sz w:val="24"/>
          <w:szCs w:val="24"/>
        </w:rPr>
        <w:t xml:space="preserve"> (Tables 12-15)</w:t>
      </w:r>
      <w:r w:rsidRPr="0083245E">
        <w:rPr>
          <w:rFonts w:ascii="Times New Roman" w:hAnsi="Times New Roman" w:cs="Times New Roman"/>
          <w:sz w:val="24"/>
          <w:szCs w:val="24"/>
        </w:rPr>
        <w:t xml:space="preserve">.  To find all SRM transitions first set the parent ion to a number and determine all product ions possible.    Starting with a fully labeled parent ion ask yourself if all </w:t>
      </w:r>
      <w:r w:rsidR="00276033">
        <w:rPr>
          <w:rFonts w:ascii="Times New Roman" w:hAnsi="Times New Roman" w:cs="Times New Roman"/>
          <w:sz w:val="24"/>
          <w:szCs w:val="24"/>
        </w:rPr>
        <w:t xml:space="preserve">the </w:t>
      </w:r>
      <w:r w:rsidR="00C012E5">
        <w:rPr>
          <w:rFonts w:ascii="Times New Roman" w:hAnsi="Times New Roman" w:cs="Times New Roman"/>
          <w:sz w:val="24"/>
          <w:szCs w:val="24"/>
          <w:vertAlign w:val="superscript"/>
        </w:rPr>
        <w:t>13</w:t>
      </w:r>
      <w:r w:rsidR="00C012E5">
        <w:rPr>
          <w:rFonts w:ascii="Times New Roman" w:hAnsi="Times New Roman" w:cs="Times New Roman"/>
          <w:sz w:val="24"/>
          <w:szCs w:val="24"/>
        </w:rPr>
        <w:t>C</w:t>
      </w:r>
      <w:r w:rsidR="00C012E5" w:rsidRPr="0083245E">
        <w:rPr>
          <w:rFonts w:ascii="Times New Roman" w:hAnsi="Times New Roman" w:cs="Times New Roman"/>
          <w:sz w:val="24"/>
          <w:szCs w:val="24"/>
        </w:rPr>
        <w:t xml:space="preserve"> </w:t>
      </w:r>
      <w:r w:rsidR="00C012E5">
        <w:rPr>
          <w:rFonts w:ascii="Times New Roman" w:hAnsi="Times New Roman" w:cs="Times New Roman"/>
          <w:sz w:val="24"/>
          <w:szCs w:val="24"/>
        </w:rPr>
        <w:t xml:space="preserve">from the parent ion </w:t>
      </w:r>
      <w:r w:rsidRPr="0083245E">
        <w:rPr>
          <w:rFonts w:ascii="Times New Roman" w:hAnsi="Times New Roman" w:cs="Times New Roman"/>
          <w:sz w:val="24"/>
          <w:szCs w:val="24"/>
        </w:rPr>
        <w:t>show up in the fragment</w:t>
      </w:r>
      <w:r w:rsidR="00C012E5">
        <w:rPr>
          <w:rFonts w:ascii="Times New Roman" w:hAnsi="Times New Roman" w:cs="Times New Roman"/>
          <w:sz w:val="24"/>
          <w:szCs w:val="24"/>
        </w:rPr>
        <w:t xml:space="preserve"> </w:t>
      </w:r>
      <w:r w:rsidRPr="0083245E">
        <w:rPr>
          <w:rFonts w:ascii="Times New Roman" w:hAnsi="Times New Roman" w:cs="Times New Roman"/>
          <w:sz w:val="24"/>
          <w:szCs w:val="24"/>
        </w:rPr>
        <w:t>what will the number be for the product ion.  Then do the same thing bu</w:t>
      </w:r>
      <w:r w:rsidR="000A6C82">
        <w:rPr>
          <w:rFonts w:ascii="Times New Roman" w:hAnsi="Times New Roman" w:cs="Times New Roman"/>
          <w:sz w:val="24"/>
          <w:szCs w:val="24"/>
        </w:rPr>
        <w:t xml:space="preserve">t change the question to if all </w:t>
      </w:r>
      <w:r w:rsidR="00276033">
        <w:rPr>
          <w:rFonts w:ascii="Times New Roman" w:hAnsi="Times New Roman" w:cs="Times New Roman"/>
          <w:sz w:val="24"/>
          <w:szCs w:val="24"/>
        </w:rPr>
        <w:t xml:space="preserve">the </w:t>
      </w:r>
      <w:r w:rsidR="00C012E5">
        <w:rPr>
          <w:rFonts w:ascii="Times New Roman" w:hAnsi="Times New Roman" w:cs="Times New Roman"/>
          <w:sz w:val="24"/>
          <w:szCs w:val="24"/>
          <w:vertAlign w:val="superscript"/>
        </w:rPr>
        <w:t>12</w:t>
      </w:r>
      <w:r w:rsidR="00C012E5">
        <w:rPr>
          <w:rFonts w:ascii="Times New Roman" w:hAnsi="Times New Roman" w:cs="Times New Roman"/>
          <w:sz w:val="24"/>
          <w:szCs w:val="24"/>
        </w:rPr>
        <w:t>C</w:t>
      </w:r>
      <w:r w:rsidRPr="0083245E">
        <w:rPr>
          <w:rFonts w:ascii="Times New Roman" w:hAnsi="Times New Roman" w:cs="Times New Roman"/>
          <w:sz w:val="24"/>
          <w:szCs w:val="24"/>
        </w:rPr>
        <w:t xml:space="preserve"> </w:t>
      </w:r>
      <w:r w:rsidR="00C012E5">
        <w:rPr>
          <w:rFonts w:ascii="Times New Roman" w:hAnsi="Times New Roman" w:cs="Times New Roman"/>
          <w:sz w:val="24"/>
          <w:szCs w:val="24"/>
        </w:rPr>
        <w:t xml:space="preserve">from the parent ion </w:t>
      </w:r>
      <w:r w:rsidRPr="0083245E">
        <w:rPr>
          <w:rFonts w:ascii="Times New Roman" w:hAnsi="Times New Roman" w:cs="Times New Roman"/>
          <w:sz w:val="24"/>
          <w:szCs w:val="24"/>
        </w:rPr>
        <w:t>show up in the fragment</w:t>
      </w:r>
      <w:r w:rsidR="00C012E5">
        <w:rPr>
          <w:rFonts w:ascii="Times New Roman" w:hAnsi="Times New Roman" w:cs="Times New Roman"/>
          <w:sz w:val="24"/>
          <w:szCs w:val="24"/>
        </w:rPr>
        <w:t xml:space="preserve"> </w:t>
      </w:r>
      <w:r w:rsidRPr="0083245E">
        <w:rPr>
          <w:rFonts w:ascii="Times New Roman" w:hAnsi="Times New Roman" w:cs="Times New Roman"/>
          <w:sz w:val="24"/>
          <w:szCs w:val="24"/>
        </w:rPr>
        <w:t>what will the number be for the product ion.  Finally, do all integer values between the maximum and minimum numbers for the product ion.  Repeat this process with the next lower labeled</w:t>
      </w:r>
      <w:r w:rsidR="00C012E5">
        <w:rPr>
          <w:rFonts w:ascii="Times New Roman" w:hAnsi="Times New Roman" w:cs="Times New Roman"/>
          <w:sz w:val="24"/>
          <w:szCs w:val="24"/>
        </w:rPr>
        <w:t xml:space="preserve"> parent ion and continuing to a</w:t>
      </w:r>
      <w:r w:rsidRPr="0083245E">
        <w:rPr>
          <w:rFonts w:ascii="Times New Roman" w:hAnsi="Times New Roman" w:cs="Times New Roman"/>
          <w:sz w:val="24"/>
          <w:szCs w:val="24"/>
        </w:rPr>
        <w:t xml:space="preserve"> </w:t>
      </w:r>
      <w:r w:rsidR="00C012E5">
        <w:rPr>
          <w:rFonts w:ascii="Times New Roman" w:hAnsi="Times New Roman" w:cs="Times New Roman"/>
          <w:sz w:val="24"/>
          <w:szCs w:val="24"/>
        </w:rPr>
        <w:t>fully unlabeled</w:t>
      </w:r>
      <w:r w:rsidRPr="0083245E">
        <w:rPr>
          <w:rFonts w:ascii="Times New Roman" w:hAnsi="Times New Roman" w:cs="Times New Roman"/>
          <w:sz w:val="24"/>
          <w:szCs w:val="24"/>
        </w:rPr>
        <w:t xml:space="preserve"> parent ion.</w:t>
      </w:r>
    </w:p>
    <w:tbl>
      <w:tblPr>
        <w:tblStyle w:val="TableGrid"/>
        <w:tblpPr w:leftFromText="180" w:rightFromText="180" w:vertAnchor="page" w:horzAnchor="margin" w:tblpY="6826"/>
        <w:tblW w:w="5000" w:type="pct"/>
        <w:tblLook w:val="04A0" w:firstRow="1" w:lastRow="0" w:firstColumn="1" w:lastColumn="0" w:noHBand="0" w:noVBand="1"/>
      </w:tblPr>
      <w:tblGrid>
        <w:gridCol w:w="2565"/>
        <w:gridCol w:w="1773"/>
        <w:gridCol w:w="1812"/>
        <w:gridCol w:w="3426"/>
      </w:tblGrid>
      <w:tr w:rsidR="00DA2815" w:rsidRPr="00DA2815" w:rsidTr="00DA2815">
        <w:trPr>
          <w:trHeight w:val="272"/>
        </w:trPr>
        <w:tc>
          <w:tcPr>
            <w:tcW w:w="5000" w:type="pct"/>
            <w:gridSpan w:val="4"/>
            <w:tcBorders>
              <w:top w:val="nil"/>
              <w:left w:val="nil"/>
              <w:right w:val="nil"/>
            </w:tcBorders>
          </w:tcPr>
          <w:p w:rsidR="00DA2815" w:rsidRPr="003775EC" w:rsidRDefault="00DA2815" w:rsidP="00DA2815">
            <w:pPr>
              <w:rPr>
                <w:rFonts w:ascii="Times New Roman" w:hAnsi="Times New Roman" w:cs="Times New Roman"/>
                <w:sz w:val="24"/>
                <w:szCs w:val="24"/>
              </w:rPr>
            </w:pPr>
            <w:r w:rsidRPr="003775EC">
              <w:rPr>
                <w:rFonts w:ascii="Times New Roman" w:hAnsi="Times New Roman" w:cs="Times New Roman"/>
                <w:b/>
                <w:sz w:val="24"/>
                <w:szCs w:val="24"/>
              </w:rPr>
              <w:t xml:space="preserve">Table 1: Isotope Labeled SRM </w:t>
            </w:r>
            <w:r w:rsidR="00850DF8" w:rsidRPr="003775EC">
              <w:rPr>
                <w:rFonts w:ascii="Times New Roman" w:hAnsi="Times New Roman" w:cs="Times New Roman"/>
                <w:b/>
                <w:sz w:val="24"/>
                <w:szCs w:val="24"/>
              </w:rPr>
              <w:t xml:space="preserve">Transitions of Aspartate in </w:t>
            </w:r>
            <w:r w:rsidRPr="003775EC">
              <w:rPr>
                <w:rFonts w:ascii="Times New Roman" w:hAnsi="Times New Roman" w:cs="Times New Roman"/>
                <w:b/>
                <w:sz w:val="24"/>
                <w:szCs w:val="24"/>
                <w:vertAlign w:val="superscript"/>
              </w:rPr>
              <w:t>13</w:t>
            </w:r>
            <w:r w:rsidRPr="003775EC">
              <w:rPr>
                <w:rFonts w:ascii="Times New Roman" w:hAnsi="Times New Roman" w:cs="Times New Roman"/>
                <w:b/>
                <w:sz w:val="24"/>
                <w:szCs w:val="24"/>
              </w:rPr>
              <w:t>C Flux Experiment</w:t>
            </w:r>
          </w:p>
        </w:tc>
      </w:tr>
      <w:tr w:rsidR="00DA2815" w:rsidRPr="00DA2815" w:rsidTr="00DA2815">
        <w:trPr>
          <w:trHeight w:val="307"/>
        </w:trPr>
        <w:tc>
          <w:tcPr>
            <w:tcW w:w="1339" w:type="pct"/>
            <w:vMerge w:val="restart"/>
            <w:tcBorders>
              <w:left w:val="nil"/>
            </w:tcBorders>
          </w:tcPr>
          <w:p w:rsidR="00DA2815" w:rsidRPr="003775EC" w:rsidRDefault="00DA2815" w:rsidP="00DA2815">
            <w:pPr>
              <w:jc w:val="center"/>
              <w:rPr>
                <w:rFonts w:ascii="Times New Roman" w:hAnsi="Times New Roman" w:cs="Times New Roman"/>
                <w:b/>
                <w:sz w:val="24"/>
                <w:szCs w:val="24"/>
              </w:rPr>
            </w:pPr>
          </w:p>
        </w:tc>
        <w:tc>
          <w:tcPr>
            <w:tcW w:w="1872" w:type="pct"/>
            <w:gridSpan w:val="2"/>
            <w:tcBorders>
              <w:bottom w:val="nil"/>
              <w:right w:val="single" w:sz="4" w:space="0" w:color="000000" w:themeColor="text1"/>
            </w:tcBorders>
          </w:tcPr>
          <w:p w:rsidR="00DA2815" w:rsidRPr="003775EC" w:rsidRDefault="00DA2815" w:rsidP="00DA2815">
            <w:pPr>
              <w:jc w:val="center"/>
              <w:rPr>
                <w:rFonts w:ascii="Times New Roman" w:hAnsi="Times New Roman" w:cs="Times New Roman"/>
                <w:b/>
                <w:sz w:val="24"/>
                <w:szCs w:val="24"/>
              </w:rPr>
            </w:pPr>
            <w:r w:rsidRPr="003775EC">
              <w:rPr>
                <w:rFonts w:ascii="Times New Roman" w:hAnsi="Times New Roman" w:cs="Times New Roman"/>
                <w:b/>
                <w:sz w:val="24"/>
                <w:szCs w:val="24"/>
              </w:rPr>
              <w:t>Ion Formula</w:t>
            </w:r>
          </w:p>
        </w:tc>
        <w:tc>
          <w:tcPr>
            <w:tcW w:w="1789" w:type="pct"/>
            <w:vMerge w:val="restart"/>
            <w:tcBorders>
              <w:left w:val="single" w:sz="4" w:space="0" w:color="000000" w:themeColor="text1"/>
              <w:right w:val="nil"/>
            </w:tcBorders>
          </w:tcPr>
          <w:p w:rsidR="00DA2815" w:rsidRPr="003775EC" w:rsidRDefault="00DA2815" w:rsidP="00DA2815">
            <w:pPr>
              <w:jc w:val="center"/>
              <w:rPr>
                <w:rFonts w:ascii="Times New Roman" w:hAnsi="Times New Roman" w:cs="Times New Roman"/>
                <w:b/>
                <w:sz w:val="24"/>
                <w:szCs w:val="24"/>
              </w:rPr>
            </w:pPr>
          </w:p>
        </w:tc>
      </w:tr>
      <w:tr w:rsidR="00DA2815" w:rsidRPr="00DA2815" w:rsidTr="00DA2815">
        <w:trPr>
          <w:trHeight w:val="599"/>
        </w:trPr>
        <w:tc>
          <w:tcPr>
            <w:tcW w:w="1339" w:type="pct"/>
            <w:vMerge/>
            <w:tcBorders>
              <w:left w:val="nil"/>
              <w:bottom w:val="single" w:sz="4" w:space="0" w:color="FFFFFF" w:themeColor="background1"/>
            </w:tcBorders>
          </w:tcPr>
          <w:p w:rsidR="00DA2815" w:rsidRPr="003775EC" w:rsidRDefault="00DA2815" w:rsidP="00DA2815">
            <w:pPr>
              <w:jc w:val="center"/>
              <w:rPr>
                <w:rFonts w:ascii="Times New Roman" w:hAnsi="Times New Roman" w:cs="Times New Roman"/>
                <w:b/>
                <w:sz w:val="24"/>
                <w:szCs w:val="24"/>
              </w:rPr>
            </w:pPr>
          </w:p>
        </w:tc>
        <w:tc>
          <w:tcPr>
            <w:tcW w:w="926" w:type="pct"/>
            <w:vMerge w:val="restart"/>
            <w:tcBorders>
              <w:top w:val="nil"/>
              <w:right w:val="single" w:sz="4" w:space="0" w:color="000000" w:themeColor="text1"/>
            </w:tcBorders>
          </w:tcPr>
          <w:p w:rsidR="00DA2815" w:rsidRPr="003775EC" w:rsidRDefault="00DA2815" w:rsidP="00DA2815">
            <w:pPr>
              <w:jc w:val="center"/>
              <w:rPr>
                <w:rFonts w:ascii="Times New Roman" w:hAnsi="Times New Roman" w:cs="Times New Roman"/>
                <w:b/>
                <w:sz w:val="24"/>
                <w:szCs w:val="24"/>
              </w:rPr>
            </w:pPr>
            <w:r w:rsidRPr="003775EC">
              <w:rPr>
                <w:rFonts w:ascii="Times New Roman" w:hAnsi="Times New Roman" w:cs="Times New Roman"/>
                <w:b/>
                <w:sz w:val="24"/>
                <w:szCs w:val="24"/>
              </w:rPr>
              <w:t>Parent</w:t>
            </w:r>
          </w:p>
          <w:p w:rsidR="00DA2815" w:rsidRPr="003775EC" w:rsidRDefault="00DA2815" w:rsidP="00DA2815">
            <w:pPr>
              <w:jc w:val="center"/>
              <w:rPr>
                <w:rFonts w:ascii="Times New Roman" w:hAnsi="Times New Roman" w:cs="Times New Roman"/>
                <w:b/>
                <w:sz w:val="24"/>
                <w:szCs w:val="24"/>
              </w:rPr>
            </w:pPr>
            <w:r w:rsidRPr="003775EC">
              <w:rPr>
                <w:rFonts w:ascii="Times New Roman" w:hAnsi="Times New Roman" w:cs="Times New Roman"/>
                <w:b/>
                <w:sz w:val="24"/>
                <w:szCs w:val="24"/>
              </w:rPr>
              <w:t>C</w:t>
            </w:r>
            <w:r w:rsidRPr="003775EC">
              <w:rPr>
                <w:rFonts w:ascii="Times New Roman" w:hAnsi="Times New Roman" w:cs="Times New Roman"/>
                <w:b/>
                <w:sz w:val="24"/>
                <w:szCs w:val="24"/>
                <w:vertAlign w:val="subscript"/>
              </w:rPr>
              <w:t>4</w:t>
            </w:r>
            <w:r w:rsidRPr="003775EC">
              <w:rPr>
                <w:rFonts w:ascii="Times New Roman" w:hAnsi="Times New Roman" w:cs="Times New Roman"/>
                <w:b/>
                <w:sz w:val="24"/>
                <w:szCs w:val="24"/>
              </w:rPr>
              <w:t>H</w:t>
            </w:r>
            <w:r w:rsidRPr="003775EC">
              <w:rPr>
                <w:rFonts w:ascii="Times New Roman" w:hAnsi="Times New Roman" w:cs="Times New Roman"/>
                <w:b/>
                <w:sz w:val="24"/>
                <w:szCs w:val="24"/>
                <w:vertAlign w:val="subscript"/>
              </w:rPr>
              <w:t>8</w:t>
            </w:r>
            <w:r w:rsidRPr="003775EC">
              <w:rPr>
                <w:rFonts w:ascii="Times New Roman" w:hAnsi="Times New Roman" w:cs="Times New Roman"/>
                <w:b/>
                <w:sz w:val="24"/>
                <w:szCs w:val="24"/>
              </w:rPr>
              <w:t>NO</w:t>
            </w:r>
            <w:r w:rsidRPr="003775EC">
              <w:rPr>
                <w:rFonts w:ascii="Times New Roman" w:hAnsi="Times New Roman" w:cs="Times New Roman"/>
                <w:b/>
                <w:sz w:val="24"/>
                <w:szCs w:val="24"/>
                <w:vertAlign w:val="subscript"/>
              </w:rPr>
              <w:t>4</w:t>
            </w:r>
            <w:r w:rsidRPr="003775EC">
              <w:rPr>
                <w:rFonts w:ascii="Times New Roman" w:hAnsi="Times New Roman" w:cs="Times New Roman"/>
                <w:b/>
                <w:sz w:val="24"/>
                <w:szCs w:val="24"/>
              </w:rPr>
              <w:t>+</w:t>
            </w:r>
          </w:p>
          <w:p w:rsidR="00DA2815" w:rsidRPr="003775EC" w:rsidRDefault="00DA2815" w:rsidP="00DA2815">
            <w:pPr>
              <w:jc w:val="center"/>
              <w:rPr>
                <w:rFonts w:ascii="Times New Roman" w:hAnsi="Times New Roman" w:cs="Times New Roman"/>
                <w:b/>
                <w:sz w:val="24"/>
                <w:szCs w:val="24"/>
              </w:rPr>
            </w:pPr>
            <w:r w:rsidRPr="003775EC">
              <w:rPr>
                <w:rFonts w:ascii="Times New Roman" w:hAnsi="Times New Roman" w:cs="Times New Roman"/>
                <w:b/>
                <w:sz w:val="24"/>
                <w:szCs w:val="24"/>
              </w:rPr>
              <w:t xml:space="preserve"># of </w:t>
            </w:r>
            <w:r w:rsidRPr="003775EC">
              <w:rPr>
                <w:rFonts w:ascii="Times New Roman" w:hAnsi="Times New Roman" w:cs="Times New Roman"/>
                <w:b/>
                <w:sz w:val="24"/>
                <w:szCs w:val="24"/>
                <w:vertAlign w:val="superscript"/>
              </w:rPr>
              <w:t>13</w:t>
            </w:r>
            <w:r w:rsidRPr="003775EC">
              <w:rPr>
                <w:rFonts w:ascii="Times New Roman" w:hAnsi="Times New Roman" w:cs="Times New Roman"/>
                <w:b/>
                <w:sz w:val="24"/>
                <w:szCs w:val="24"/>
              </w:rPr>
              <w:t>C</w:t>
            </w:r>
          </w:p>
          <w:p w:rsidR="00DA2815" w:rsidRPr="003775EC" w:rsidRDefault="00DA2815" w:rsidP="00DA2815">
            <w:pPr>
              <w:jc w:val="center"/>
              <w:rPr>
                <w:rFonts w:ascii="Times New Roman" w:hAnsi="Times New Roman" w:cs="Times New Roman"/>
                <w:b/>
                <w:sz w:val="24"/>
                <w:szCs w:val="24"/>
              </w:rPr>
            </w:pPr>
            <w:r w:rsidRPr="003775EC">
              <w:rPr>
                <w:rFonts w:ascii="Times New Roman" w:hAnsi="Times New Roman" w:cs="Times New Roman"/>
                <w:b/>
                <w:sz w:val="24"/>
                <w:szCs w:val="24"/>
              </w:rPr>
              <w:t>in parent</w:t>
            </w:r>
          </w:p>
        </w:tc>
        <w:tc>
          <w:tcPr>
            <w:tcW w:w="946" w:type="pct"/>
            <w:vMerge w:val="restart"/>
            <w:tcBorders>
              <w:top w:val="nil"/>
              <w:left w:val="single" w:sz="4" w:space="0" w:color="000000" w:themeColor="text1"/>
              <w:right w:val="single" w:sz="4" w:space="0" w:color="000000" w:themeColor="text1"/>
            </w:tcBorders>
          </w:tcPr>
          <w:p w:rsidR="00DA2815" w:rsidRPr="003775EC" w:rsidRDefault="00DA2815" w:rsidP="00DA2815">
            <w:pPr>
              <w:jc w:val="center"/>
              <w:rPr>
                <w:rFonts w:ascii="Times New Roman" w:hAnsi="Times New Roman" w:cs="Times New Roman"/>
                <w:b/>
                <w:sz w:val="24"/>
                <w:szCs w:val="24"/>
              </w:rPr>
            </w:pPr>
            <w:r w:rsidRPr="003775EC">
              <w:rPr>
                <w:rFonts w:ascii="Times New Roman" w:hAnsi="Times New Roman" w:cs="Times New Roman"/>
                <w:b/>
                <w:sz w:val="24"/>
                <w:szCs w:val="24"/>
              </w:rPr>
              <w:t>Product</w:t>
            </w:r>
          </w:p>
          <w:p w:rsidR="00DA2815" w:rsidRPr="003775EC" w:rsidRDefault="00DA2815" w:rsidP="00DA2815">
            <w:pPr>
              <w:jc w:val="center"/>
              <w:rPr>
                <w:rFonts w:ascii="Times New Roman" w:hAnsi="Times New Roman" w:cs="Times New Roman"/>
                <w:b/>
                <w:sz w:val="24"/>
                <w:szCs w:val="24"/>
              </w:rPr>
            </w:pPr>
            <w:r w:rsidRPr="003775EC">
              <w:rPr>
                <w:rFonts w:ascii="Times New Roman" w:hAnsi="Times New Roman" w:cs="Times New Roman"/>
                <w:b/>
                <w:sz w:val="24"/>
                <w:szCs w:val="24"/>
              </w:rPr>
              <w:t>C</w:t>
            </w:r>
            <w:r w:rsidRPr="003775EC">
              <w:rPr>
                <w:rFonts w:ascii="Times New Roman" w:hAnsi="Times New Roman" w:cs="Times New Roman"/>
                <w:b/>
                <w:sz w:val="24"/>
                <w:szCs w:val="24"/>
                <w:vertAlign w:val="subscript"/>
              </w:rPr>
              <w:t>2</w:t>
            </w:r>
            <w:r w:rsidRPr="003775EC">
              <w:rPr>
                <w:rFonts w:ascii="Times New Roman" w:hAnsi="Times New Roman" w:cs="Times New Roman"/>
                <w:b/>
                <w:sz w:val="24"/>
                <w:szCs w:val="24"/>
              </w:rPr>
              <w:t>H</w:t>
            </w:r>
            <w:r w:rsidRPr="003775EC">
              <w:rPr>
                <w:rFonts w:ascii="Times New Roman" w:hAnsi="Times New Roman" w:cs="Times New Roman"/>
                <w:b/>
                <w:sz w:val="24"/>
                <w:szCs w:val="24"/>
                <w:vertAlign w:val="subscript"/>
              </w:rPr>
              <w:t>4</w:t>
            </w:r>
            <w:r w:rsidRPr="003775EC">
              <w:rPr>
                <w:rFonts w:ascii="Times New Roman" w:hAnsi="Times New Roman" w:cs="Times New Roman"/>
                <w:b/>
                <w:sz w:val="24"/>
                <w:szCs w:val="24"/>
              </w:rPr>
              <w:t>NO</w:t>
            </w:r>
            <w:r w:rsidRPr="003775EC">
              <w:rPr>
                <w:rFonts w:ascii="Times New Roman" w:hAnsi="Times New Roman" w:cs="Times New Roman"/>
                <w:b/>
                <w:sz w:val="24"/>
                <w:szCs w:val="24"/>
                <w:vertAlign w:val="subscript"/>
              </w:rPr>
              <w:t>2</w:t>
            </w:r>
            <w:r w:rsidRPr="003775EC">
              <w:rPr>
                <w:rFonts w:ascii="Times New Roman" w:hAnsi="Times New Roman" w:cs="Times New Roman"/>
                <w:b/>
                <w:sz w:val="24"/>
                <w:szCs w:val="24"/>
              </w:rPr>
              <w:t>+</w:t>
            </w:r>
          </w:p>
          <w:p w:rsidR="00DA2815" w:rsidRPr="003775EC" w:rsidRDefault="00DA2815" w:rsidP="00DA2815">
            <w:pPr>
              <w:jc w:val="center"/>
              <w:rPr>
                <w:rFonts w:ascii="Times New Roman" w:hAnsi="Times New Roman" w:cs="Times New Roman"/>
                <w:b/>
                <w:sz w:val="24"/>
                <w:szCs w:val="24"/>
              </w:rPr>
            </w:pPr>
            <w:r w:rsidRPr="003775EC">
              <w:rPr>
                <w:rFonts w:ascii="Times New Roman" w:hAnsi="Times New Roman" w:cs="Times New Roman"/>
                <w:b/>
                <w:sz w:val="24"/>
                <w:szCs w:val="24"/>
              </w:rPr>
              <w:t xml:space="preserve"># of </w:t>
            </w:r>
            <w:r w:rsidRPr="003775EC">
              <w:rPr>
                <w:rFonts w:ascii="Times New Roman" w:hAnsi="Times New Roman" w:cs="Times New Roman"/>
                <w:b/>
                <w:sz w:val="24"/>
                <w:szCs w:val="24"/>
                <w:vertAlign w:val="superscript"/>
              </w:rPr>
              <w:t>13</w:t>
            </w:r>
            <w:r w:rsidRPr="003775EC">
              <w:rPr>
                <w:rFonts w:ascii="Times New Roman" w:hAnsi="Times New Roman" w:cs="Times New Roman"/>
                <w:b/>
                <w:sz w:val="24"/>
                <w:szCs w:val="24"/>
              </w:rPr>
              <w:t>C</w:t>
            </w:r>
          </w:p>
          <w:p w:rsidR="00DA2815" w:rsidRPr="003775EC" w:rsidRDefault="00DA2815" w:rsidP="00DA2815">
            <w:pPr>
              <w:jc w:val="center"/>
              <w:rPr>
                <w:rFonts w:ascii="Times New Roman" w:hAnsi="Times New Roman" w:cs="Times New Roman"/>
                <w:b/>
                <w:sz w:val="24"/>
                <w:szCs w:val="24"/>
              </w:rPr>
            </w:pPr>
            <w:r w:rsidRPr="003775EC">
              <w:rPr>
                <w:rFonts w:ascii="Times New Roman" w:hAnsi="Times New Roman" w:cs="Times New Roman"/>
                <w:b/>
                <w:sz w:val="24"/>
                <w:szCs w:val="24"/>
              </w:rPr>
              <w:t>in product</w:t>
            </w:r>
          </w:p>
        </w:tc>
        <w:tc>
          <w:tcPr>
            <w:tcW w:w="1789" w:type="pct"/>
            <w:vMerge/>
            <w:tcBorders>
              <w:left w:val="single" w:sz="4" w:space="0" w:color="000000" w:themeColor="text1"/>
              <w:bottom w:val="single" w:sz="4" w:space="0" w:color="FFFFFF" w:themeColor="background1"/>
              <w:right w:val="nil"/>
            </w:tcBorders>
          </w:tcPr>
          <w:p w:rsidR="00DA2815" w:rsidRPr="003775EC" w:rsidRDefault="00DA2815" w:rsidP="00DA2815">
            <w:pPr>
              <w:jc w:val="center"/>
              <w:rPr>
                <w:rFonts w:ascii="Times New Roman" w:hAnsi="Times New Roman" w:cs="Times New Roman"/>
                <w:b/>
                <w:sz w:val="24"/>
                <w:szCs w:val="24"/>
              </w:rPr>
            </w:pPr>
          </w:p>
        </w:tc>
      </w:tr>
      <w:tr w:rsidR="00DA2815" w:rsidRPr="00DA2815" w:rsidTr="00DA2815">
        <w:trPr>
          <w:trHeight w:val="307"/>
        </w:trPr>
        <w:tc>
          <w:tcPr>
            <w:tcW w:w="1339" w:type="pct"/>
            <w:tcBorders>
              <w:top w:val="single" w:sz="4" w:space="0" w:color="FFFFFF" w:themeColor="background1"/>
              <w:left w:val="single" w:sz="4" w:space="0" w:color="FFFFFF" w:themeColor="background1"/>
            </w:tcBorders>
          </w:tcPr>
          <w:p w:rsidR="00DA2815" w:rsidRPr="003775EC" w:rsidRDefault="00DA2815" w:rsidP="00DA2815">
            <w:pPr>
              <w:jc w:val="center"/>
              <w:rPr>
                <w:rFonts w:ascii="Times New Roman" w:hAnsi="Times New Roman" w:cs="Times New Roman"/>
                <w:b/>
                <w:sz w:val="24"/>
                <w:szCs w:val="24"/>
              </w:rPr>
            </w:pPr>
          </w:p>
          <w:p w:rsidR="00DA2815" w:rsidRPr="003775EC" w:rsidRDefault="00DA2815" w:rsidP="00DA2815">
            <w:pPr>
              <w:jc w:val="center"/>
              <w:rPr>
                <w:rFonts w:ascii="Times New Roman" w:hAnsi="Times New Roman" w:cs="Times New Roman"/>
                <w:b/>
                <w:sz w:val="24"/>
                <w:szCs w:val="24"/>
              </w:rPr>
            </w:pPr>
            <w:r w:rsidRPr="003775EC">
              <w:rPr>
                <w:rFonts w:ascii="Times New Roman" w:hAnsi="Times New Roman" w:cs="Times New Roman"/>
                <w:b/>
                <w:sz w:val="24"/>
                <w:szCs w:val="24"/>
              </w:rPr>
              <w:t>Comment</w:t>
            </w:r>
          </w:p>
        </w:tc>
        <w:tc>
          <w:tcPr>
            <w:tcW w:w="926" w:type="pct"/>
            <w:vMerge/>
            <w:tcBorders>
              <w:right w:val="single" w:sz="4" w:space="0" w:color="000000" w:themeColor="text1"/>
            </w:tcBorders>
          </w:tcPr>
          <w:p w:rsidR="00DA2815" w:rsidRPr="003775EC" w:rsidRDefault="00DA2815" w:rsidP="00DA2815">
            <w:pPr>
              <w:jc w:val="center"/>
              <w:rPr>
                <w:rFonts w:ascii="Times New Roman" w:hAnsi="Times New Roman" w:cs="Times New Roman"/>
                <w:b/>
                <w:sz w:val="24"/>
                <w:szCs w:val="24"/>
              </w:rPr>
            </w:pPr>
          </w:p>
        </w:tc>
        <w:tc>
          <w:tcPr>
            <w:tcW w:w="946" w:type="pct"/>
            <w:vMerge/>
            <w:tcBorders>
              <w:left w:val="single" w:sz="4" w:space="0" w:color="000000" w:themeColor="text1"/>
              <w:right w:val="single" w:sz="4" w:space="0" w:color="000000" w:themeColor="text1"/>
            </w:tcBorders>
          </w:tcPr>
          <w:p w:rsidR="00DA2815" w:rsidRPr="003775EC" w:rsidRDefault="00DA2815" w:rsidP="00DA2815">
            <w:pPr>
              <w:jc w:val="center"/>
              <w:rPr>
                <w:rFonts w:ascii="Times New Roman" w:hAnsi="Times New Roman" w:cs="Times New Roman"/>
                <w:b/>
                <w:sz w:val="24"/>
                <w:szCs w:val="24"/>
              </w:rPr>
            </w:pPr>
          </w:p>
        </w:tc>
        <w:tc>
          <w:tcPr>
            <w:tcW w:w="1789" w:type="pct"/>
            <w:tcBorders>
              <w:top w:val="single" w:sz="4" w:space="0" w:color="FFFFFF" w:themeColor="background1"/>
              <w:left w:val="single" w:sz="4" w:space="0" w:color="000000" w:themeColor="text1"/>
              <w:right w:val="single" w:sz="4" w:space="0" w:color="FFFFFF" w:themeColor="background1"/>
            </w:tcBorders>
          </w:tcPr>
          <w:p w:rsidR="00DA2815" w:rsidRPr="003775EC" w:rsidRDefault="00DA2815" w:rsidP="00DA2815">
            <w:pPr>
              <w:jc w:val="center"/>
              <w:rPr>
                <w:rFonts w:ascii="Times New Roman" w:hAnsi="Times New Roman" w:cs="Times New Roman"/>
                <w:b/>
                <w:sz w:val="24"/>
                <w:szCs w:val="24"/>
              </w:rPr>
            </w:pPr>
          </w:p>
          <w:p w:rsidR="00DA2815" w:rsidRPr="003775EC" w:rsidRDefault="00DA2815" w:rsidP="00DA2815">
            <w:pPr>
              <w:jc w:val="center"/>
              <w:rPr>
                <w:rFonts w:ascii="Times New Roman" w:hAnsi="Times New Roman" w:cs="Times New Roman"/>
                <w:b/>
                <w:sz w:val="24"/>
                <w:szCs w:val="24"/>
              </w:rPr>
            </w:pPr>
            <w:r w:rsidRPr="003775EC">
              <w:rPr>
                <w:rFonts w:ascii="Times New Roman" w:hAnsi="Times New Roman" w:cs="Times New Roman"/>
                <w:b/>
                <w:sz w:val="24"/>
                <w:szCs w:val="24"/>
              </w:rPr>
              <w:t>Comment</w:t>
            </w:r>
          </w:p>
        </w:tc>
      </w:tr>
      <w:tr w:rsidR="00DA2815" w:rsidRPr="00DA2815" w:rsidTr="00DA2815">
        <w:trPr>
          <w:trHeight w:val="316"/>
        </w:trPr>
        <w:tc>
          <w:tcPr>
            <w:tcW w:w="1339" w:type="pct"/>
            <w:tcBorders>
              <w:left w:val="single" w:sz="4" w:space="0" w:color="FFFFFF" w:themeColor="background1"/>
            </w:tcBorders>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Fully labeled</w:t>
            </w:r>
          </w:p>
        </w:tc>
        <w:tc>
          <w:tcPr>
            <w:tcW w:w="926" w:type="pct"/>
            <w:tcBorders>
              <w:right w:val="single" w:sz="4" w:space="0" w:color="000000" w:themeColor="text1"/>
            </w:tcBorders>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4</w:t>
            </w:r>
          </w:p>
        </w:tc>
        <w:tc>
          <w:tcPr>
            <w:tcW w:w="946" w:type="pct"/>
            <w:tcBorders>
              <w:left w:val="single" w:sz="4" w:space="0" w:color="000000" w:themeColor="text1"/>
            </w:tcBorders>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2</w:t>
            </w:r>
          </w:p>
        </w:tc>
        <w:tc>
          <w:tcPr>
            <w:tcW w:w="1789" w:type="pct"/>
            <w:tcBorders>
              <w:right w:val="single" w:sz="4" w:space="0" w:color="FFFFFF" w:themeColor="background1"/>
            </w:tcBorders>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Fully labeled</w:t>
            </w:r>
          </w:p>
        </w:tc>
      </w:tr>
      <w:tr w:rsidR="00DA2815" w:rsidRPr="00DA2815" w:rsidTr="00DA2815">
        <w:trPr>
          <w:trHeight w:val="1074"/>
        </w:trPr>
        <w:tc>
          <w:tcPr>
            <w:tcW w:w="1339" w:type="pct"/>
            <w:tcBorders>
              <w:left w:val="single" w:sz="4" w:space="0" w:color="FFFFFF" w:themeColor="background1"/>
            </w:tcBorders>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Next lower labeled parent ion</w:t>
            </w:r>
          </w:p>
        </w:tc>
        <w:tc>
          <w:tcPr>
            <w:tcW w:w="926" w:type="pct"/>
            <w:tcBorders>
              <w:right w:val="single" w:sz="4" w:space="0" w:color="000000" w:themeColor="text1"/>
            </w:tcBorders>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3</w:t>
            </w:r>
          </w:p>
          <w:p w:rsidR="00DA2815" w:rsidRPr="003775EC" w:rsidRDefault="00DA2815" w:rsidP="00DA2815">
            <w:pPr>
              <w:jc w:val="center"/>
              <w:rPr>
                <w:rFonts w:ascii="Times New Roman" w:hAnsi="Times New Roman" w:cs="Times New Roman"/>
                <w:sz w:val="24"/>
                <w:szCs w:val="24"/>
              </w:rPr>
            </w:pP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3</w:t>
            </w:r>
          </w:p>
        </w:tc>
        <w:tc>
          <w:tcPr>
            <w:tcW w:w="946" w:type="pct"/>
            <w:tcBorders>
              <w:left w:val="single" w:sz="4" w:space="0" w:color="000000" w:themeColor="text1"/>
            </w:tcBorders>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2</w:t>
            </w:r>
          </w:p>
          <w:p w:rsidR="00DA2815" w:rsidRPr="003775EC" w:rsidRDefault="00DA2815" w:rsidP="00DA2815">
            <w:pPr>
              <w:jc w:val="center"/>
              <w:rPr>
                <w:rFonts w:ascii="Times New Roman" w:hAnsi="Times New Roman" w:cs="Times New Roman"/>
                <w:sz w:val="24"/>
                <w:szCs w:val="24"/>
              </w:rPr>
            </w:pP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1</w:t>
            </w:r>
          </w:p>
        </w:tc>
        <w:tc>
          <w:tcPr>
            <w:tcW w:w="1789" w:type="pct"/>
            <w:tcBorders>
              <w:right w:val="single" w:sz="4" w:space="0" w:color="FFFFFF" w:themeColor="background1"/>
            </w:tcBorders>
          </w:tcPr>
          <w:p w:rsid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Maximum # for product ion,  </w:t>
            </w: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all </w:t>
            </w:r>
            <w:r w:rsidRPr="003775EC">
              <w:rPr>
                <w:rFonts w:ascii="Times New Roman" w:hAnsi="Times New Roman" w:cs="Times New Roman"/>
                <w:sz w:val="24"/>
                <w:szCs w:val="24"/>
                <w:vertAlign w:val="superscript"/>
              </w:rPr>
              <w:t>13</w:t>
            </w:r>
            <w:r w:rsidRPr="003775EC">
              <w:rPr>
                <w:rFonts w:ascii="Times New Roman" w:hAnsi="Times New Roman" w:cs="Times New Roman"/>
                <w:sz w:val="24"/>
                <w:szCs w:val="24"/>
              </w:rPr>
              <w:t xml:space="preserve">C </w:t>
            </w:r>
            <w:r w:rsidR="00FD69D8">
              <w:rPr>
                <w:rFonts w:ascii="Times New Roman" w:hAnsi="Times New Roman" w:cs="Times New Roman"/>
                <w:sz w:val="24"/>
                <w:szCs w:val="24"/>
              </w:rPr>
              <w:t xml:space="preserve">from parent </w:t>
            </w:r>
            <w:r w:rsidRPr="003775EC">
              <w:rPr>
                <w:rFonts w:ascii="Times New Roman" w:hAnsi="Times New Roman" w:cs="Times New Roman"/>
                <w:sz w:val="24"/>
                <w:szCs w:val="24"/>
              </w:rPr>
              <w:t>in fragment</w:t>
            </w:r>
          </w:p>
          <w:p w:rsid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Minimum # for product ion, </w:t>
            </w: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 all </w:t>
            </w:r>
            <w:r w:rsidRPr="003775EC">
              <w:rPr>
                <w:rFonts w:ascii="Times New Roman" w:hAnsi="Times New Roman" w:cs="Times New Roman"/>
                <w:sz w:val="24"/>
                <w:szCs w:val="24"/>
                <w:vertAlign w:val="superscript"/>
              </w:rPr>
              <w:t>12</w:t>
            </w:r>
            <w:r w:rsidRPr="003775EC">
              <w:rPr>
                <w:rFonts w:ascii="Times New Roman" w:hAnsi="Times New Roman" w:cs="Times New Roman"/>
                <w:sz w:val="24"/>
                <w:szCs w:val="24"/>
              </w:rPr>
              <w:t>C</w:t>
            </w:r>
            <w:r w:rsidR="00FD69D8">
              <w:rPr>
                <w:rFonts w:ascii="Times New Roman" w:hAnsi="Times New Roman" w:cs="Times New Roman"/>
                <w:sz w:val="24"/>
                <w:szCs w:val="24"/>
              </w:rPr>
              <w:t xml:space="preserve"> from parent</w:t>
            </w:r>
            <w:r w:rsidRPr="003775EC">
              <w:rPr>
                <w:rFonts w:ascii="Times New Roman" w:hAnsi="Times New Roman" w:cs="Times New Roman"/>
                <w:sz w:val="24"/>
                <w:szCs w:val="24"/>
              </w:rPr>
              <w:t xml:space="preserve"> in fragment</w:t>
            </w:r>
          </w:p>
        </w:tc>
      </w:tr>
      <w:tr w:rsidR="00DA2815" w:rsidRPr="00DA2815" w:rsidTr="00DA2815">
        <w:trPr>
          <w:trHeight w:val="1631"/>
        </w:trPr>
        <w:tc>
          <w:tcPr>
            <w:tcW w:w="1339" w:type="pct"/>
            <w:tcBorders>
              <w:left w:val="single" w:sz="4" w:space="0" w:color="FFFFFF" w:themeColor="background1"/>
            </w:tcBorders>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Next lower labeled parent ion</w:t>
            </w:r>
          </w:p>
        </w:tc>
        <w:tc>
          <w:tcPr>
            <w:tcW w:w="926" w:type="pct"/>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2</w:t>
            </w:r>
          </w:p>
          <w:p w:rsidR="00DA2815" w:rsidRPr="003775EC" w:rsidRDefault="00DA2815" w:rsidP="00DA2815">
            <w:pPr>
              <w:jc w:val="center"/>
              <w:rPr>
                <w:rFonts w:ascii="Times New Roman" w:hAnsi="Times New Roman" w:cs="Times New Roman"/>
                <w:sz w:val="24"/>
                <w:szCs w:val="24"/>
              </w:rPr>
            </w:pP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2</w:t>
            </w:r>
          </w:p>
          <w:p w:rsidR="00DA2815" w:rsidRPr="003775EC" w:rsidRDefault="00DA2815" w:rsidP="00DA2815">
            <w:pPr>
              <w:jc w:val="center"/>
              <w:rPr>
                <w:rFonts w:ascii="Times New Roman" w:hAnsi="Times New Roman" w:cs="Times New Roman"/>
                <w:sz w:val="24"/>
                <w:szCs w:val="24"/>
              </w:rPr>
            </w:pP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2</w:t>
            </w:r>
          </w:p>
        </w:tc>
        <w:tc>
          <w:tcPr>
            <w:tcW w:w="946" w:type="pct"/>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2</w:t>
            </w:r>
          </w:p>
          <w:p w:rsidR="00DA2815" w:rsidRPr="003775EC" w:rsidRDefault="00DA2815" w:rsidP="00DA2815">
            <w:pPr>
              <w:jc w:val="center"/>
              <w:rPr>
                <w:rFonts w:ascii="Times New Roman" w:hAnsi="Times New Roman" w:cs="Times New Roman"/>
                <w:sz w:val="24"/>
                <w:szCs w:val="24"/>
              </w:rPr>
            </w:pP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1</w:t>
            </w:r>
          </w:p>
          <w:p w:rsidR="00DA2815" w:rsidRPr="003775EC" w:rsidRDefault="00DA2815" w:rsidP="00DA2815">
            <w:pPr>
              <w:jc w:val="center"/>
              <w:rPr>
                <w:rFonts w:ascii="Times New Roman" w:hAnsi="Times New Roman" w:cs="Times New Roman"/>
                <w:sz w:val="24"/>
                <w:szCs w:val="24"/>
              </w:rPr>
            </w:pP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0</w:t>
            </w:r>
          </w:p>
        </w:tc>
        <w:tc>
          <w:tcPr>
            <w:tcW w:w="1789" w:type="pct"/>
            <w:tcBorders>
              <w:right w:val="single" w:sz="4" w:space="0" w:color="FFFFFF" w:themeColor="background1"/>
            </w:tcBorders>
          </w:tcPr>
          <w:p w:rsid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Maximum # for product ion,  </w:t>
            </w: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all </w:t>
            </w:r>
            <w:r w:rsidRPr="003775EC">
              <w:rPr>
                <w:rFonts w:ascii="Times New Roman" w:hAnsi="Times New Roman" w:cs="Times New Roman"/>
                <w:sz w:val="24"/>
                <w:szCs w:val="24"/>
                <w:vertAlign w:val="superscript"/>
              </w:rPr>
              <w:t>13</w:t>
            </w:r>
            <w:r w:rsidRPr="003775EC">
              <w:rPr>
                <w:rFonts w:ascii="Times New Roman" w:hAnsi="Times New Roman" w:cs="Times New Roman"/>
                <w:sz w:val="24"/>
                <w:szCs w:val="24"/>
              </w:rPr>
              <w:t>C</w:t>
            </w:r>
            <w:r w:rsidR="00FD69D8">
              <w:rPr>
                <w:rFonts w:ascii="Times New Roman" w:hAnsi="Times New Roman" w:cs="Times New Roman"/>
                <w:sz w:val="24"/>
                <w:szCs w:val="24"/>
              </w:rPr>
              <w:t xml:space="preserve"> from parent</w:t>
            </w:r>
            <w:r w:rsidRPr="003775EC">
              <w:rPr>
                <w:rFonts w:ascii="Times New Roman" w:hAnsi="Times New Roman" w:cs="Times New Roman"/>
                <w:sz w:val="24"/>
                <w:szCs w:val="24"/>
              </w:rPr>
              <w:t xml:space="preserve"> in fragment</w:t>
            </w: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All integer values in between maximum and minimum</w:t>
            </w:r>
          </w:p>
          <w:p w:rsid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Minimum # for product ion, </w:t>
            </w: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 all </w:t>
            </w:r>
            <w:r w:rsidRPr="003775EC">
              <w:rPr>
                <w:rFonts w:ascii="Times New Roman" w:hAnsi="Times New Roman" w:cs="Times New Roman"/>
                <w:sz w:val="24"/>
                <w:szCs w:val="24"/>
                <w:vertAlign w:val="superscript"/>
              </w:rPr>
              <w:t>12</w:t>
            </w:r>
            <w:r w:rsidRPr="003775EC">
              <w:rPr>
                <w:rFonts w:ascii="Times New Roman" w:hAnsi="Times New Roman" w:cs="Times New Roman"/>
                <w:sz w:val="24"/>
                <w:szCs w:val="24"/>
              </w:rPr>
              <w:t>C</w:t>
            </w:r>
            <w:r w:rsidR="00FD69D8">
              <w:rPr>
                <w:rFonts w:ascii="Times New Roman" w:hAnsi="Times New Roman" w:cs="Times New Roman"/>
                <w:sz w:val="24"/>
                <w:szCs w:val="24"/>
              </w:rPr>
              <w:t xml:space="preserve"> from parent</w:t>
            </w:r>
            <w:r w:rsidRPr="003775EC">
              <w:rPr>
                <w:rFonts w:ascii="Times New Roman" w:hAnsi="Times New Roman" w:cs="Times New Roman"/>
                <w:sz w:val="24"/>
                <w:szCs w:val="24"/>
              </w:rPr>
              <w:t xml:space="preserve"> in fragment</w:t>
            </w:r>
          </w:p>
        </w:tc>
      </w:tr>
      <w:tr w:rsidR="00DA2815" w:rsidRPr="00DA2815" w:rsidTr="00DA2815">
        <w:trPr>
          <w:trHeight w:val="1068"/>
        </w:trPr>
        <w:tc>
          <w:tcPr>
            <w:tcW w:w="1339" w:type="pct"/>
            <w:tcBorders>
              <w:left w:val="single" w:sz="4" w:space="0" w:color="FFFFFF" w:themeColor="background1"/>
            </w:tcBorders>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Next lower labeled parent ion</w:t>
            </w:r>
          </w:p>
        </w:tc>
        <w:tc>
          <w:tcPr>
            <w:tcW w:w="926" w:type="pct"/>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1</w:t>
            </w:r>
          </w:p>
          <w:p w:rsidR="00DA2815" w:rsidRPr="003775EC" w:rsidRDefault="00DA2815" w:rsidP="00DA2815">
            <w:pPr>
              <w:jc w:val="center"/>
              <w:rPr>
                <w:rFonts w:ascii="Times New Roman" w:hAnsi="Times New Roman" w:cs="Times New Roman"/>
                <w:sz w:val="24"/>
                <w:szCs w:val="24"/>
              </w:rPr>
            </w:pP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1</w:t>
            </w:r>
          </w:p>
        </w:tc>
        <w:tc>
          <w:tcPr>
            <w:tcW w:w="946" w:type="pct"/>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1</w:t>
            </w:r>
          </w:p>
          <w:p w:rsidR="00DA2815" w:rsidRPr="003775EC" w:rsidRDefault="00DA2815" w:rsidP="00DA2815">
            <w:pPr>
              <w:jc w:val="center"/>
              <w:rPr>
                <w:rFonts w:ascii="Times New Roman" w:hAnsi="Times New Roman" w:cs="Times New Roman"/>
                <w:sz w:val="24"/>
                <w:szCs w:val="24"/>
              </w:rPr>
            </w:pP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0</w:t>
            </w:r>
          </w:p>
        </w:tc>
        <w:tc>
          <w:tcPr>
            <w:tcW w:w="1789" w:type="pct"/>
            <w:tcBorders>
              <w:right w:val="single" w:sz="4" w:space="0" w:color="FFFFFF" w:themeColor="background1"/>
            </w:tcBorders>
          </w:tcPr>
          <w:p w:rsid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Maximum # for product ion, </w:t>
            </w: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 all </w:t>
            </w:r>
            <w:r w:rsidRPr="003775EC">
              <w:rPr>
                <w:rFonts w:ascii="Times New Roman" w:hAnsi="Times New Roman" w:cs="Times New Roman"/>
                <w:sz w:val="24"/>
                <w:szCs w:val="24"/>
                <w:vertAlign w:val="superscript"/>
              </w:rPr>
              <w:t>13</w:t>
            </w:r>
            <w:r w:rsidRPr="003775EC">
              <w:rPr>
                <w:rFonts w:ascii="Times New Roman" w:hAnsi="Times New Roman" w:cs="Times New Roman"/>
                <w:sz w:val="24"/>
                <w:szCs w:val="24"/>
              </w:rPr>
              <w:t>C</w:t>
            </w:r>
            <w:r w:rsidR="00FD69D8">
              <w:rPr>
                <w:rFonts w:ascii="Times New Roman" w:hAnsi="Times New Roman" w:cs="Times New Roman"/>
                <w:sz w:val="24"/>
                <w:szCs w:val="24"/>
              </w:rPr>
              <w:t xml:space="preserve"> from parent</w:t>
            </w:r>
            <w:r w:rsidRPr="003775EC">
              <w:rPr>
                <w:rFonts w:ascii="Times New Roman" w:hAnsi="Times New Roman" w:cs="Times New Roman"/>
                <w:sz w:val="24"/>
                <w:szCs w:val="24"/>
              </w:rPr>
              <w:t xml:space="preserve"> in fragment</w:t>
            </w:r>
          </w:p>
          <w:p w:rsid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Minimum # for product ion, </w:t>
            </w:r>
          </w:p>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 xml:space="preserve"> all </w:t>
            </w:r>
            <w:r w:rsidRPr="003775EC">
              <w:rPr>
                <w:rFonts w:ascii="Times New Roman" w:hAnsi="Times New Roman" w:cs="Times New Roman"/>
                <w:sz w:val="24"/>
                <w:szCs w:val="24"/>
                <w:vertAlign w:val="superscript"/>
              </w:rPr>
              <w:t>12</w:t>
            </w:r>
            <w:r w:rsidRPr="003775EC">
              <w:rPr>
                <w:rFonts w:ascii="Times New Roman" w:hAnsi="Times New Roman" w:cs="Times New Roman"/>
                <w:sz w:val="24"/>
                <w:szCs w:val="24"/>
              </w:rPr>
              <w:t>C</w:t>
            </w:r>
            <w:r w:rsidR="00FD69D8">
              <w:rPr>
                <w:rFonts w:ascii="Times New Roman" w:hAnsi="Times New Roman" w:cs="Times New Roman"/>
                <w:sz w:val="24"/>
                <w:szCs w:val="24"/>
              </w:rPr>
              <w:t xml:space="preserve"> from parent</w:t>
            </w:r>
            <w:r w:rsidRPr="003775EC">
              <w:rPr>
                <w:rFonts w:ascii="Times New Roman" w:hAnsi="Times New Roman" w:cs="Times New Roman"/>
                <w:sz w:val="24"/>
                <w:szCs w:val="24"/>
              </w:rPr>
              <w:t xml:space="preserve"> in fragment</w:t>
            </w:r>
          </w:p>
        </w:tc>
      </w:tr>
      <w:tr w:rsidR="00DA2815" w:rsidRPr="00DA2815" w:rsidTr="00DA2815">
        <w:trPr>
          <w:trHeight w:val="334"/>
        </w:trPr>
        <w:tc>
          <w:tcPr>
            <w:tcW w:w="1339" w:type="pct"/>
            <w:tcBorders>
              <w:left w:val="single" w:sz="4" w:space="0" w:color="FFFFFF" w:themeColor="background1"/>
            </w:tcBorders>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Fully unlabeled</w:t>
            </w:r>
          </w:p>
        </w:tc>
        <w:tc>
          <w:tcPr>
            <w:tcW w:w="926" w:type="pct"/>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0</w:t>
            </w:r>
          </w:p>
        </w:tc>
        <w:tc>
          <w:tcPr>
            <w:tcW w:w="946" w:type="pct"/>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0</w:t>
            </w:r>
          </w:p>
        </w:tc>
        <w:tc>
          <w:tcPr>
            <w:tcW w:w="1789" w:type="pct"/>
            <w:tcBorders>
              <w:right w:val="single" w:sz="4" w:space="0" w:color="FFFFFF" w:themeColor="background1"/>
            </w:tcBorders>
          </w:tcPr>
          <w:p w:rsidR="00DA2815" w:rsidRPr="003775EC" w:rsidRDefault="00DA2815" w:rsidP="00DA2815">
            <w:pPr>
              <w:jc w:val="center"/>
              <w:rPr>
                <w:rFonts w:ascii="Times New Roman" w:hAnsi="Times New Roman" w:cs="Times New Roman"/>
                <w:sz w:val="24"/>
                <w:szCs w:val="24"/>
              </w:rPr>
            </w:pPr>
            <w:r w:rsidRPr="003775EC">
              <w:rPr>
                <w:rFonts w:ascii="Times New Roman" w:hAnsi="Times New Roman" w:cs="Times New Roman"/>
                <w:sz w:val="24"/>
                <w:szCs w:val="24"/>
              </w:rPr>
              <w:t>Fully unlabeled</w:t>
            </w:r>
          </w:p>
        </w:tc>
      </w:tr>
      <w:tr w:rsidR="00DA2815" w:rsidRPr="00DA2815" w:rsidTr="00DA2815">
        <w:trPr>
          <w:trHeight w:val="316"/>
        </w:trPr>
        <w:tc>
          <w:tcPr>
            <w:tcW w:w="5000" w:type="pct"/>
            <w:gridSpan w:val="4"/>
            <w:tcBorders>
              <w:left w:val="single" w:sz="4" w:space="0" w:color="FFFFFF" w:themeColor="background1"/>
              <w:right w:val="single" w:sz="4" w:space="0" w:color="FFFFFF" w:themeColor="background1"/>
            </w:tcBorders>
          </w:tcPr>
          <w:p w:rsidR="00DA2815" w:rsidRPr="003775EC" w:rsidRDefault="00DA2815" w:rsidP="00DA2815">
            <w:pPr>
              <w:jc w:val="center"/>
              <w:rPr>
                <w:rFonts w:ascii="Times New Roman" w:hAnsi="Times New Roman" w:cs="Times New Roman"/>
                <w:sz w:val="24"/>
                <w:szCs w:val="24"/>
              </w:rPr>
            </w:pPr>
          </w:p>
        </w:tc>
      </w:tr>
    </w:tbl>
    <w:p w:rsidR="005E3076" w:rsidRPr="0083245E" w:rsidRDefault="005E3076" w:rsidP="005E3076">
      <w:pPr>
        <w:spacing w:line="360" w:lineRule="auto"/>
        <w:jc w:val="both"/>
        <w:rPr>
          <w:rFonts w:ascii="Times New Roman" w:hAnsi="Times New Roman" w:cs="Times New Roman"/>
          <w:b/>
          <w:sz w:val="24"/>
          <w:szCs w:val="24"/>
        </w:rPr>
      </w:pPr>
    </w:p>
    <w:p w:rsidR="00850DF8" w:rsidRDefault="00850DF8" w:rsidP="005E3076">
      <w:pPr>
        <w:spacing w:after="0" w:line="240" w:lineRule="auto"/>
        <w:jc w:val="both"/>
        <w:rPr>
          <w:rFonts w:ascii="Times New Roman" w:hAnsi="Times New Roman" w:cs="Times New Roman"/>
          <w:b/>
          <w:sz w:val="24"/>
          <w:szCs w:val="24"/>
        </w:rPr>
      </w:pPr>
    </w:p>
    <w:p w:rsidR="005E3076" w:rsidRDefault="005E3076" w:rsidP="005E307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Material for Results and Discussion taken from:</w:t>
      </w:r>
    </w:p>
    <w:p w:rsidR="005E3076" w:rsidRDefault="005E3076" w:rsidP="005E3076">
      <w:pPr>
        <w:spacing w:after="0" w:line="240" w:lineRule="auto"/>
        <w:jc w:val="both"/>
        <w:rPr>
          <w:rFonts w:ascii="Times New Roman" w:eastAsia="Calibri" w:hAnsi="Times New Roman" w:cs="Times New Roman"/>
          <w:bCs/>
          <w:sz w:val="24"/>
          <w:szCs w:val="24"/>
        </w:rPr>
      </w:pPr>
    </w:p>
    <w:p w:rsidR="005E3076" w:rsidRDefault="005E3076" w:rsidP="005E3076">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Cs/>
          <w:sz w:val="24"/>
          <w:szCs w:val="24"/>
        </w:rPr>
        <w:t>Ankrah, N. Y. D., May, A. L., Middleton J. L., Jones D. R., Hadden, M., Gooding, J. R., LeCleir, G. R.</w:t>
      </w:r>
      <w:r>
        <w:rPr>
          <w:rFonts w:ascii="Times New Roman" w:eastAsia="Calibri" w:hAnsi="Times New Roman" w:cs="Times New Roman"/>
          <w:bCs/>
          <w:sz w:val="24"/>
          <w:szCs w:val="24"/>
          <w:vertAlign w:val="superscript"/>
        </w:rPr>
        <w:t xml:space="preserve"> </w:t>
      </w:r>
      <w:r>
        <w:rPr>
          <w:rFonts w:ascii="Times New Roman" w:eastAsia="Calibri" w:hAnsi="Times New Roman" w:cs="Times New Roman"/>
          <w:bCs/>
          <w:sz w:val="24"/>
          <w:szCs w:val="24"/>
        </w:rPr>
        <w:t xml:space="preserve">, Wilhelm S. W., Campagna, S. R. and Buchan, A. </w:t>
      </w:r>
      <w:r>
        <w:rPr>
          <w:rFonts w:ascii="Times New Roman" w:eastAsia="Calibri" w:hAnsi="Times New Roman" w:cs="Times New Roman"/>
          <w:sz w:val="24"/>
          <w:szCs w:val="24"/>
        </w:rPr>
        <w:t>Metabolic response of a Roseobacter to phage infection: insights into the influence of viral lysis on ocean biogeochemistry,</w:t>
      </w:r>
      <w:r w:rsidR="00DC178D">
        <w:rPr>
          <w:rFonts w:ascii="Times New Roman" w:eastAsia="Calibri" w:hAnsi="Times New Roman" w:cs="Times New Roman"/>
          <w:b/>
          <w:sz w:val="24"/>
          <w:szCs w:val="24"/>
        </w:rPr>
        <w:t xml:space="preserve"> </w:t>
      </w:r>
      <w:r w:rsidR="00DC178D">
        <w:rPr>
          <w:rFonts w:ascii="Times New Roman" w:hAnsi="Times New Roman" w:cs="Times New Roman"/>
          <w:i/>
          <w:sz w:val="24"/>
          <w:szCs w:val="24"/>
        </w:rPr>
        <w:t>submitted.</w:t>
      </w:r>
    </w:p>
    <w:p w:rsidR="005E3076" w:rsidRDefault="005E3076" w:rsidP="005E3076"/>
    <w:p w:rsidR="005E3076" w:rsidRDefault="005E3076" w:rsidP="005E3076">
      <w:pPr>
        <w:jc w:val="center"/>
        <w:rPr>
          <w:rFonts w:ascii="Times New Roman" w:hAnsi="Times New Roman" w:cs="Times New Roman"/>
          <w:b/>
          <w:sz w:val="28"/>
          <w:szCs w:val="28"/>
        </w:rPr>
      </w:pPr>
      <w:r>
        <w:rPr>
          <w:rFonts w:ascii="Times New Roman" w:hAnsi="Times New Roman" w:cs="Times New Roman"/>
          <w:b/>
          <w:sz w:val="28"/>
          <w:szCs w:val="28"/>
        </w:rPr>
        <w:t>Results and Discussion</w:t>
      </w:r>
    </w:p>
    <w:p w:rsidR="005E3076" w:rsidRDefault="005E3076" w:rsidP="005E3076">
      <w:pPr>
        <w:jc w:val="center"/>
      </w:pPr>
    </w:p>
    <w:p w:rsidR="005E3076" w:rsidRDefault="005E3076" w:rsidP="005E3076">
      <w:pPr>
        <w:pStyle w:val="NoSpacing"/>
        <w:spacing w:line="360" w:lineRule="auto"/>
        <w:jc w:val="both"/>
        <w:rPr>
          <w:rFonts w:ascii="Times New Roman" w:hAnsi="Times New Roman"/>
          <w:b/>
          <w:sz w:val="24"/>
          <w:szCs w:val="24"/>
        </w:rPr>
      </w:pPr>
      <w:r>
        <w:rPr>
          <w:rFonts w:ascii="Times New Roman" w:hAnsi="Times New Roman"/>
          <w:b/>
          <w:i/>
          <w:sz w:val="24"/>
          <w:szCs w:val="24"/>
        </w:rPr>
        <w:t>Composition of Extracellular Small Molecule Components following Phage-Induced Cell Lysis</w:t>
      </w:r>
    </w:p>
    <w:p w:rsidR="005E3076" w:rsidRDefault="005E3076" w:rsidP="005E3076">
      <w:pPr>
        <w:pStyle w:val="NoSpacing"/>
        <w:spacing w:line="360" w:lineRule="auto"/>
        <w:jc w:val="both"/>
        <w:rPr>
          <w:rFonts w:ascii="Times New Roman" w:hAnsi="Times New Roman"/>
          <w:sz w:val="24"/>
          <w:szCs w:val="24"/>
        </w:rPr>
      </w:pPr>
      <w:r>
        <w:rPr>
          <w:rFonts w:ascii="Times New Roman" w:hAnsi="Times New Roman"/>
          <w:sz w:val="24"/>
          <w:szCs w:val="24"/>
        </w:rPr>
        <w:t>As the water-soluble metabolite component of DOM is likely to be comprised of molecules that are more readily utilized than macromolecules, which often require processing prior to uptake and utilization,</w:t>
      </w:r>
      <w:r w:rsidR="009C68DC">
        <w:rPr>
          <w:rFonts w:ascii="Times New Roman" w:hAnsi="Times New Roman"/>
          <w:sz w:val="24"/>
          <w:szCs w:val="24"/>
          <w:vertAlign w:val="superscript"/>
        </w:rPr>
        <w:t>19</w:t>
      </w:r>
      <w:r>
        <w:rPr>
          <w:rFonts w:ascii="Times New Roman" w:hAnsi="Times New Roman"/>
          <w:sz w:val="24"/>
          <w:szCs w:val="24"/>
        </w:rPr>
        <w:t xml:space="preserve"> we set out to determine how viral infection affects these labile nutrients. Cell-free filtrates of phage-amended and control cultures were collected 480 min post infection, 240 min after initiation of phage-induced cell lysis, and were analyzed for the presence of a suite of 317 metabolites, most of which are core components of carbon and nitrogen utilization as well as the biosynthesis of macromolecular inputs. Fifty-six of these metabolites were detected in filtrates from ei</w:t>
      </w:r>
      <w:r w:rsidR="00420CB2">
        <w:rPr>
          <w:rFonts w:ascii="Times New Roman" w:hAnsi="Times New Roman"/>
          <w:sz w:val="24"/>
          <w:szCs w:val="24"/>
        </w:rPr>
        <w:t>ther or both treatments (Table 2</w:t>
      </w:r>
      <w:r>
        <w:rPr>
          <w:rFonts w:ascii="Times New Roman" w:hAnsi="Times New Roman"/>
          <w:sz w:val="24"/>
          <w:szCs w:val="24"/>
        </w:rPr>
        <w:t>). Interestingly, the metabolite concentrations in the infected cultures were not uniformly higher for every molecule. Instead, an increase in 29%, no change in 45%, and a decrease in 27% of the concentrations for the detected</w:t>
      </w:r>
      <w:r w:rsidR="00420CB2">
        <w:rPr>
          <w:rFonts w:ascii="Times New Roman" w:hAnsi="Times New Roman"/>
          <w:sz w:val="24"/>
          <w:szCs w:val="24"/>
        </w:rPr>
        <w:t xml:space="preserve"> metabolites were noted (Table 2</w:t>
      </w:r>
      <w:r>
        <w:rPr>
          <w:rFonts w:ascii="Times New Roman" w:hAnsi="Times New Roman"/>
          <w:sz w:val="24"/>
          <w:szCs w:val="24"/>
        </w:rPr>
        <w:t>), indicating that phage infection altered the labile small molecule composition of the DOM.</w:t>
      </w: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r>
        <w:rPr>
          <w:rFonts w:ascii="Times New Roman" w:hAnsi="Times New Roman"/>
          <w:sz w:val="24"/>
          <w:szCs w:val="24"/>
        </w:rPr>
        <w:t>In general, the metabolites with decreased concentrations in the filtrates of the infected cultures were primarily those that are expected to be readily recycled, such as components of central C and N metabolism and small co-factors. This suggests intact cells in the virus-amended cultures remained active and were able to rapidly consume material from lysed cells to support their own metabolism, consequently depleting selected metabolites in t</w:t>
      </w:r>
      <w:r w:rsidR="00420CB2">
        <w:rPr>
          <w:rFonts w:ascii="Times New Roman" w:hAnsi="Times New Roman"/>
          <w:sz w:val="24"/>
          <w:szCs w:val="24"/>
        </w:rPr>
        <w:t>he extracellular milieu (Table 2</w:t>
      </w:r>
      <w:r>
        <w:rPr>
          <w:rFonts w:ascii="Times New Roman" w:hAnsi="Times New Roman"/>
          <w:sz w:val="24"/>
          <w:szCs w:val="24"/>
        </w:rPr>
        <w:t xml:space="preserve">). Metabolites with increased relative concentrations in the filtrates were those typically related to cellular stress or those that are potentially too large or rarely encountered to be effectively transported into the cell. For example, the phosphatidylcholine, phosphatidylethanolamine, and ethanolamine pools in the filtrates of the phage treated culture were dramatically elevated. The </w:t>
      </w:r>
      <w:r>
        <w:rPr>
          <w:rFonts w:ascii="Times New Roman" w:hAnsi="Times New Roman"/>
          <w:sz w:val="24"/>
          <w:szCs w:val="24"/>
        </w:rPr>
        <w:lastRenderedPageBreak/>
        <w:t>increase of these bacterial cell wall constituents in the phage-amended culture filtrates is consistent with a need for the cells to adapt to the physical stresses imposed from viral load as well as degradation of cell wall material from lysed cells. Of the amino acids that were detected in filtrates, several of those with the largest increases in concentration for the phage amended cultures are also part of the normal cellular stress response (</w:t>
      </w:r>
      <w:r>
        <w:rPr>
          <w:rFonts w:ascii="Times New Roman" w:hAnsi="Times New Roman"/>
          <w:i/>
          <w:sz w:val="24"/>
          <w:szCs w:val="24"/>
        </w:rPr>
        <w:t>e.g.</w:t>
      </w:r>
      <w:r>
        <w:rPr>
          <w:rFonts w:ascii="Times New Roman" w:hAnsi="Times New Roman"/>
          <w:sz w:val="24"/>
          <w:szCs w:val="24"/>
        </w:rPr>
        <w:t xml:space="preserve"> asparagine, cysteine, homoserine and methionine).</w:t>
      </w:r>
      <w:r w:rsidR="00A33A36">
        <w:rPr>
          <w:rFonts w:ascii="Times New Roman" w:hAnsi="Times New Roman"/>
          <w:sz w:val="24"/>
          <w:szCs w:val="24"/>
          <w:vertAlign w:val="superscript"/>
        </w:rPr>
        <w:t>99</w:t>
      </w:r>
      <w:r>
        <w:rPr>
          <w:rFonts w:ascii="Times New Roman" w:hAnsi="Times New Roman"/>
          <w:sz w:val="24"/>
          <w:szCs w:val="24"/>
        </w:rPr>
        <w:t xml:space="preserve"> All detected CoA-activated carboxylic acids were elevated in the infected cultures. While these compounds serve as intermediates of the TCA cycle, amino acid metabolism and fatty acid biosynthesis,</w:t>
      </w:r>
      <w:r w:rsidR="00A33A36">
        <w:rPr>
          <w:rFonts w:ascii="Times New Roman" w:hAnsi="Times New Roman"/>
          <w:sz w:val="24"/>
          <w:szCs w:val="24"/>
          <w:vertAlign w:val="superscript"/>
        </w:rPr>
        <w:t>100</w:t>
      </w:r>
      <w:r>
        <w:rPr>
          <w:rFonts w:ascii="Times New Roman" w:hAnsi="Times New Roman"/>
          <w:sz w:val="24"/>
          <w:szCs w:val="24"/>
        </w:rPr>
        <w:t xml:space="preserve"> they may not be efficiently transported and assimilated due to their large size and/or low availability under normal conditions. However, urea, a nitrogen-rich byproduct of </w:t>
      </w:r>
      <w:r>
        <w:rPr>
          <w:rFonts w:ascii="Times New Roman" w:hAnsi="Times New Roman"/>
          <w:i/>
          <w:sz w:val="24"/>
          <w:szCs w:val="24"/>
        </w:rPr>
        <w:t xml:space="preserve">de novo </w:t>
      </w:r>
      <w:r>
        <w:rPr>
          <w:rFonts w:ascii="Times New Roman" w:hAnsi="Times New Roman"/>
          <w:sz w:val="24"/>
          <w:szCs w:val="24"/>
        </w:rPr>
        <w:t>nucleotide biosynthesis,</w:t>
      </w:r>
      <w:r w:rsidR="00A33A36">
        <w:rPr>
          <w:rFonts w:ascii="Times New Roman" w:hAnsi="Times New Roman"/>
          <w:sz w:val="24"/>
          <w:szCs w:val="24"/>
          <w:vertAlign w:val="superscript"/>
        </w:rPr>
        <w:t>100</w:t>
      </w:r>
      <w:r>
        <w:rPr>
          <w:rFonts w:ascii="Times New Roman" w:hAnsi="Times New Roman"/>
          <w:sz w:val="24"/>
          <w:szCs w:val="24"/>
        </w:rPr>
        <w:t xml:space="preserve"> was also elevated in infected cultures, despite being neither large nor rarely encountered.</w:t>
      </w: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DC178D" w:rsidRDefault="00DC178D"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tbl>
      <w:tblPr>
        <w:tblW w:w="5145" w:type="dxa"/>
        <w:jc w:val="center"/>
        <w:tblInd w:w="93" w:type="dxa"/>
        <w:tblLayout w:type="fixed"/>
        <w:tblLook w:val="04A0" w:firstRow="1" w:lastRow="0" w:firstColumn="1" w:lastColumn="0" w:noHBand="0" w:noVBand="1"/>
      </w:tblPr>
      <w:tblGrid>
        <w:gridCol w:w="3705"/>
        <w:gridCol w:w="1440"/>
      </w:tblGrid>
      <w:tr w:rsidR="005E3076" w:rsidTr="00080007">
        <w:trPr>
          <w:trHeight w:val="20"/>
          <w:jc w:val="center"/>
        </w:trPr>
        <w:tc>
          <w:tcPr>
            <w:tcW w:w="5145" w:type="dxa"/>
            <w:gridSpan w:val="2"/>
            <w:tcBorders>
              <w:top w:val="nil"/>
              <w:left w:val="nil"/>
              <w:bottom w:val="single" w:sz="4" w:space="0" w:color="auto"/>
              <w:right w:val="nil"/>
            </w:tcBorders>
            <w:noWrap/>
            <w:hideMark/>
          </w:tcPr>
          <w:p w:rsidR="005E3076" w:rsidRDefault="00420CB2" w:rsidP="00080007">
            <w:pPr>
              <w:spacing w:after="0" w:line="240" w:lineRule="auto"/>
              <w:rPr>
                <w:rFonts w:ascii="Times New Roman" w:eastAsia="Times New Roman" w:hAnsi="Times New Roman" w:cs="Times New Roman"/>
                <w:b/>
                <w:bCs/>
                <w:sz w:val="15"/>
                <w:szCs w:val="15"/>
              </w:rPr>
            </w:pPr>
            <w:r>
              <w:rPr>
                <w:rFonts w:ascii="Times New Roman" w:eastAsia="Calibri" w:hAnsi="Times New Roman" w:cs="Times New Roman"/>
                <w:b/>
                <w:sz w:val="15"/>
                <w:szCs w:val="15"/>
              </w:rPr>
              <w:lastRenderedPageBreak/>
              <w:t>Table 2</w:t>
            </w:r>
            <w:r w:rsidR="005E3076">
              <w:rPr>
                <w:rFonts w:ascii="Times New Roman" w:eastAsia="Calibri" w:hAnsi="Times New Roman" w:cs="Times New Roman"/>
                <w:b/>
                <w:sz w:val="15"/>
                <w:szCs w:val="15"/>
              </w:rPr>
              <w:t>:</w:t>
            </w:r>
            <w:r w:rsidR="005E3076">
              <w:rPr>
                <w:rFonts w:ascii="Times New Roman" w:eastAsia="Calibri" w:hAnsi="Times New Roman" w:cs="Times New Roman"/>
                <w:sz w:val="15"/>
                <w:szCs w:val="15"/>
              </w:rPr>
              <w:t xml:space="preserve"> Metabolite Content of Filtrates of Infected </w:t>
            </w:r>
            <w:r w:rsidR="005E3076">
              <w:rPr>
                <w:rFonts w:ascii="Times New Roman" w:eastAsia="Calibri" w:hAnsi="Times New Roman" w:cs="Times New Roman"/>
                <w:i/>
                <w:sz w:val="15"/>
                <w:szCs w:val="15"/>
              </w:rPr>
              <w:t>Sulfitobacter</w:t>
            </w:r>
            <w:r w:rsidR="005E3076">
              <w:rPr>
                <w:rFonts w:ascii="Times New Roman" w:eastAsia="Calibri" w:hAnsi="Times New Roman" w:cs="Times New Roman"/>
                <w:sz w:val="15"/>
                <w:szCs w:val="15"/>
              </w:rPr>
              <w:t xml:space="preserve"> sp. 2047 Relative to Control Cultures at 480 min Post Infection</w:t>
            </w:r>
          </w:p>
        </w:tc>
      </w:tr>
      <w:tr w:rsidR="005E3076" w:rsidTr="00080007">
        <w:trPr>
          <w:trHeight w:val="20"/>
          <w:jc w:val="center"/>
        </w:trPr>
        <w:tc>
          <w:tcPr>
            <w:tcW w:w="3705" w:type="dxa"/>
            <w:tcBorders>
              <w:top w:val="single" w:sz="4" w:space="0" w:color="auto"/>
              <w:left w:val="nil"/>
              <w:bottom w:val="nil"/>
              <w:right w:val="nil"/>
            </w:tcBorders>
            <w:noWrap/>
            <w:hideMark/>
          </w:tcPr>
          <w:p w:rsidR="005E3076" w:rsidRDefault="005E3076" w:rsidP="00080007">
            <w:pPr>
              <w:spacing w:after="0" w:line="240" w:lineRule="auto"/>
              <w:rPr>
                <w:rFonts w:ascii="Times New Roman" w:eastAsia="Times New Roman" w:hAnsi="Times New Roman" w:cs="Times New Roman"/>
                <w:b/>
                <w:bCs/>
                <w:sz w:val="15"/>
                <w:szCs w:val="15"/>
              </w:rPr>
            </w:pPr>
            <w:r>
              <w:rPr>
                <w:rFonts w:ascii="Times New Roman" w:eastAsia="Times New Roman" w:hAnsi="Times New Roman" w:cs="Times New Roman"/>
                <w:b/>
                <w:bCs/>
                <w:sz w:val="15"/>
                <w:szCs w:val="15"/>
              </w:rPr>
              <w:t>Amino acids</w:t>
            </w:r>
          </w:p>
        </w:tc>
        <w:tc>
          <w:tcPr>
            <w:tcW w:w="1440" w:type="dxa"/>
            <w:tcBorders>
              <w:top w:val="single" w:sz="4" w:space="0" w:color="auto"/>
              <w:left w:val="nil"/>
              <w:bottom w:val="nil"/>
              <w:right w:val="nil"/>
            </w:tcBorders>
            <w:noWrap/>
            <w:hideMark/>
          </w:tcPr>
          <w:p w:rsidR="005E3076" w:rsidRDefault="005E3076" w:rsidP="00080007">
            <w:pPr>
              <w:spacing w:after="0" w:line="240" w:lineRule="auto"/>
              <w:rPr>
                <w:rFonts w:ascii="Times New Roman" w:eastAsia="Times New Roman" w:hAnsi="Times New Roman" w:cs="Times New Roman"/>
                <w:b/>
                <w:bCs/>
                <w:sz w:val="15"/>
                <w:szCs w:val="15"/>
              </w:rPr>
            </w:pPr>
            <w:r>
              <w:rPr>
                <w:rFonts w:ascii="Times New Roman" w:eastAsia="Times New Roman" w:hAnsi="Times New Roman" w:cs="Times New Roman"/>
                <w:b/>
                <w:bCs/>
                <w:sz w:val="15"/>
                <w:szCs w:val="15"/>
              </w:rPr>
              <w:t>Fold change</w:t>
            </w:r>
            <w:r>
              <w:rPr>
                <w:rFonts w:ascii="Times New Roman" w:eastAsia="Times New Roman" w:hAnsi="Times New Roman" w:cs="Times New Roman"/>
                <w:b/>
                <w:bCs/>
                <w:sz w:val="15"/>
                <w:szCs w:val="15"/>
                <w:vertAlign w:val="superscript"/>
              </w:rPr>
              <w:t>a</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Asparagine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2.37↑</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Methionine</w:t>
            </w:r>
            <w:r>
              <w:rPr>
                <w:rFonts w:ascii="Times New Roman" w:eastAsia="Times New Roman" w:hAnsi="Times New Roman" w:cs="Times New Roman"/>
                <w:sz w:val="15"/>
                <w:szCs w:val="15"/>
                <w:vertAlign w:val="superscript"/>
              </w:rPr>
              <w:t>b</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1.83↑</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Cysteine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1.74↑</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Tryptophan</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0.73</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Threonine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0.10↓</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Homoserine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1.87↑</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GABA</w:t>
            </w:r>
            <w:r>
              <w:rPr>
                <w:rFonts w:ascii="Times New Roman" w:eastAsia="Times New Roman" w:hAnsi="Times New Roman" w:cs="Times New Roman"/>
                <w:sz w:val="15"/>
                <w:szCs w:val="15"/>
                <w:vertAlign w:val="superscript"/>
              </w:rPr>
              <w:t>b</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1.45</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Betaine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1.29</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1-Methylhistidine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1.28</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O-Acetylserine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0.91</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S-Adenosylmethionine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0.88</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N-Acetylornithine</w:t>
            </w:r>
            <w:r>
              <w:rPr>
                <w:rFonts w:ascii="Times New Roman" w:eastAsia="Times New Roman" w:hAnsi="Times New Roman" w:cs="Times New Roman"/>
                <w:sz w:val="15"/>
                <w:szCs w:val="15"/>
                <w:vertAlign w:val="superscript"/>
              </w:rPr>
              <w:t>b</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0.56↓</w:t>
            </w:r>
          </w:p>
        </w:tc>
      </w:tr>
      <w:tr w:rsidR="005E3076" w:rsidTr="00080007">
        <w:trPr>
          <w:trHeight w:val="20"/>
          <w:jc w:val="center"/>
        </w:trPr>
        <w:tc>
          <w:tcPr>
            <w:tcW w:w="5145" w:type="dxa"/>
            <w:gridSpan w:val="2"/>
            <w:noWrap/>
            <w:hideMark/>
          </w:tcPr>
          <w:p w:rsidR="005E3076" w:rsidRDefault="005E3076" w:rsidP="00080007">
            <w:pPr>
              <w:spacing w:after="0" w:line="240" w:lineRule="auto"/>
              <w:rPr>
                <w:rFonts w:ascii="Times New Roman" w:eastAsia="Times New Roman" w:hAnsi="Times New Roman" w:cs="Times New Roman"/>
                <w:b/>
                <w:bCs/>
                <w:sz w:val="15"/>
                <w:szCs w:val="15"/>
              </w:rPr>
            </w:pPr>
            <w:r>
              <w:rPr>
                <w:rFonts w:ascii="Times New Roman" w:eastAsia="Times New Roman" w:hAnsi="Times New Roman" w:cs="Times New Roman"/>
                <w:b/>
                <w:bCs/>
                <w:sz w:val="15"/>
                <w:szCs w:val="15"/>
              </w:rPr>
              <w:t>TCA cycle</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Malonyl CoA</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1000.00↑</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Succinyl CoA</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1.34</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Succinate </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0.78</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[Fumarate, Maleate, &amp; Isoketovalerate]</w:t>
            </w:r>
            <w:r>
              <w:rPr>
                <w:rFonts w:ascii="Times New Roman" w:eastAsia="Times New Roman" w:hAnsi="Times New Roman" w:cs="Times New Roman"/>
                <w:sz w:val="15"/>
                <w:szCs w:val="15"/>
                <w:vertAlign w:val="superscript"/>
              </w:rPr>
              <w:t>c</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0.72</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Citrate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0.70</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2-Oxoglutarate</w:t>
            </w:r>
            <w:r>
              <w:rPr>
                <w:rFonts w:ascii="Times New Roman" w:eastAsia="Times New Roman" w:hAnsi="Times New Roman" w:cs="Times New Roman"/>
                <w:sz w:val="15"/>
                <w:szCs w:val="15"/>
                <w:vertAlign w:val="superscript"/>
              </w:rPr>
              <w:t>b</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0.62↓</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3-Phosphoglycerate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1.89↑</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[1,3 &amp; 2,3 Bisphosphoglycerate]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1.10</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Phosphoenolpyruvate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0.61↓</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b/>
                <w:bCs/>
                <w:sz w:val="15"/>
                <w:szCs w:val="15"/>
              </w:rPr>
            </w:pPr>
            <w:r>
              <w:rPr>
                <w:rFonts w:ascii="Times New Roman" w:eastAsia="Times New Roman" w:hAnsi="Times New Roman" w:cs="Times New Roman"/>
                <w:b/>
                <w:bCs/>
                <w:sz w:val="15"/>
                <w:szCs w:val="15"/>
              </w:rPr>
              <w:t>Lipids</w:t>
            </w:r>
          </w:p>
        </w:tc>
        <w:tc>
          <w:tcPr>
            <w:tcW w:w="1440" w:type="dxa"/>
            <w:noWrap/>
          </w:tcPr>
          <w:p w:rsidR="005E3076" w:rsidRDefault="005E3076" w:rsidP="00080007">
            <w:pPr>
              <w:spacing w:before="100" w:beforeAutospacing="1" w:after="100" w:afterAutospacing="1" w:line="240" w:lineRule="auto"/>
              <w:rPr>
                <w:rFonts w:ascii="Times New Roman" w:eastAsia="Times New Roman" w:hAnsi="Times New Roman" w:cs="Times New Roman"/>
                <w:sz w:val="15"/>
                <w:szCs w:val="15"/>
              </w:rPr>
            </w:pP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[Phosphatidylcholine, Phosphatidylethanolamine &amp;    </w:t>
            </w:r>
          </w:p>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 xml:space="preserve">          Ethanolamine]</w:t>
            </w:r>
            <w:r>
              <w:rPr>
                <w:rFonts w:ascii="Times New Roman" w:eastAsia="Times New Roman" w:hAnsi="Times New Roman" w:cs="Times New Roman"/>
                <w:sz w:val="15"/>
                <w:szCs w:val="15"/>
                <w:vertAlign w:val="superscript"/>
              </w:rPr>
              <w:t>c</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1000.00↑</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Propionyl CoA</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79.81↑</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Ethanolamine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2.93↑</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Palmitate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0.97</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Farnesylpyrophosphate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0.57↓</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b/>
                <w:bCs/>
                <w:sz w:val="15"/>
                <w:szCs w:val="15"/>
              </w:rPr>
              <w:t>Nucleic acids, Nucleosides and Nucleotides</w:t>
            </w:r>
          </w:p>
        </w:tc>
        <w:tc>
          <w:tcPr>
            <w:tcW w:w="1440" w:type="dxa"/>
            <w:noWrap/>
          </w:tcPr>
          <w:p w:rsidR="005E3076" w:rsidRDefault="005E3076" w:rsidP="00080007">
            <w:pPr>
              <w:spacing w:before="100" w:beforeAutospacing="1" w:after="100" w:afterAutospacing="1" w:line="240" w:lineRule="auto"/>
              <w:rPr>
                <w:rFonts w:ascii="Times New Roman" w:eastAsia="Times New Roman" w:hAnsi="Times New Roman" w:cs="Times New Roman"/>
                <w:sz w:val="15"/>
                <w:szCs w:val="15"/>
              </w:rPr>
            </w:pP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b/>
                <w:bCs/>
                <w:sz w:val="15"/>
                <w:szCs w:val="15"/>
              </w:rPr>
            </w:pPr>
            <w:r>
              <w:rPr>
                <w:rFonts w:ascii="Times New Roman" w:eastAsia="Times New Roman" w:hAnsi="Times New Roman" w:cs="Times New Roman"/>
                <w:sz w:val="15"/>
                <w:szCs w:val="15"/>
              </w:rPr>
              <w:t>Deoxyadenosine</w:t>
            </w:r>
            <w:r>
              <w:rPr>
                <w:rFonts w:ascii="Times New Roman" w:eastAsia="Times New Roman" w:hAnsi="Times New Roman" w:cs="Times New Roman"/>
                <w:sz w:val="15"/>
                <w:szCs w:val="15"/>
                <w:vertAlign w:val="superscript"/>
              </w:rPr>
              <w:t>b</w:t>
            </w:r>
          </w:p>
        </w:tc>
        <w:tc>
          <w:tcPr>
            <w:tcW w:w="1440" w:type="dxa"/>
            <w:noWrap/>
            <w:hideMark/>
          </w:tcPr>
          <w:p w:rsidR="005E3076" w:rsidRDefault="005E3076" w:rsidP="00080007">
            <w:pPr>
              <w:spacing w:after="0" w:line="240" w:lineRule="auto"/>
              <w:rPr>
                <w:rFonts w:ascii="Times New Roman" w:eastAsia="Times New Roman" w:hAnsi="Times New Roman" w:cs="Times New Roman"/>
                <w:b/>
                <w:bCs/>
                <w:sz w:val="15"/>
                <w:szCs w:val="15"/>
              </w:rPr>
            </w:pPr>
            <w:r>
              <w:rPr>
                <w:rFonts w:ascii="Times New Roman" w:eastAsia="Times New Roman" w:hAnsi="Times New Roman" w:cs="Times New Roman"/>
                <w:sz w:val="15"/>
                <w:szCs w:val="15"/>
              </w:rPr>
              <w:t>4.69↑</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Thymine</w:t>
            </w:r>
            <w:r>
              <w:rPr>
                <w:rFonts w:ascii="Times New Roman" w:eastAsia="Times New Roman" w:hAnsi="Times New Roman" w:cs="Times New Roman"/>
                <w:sz w:val="15"/>
                <w:szCs w:val="15"/>
                <w:vertAlign w:val="superscript"/>
              </w:rPr>
              <w:t>b</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2.62↑</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Cytosine</w:t>
            </w:r>
            <w:r>
              <w:rPr>
                <w:rFonts w:ascii="Times New Roman" w:eastAsia="Times New Roman" w:hAnsi="Times New Roman" w:cs="Times New Roman"/>
                <w:sz w:val="15"/>
                <w:szCs w:val="15"/>
                <w:vertAlign w:val="superscript"/>
              </w:rPr>
              <w:t>b</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1.55↑</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dCDP</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1.24</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UDP</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1.12</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5'-Methylthioadenosine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1.05</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Orotate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0.95</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Dihydrooroate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0.87</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N-Acetylglucosamine-1-Phosphate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0.80</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TDP</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0.57↓</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GMP</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0.42↓</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5-Methyldeoxycytidine</w:t>
            </w:r>
            <w:r>
              <w:rPr>
                <w:rFonts w:ascii="Times New Roman" w:eastAsia="Times New Roman" w:hAnsi="Times New Roman" w:cs="Times New Roman"/>
                <w:sz w:val="15"/>
                <w:szCs w:val="15"/>
                <w:vertAlign w:val="superscript"/>
              </w:rPr>
              <w:t>b</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0.35↓</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b/>
                <w:bCs/>
                <w:sz w:val="15"/>
                <w:szCs w:val="15"/>
              </w:rPr>
              <w:t>Pentose phosphate</w:t>
            </w:r>
          </w:p>
        </w:tc>
        <w:tc>
          <w:tcPr>
            <w:tcW w:w="1440" w:type="dxa"/>
            <w:noWrap/>
          </w:tcPr>
          <w:p w:rsidR="005E3076" w:rsidRDefault="005E3076" w:rsidP="00080007">
            <w:pPr>
              <w:spacing w:before="100" w:beforeAutospacing="1" w:after="100" w:afterAutospacing="1" w:line="240" w:lineRule="auto"/>
              <w:rPr>
                <w:rFonts w:ascii="Times New Roman" w:eastAsia="Times New Roman" w:hAnsi="Times New Roman" w:cs="Times New Roman"/>
                <w:sz w:val="15"/>
                <w:szCs w:val="15"/>
              </w:rPr>
            </w:pP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b/>
                <w:bCs/>
                <w:sz w:val="15"/>
                <w:szCs w:val="15"/>
              </w:rPr>
            </w:pPr>
            <w:r>
              <w:rPr>
                <w:rFonts w:ascii="Times New Roman" w:eastAsia="Times New Roman" w:hAnsi="Times New Roman" w:cs="Times New Roman"/>
                <w:sz w:val="15"/>
                <w:szCs w:val="15"/>
              </w:rPr>
              <w:t>Fructose-1,6-Bisphosphate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0.99</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Sedoheptulose-7-Phosphate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0.71</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Erythrose-4-Phosphate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0.00↓</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b/>
                <w:bCs/>
                <w:sz w:val="15"/>
                <w:szCs w:val="15"/>
              </w:rPr>
              <w:t>Cofactors, vitamins and electron carriers</w:t>
            </w:r>
          </w:p>
        </w:tc>
        <w:tc>
          <w:tcPr>
            <w:tcW w:w="1440" w:type="dxa"/>
            <w:noWrap/>
          </w:tcPr>
          <w:p w:rsidR="005E3076" w:rsidRDefault="005E3076" w:rsidP="00080007">
            <w:pPr>
              <w:spacing w:before="100" w:beforeAutospacing="1" w:after="100" w:afterAutospacing="1" w:line="240" w:lineRule="auto"/>
              <w:rPr>
                <w:rFonts w:ascii="Times New Roman" w:eastAsia="Times New Roman" w:hAnsi="Times New Roman" w:cs="Times New Roman"/>
                <w:sz w:val="15"/>
                <w:szCs w:val="15"/>
              </w:rPr>
            </w:pP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b/>
                <w:bCs/>
                <w:sz w:val="15"/>
                <w:szCs w:val="15"/>
              </w:rPr>
            </w:pPr>
            <w:r>
              <w:rPr>
                <w:rFonts w:ascii="Times New Roman" w:eastAsia="Times New Roman" w:hAnsi="Times New Roman" w:cs="Times New Roman"/>
                <w:sz w:val="15"/>
                <w:szCs w:val="15"/>
              </w:rPr>
              <w:t>Acetyl CoA</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35.17↑</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Pyridoxine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4.63↑</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Nicotinate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0.95</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5-Methyltetrahydrofolate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0.85</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Methylmalonic Acid</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0.79</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Thiamine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0.29↓</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FAD</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0.00↓</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NAD</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0.00↓</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b/>
                <w:bCs/>
                <w:sz w:val="15"/>
                <w:szCs w:val="15"/>
              </w:rPr>
              <w:t>Other</w:t>
            </w:r>
          </w:p>
        </w:tc>
        <w:tc>
          <w:tcPr>
            <w:tcW w:w="1440" w:type="dxa"/>
            <w:noWrap/>
          </w:tcPr>
          <w:p w:rsidR="005E3076" w:rsidRDefault="005E3076" w:rsidP="00080007">
            <w:pPr>
              <w:spacing w:before="100" w:beforeAutospacing="1" w:after="100" w:afterAutospacing="1" w:line="240" w:lineRule="auto"/>
              <w:rPr>
                <w:rFonts w:ascii="Times New Roman" w:eastAsia="Times New Roman" w:hAnsi="Times New Roman" w:cs="Times New Roman"/>
                <w:sz w:val="15"/>
                <w:szCs w:val="15"/>
              </w:rPr>
            </w:pP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b/>
                <w:bCs/>
                <w:sz w:val="15"/>
                <w:szCs w:val="15"/>
              </w:rPr>
            </w:pPr>
            <w:r>
              <w:rPr>
                <w:rFonts w:ascii="Times New Roman" w:eastAsia="Times New Roman" w:hAnsi="Times New Roman" w:cs="Times New Roman"/>
                <w:sz w:val="15"/>
                <w:szCs w:val="15"/>
              </w:rPr>
              <w:t>Urea</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2.78↑</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DL-Pipecolic Acid</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1.89↑</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Acetyl Phosphate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0.92</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4-Hydroxybenzoate</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0.81</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Citraconate</w:t>
            </w:r>
            <w:r>
              <w:rPr>
                <w:rFonts w:ascii="Times New Roman" w:eastAsia="Times New Roman" w:hAnsi="Times New Roman" w:cs="Times New Roman"/>
                <w:sz w:val="15"/>
                <w:szCs w:val="15"/>
                <w:vertAlign w:val="superscript"/>
              </w:rPr>
              <w:t>d</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0.42↓</w:t>
            </w:r>
          </w:p>
        </w:tc>
      </w:tr>
      <w:tr w:rsidR="005E3076" w:rsidTr="00080007">
        <w:trPr>
          <w:trHeight w:val="20"/>
          <w:jc w:val="center"/>
        </w:trPr>
        <w:tc>
          <w:tcPr>
            <w:tcW w:w="3705"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Phenylpyruvate</w:t>
            </w:r>
            <w:r>
              <w:rPr>
                <w:rFonts w:ascii="Times New Roman" w:eastAsia="Times New Roman" w:hAnsi="Times New Roman" w:cs="Times New Roman"/>
                <w:sz w:val="15"/>
                <w:szCs w:val="15"/>
                <w:vertAlign w:val="superscript"/>
              </w:rPr>
              <w:t>b</w:t>
            </w:r>
          </w:p>
        </w:tc>
        <w:tc>
          <w:tcPr>
            <w:tcW w:w="1440" w:type="dxa"/>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0.37↓</w:t>
            </w:r>
          </w:p>
        </w:tc>
      </w:tr>
      <w:tr w:rsidR="005E3076" w:rsidTr="00080007">
        <w:trPr>
          <w:trHeight w:val="20"/>
          <w:jc w:val="center"/>
        </w:trPr>
        <w:tc>
          <w:tcPr>
            <w:tcW w:w="3705" w:type="dxa"/>
            <w:tcBorders>
              <w:top w:val="nil"/>
              <w:left w:val="nil"/>
              <w:bottom w:val="single" w:sz="4" w:space="0" w:color="auto"/>
              <w:right w:val="nil"/>
            </w:tcBorders>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Lactate</w:t>
            </w:r>
          </w:p>
        </w:tc>
        <w:tc>
          <w:tcPr>
            <w:tcW w:w="1440" w:type="dxa"/>
            <w:tcBorders>
              <w:top w:val="nil"/>
              <w:left w:val="nil"/>
              <w:bottom w:val="single" w:sz="4" w:space="0" w:color="auto"/>
              <w:right w:val="nil"/>
            </w:tcBorders>
            <w:noWrap/>
            <w:hideMark/>
          </w:tcPr>
          <w:p w:rsidR="005E3076" w:rsidRDefault="005E3076" w:rsidP="00080007">
            <w:pPr>
              <w:spacing w:after="0" w:line="240" w:lineRule="auto"/>
              <w:rPr>
                <w:rFonts w:ascii="Times New Roman" w:eastAsia="Times New Roman" w:hAnsi="Times New Roman" w:cs="Times New Roman"/>
                <w:sz w:val="15"/>
                <w:szCs w:val="15"/>
              </w:rPr>
            </w:pPr>
            <w:r>
              <w:rPr>
                <w:rFonts w:ascii="Times New Roman" w:eastAsia="Times New Roman" w:hAnsi="Times New Roman" w:cs="Times New Roman"/>
                <w:sz w:val="15"/>
                <w:szCs w:val="15"/>
              </w:rPr>
              <w:t>0.32↓</w:t>
            </w:r>
          </w:p>
        </w:tc>
      </w:tr>
      <w:tr w:rsidR="005E3076" w:rsidTr="00080007">
        <w:trPr>
          <w:trHeight w:val="20"/>
          <w:jc w:val="center"/>
        </w:trPr>
        <w:tc>
          <w:tcPr>
            <w:tcW w:w="5145" w:type="dxa"/>
            <w:gridSpan w:val="2"/>
            <w:tcBorders>
              <w:top w:val="single" w:sz="4" w:space="0" w:color="auto"/>
              <w:left w:val="nil"/>
              <w:bottom w:val="single" w:sz="4" w:space="0" w:color="auto"/>
              <w:right w:val="nil"/>
            </w:tcBorders>
            <w:noWrap/>
            <w:hideMark/>
          </w:tcPr>
          <w:p w:rsidR="005E3076" w:rsidRDefault="005E3076" w:rsidP="00080007">
            <w:pPr>
              <w:spacing w:after="0" w:line="240" w:lineRule="auto"/>
              <w:rPr>
                <w:rFonts w:ascii="Times New Roman" w:eastAsia="Calibri" w:hAnsi="Times New Roman" w:cs="Times New Roman"/>
                <w:sz w:val="15"/>
                <w:szCs w:val="15"/>
              </w:rPr>
            </w:pPr>
            <w:r>
              <w:rPr>
                <w:rFonts w:ascii="Times New Roman" w:eastAsia="Calibri" w:hAnsi="Times New Roman" w:cs="Times New Roman"/>
                <w:sz w:val="15"/>
                <w:szCs w:val="15"/>
                <w:vertAlign w:val="superscript"/>
              </w:rPr>
              <w:t>a</w:t>
            </w:r>
            <w:r>
              <w:rPr>
                <w:rFonts w:ascii="Times New Roman" w:eastAsia="Calibri" w:hAnsi="Times New Roman" w:cs="Times New Roman"/>
                <w:sz w:val="15"/>
                <w:szCs w:val="15"/>
              </w:rPr>
              <w:t xml:space="preserve">Metabolite levels in infected cultures are expressed relative to levels in control cultures at 480 min. Elevated metabolites, </w:t>
            </w:r>
            <w:r>
              <w:rPr>
                <w:rFonts w:ascii="Times New Roman" w:eastAsia="Times New Roman" w:hAnsi="Times New Roman" w:cs="Times New Roman"/>
                <w:sz w:val="15"/>
                <w:szCs w:val="15"/>
              </w:rPr>
              <w:t>↑</w:t>
            </w:r>
            <w:r>
              <w:rPr>
                <w:rFonts w:ascii="Times New Roman" w:eastAsia="Calibri" w:hAnsi="Times New Roman" w:cs="Times New Roman"/>
                <w:sz w:val="15"/>
                <w:szCs w:val="15"/>
              </w:rPr>
              <w:t xml:space="preserve">,(fold change ≥1.5) and depressed metabolites , </w:t>
            </w:r>
            <w:r>
              <w:rPr>
                <w:rFonts w:ascii="Times New Roman" w:eastAsia="Times New Roman" w:hAnsi="Times New Roman" w:cs="Times New Roman"/>
                <w:sz w:val="15"/>
                <w:szCs w:val="15"/>
              </w:rPr>
              <w:t>↓</w:t>
            </w:r>
            <w:r>
              <w:rPr>
                <w:rFonts w:ascii="Times New Roman" w:eastAsia="Calibri" w:hAnsi="Times New Roman" w:cs="Times New Roman"/>
                <w:sz w:val="15"/>
                <w:szCs w:val="15"/>
              </w:rPr>
              <w:t>,( fold change ≤ 0.67)</w:t>
            </w:r>
            <w:r>
              <w:rPr>
                <w:rFonts w:ascii="Times New Roman" w:eastAsia="Times New Roman" w:hAnsi="Times New Roman" w:cs="Times New Roman"/>
                <w:sz w:val="15"/>
                <w:szCs w:val="15"/>
              </w:rPr>
              <w:t>.</w:t>
            </w:r>
          </w:p>
          <w:p w:rsidR="005E3076" w:rsidRDefault="005E3076" w:rsidP="00080007">
            <w:pPr>
              <w:spacing w:after="0" w:line="240" w:lineRule="auto"/>
              <w:rPr>
                <w:rFonts w:ascii="Times New Roman" w:eastAsia="Calibri" w:hAnsi="Times New Roman" w:cs="Times New Roman"/>
                <w:sz w:val="15"/>
                <w:szCs w:val="15"/>
              </w:rPr>
            </w:pPr>
            <w:r>
              <w:rPr>
                <w:rFonts w:ascii="Times New Roman" w:eastAsia="Calibri" w:hAnsi="Times New Roman" w:cs="Times New Roman"/>
                <w:sz w:val="15"/>
                <w:szCs w:val="15"/>
                <w:vertAlign w:val="superscript"/>
              </w:rPr>
              <w:t>b</w:t>
            </w:r>
            <w:r>
              <w:rPr>
                <w:rFonts w:ascii="Times New Roman" w:eastAsia="Calibri" w:hAnsi="Times New Roman" w:cs="Times New Roman"/>
                <w:sz w:val="15"/>
                <w:szCs w:val="15"/>
              </w:rPr>
              <w:t>Not detected in intact cells, detected in filtrates only</w:t>
            </w:r>
          </w:p>
          <w:p w:rsidR="005E3076" w:rsidRDefault="005E3076" w:rsidP="00080007">
            <w:pPr>
              <w:spacing w:after="0" w:line="240" w:lineRule="auto"/>
              <w:rPr>
                <w:rFonts w:ascii="Times New Roman" w:eastAsia="Calibri" w:hAnsi="Times New Roman" w:cs="Times New Roman"/>
                <w:sz w:val="15"/>
                <w:szCs w:val="15"/>
              </w:rPr>
            </w:pPr>
            <w:r>
              <w:rPr>
                <w:rFonts w:ascii="Times New Roman" w:eastAsia="Calibri" w:hAnsi="Times New Roman" w:cs="Times New Roman"/>
                <w:sz w:val="15"/>
                <w:szCs w:val="15"/>
                <w:vertAlign w:val="superscript"/>
              </w:rPr>
              <w:t>c</w:t>
            </w:r>
            <w:r>
              <w:rPr>
                <w:rFonts w:ascii="Times New Roman" w:eastAsia="Calibri" w:hAnsi="Times New Roman" w:cs="Times New Roman"/>
                <w:sz w:val="15"/>
                <w:szCs w:val="15"/>
              </w:rPr>
              <w:t>Metabolites are indistinguishable with the applied method</w:t>
            </w:r>
          </w:p>
        </w:tc>
      </w:tr>
    </w:tbl>
    <w:p w:rsidR="003775EC" w:rsidRDefault="003775EC"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b/>
          <w:i/>
          <w:sz w:val="24"/>
          <w:szCs w:val="24"/>
        </w:rPr>
      </w:pPr>
      <w:r>
        <w:rPr>
          <w:rFonts w:ascii="Times New Roman" w:hAnsi="Times New Roman"/>
          <w:b/>
          <w:i/>
          <w:sz w:val="24"/>
          <w:szCs w:val="24"/>
        </w:rPr>
        <w:lastRenderedPageBreak/>
        <w:t xml:space="preserve">Alterations in Intracellular Metabolite Pools and Flux during Phage Infection </w:t>
      </w:r>
    </w:p>
    <w:p w:rsidR="005E3076" w:rsidRDefault="005E3076" w:rsidP="005E3076">
      <w:pPr>
        <w:pStyle w:val="NoSpacing"/>
        <w:spacing w:line="360" w:lineRule="auto"/>
        <w:jc w:val="both"/>
        <w:rPr>
          <w:rFonts w:ascii="Times New Roman" w:eastAsiaTheme="minorHAnsi" w:hAnsi="Times New Roman"/>
          <w:sz w:val="24"/>
          <w:szCs w:val="24"/>
        </w:rPr>
      </w:pPr>
      <w:r>
        <w:rPr>
          <w:rFonts w:ascii="Times New Roman" w:hAnsi="Times New Roman"/>
          <w:sz w:val="24"/>
          <w:szCs w:val="24"/>
        </w:rPr>
        <w:t xml:space="preserve">The set of molecules released upon phage-induced cell lysis is in part a reflection of the intracellular metabolite pools of the host. Yet, surprisingly little is known of the influence of phage infection on host metabolism at a global level. Much of the knowledge concerning bacteriophage-host interactions comes from studies of T-even (T2, T4, and T6) viruses that infect </w:t>
      </w:r>
      <w:r>
        <w:rPr>
          <w:rFonts w:ascii="Times New Roman" w:hAnsi="Times New Roman"/>
          <w:i/>
          <w:sz w:val="24"/>
          <w:szCs w:val="24"/>
        </w:rPr>
        <w:t>Escherichia coli</w:t>
      </w:r>
      <w:r>
        <w:rPr>
          <w:rFonts w:ascii="Times New Roman" w:hAnsi="Times New Roman"/>
          <w:sz w:val="24"/>
          <w:szCs w:val="24"/>
        </w:rPr>
        <w:t xml:space="preserve">. Both lysogenic and lytic coliphages initially promote similar alterations </w:t>
      </w:r>
      <w:r>
        <w:rPr>
          <w:rFonts w:ascii="Times New Roman" w:eastAsiaTheme="minorHAnsi" w:hAnsi="Times New Roman"/>
          <w:sz w:val="24"/>
          <w:szCs w:val="24"/>
        </w:rPr>
        <w:t>in host metabolism</w:t>
      </w:r>
      <w:r w:rsidR="00B353B5">
        <w:rPr>
          <w:rFonts w:ascii="Times New Roman" w:eastAsiaTheme="minorHAnsi" w:hAnsi="Times New Roman"/>
          <w:sz w:val="24"/>
          <w:szCs w:val="24"/>
          <w:vertAlign w:val="superscript"/>
        </w:rPr>
        <w:t>101</w:t>
      </w:r>
      <w:r>
        <w:rPr>
          <w:rFonts w:ascii="Times New Roman" w:eastAsiaTheme="minorHAnsi" w:hAnsi="Times New Roman"/>
          <w:sz w:val="24"/>
          <w:szCs w:val="24"/>
        </w:rPr>
        <w:t xml:space="preserve"> </w:t>
      </w:r>
      <w:r>
        <w:rPr>
          <w:rFonts w:ascii="Times New Roman" w:eastAsiaTheme="minorHAnsi" w:hAnsi="Times New Roman"/>
          <w:b/>
          <w:sz w:val="24"/>
          <w:szCs w:val="24"/>
        </w:rPr>
        <w:fldChar w:fldCharType="begin"/>
      </w:r>
      <w:r>
        <w:rPr>
          <w:rFonts w:ascii="Times New Roman" w:eastAsiaTheme="minorHAnsi" w:hAnsi="Times New Roman"/>
          <w:b/>
          <w:sz w:val="24"/>
          <w:szCs w:val="24"/>
        </w:rPr>
        <w:instrText xml:space="preserve"> ADDIN EN.CITE &lt;EndNote&gt;&lt;Cite&gt;&lt;Author&gt;Fry&lt;/Author&gt;&lt;Year&gt;1959&lt;/Year&gt;&lt;RecNum&gt;1097&lt;/RecNum&gt;&lt;DisplayText&gt;(Fry &amp;amp; Gros, 1959)&lt;/DisplayText&gt;&lt;record&gt;&lt;rec-number&gt;1097&lt;/rec-number&gt;&lt;foreign-keys&gt;&lt;key app="EN" db-id="vap92xewodvfzgeddtmxsvanvxzav9r22fxa"&gt;1097&lt;/key&gt;&lt;/foreign-keys&gt;&lt;ref-type name="Journal Article"&gt;17&lt;/ref-type&gt;&lt;contributors&gt;&lt;authors&gt;&lt;author&gt;Fry, B. A.&lt;/author&gt;&lt;author&gt;Gros, F.&lt;/author&gt;&lt;/authors&gt;&lt;/contributors&gt;&lt;titles&gt;&lt;title&gt;The metabolic activities of Escherichia coli during the establishment of lysogeny&lt;/title&gt;&lt;secondary-title&gt;Journal of General Microbiology&lt;/secondary-title&gt;&lt;/titles&gt;&lt;periodical&gt;&lt;full-title&gt;Journal of General Microbiology&lt;/full-title&gt;&lt;/periodical&gt;&lt;pages&gt;685-692&lt;/pages&gt;&lt;volume&gt;21&lt;/volume&gt;&lt;number&gt;3&lt;/number&gt;&lt;dates&gt;&lt;year&gt;1959&lt;/year&gt;&lt;pub-dates&gt;&lt;date&gt;1959&lt;/date&gt;&lt;/pub-dates&gt;&lt;/dates&gt;&lt;isbn&gt;0022-1287&lt;/isbn&gt;&lt;accession-num&gt;WOS:A1959WE28600021&lt;/accession-num&gt;&lt;urls&gt;&lt;related-urls&gt;&lt;url&gt;&amp;lt;Go to ISI&amp;gt;://WOS:A1959WE28600021&lt;/url&gt;&lt;/related-urls&gt;&lt;/urls&gt;&lt;/record&gt;&lt;/Cite&gt;&lt;/EndNote&gt;</w:instrText>
      </w:r>
      <w:r>
        <w:rPr>
          <w:rFonts w:ascii="Times New Roman" w:eastAsiaTheme="minorHAnsi" w:hAnsi="Times New Roman"/>
          <w:b/>
          <w:sz w:val="24"/>
          <w:szCs w:val="24"/>
        </w:rPr>
        <w:fldChar w:fldCharType="end"/>
      </w:r>
      <w:r>
        <w:rPr>
          <w:rFonts w:ascii="Times New Roman" w:hAnsi="Times New Roman"/>
          <w:sz w:val="24"/>
          <w:szCs w:val="24"/>
        </w:rPr>
        <w:t>that halt host cell DNA synthesis,</w:t>
      </w:r>
      <w:r w:rsidR="00B353B5">
        <w:rPr>
          <w:rFonts w:ascii="Times New Roman" w:hAnsi="Times New Roman"/>
          <w:sz w:val="24"/>
          <w:szCs w:val="24"/>
          <w:vertAlign w:val="superscript"/>
        </w:rPr>
        <w:t>102</w:t>
      </w:r>
      <w:r>
        <w:rPr>
          <w:rFonts w:ascii="Times New Roman" w:hAnsi="Times New Roman"/>
          <w:sz w:val="24"/>
          <w:szCs w:val="24"/>
        </w:rPr>
        <w:t xml:space="preserve"> </w:t>
      </w:r>
      <w:r>
        <w:rPr>
          <w:rFonts w:ascii="Times New Roman" w:hAnsi="Times New Roman"/>
          <w:b/>
          <w:sz w:val="24"/>
          <w:szCs w:val="24"/>
        </w:rPr>
        <w:fldChar w:fldCharType="begin"/>
      </w:r>
      <w:r>
        <w:rPr>
          <w:rFonts w:ascii="Times New Roman" w:hAnsi="Times New Roman"/>
          <w:b/>
          <w:sz w:val="24"/>
          <w:szCs w:val="24"/>
        </w:rPr>
        <w:instrText xml:space="preserve"> ADDIN EN.CITE &lt;EndNote&gt;&lt;Cite&gt;&lt;Author&gt;Koch&lt;/Author&gt;&lt;Year&gt;1952&lt;/Year&gt;&lt;RecNum&gt;1082&lt;/RecNum&gt;&lt;DisplayText&gt;(Koch, Putnam, &amp;amp; Evans, 1952)&lt;/DisplayText&gt;&lt;record&gt;&lt;rec-number&gt;1082&lt;/rec-number&gt;&lt;foreign-keys&gt;&lt;key app="EN" db-id="vap92xewodvfzgeddtmxsvanvxzav9r22fxa"&gt;1082&lt;/key&gt;&lt;/foreign-keys&gt;&lt;ref-type name="Journal Article"&gt;17&lt;/ref-type&gt;&lt;contributors&gt;&lt;authors&gt;&lt;author&gt;Koch, A. L.&lt;/author&gt;&lt;author&gt;Putnam, F. W.&lt;/author&gt;&lt;author&gt;Evans, E. A.&lt;/author&gt;&lt;/authors&gt;&lt;/contributors&gt;&lt;titles&gt;&lt;title&gt;Biochemical studies of virus production VII Purine metabolism&lt;/title&gt;&lt;secondary-title&gt;Journal of Biological Chemistry&lt;/secondary-title&gt;&lt;/titles&gt;&lt;periodical&gt;&lt;full-title&gt;Journal of Biological Chemistry&lt;/full-title&gt;&lt;/periodical&gt;&lt;pages&gt;113-120&lt;/pages&gt;&lt;volume&gt;197&lt;/volume&gt;&lt;number&gt;1&lt;/number&gt;&lt;dates&gt;&lt;year&gt;1952&lt;/year&gt;&lt;pub-dates&gt;&lt;date&gt;1952&lt;/date&gt;&lt;/pub-dates&gt;&lt;/dates&gt;&lt;isbn&gt;0021-9258&lt;/isbn&gt;&lt;accession-num&gt;WOS:A1952UB63800014&lt;/accession-num&gt;&lt;urls&gt;&lt;related-urls&gt;&lt;url&gt;&amp;lt;Go to ISI&amp;gt;://WOS:A1952UB63800014&lt;/url&gt;&lt;/related-urls&gt;&lt;/urls&gt;&lt;/record&gt;&lt;/Cite&gt;&lt;/EndNote&gt;</w:instrText>
      </w:r>
      <w:r>
        <w:rPr>
          <w:rFonts w:ascii="Times New Roman" w:hAnsi="Times New Roman"/>
          <w:b/>
          <w:sz w:val="24"/>
          <w:szCs w:val="24"/>
        </w:rPr>
        <w:fldChar w:fldCharType="end"/>
      </w:r>
      <w:r>
        <w:rPr>
          <w:rFonts w:ascii="Times New Roman" w:hAnsi="Times New Roman"/>
          <w:sz w:val="24"/>
          <w:szCs w:val="24"/>
        </w:rPr>
        <w:t>degrade host DNA,</w:t>
      </w:r>
      <w:r w:rsidR="00B353B5">
        <w:rPr>
          <w:rFonts w:ascii="Times New Roman" w:hAnsi="Times New Roman"/>
          <w:sz w:val="24"/>
          <w:szCs w:val="24"/>
          <w:vertAlign w:val="superscript"/>
        </w:rPr>
        <w:t>103</w:t>
      </w:r>
      <w:r>
        <w:rPr>
          <w:rFonts w:ascii="Times New Roman" w:hAnsi="Times New Roman"/>
          <w:sz w:val="24"/>
          <w:szCs w:val="24"/>
          <w:vertAlign w:val="superscript"/>
        </w:rPr>
        <w:t xml:space="preserve">, </w:t>
      </w:r>
      <w:r w:rsidR="00B353B5">
        <w:rPr>
          <w:rFonts w:ascii="Times New Roman" w:hAnsi="Times New Roman"/>
          <w:sz w:val="24"/>
          <w:szCs w:val="24"/>
          <w:vertAlign w:val="superscript"/>
        </w:rPr>
        <w:t>104</w:t>
      </w:r>
      <w:r>
        <w:rPr>
          <w:rFonts w:ascii="Times New Roman" w:hAnsi="Times New Roman"/>
          <w:sz w:val="24"/>
          <w:szCs w:val="24"/>
          <w:vertAlign w:val="superscript"/>
        </w:rPr>
        <w:t xml:space="preserve">, </w:t>
      </w:r>
      <w:r w:rsidR="00B353B5">
        <w:rPr>
          <w:rFonts w:ascii="Times New Roman" w:hAnsi="Times New Roman"/>
          <w:sz w:val="24"/>
          <w:szCs w:val="24"/>
          <w:vertAlign w:val="superscript"/>
        </w:rPr>
        <w:t>105</w:t>
      </w:r>
      <w:r>
        <w:rPr>
          <w:rFonts w:ascii="Times New Roman" w:hAnsi="Times New Roman"/>
          <w:sz w:val="24"/>
          <w:szCs w:val="24"/>
        </w:rPr>
        <w:t xml:space="preserve"> </w:t>
      </w:r>
      <w:r>
        <w:rPr>
          <w:rFonts w:ascii="Times New Roman" w:hAnsi="Times New Roman"/>
          <w:b/>
          <w:sz w:val="24"/>
          <w:szCs w:val="24"/>
        </w:rPr>
        <w:fldChar w:fldCharType="begin">
          <w:fldData xml:space="preserve">PEVuZE5vdGU+PENpdGU+PEF1dGhvcj5Db2hlbjwvQXV0aG9yPjxZZWFyPjE5NDg8L1llYXI+PFJl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</w:fldData>
        </w:fldChar>
      </w:r>
      <w:r>
        <w:rPr>
          <w:rFonts w:ascii="Times New Roman" w:hAnsi="Times New Roman"/>
          <w:b/>
          <w:sz w:val="24"/>
          <w:szCs w:val="24"/>
        </w:rPr>
        <w:instrText xml:space="preserve"> ADDIN EN.CITE </w:instrText>
      </w:r>
      <w:r>
        <w:rPr>
          <w:rFonts w:ascii="Times New Roman" w:hAnsi="Times New Roman"/>
          <w:b/>
          <w:sz w:val="24"/>
          <w:szCs w:val="24"/>
        </w:rPr>
        <w:fldChar w:fldCharType="begin">
          <w:fldData xml:space="preserve">PEVuZE5vdGU+PENpdGU+PEF1dGhvcj5Db2hlbjwvQXV0aG9yPjxZZWFyPjE5NDg8L1llYXI+PFJl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</w:fldData>
        </w:fldChar>
      </w:r>
      <w:r>
        <w:rPr>
          <w:rFonts w:ascii="Times New Roman" w:hAnsi="Times New Roman"/>
          <w:b/>
          <w:sz w:val="24"/>
          <w:szCs w:val="24"/>
        </w:rPr>
        <w:instrText xml:space="preserve"> ADDIN EN.CITE.DATA </w:instrText>
      </w:r>
      <w:r>
        <w:rPr>
          <w:rFonts w:ascii="Times New Roman" w:hAnsi="Times New Roman"/>
          <w:b/>
          <w:sz w:val="24"/>
          <w:szCs w:val="24"/>
        </w:rPr>
      </w:r>
      <w:r>
        <w:rPr>
          <w:rFonts w:ascii="Times New Roman" w:hAnsi="Times New Roman"/>
          <w:b/>
          <w:sz w:val="24"/>
          <w:szCs w:val="24"/>
        </w:rPr>
        <w:fldChar w:fldCharType="end"/>
      </w:r>
      <w:r>
        <w:rPr>
          <w:rFonts w:ascii="Times New Roman" w:hAnsi="Times New Roman"/>
          <w:b/>
          <w:sz w:val="24"/>
          <w:szCs w:val="24"/>
        </w:rPr>
      </w:r>
      <w:r>
        <w:rPr>
          <w:rFonts w:ascii="Times New Roman" w:hAnsi="Times New Roman"/>
          <w:b/>
          <w:sz w:val="24"/>
          <w:szCs w:val="24"/>
        </w:rPr>
        <w:fldChar w:fldCharType="end"/>
      </w:r>
      <w:r>
        <w:rPr>
          <w:rFonts w:ascii="Times New Roman" w:hAnsi="Times New Roman"/>
          <w:sz w:val="24"/>
          <w:szCs w:val="24"/>
        </w:rPr>
        <w:t>and assemble the machinery for viral production.</w:t>
      </w:r>
      <w:r w:rsidR="00B353B5">
        <w:rPr>
          <w:rFonts w:ascii="Times New Roman" w:hAnsi="Times New Roman"/>
          <w:sz w:val="24"/>
          <w:szCs w:val="24"/>
          <w:vertAlign w:val="superscript"/>
        </w:rPr>
        <w:t>102</w:t>
      </w:r>
      <w:r>
        <w:rPr>
          <w:rFonts w:ascii="Times New Roman" w:hAnsi="Times New Roman"/>
          <w:sz w:val="24"/>
          <w:szCs w:val="24"/>
          <w:vertAlign w:val="superscript"/>
        </w:rPr>
        <w:t xml:space="preserve">, </w:t>
      </w:r>
      <w:r w:rsidR="00B353B5">
        <w:rPr>
          <w:rFonts w:ascii="Times New Roman" w:hAnsi="Times New Roman"/>
          <w:sz w:val="24"/>
          <w:szCs w:val="24"/>
          <w:vertAlign w:val="superscript"/>
        </w:rPr>
        <w:t>105</w:t>
      </w:r>
      <w:r>
        <w:rPr>
          <w:rFonts w:ascii="Times New Roman" w:hAnsi="Times New Roman"/>
          <w:sz w:val="24"/>
          <w:szCs w:val="24"/>
          <w:vertAlign w:val="superscript"/>
        </w:rPr>
        <w:t xml:space="preserve"> </w:t>
      </w:r>
      <w:r>
        <w:rPr>
          <w:rFonts w:ascii="Times New Roman" w:hAnsi="Times New Roman"/>
          <w:sz w:val="24"/>
          <w:szCs w:val="24"/>
        </w:rPr>
        <w:t xml:space="preserve"> These activities drastically alter aspects of host metabolism.</w:t>
      </w:r>
      <w:r w:rsidR="00B353B5">
        <w:rPr>
          <w:rFonts w:ascii="Times New Roman" w:hAnsi="Times New Roman"/>
          <w:sz w:val="24"/>
          <w:szCs w:val="24"/>
          <w:vertAlign w:val="superscript"/>
        </w:rPr>
        <w:t>102</w:t>
      </w:r>
      <w:r>
        <w:rPr>
          <w:rFonts w:ascii="Times New Roman" w:hAnsi="Times New Roman"/>
          <w:sz w:val="24"/>
          <w:szCs w:val="24"/>
          <w:vertAlign w:val="superscript"/>
        </w:rPr>
        <w:t xml:space="preserve">, </w:t>
      </w:r>
      <w:r w:rsidR="00B353B5">
        <w:rPr>
          <w:rFonts w:ascii="Times New Roman" w:hAnsi="Times New Roman"/>
          <w:sz w:val="24"/>
          <w:szCs w:val="24"/>
          <w:vertAlign w:val="superscript"/>
        </w:rPr>
        <w:t>105</w:t>
      </w:r>
      <w:r>
        <w:rPr>
          <w:rFonts w:ascii="Times New Roman" w:hAnsi="Times New Roman"/>
          <w:sz w:val="24"/>
          <w:szCs w:val="24"/>
          <w:vertAlign w:val="superscript"/>
        </w:rPr>
        <w:t>,</w:t>
      </w:r>
      <w:r w:rsidR="00B0192A">
        <w:rPr>
          <w:rFonts w:ascii="Times New Roman" w:hAnsi="Times New Roman"/>
          <w:sz w:val="24"/>
          <w:szCs w:val="24"/>
          <w:vertAlign w:val="superscript"/>
        </w:rPr>
        <w:t xml:space="preserve"> 106, </w:t>
      </w:r>
      <w:r w:rsidR="00B353B5">
        <w:rPr>
          <w:rFonts w:ascii="Times New Roman" w:hAnsi="Times New Roman"/>
          <w:sz w:val="24"/>
          <w:szCs w:val="24"/>
          <w:vertAlign w:val="superscript"/>
        </w:rPr>
        <w:t>107</w:t>
      </w:r>
      <w:r>
        <w:rPr>
          <w:rFonts w:ascii="Times New Roman" w:hAnsi="Times New Roman"/>
          <w:sz w:val="24"/>
          <w:szCs w:val="24"/>
          <w:vertAlign w:val="superscript"/>
        </w:rPr>
        <w:t xml:space="preserve"> </w:t>
      </w:r>
      <w:r>
        <w:rPr>
          <w:rFonts w:ascii="Times New Roman" w:hAnsi="Times New Roman"/>
          <w:sz w:val="24"/>
          <w:szCs w:val="24"/>
        </w:rPr>
        <w:t xml:space="preserve"> As </w:t>
      </w:r>
      <w:r>
        <w:rPr>
          <w:rFonts w:ascii="Times New Roman" w:eastAsiaTheme="minorHAnsi" w:hAnsi="Times New Roman"/>
          <w:sz w:val="24"/>
          <w:szCs w:val="24"/>
        </w:rPr>
        <w:t>the breakdown of host DNA may not fully supply precursors needed for phage DNA synthesis,</w:t>
      </w:r>
      <w:r w:rsidR="003D1B25">
        <w:rPr>
          <w:rFonts w:ascii="Times New Roman" w:eastAsiaTheme="minorHAnsi" w:hAnsi="Times New Roman"/>
          <w:sz w:val="24"/>
          <w:szCs w:val="24"/>
          <w:vertAlign w:val="superscript"/>
        </w:rPr>
        <w:t>108</w:t>
      </w:r>
      <w:r>
        <w:rPr>
          <w:rFonts w:ascii="Times New Roman" w:eastAsiaTheme="minorHAnsi" w:hAnsi="Times New Roman"/>
          <w:sz w:val="24"/>
          <w:szCs w:val="24"/>
          <w:vertAlign w:val="superscript"/>
        </w:rPr>
        <w:t xml:space="preserve"> </w:t>
      </w:r>
      <w:r>
        <w:rPr>
          <w:rFonts w:ascii="Times New Roman" w:eastAsiaTheme="minorHAnsi" w:hAnsi="Times New Roman"/>
          <w:sz w:val="24"/>
          <w:szCs w:val="24"/>
        </w:rPr>
        <w:t xml:space="preserve">an initial lag in </w:t>
      </w:r>
      <w:r>
        <w:rPr>
          <w:rFonts w:ascii="Times New Roman" w:eastAsiaTheme="minorHAnsi" w:hAnsi="Times New Roman"/>
          <w:i/>
          <w:sz w:val="24"/>
          <w:szCs w:val="24"/>
        </w:rPr>
        <w:t>E. coli</w:t>
      </w:r>
      <w:r>
        <w:rPr>
          <w:rFonts w:ascii="Times New Roman" w:eastAsiaTheme="minorHAnsi" w:hAnsi="Times New Roman"/>
          <w:sz w:val="24"/>
          <w:szCs w:val="24"/>
        </w:rPr>
        <w:t xml:space="preserve"> metabolism is followed by rapid uptake of nutrients to be used for </w:t>
      </w:r>
      <w:r>
        <w:rPr>
          <w:rFonts w:ascii="Times New Roman" w:eastAsiaTheme="minorHAnsi" w:hAnsi="Times New Roman"/>
          <w:i/>
          <w:sz w:val="24"/>
          <w:szCs w:val="24"/>
        </w:rPr>
        <w:t>de novo</w:t>
      </w:r>
      <w:r>
        <w:rPr>
          <w:rFonts w:ascii="Times New Roman" w:eastAsiaTheme="minorHAnsi" w:hAnsi="Times New Roman"/>
          <w:sz w:val="24"/>
          <w:szCs w:val="24"/>
        </w:rPr>
        <w:t xml:space="preserve"> synthesis of macromolecular building blocks.</w:t>
      </w:r>
      <w:r w:rsidR="003D1B25">
        <w:rPr>
          <w:rFonts w:ascii="Times New Roman" w:eastAsiaTheme="minorHAnsi" w:hAnsi="Times New Roman"/>
          <w:sz w:val="24"/>
          <w:szCs w:val="24"/>
          <w:vertAlign w:val="superscript"/>
        </w:rPr>
        <w:t>109</w:t>
      </w:r>
      <w:r>
        <w:rPr>
          <w:rFonts w:ascii="Times New Roman" w:eastAsiaTheme="minorHAnsi" w:hAnsi="Times New Roman"/>
          <w:sz w:val="24"/>
          <w:szCs w:val="24"/>
        </w:rPr>
        <w:t xml:space="preserve">  In fact, many viruses contain auxiliary metabolic genes (AMGs) that are present to overcome rate limiting steps in host biosynthesis</w:t>
      </w:r>
      <w:r w:rsidR="009C68DC">
        <w:rPr>
          <w:rFonts w:ascii="Times New Roman" w:eastAsiaTheme="minorHAnsi" w:hAnsi="Times New Roman"/>
          <w:sz w:val="24"/>
          <w:szCs w:val="24"/>
          <w:vertAlign w:val="superscript"/>
        </w:rPr>
        <w:t>18</w:t>
      </w:r>
      <w:r>
        <w:rPr>
          <w:rFonts w:ascii="Times New Roman" w:eastAsiaTheme="minorHAnsi" w:hAnsi="Times New Roman"/>
          <w:sz w:val="24"/>
          <w:szCs w:val="24"/>
        </w:rPr>
        <w:t xml:space="preserve"> and g</w:t>
      </w:r>
      <w:r>
        <w:rPr>
          <w:rFonts w:ascii="Times New Roman" w:hAnsi="Times New Roman"/>
          <w:sz w:val="24"/>
          <w:szCs w:val="24"/>
        </w:rPr>
        <w:t>enes encoding enzymes involved in pyrimidine biosynthesis are encoded in the Φ</w:t>
      </w:r>
      <w:r>
        <w:rPr>
          <w:rFonts w:ascii="Times New Roman" w:eastAsiaTheme="minorHAnsi" w:hAnsi="Times New Roman"/>
          <w:sz w:val="24"/>
          <w:szCs w:val="24"/>
        </w:rPr>
        <w:t xml:space="preserve">2047B </w:t>
      </w:r>
      <w:r>
        <w:rPr>
          <w:rFonts w:ascii="Times New Roman" w:hAnsi="Times New Roman"/>
          <w:sz w:val="24"/>
          <w:szCs w:val="24"/>
        </w:rPr>
        <w:t>phage genome (Figure 1). It is possible that these enzymes are present to support the increasing need for viral DNA during infection.</w:t>
      </w:r>
      <w:r>
        <w:rPr>
          <w:rFonts w:ascii="Times New Roman" w:eastAsiaTheme="minorHAnsi" w:hAnsi="Times New Roman"/>
          <w:sz w:val="24"/>
          <w:szCs w:val="24"/>
        </w:rPr>
        <w:t xml:space="preserve"> A dramatic example of host manipulation has been demonstrated in marine cyanophage which encode and express photosynthesis proteins homologous to those found in their hosts.</w:t>
      </w:r>
      <w:r w:rsidR="003D1B25">
        <w:rPr>
          <w:rFonts w:ascii="Times New Roman" w:eastAsiaTheme="minorHAnsi" w:hAnsi="Times New Roman"/>
          <w:sz w:val="24"/>
          <w:szCs w:val="24"/>
          <w:vertAlign w:val="superscript"/>
        </w:rPr>
        <w:t>110</w:t>
      </w:r>
      <w:r>
        <w:rPr>
          <w:rFonts w:ascii="Times New Roman" w:eastAsiaTheme="minorHAnsi" w:hAnsi="Times New Roman"/>
          <w:sz w:val="24"/>
          <w:szCs w:val="24"/>
        </w:rPr>
        <w:t xml:space="preserve">  The extent to which pathway specific alterations of host metabolism is a universal strategy among phages remains unknown. </w:t>
      </w: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eastAsiaTheme="minorHAnsi" w:hAnsi="Times New Roman"/>
          <w:sz w:val="24"/>
          <w:szCs w:val="24"/>
        </w:rPr>
      </w:pPr>
      <w:r>
        <w:rPr>
          <w:rFonts w:ascii="Arial" w:hAnsi="Arial" w:cs="Arial"/>
          <w:b/>
          <w:noProof/>
          <w:sz w:val="24"/>
          <w:szCs w:val="24"/>
        </w:rPr>
        <w:drawing>
          <wp:inline distT="0" distB="0" distL="0" distR="0" wp14:anchorId="457A7228" wp14:editId="057A3988">
            <wp:extent cx="5943600" cy="1190625"/>
            <wp:effectExtent l="19050" t="19050" r="19050" b="28575"/>
            <wp:docPr id="1" name="Picture 1" descr="2047 ge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47 geno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190625"/>
                    </a:xfrm>
                    <a:prstGeom prst="rect">
                      <a:avLst/>
                    </a:prstGeom>
                    <a:noFill/>
                    <a:ln w="9525" cmpd="sng">
                      <a:solidFill>
                        <a:srgbClr val="000000"/>
                      </a:solidFill>
                      <a:miter lim="800000"/>
                      <a:headEnd/>
                      <a:tailEnd/>
                    </a:ln>
                    <a:effectLst/>
                  </pic:spPr>
                </pic:pic>
              </a:graphicData>
            </a:graphic>
          </wp:inline>
        </w:drawing>
      </w:r>
    </w:p>
    <w:p w:rsidR="005E3076" w:rsidRDefault="005E3076" w:rsidP="005E3076">
      <w:pPr>
        <w:rPr>
          <w:rFonts w:ascii="Times New Roman" w:hAnsi="Times New Roman" w:cs="Times New Roman"/>
          <w:b/>
          <w:sz w:val="24"/>
          <w:szCs w:val="24"/>
        </w:rPr>
      </w:pPr>
      <w:r>
        <w:rPr>
          <w:rFonts w:ascii="Times New Roman" w:hAnsi="Times New Roman" w:cs="Times New Roman"/>
          <w:b/>
          <w:sz w:val="24"/>
          <w:szCs w:val="24"/>
        </w:rPr>
        <w:t xml:space="preserve">Figure 1: </w:t>
      </w:r>
      <w:r>
        <w:rPr>
          <w:rFonts w:ascii="Times New Roman" w:hAnsi="Times New Roman" w:cs="Times New Roman"/>
          <w:sz w:val="24"/>
          <w:szCs w:val="24"/>
        </w:rPr>
        <w:t xml:space="preserve">Phage 2047 genome. </w:t>
      </w:r>
      <w:r>
        <w:rPr>
          <w:rFonts w:ascii="Times New Roman" w:hAnsi="Times New Roman" w:cs="Times New Roman"/>
          <w:sz w:val="24"/>
          <w:szCs w:val="24"/>
          <w:lang w:val="el-GR"/>
        </w:rPr>
        <w:t>φ</w:t>
      </w:r>
      <w:r>
        <w:rPr>
          <w:rFonts w:ascii="Times New Roman" w:hAnsi="Times New Roman" w:cs="Times New Roman"/>
          <w:sz w:val="24"/>
          <w:szCs w:val="24"/>
        </w:rPr>
        <w:t>2047B is a N4-like lytic phage of the Podoviridae family.</w:t>
      </w: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r>
        <w:rPr>
          <w:rFonts w:ascii="Times New Roman" w:hAnsi="Times New Roman"/>
          <w:sz w:val="24"/>
          <w:szCs w:val="24"/>
        </w:rPr>
        <w:lastRenderedPageBreak/>
        <w:t>As non-enveloped phage are comprised primarily of nucleic acid and protein, typically in an equal mass ratio,</w:t>
      </w:r>
      <w:r w:rsidR="003D1B25">
        <w:rPr>
          <w:rFonts w:ascii="Times New Roman" w:hAnsi="Times New Roman"/>
          <w:sz w:val="24"/>
          <w:szCs w:val="24"/>
          <w:vertAlign w:val="superscript"/>
        </w:rPr>
        <w:t>111</w:t>
      </w:r>
      <w:r>
        <w:rPr>
          <w:rFonts w:ascii="Times New Roman" w:hAnsi="Times New Roman"/>
          <w:sz w:val="24"/>
          <w:szCs w:val="24"/>
        </w:rPr>
        <w:t xml:space="preserve"> </w:t>
      </w:r>
      <w:r>
        <w:rPr>
          <w:rFonts w:ascii="Times New Roman" w:hAnsi="Times New Roman"/>
          <w:b/>
          <w:sz w:val="24"/>
          <w:szCs w:val="24"/>
        </w:rPr>
        <w:fldChar w:fldCharType="begin"/>
      </w:r>
      <w:r>
        <w:rPr>
          <w:rFonts w:ascii="Times New Roman" w:hAnsi="Times New Roman"/>
          <w:b/>
          <w:sz w:val="24"/>
          <w:szCs w:val="24"/>
        </w:rPr>
        <w:instrText xml:space="preserve"> ADDIN EN.CITE &lt;EndNote&gt;&lt;Cite&gt;&lt;Author&gt;Steward&lt;/Author&gt;&lt;Year&gt;2007&lt;/Year&gt;&lt;RecNum&gt;1036&lt;/RecNum&gt;&lt;DisplayText&gt;(Steward et al., 2007)&lt;/DisplayText&gt;&lt;record&gt;&lt;rec-number&gt;1036&lt;/rec-number&gt;&lt;foreign-keys&gt;&lt;key app="EN" db-id="vap92xewodvfzgeddtmxsvanvxzav9r22fxa"&gt;1036&lt;/key&gt;&lt;/foreign-keys&gt;&lt;ref-type name="Journal Article"&gt;17&lt;/ref-type&gt;&lt;contributors&gt;&lt;authors&gt;&lt;author&gt;Steward, Grieg F.&lt;/author&gt;&lt;author&gt;Fandino, Laura B.&lt;/author&gt;&lt;author&gt;Hollibaugh, James T.&lt;/author&gt;&lt;author&gt;Whitledge, Terry E.&lt;/author&gt;&lt;author&gt;Azam, Farooq&lt;/author&gt;&lt;/authors&gt;&lt;/contributors&gt;&lt;titles&gt;&lt;title&gt;Microbial biomass and viral infections of heterotrophic prokaryotes in the sub-surface layer of the central Arctic Ocean&lt;/title&gt;&lt;secondary-title&gt;Deep Sea Research Part I: Oceanographic Research Papers&lt;/secondary-title&gt;&lt;/titles&gt;&lt;periodical&gt;&lt;full-title&gt;Deep Sea Research Part I: Oceanographic Research Papers&lt;/full-title&gt;&lt;/periodical&gt;&lt;pages&gt;1744-1757&lt;/pages&gt;&lt;volume&gt;54&lt;/volume&gt;&lt;number&gt;10&lt;/number&gt;&lt;keywords&gt;&lt;keyword&gt;Bacteria&lt;/keyword&gt;&lt;keyword&gt;Phytoplankton&lt;/keyword&gt;&lt;keyword&gt;Viruses&lt;/keyword&gt;&lt;keyword&gt;Bacteriophages&lt;/keyword&gt;&lt;keyword&gt;Biomass&lt;/keyword&gt;&lt;keyword&gt;Mortality&lt;/keyword&gt;&lt;/keywords&gt;&lt;dates&gt;&lt;year&gt;2007&lt;/year&gt;&lt;/dates&gt;&lt;isbn&gt;0967-0637&lt;/isbn&gt;&lt;urls&gt;&lt;related-urls&gt;&lt;url&gt;http://www.sciencedirect.com/science/article/pii/S0967063707001112&lt;/url&gt;&lt;/related-urls&gt;&lt;/urls&gt;&lt;electronic-resource-num&gt;10.1016/j.dsr.2007.04.019&lt;/electronic-resource-num&gt;&lt;/record&gt;&lt;/Cite&gt;&lt;/EndNote&gt;</w:instrText>
      </w:r>
      <w:r>
        <w:rPr>
          <w:rFonts w:ascii="Times New Roman" w:hAnsi="Times New Roman"/>
          <w:b/>
          <w:sz w:val="24"/>
          <w:szCs w:val="24"/>
        </w:rPr>
        <w:fldChar w:fldCharType="end"/>
      </w:r>
      <w:r>
        <w:rPr>
          <w:rFonts w:ascii="Times New Roman" w:hAnsi="Times New Roman"/>
          <w:sz w:val="24"/>
          <w:szCs w:val="24"/>
        </w:rPr>
        <w:t>we reasoned that if major pathway specific influences of viral infection on host metabolism were present that they would be manifested in pathways that contribute to the synthesis of the biochemical building blocks for these macromolecules. To assess the effect of phage production on the metabolism of the host population, we measured the relative concentrations of 83 central pathway metabolites (the “core metabolome”) in infected and control populations at discrete time points throughout the infection cycle (Figure 2a). These data can be viewed in two ways: with the relative concentrations of intracellular metabolites either being evaluated with or without normalization to cell density. Without cell normalization, these data give a relative measure of the total pool of intracellular metabolites within an equal volume of the culture (Figure 3). Interestingly, the concentrations were nearly identical for the majority (~70%) of metabolites in phage-amended and control populations at all time points. However, significant temporal differences were evident in UDP-activated sugars (</w:t>
      </w:r>
      <w:r>
        <w:rPr>
          <w:rFonts w:ascii="Times New Roman" w:hAnsi="Times New Roman"/>
          <w:i/>
          <w:sz w:val="24"/>
          <w:szCs w:val="24"/>
        </w:rPr>
        <w:t>e.g.</w:t>
      </w:r>
      <w:r>
        <w:rPr>
          <w:rFonts w:ascii="Times New Roman" w:hAnsi="Times New Roman"/>
          <w:sz w:val="24"/>
          <w:szCs w:val="24"/>
        </w:rPr>
        <w:t xml:space="preserve"> UDP-glucose, UDP-glucuronate/galacturonate, and UDP-</w:t>
      </w:r>
      <w:r>
        <w:rPr>
          <w:rFonts w:ascii="Times New Roman" w:hAnsi="Times New Roman"/>
          <w:i/>
          <w:sz w:val="24"/>
          <w:szCs w:val="24"/>
        </w:rPr>
        <w:t>N</w:t>
      </w:r>
      <w:r>
        <w:rPr>
          <w:rFonts w:ascii="Times New Roman" w:hAnsi="Times New Roman"/>
          <w:sz w:val="24"/>
          <w:szCs w:val="24"/>
        </w:rPr>
        <w:t>-acetylglucosamine) that may reflect alterations in cell wall integrity in phage-infected bacteria. The relative concentration of UDP-glucose in the infected population was elevated 15 min after phage addition and remained fairly constant throughout the experiment. UDP-glucuronate/galacturonate became elevated over time with a 13-fold spike in concentration at 120 min post infection, the time point preceding wide spread cell lysis. Conversely, the relative concentration of UDP-</w:t>
      </w:r>
      <w:r>
        <w:rPr>
          <w:rFonts w:ascii="Times New Roman" w:hAnsi="Times New Roman"/>
          <w:i/>
          <w:sz w:val="24"/>
          <w:szCs w:val="24"/>
        </w:rPr>
        <w:t>N</w:t>
      </w:r>
      <w:r>
        <w:rPr>
          <w:rFonts w:ascii="Times New Roman" w:hAnsi="Times New Roman"/>
          <w:sz w:val="24"/>
          <w:szCs w:val="24"/>
        </w:rPr>
        <w:t>-acetylglucosamine decreased by half at the 120 min time point. UDP-sugars are precursors of cell envelope components, including peptidoglycan and surface polysaccharides.</w:t>
      </w:r>
      <w:r w:rsidR="003D1B25">
        <w:rPr>
          <w:rFonts w:ascii="Times New Roman" w:hAnsi="Times New Roman"/>
          <w:sz w:val="24"/>
          <w:szCs w:val="24"/>
          <w:vertAlign w:val="superscript"/>
        </w:rPr>
        <w:t>112</w:t>
      </w:r>
      <w:r>
        <w:rPr>
          <w:rFonts w:ascii="Times New Roman" w:hAnsi="Times New Roman"/>
          <w:sz w:val="24"/>
          <w:szCs w:val="24"/>
        </w:rPr>
        <w:t xml:space="preserve">  Changes in the relative concentrations of these compounds in infected populations might be expected given that alterations in host cell envelope composition and architecture typically occurs following phage infection,</w:t>
      </w:r>
      <w:r w:rsidR="003D1B25">
        <w:rPr>
          <w:rFonts w:ascii="Times New Roman" w:hAnsi="Times New Roman"/>
          <w:sz w:val="24"/>
          <w:szCs w:val="24"/>
          <w:vertAlign w:val="superscript"/>
        </w:rPr>
        <w:t xml:space="preserve">3, </w:t>
      </w:r>
      <w:r w:rsidR="00B353B5">
        <w:rPr>
          <w:rFonts w:ascii="Times New Roman" w:hAnsi="Times New Roman"/>
          <w:sz w:val="24"/>
          <w:szCs w:val="24"/>
          <w:vertAlign w:val="superscript"/>
        </w:rPr>
        <w:t>104</w:t>
      </w:r>
      <w:r>
        <w:rPr>
          <w:rFonts w:ascii="Times New Roman" w:hAnsi="Times New Roman"/>
          <w:sz w:val="24"/>
          <w:szCs w:val="24"/>
          <w:vertAlign w:val="superscript"/>
        </w:rPr>
        <w:t xml:space="preserve"> </w:t>
      </w:r>
      <w:r>
        <w:rPr>
          <w:rFonts w:ascii="Times New Roman" w:hAnsi="Times New Roman"/>
          <w:sz w:val="24"/>
          <w:szCs w:val="24"/>
        </w:rPr>
        <w:t>and this is consistent with an increase in cell wall components detected in the corresponding filtrates fr</w:t>
      </w:r>
      <w:r w:rsidR="00420CB2">
        <w:rPr>
          <w:rFonts w:ascii="Times New Roman" w:hAnsi="Times New Roman"/>
          <w:sz w:val="24"/>
          <w:szCs w:val="24"/>
        </w:rPr>
        <w:t>om the final time point (Table 2</w:t>
      </w:r>
      <w:r>
        <w:rPr>
          <w:rFonts w:ascii="Times New Roman" w:hAnsi="Times New Roman"/>
          <w:sz w:val="24"/>
          <w:szCs w:val="24"/>
        </w:rPr>
        <w:t>). As peptidoglycan is produced by actively growing and dividing cells,</w:t>
      </w:r>
      <w:r w:rsidR="003D1B25">
        <w:rPr>
          <w:rFonts w:ascii="Times New Roman" w:hAnsi="Times New Roman"/>
          <w:sz w:val="24"/>
          <w:szCs w:val="24"/>
          <w:vertAlign w:val="superscript"/>
        </w:rPr>
        <w:t>112</w:t>
      </w:r>
      <w:r>
        <w:rPr>
          <w:rFonts w:ascii="Times New Roman" w:hAnsi="Times New Roman"/>
          <w:sz w:val="24"/>
          <w:szCs w:val="24"/>
        </w:rPr>
        <w:t xml:space="preserve"> these data may also indicate alterations in the specific growth rate of infected bacteria which is not readily evident in the net cell densities.</w:t>
      </w: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jc w:val="both"/>
        <w:rPr>
          <w:rFonts w:ascii="Times New Roman" w:hAnsi="Times New Roman"/>
          <w:b/>
          <w:sz w:val="16"/>
          <w:szCs w:val="16"/>
        </w:rPr>
      </w:pPr>
      <w:r>
        <w:rPr>
          <w:noProof/>
        </w:rPr>
        <w:lastRenderedPageBreak/>
        <w:drawing>
          <wp:inline distT="0" distB="0" distL="0" distR="0" wp14:anchorId="3CFDD772" wp14:editId="713EFD5D">
            <wp:extent cx="5943600" cy="6686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6686550"/>
                    </a:xfrm>
                    <a:prstGeom prst="rect">
                      <a:avLst/>
                    </a:prstGeom>
                    <a:noFill/>
                    <a:ln>
                      <a:noFill/>
                    </a:ln>
                  </pic:spPr>
                </pic:pic>
              </a:graphicData>
            </a:graphic>
          </wp:inline>
        </w:drawing>
      </w:r>
    </w:p>
    <w:p w:rsidR="005E3076" w:rsidRDefault="005E3076" w:rsidP="005E3076">
      <w:pPr>
        <w:pStyle w:val="NoSpacing"/>
        <w:jc w:val="both"/>
        <w:rPr>
          <w:rFonts w:ascii="Times New Roman" w:hAnsi="Times New Roman"/>
          <w:b/>
          <w:sz w:val="16"/>
          <w:szCs w:val="16"/>
        </w:rPr>
      </w:pPr>
    </w:p>
    <w:p w:rsidR="005E3076" w:rsidRDefault="005E3076" w:rsidP="005E3076">
      <w:pPr>
        <w:pStyle w:val="NoSpacing"/>
        <w:jc w:val="both"/>
        <w:rPr>
          <w:rFonts w:ascii="Times New Roman" w:hAnsi="Times New Roman"/>
          <w:sz w:val="24"/>
          <w:szCs w:val="24"/>
        </w:rPr>
      </w:pPr>
      <w:r>
        <w:rPr>
          <w:rFonts w:ascii="Times New Roman" w:hAnsi="Times New Roman"/>
          <w:b/>
          <w:sz w:val="16"/>
          <w:szCs w:val="16"/>
        </w:rPr>
        <w:t>Figure 2:</w:t>
      </w:r>
      <w:r>
        <w:rPr>
          <w:rFonts w:ascii="Times New Roman" w:hAnsi="Times New Roman"/>
          <w:b/>
          <w:i/>
          <w:sz w:val="16"/>
          <w:szCs w:val="16"/>
        </w:rPr>
        <w:t xml:space="preserve"> </w:t>
      </w:r>
      <w:r>
        <w:rPr>
          <w:rFonts w:ascii="Times New Roman" w:hAnsi="Times New Roman"/>
          <w:b/>
          <w:sz w:val="16"/>
          <w:szCs w:val="16"/>
        </w:rPr>
        <w:t>a)</w:t>
      </w:r>
      <w:r>
        <w:rPr>
          <w:rFonts w:ascii="Times New Roman" w:hAnsi="Times New Roman"/>
          <w:sz w:val="16"/>
          <w:szCs w:val="16"/>
        </w:rPr>
        <w:t xml:space="preserve"> Heatmap of intracellular metabolites of phage amended and control </w:t>
      </w:r>
      <w:r>
        <w:rPr>
          <w:rFonts w:ascii="Times New Roman" w:hAnsi="Times New Roman"/>
          <w:i/>
          <w:sz w:val="16"/>
          <w:szCs w:val="16"/>
        </w:rPr>
        <w:t>Sulfitobacter</w:t>
      </w:r>
      <w:r>
        <w:rPr>
          <w:rFonts w:ascii="Times New Roman" w:hAnsi="Times New Roman"/>
          <w:sz w:val="16"/>
          <w:szCs w:val="16"/>
        </w:rPr>
        <w:t xml:space="preserve"> sp. 2047 populations. Metabolite concentrations are normalized to bacterial cell number, determined by microscope count, and expressed relative to levels measured in the uninfected host cells at the corresponding time point.  Columns correspond to minutes post infection. Values are average areas of duplicate biological and technical replicates. Ratios are log 2 transformed and plotted on a color scale.  </w:t>
      </w:r>
      <w:r>
        <w:rPr>
          <w:rFonts w:ascii="Times New Roman" w:hAnsi="Times New Roman"/>
          <w:b/>
          <w:sz w:val="16"/>
          <w:szCs w:val="16"/>
        </w:rPr>
        <w:t>b)</w:t>
      </w:r>
      <w:r>
        <w:rPr>
          <w:rFonts w:ascii="Times New Roman" w:hAnsi="Times New Roman"/>
          <w:i/>
          <w:sz w:val="16"/>
          <w:szCs w:val="16"/>
        </w:rPr>
        <w:t xml:space="preserve"> Sulfitobacter </w:t>
      </w:r>
      <w:r>
        <w:rPr>
          <w:rFonts w:ascii="Times New Roman" w:hAnsi="Times New Roman"/>
          <w:sz w:val="16"/>
          <w:szCs w:val="16"/>
        </w:rPr>
        <w:t>sp. 2047 cell density (at OD</w:t>
      </w:r>
      <w:r>
        <w:rPr>
          <w:rFonts w:ascii="Times New Roman" w:hAnsi="Times New Roman"/>
          <w:sz w:val="16"/>
          <w:szCs w:val="16"/>
          <w:vertAlign w:val="subscript"/>
        </w:rPr>
        <w:t>540</w:t>
      </w:r>
      <w:r>
        <w:rPr>
          <w:rFonts w:ascii="Times New Roman" w:hAnsi="Times New Roman"/>
          <w:sz w:val="16"/>
          <w:szCs w:val="16"/>
        </w:rPr>
        <w:t xml:space="preserve">), </w:t>
      </w:r>
      <w:r>
        <w:rPr>
          <w:rFonts w:ascii="Times New Roman" w:hAnsi="Times New Roman"/>
          <w:color w:val="0070C0"/>
          <w:sz w:val="16"/>
          <w:szCs w:val="16"/>
        </w:rPr>
        <w:t>control</w:t>
      </w:r>
      <w:r>
        <w:rPr>
          <w:rFonts w:ascii="Times New Roman" w:hAnsi="Times New Roman"/>
          <w:sz w:val="16"/>
          <w:szCs w:val="16"/>
        </w:rPr>
        <w:t xml:space="preserve">, </w:t>
      </w:r>
      <w:r>
        <w:rPr>
          <w:rFonts w:ascii="Times New Roman" w:hAnsi="Times New Roman"/>
          <w:color w:val="FF0000"/>
          <w:sz w:val="16"/>
          <w:szCs w:val="16"/>
        </w:rPr>
        <w:t>phage amended</w:t>
      </w:r>
      <w:r>
        <w:rPr>
          <w:rFonts w:ascii="Times New Roman" w:hAnsi="Times New Roman"/>
          <w:sz w:val="16"/>
          <w:szCs w:val="16"/>
        </w:rPr>
        <w:t xml:space="preserve">, and </w:t>
      </w:r>
      <w:r>
        <w:rPr>
          <w:rFonts w:ascii="Times New Roman" w:hAnsi="Times New Roman"/>
          <w:color w:val="00B050"/>
          <w:sz w:val="16"/>
          <w:szCs w:val="16"/>
        </w:rPr>
        <w:t xml:space="preserve">phage </w:t>
      </w:r>
      <w:r>
        <w:rPr>
          <w:rFonts w:ascii="Times New Roman" w:hAnsi="Times New Roman"/>
          <w:sz w:val="16"/>
          <w:szCs w:val="16"/>
        </w:rPr>
        <w:t>concentration</w:t>
      </w:r>
      <w:r>
        <w:rPr>
          <w:rFonts w:ascii="Times New Roman" w:hAnsi="Times New Roman"/>
          <w:color w:val="00B050"/>
          <w:sz w:val="16"/>
          <w:szCs w:val="16"/>
        </w:rPr>
        <w:t xml:space="preserve"> </w:t>
      </w:r>
      <w:r>
        <w:rPr>
          <w:rFonts w:ascii="Times New Roman" w:hAnsi="Times New Roman"/>
          <w:sz w:val="16"/>
          <w:szCs w:val="16"/>
        </w:rPr>
        <w:t xml:space="preserve">at each metabolite sampling time point reported in panel a. Turbidity declines are indicative of phage-induced lysis. Phage numbers were derived from qPCR assays. Averages and ranges of biological duplicates are reported. Absolute concentrations of glutamine and glutamate in </w:t>
      </w:r>
      <w:r>
        <w:rPr>
          <w:rFonts w:ascii="Times New Roman" w:hAnsi="Times New Roman"/>
          <w:b/>
          <w:sz w:val="16"/>
          <w:szCs w:val="16"/>
        </w:rPr>
        <w:t>c)</w:t>
      </w:r>
      <w:r>
        <w:rPr>
          <w:rFonts w:ascii="Times New Roman" w:hAnsi="Times New Roman"/>
          <w:sz w:val="16"/>
          <w:szCs w:val="16"/>
        </w:rPr>
        <w:t xml:space="preserve"> </w:t>
      </w:r>
      <w:r>
        <w:rPr>
          <w:rFonts w:ascii="Times New Roman" w:hAnsi="Times New Roman"/>
          <w:color w:val="0070C0"/>
          <w:sz w:val="16"/>
          <w:szCs w:val="16"/>
        </w:rPr>
        <w:t>control</w:t>
      </w:r>
      <w:r>
        <w:rPr>
          <w:rFonts w:ascii="Times New Roman" w:hAnsi="Times New Roman"/>
          <w:sz w:val="16"/>
          <w:szCs w:val="16"/>
        </w:rPr>
        <w:t xml:space="preserve"> and </w:t>
      </w:r>
      <w:r>
        <w:rPr>
          <w:rFonts w:ascii="Times New Roman" w:hAnsi="Times New Roman"/>
          <w:b/>
          <w:sz w:val="16"/>
          <w:szCs w:val="16"/>
        </w:rPr>
        <w:t>d)</w:t>
      </w:r>
      <w:r>
        <w:rPr>
          <w:rFonts w:ascii="Times New Roman" w:hAnsi="Times New Roman"/>
          <w:sz w:val="16"/>
          <w:szCs w:val="16"/>
        </w:rPr>
        <w:t xml:space="preserve"> </w:t>
      </w:r>
      <w:r>
        <w:rPr>
          <w:rFonts w:ascii="Times New Roman" w:hAnsi="Times New Roman"/>
          <w:color w:val="FF0000"/>
          <w:sz w:val="16"/>
          <w:szCs w:val="16"/>
        </w:rPr>
        <w:t xml:space="preserve">phage amended </w:t>
      </w:r>
      <w:r>
        <w:rPr>
          <w:rFonts w:ascii="Times New Roman" w:hAnsi="Times New Roman"/>
          <w:i/>
          <w:sz w:val="16"/>
          <w:szCs w:val="16"/>
        </w:rPr>
        <w:t>Sulfitobacter</w:t>
      </w:r>
      <w:r>
        <w:rPr>
          <w:rFonts w:ascii="Times New Roman" w:hAnsi="Times New Roman"/>
          <w:sz w:val="16"/>
          <w:szCs w:val="16"/>
        </w:rPr>
        <w:t xml:space="preserve"> sp. 2047 populations. Values represent duplicate biological and duplicate technical replicates. Error bars show the standard error of the mean. </w:t>
      </w:r>
      <w:r>
        <w:rPr>
          <w:rFonts w:ascii="Times New Roman" w:hAnsi="Times New Roman"/>
          <w:b/>
          <w:sz w:val="16"/>
          <w:szCs w:val="16"/>
        </w:rPr>
        <w:t>e)</w:t>
      </w:r>
      <w:r>
        <w:rPr>
          <w:rFonts w:ascii="Times New Roman" w:hAnsi="Times New Roman"/>
          <w:sz w:val="16"/>
          <w:szCs w:val="16"/>
        </w:rPr>
        <w:t xml:space="preserve"> glutamate to glutamine ratios for </w:t>
      </w:r>
      <w:r>
        <w:rPr>
          <w:rFonts w:ascii="Times New Roman" w:hAnsi="Times New Roman"/>
          <w:color w:val="0070C0"/>
          <w:sz w:val="16"/>
          <w:szCs w:val="16"/>
        </w:rPr>
        <w:t xml:space="preserve">control </w:t>
      </w:r>
      <w:r>
        <w:rPr>
          <w:rFonts w:ascii="Times New Roman" w:hAnsi="Times New Roman"/>
          <w:sz w:val="16"/>
          <w:szCs w:val="16"/>
        </w:rPr>
        <w:t xml:space="preserve">and </w:t>
      </w:r>
      <w:r>
        <w:rPr>
          <w:rFonts w:ascii="Times New Roman" w:hAnsi="Times New Roman"/>
          <w:color w:val="FF0000"/>
          <w:sz w:val="16"/>
          <w:szCs w:val="16"/>
        </w:rPr>
        <w:t xml:space="preserve">phage amended </w:t>
      </w:r>
      <w:r>
        <w:rPr>
          <w:rFonts w:ascii="Times New Roman" w:hAnsi="Times New Roman"/>
          <w:sz w:val="16"/>
          <w:szCs w:val="16"/>
        </w:rPr>
        <w:t>populations throughout the experimental time</w:t>
      </w:r>
      <w:r w:rsidR="000270BE">
        <w:rPr>
          <w:rFonts w:ascii="Times New Roman" w:hAnsi="Times New Roman"/>
          <w:sz w:val="16"/>
          <w:szCs w:val="16"/>
        </w:rPr>
        <w:t xml:space="preserve"> </w:t>
      </w:r>
      <w:r>
        <w:rPr>
          <w:rFonts w:ascii="Times New Roman" w:hAnsi="Times New Roman"/>
          <w:sz w:val="16"/>
          <w:szCs w:val="16"/>
        </w:rPr>
        <w:t xml:space="preserve">course. </w:t>
      </w:r>
      <w:r>
        <w:rPr>
          <w:rFonts w:ascii="Times New Roman" w:hAnsi="Times New Roman"/>
          <w:b/>
          <w:sz w:val="16"/>
          <w:szCs w:val="16"/>
        </w:rPr>
        <w:t>f)</w:t>
      </w:r>
      <w:r>
        <w:rPr>
          <w:rFonts w:ascii="Times New Roman" w:hAnsi="Times New Roman"/>
          <w:sz w:val="16"/>
          <w:szCs w:val="16"/>
        </w:rPr>
        <w:t xml:space="preserve"> Variation in intracellular metabolite concentrations between phage amended and control populations shown in panel a. Fold changes &gt; 1.499 and p-values &lt; 0.1 were considered significant. </w:t>
      </w:r>
      <w:r>
        <w:rPr>
          <w:rFonts w:ascii="Times New Roman" w:hAnsi="Times New Roman"/>
          <w:b/>
          <w:sz w:val="16"/>
          <w:szCs w:val="16"/>
        </w:rPr>
        <w:t>g)</w:t>
      </w:r>
      <w:r>
        <w:rPr>
          <w:rFonts w:ascii="Times New Roman" w:hAnsi="Times New Roman"/>
          <w:sz w:val="16"/>
          <w:szCs w:val="16"/>
        </w:rPr>
        <w:t xml:space="preserve"> Biosynthesis of glutamate and glutamine is linked to TCA cycle intermediates and these two metabolites are interconverted. Data for selected metabolites are shown in heatmap format.</w:t>
      </w:r>
    </w:p>
    <w:p w:rsidR="005E3076" w:rsidRDefault="005E3076" w:rsidP="005E3076">
      <w:pPr>
        <w:pStyle w:val="NoSpacing"/>
        <w:spacing w:line="360" w:lineRule="auto"/>
        <w:jc w:val="both"/>
        <w:rPr>
          <w:rFonts w:ascii="Times New Roman" w:hAnsi="Times New Roman"/>
          <w:sz w:val="24"/>
          <w:szCs w:val="24"/>
        </w:rPr>
      </w:pPr>
      <w:r>
        <w:rPr>
          <w:noProof/>
        </w:rPr>
        <w:lastRenderedPageBreak/>
        <w:drawing>
          <wp:anchor distT="0" distB="0" distL="114300" distR="114300" simplePos="0" relativeHeight="251659264" behindDoc="0" locked="0" layoutInCell="1" allowOverlap="1" wp14:anchorId="188AC788" wp14:editId="1F1571DE">
            <wp:simplePos x="0" y="0"/>
            <wp:positionH relativeFrom="column">
              <wp:posOffset>1733550</wp:posOffset>
            </wp:positionH>
            <wp:positionV relativeFrom="paragraph">
              <wp:posOffset>-117475</wp:posOffset>
            </wp:positionV>
            <wp:extent cx="3181985" cy="7022465"/>
            <wp:effectExtent l="0" t="0" r="0" b="6985"/>
            <wp:wrapSquare wrapText="bothSides"/>
            <wp:docPr id="3" name="Picture 3" descr="HM 13.5 cell only Norm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 13.5 cell only Norm 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985" cy="7022465"/>
                    </a:xfrm>
                    <a:prstGeom prst="rect">
                      <a:avLst/>
                    </a:prstGeom>
                    <a:noFill/>
                  </pic:spPr>
                </pic:pic>
              </a:graphicData>
            </a:graphic>
            <wp14:sizeRelH relativeFrom="margin">
              <wp14:pctWidth>0</wp14:pctWidth>
            </wp14:sizeRelH>
            <wp14:sizeRelV relativeFrom="margin">
              <wp14:pctHeight>0</wp14:pctHeight>
            </wp14:sizeRelV>
          </wp:anchor>
        </w:drawing>
      </w: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spacing w:after="0" w:line="240" w:lineRule="auto"/>
        <w:rPr>
          <w:rFonts w:ascii="Times New Roman" w:eastAsia="Calibri" w:hAnsi="Times New Roman" w:cs="Times New Roman"/>
          <w:sz w:val="24"/>
          <w:szCs w:val="24"/>
        </w:rPr>
      </w:pPr>
    </w:p>
    <w:p w:rsidR="005E3076" w:rsidRDefault="005E3076" w:rsidP="005E3076">
      <w:pPr>
        <w:spacing w:after="0" w:line="240" w:lineRule="auto"/>
        <w:rPr>
          <w:rFonts w:ascii="Times New Roman" w:eastAsia="Calibri" w:hAnsi="Times New Roman" w:cs="Times New Roman"/>
          <w:b/>
          <w:sz w:val="24"/>
          <w:szCs w:val="24"/>
        </w:rPr>
      </w:pPr>
    </w:p>
    <w:p w:rsidR="005E3076" w:rsidRDefault="005E3076" w:rsidP="00765F6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Figure 3:  </w:t>
      </w:r>
      <w:r>
        <w:rPr>
          <w:rFonts w:ascii="Times New Roman" w:eastAsia="Calibri" w:hAnsi="Times New Roman" w:cs="Times New Roman"/>
          <w:sz w:val="24"/>
          <w:szCs w:val="24"/>
        </w:rPr>
        <w:t>Metabolome dynamics during phage infection.</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Heatmap of intracellular metabolite levels during the course of phage infection expressed relative to levels measured in the uninfected  host cells at time t=0. Ratios are log</w:t>
      </w:r>
      <w:r>
        <w:rPr>
          <w:rFonts w:ascii="Times New Roman" w:eastAsia="Calibri" w:hAnsi="Times New Roman" w:cs="Times New Roman"/>
          <w:sz w:val="24"/>
          <w:szCs w:val="24"/>
          <w:vertAlign w:val="subscript"/>
        </w:rPr>
        <w:t>2</w:t>
      </w:r>
      <w:r>
        <w:rPr>
          <w:rFonts w:ascii="Times New Roman" w:eastAsia="Calibri" w:hAnsi="Times New Roman" w:cs="Times New Roman"/>
          <w:sz w:val="24"/>
          <w:szCs w:val="24"/>
        </w:rPr>
        <w:t xml:space="preserve"> transformed and plotted on a color scale. Rows correspond to metabolites measured by LC-triple quadrupole MS/MS. Columns correspond to minutes post infection. The host cells and phage strains used in each time are indicated. Values are averages of duplicate independent biological and technical replicates.</w:t>
      </w:r>
    </w:p>
    <w:p w:rsidR="005E3076" w:rsidRDefault="005E3076" w:rsidP="005E3076">
      <w:pPr>
        <w:pStyle w:val="NoSpacing"/>
        <w:spacing w:line="360" w:lineRule="auto"/>
        <w:jc w:val="both"/>
        <w:rPr>
          <w:rFonts w:ascii="Times New Roman" w:hAnsi="Times New Roman"/>
          <w:sz w:val="24"/>
          <w:szCs w:val="24"/>
        </w:rPr>
      </w:pPr>
      <w:r>
        <w:rPr>
          <w:rFonts w:ascii="Times New Roman" w:hAnsi="Times New Roman"/>
          <w:sz w:val="24"/>
          <w:szCs w:val="24"/>
        </w:rPr>
        <w:lastRenderedPageBreak/>
        <w:t>To further assess the effect of phage amendment on cellular metabolism, the cell density normalized data were analyzed to evaluate the relative concentrations of metabolites within individual cells. These data highlight the distinct metabolic trajectories for, and provide insight into, the intracellular metabolic concentrations of infected versus control populations (Figure 2a). Dynamics in phage production and host population survival can be used to divide the time course of the experiment into two phases: an early infection period (0-120 min) and a later infection period (240-480 min). The per cell metabolite concentrations also support this division. During the early infection period, &lt;25% of the measured metabolites were significantly different (p ≤ 0.05 and at least 1.5 fold change) between the infected and control populations. During the second phase of the time-course, phage production had leveled off, the host population had dropped to half of its peak cell density (Figure 2b) and the variation in the core metabolome became more dramatic relative to the uninfected controls. In fact, 80% of metabolite concentrations were significantly elevated (</w:t>
      </w:r>
      <w:r>
        <w:rPr>
          <w:rFonts w:ascii="Times New Roman" w:hAnsi="Times New Roman"/>
          <w:i/>
          <w:sz w:val="24"/>
          <w:szCs w:val="24"/>
        </w:rPr>
        <w:t>p</w:t>
      </w:r>
      <w:r>
        <w:rPr>
          <w:rFonts w:ascii="Times New Roman" w:hAnsi="Times New Roman"/>
          <w:sz w:val="24"/>
          <w:szCs w:val="24"/>
        </w:rPr>
        <w:t>-value &lt; 0.1) in phage-amended populations at 480 min (Figure 2f). No significant decreases were noted for any metabolite. Thus, phage-amended populations transition to having an increased intracellular metabolite concentration during the infection cycle. The statistical differences within these 66 metabolites clearly point to the population of infected cells being physiologically distinct from those that are uninfected.</w:t>
      </w: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r>
        <w:rPr>
          <w:rFonts w:ascii="Times New Roman" w:hAnsi="Times New Roman"/>
          <w:sz w:val="24"/>
          <w:szCs w:val="24"/>
        </w:rPr>
        <w:t>Since the relative increase in pool size can result from either an increase or decrease in metabolic activity as concentrations can build up from enhanced biosynthesis or from depressed utilization of a molecule,</w:t>
      </w:r>
      <w:r w:rsidR="003D1B25">
        <w:rPr>
          <w:rFonts w:ascii="Times New Roman" w:hAnsi="Times New Roman"/>
          <w:sz w:val="24"/>
          <w:szCs w:val="24"/>
          <w:vertAlign w:val="superscript"/>
        </w:rPr>
        <w:t>113</w:t>
      </w:r>
      <w:r>
        <w:rPr>
          <w:rFonts w:ascii="Times New Roman" w:hAnsi="Times New Roman"/>
          <w:sz w:val="24"/>
          <w:szCs w:val="24"/>
        </w:rPr>
        <w:t xml:space="preserve"> </w:t>
      </w:r>
      <w:r>
        <w:rPr>
          <w:rFonts w:ascii="Times New Roman" w:hAnsi="Times New Roman"/>
          <w:b/>
          <w:sz w:val="24"/>
          <w:szCs w:val="24"/>
        </w:rPr>
        <w:fldChar w:fldCharType="begin"/>
      </w:r>
      <w:r>
        <w:rPr>
          <w:rFonts w:ascii="Times New Roman" w:hAnsi="Times New Roman"/>
          <w:b/>
          <w:sz w:val="24"/>
          <w:szCs w:val="24"/>
        </w:rPr>
        <w:instrText xml:space="preserve"> ADDIN EN.CITE &lt;EndNote&gt;&lt;Cite&gt;&lt;Author&gt;Yuan&lt;/Author&gt;&lt;Year&gt;2008&lt;/Year&gt;&lt;RecNum&gt;1123&lt;/RecNum&gt;&lt;DisplayText&gt;(Yuan et al., 2008)&lt;/DisplayText&gt;&lt;record&gt;&lt;rec-number&gt;1123&lt;/rec-number&gt;&lt;foreign-keys&gt;&lt;key app="EN" db-id="vap92xewodvfzgeddtmxsvanvxzav9r22fxa"&gt;1123&lt;/key&gt;&lt;/foreign-keys&gt;&lt;ref-type name="Journal Article"&gt;17&lt;/ref-type&gt;&lt;contributors&gt;&lt;authors&gt;&lt;author&gt;Yuan, J.&lt;/author&gt;&lt;author&gt;Bennett, B.D.&lt;/author&gt;&lt;author&gt;Rabinowitz, J.D.&lt;/author&gt;&lt;/authors&gt;&lt;/contributors&gt;&lt;titles&gt;&lt;title&gt;Kinetic flux profiling for quantitation of cellular metabolic fluxes&lt;/title&gt;&lt;secondary-title&gt;Nature protocols&lt;/secondary-title&gt;&lt;/titles&gt;&lt;periodical&gt;&lt;full-title&gt;Nature protocols&lt;/full-title&gt;&lt;/periodical&gt;&lt;pages&gt;1328-1340&lt;/pages&gt;&lt;volume&gt;3&lt;/volume&gt;&lt;number&gt;8&lt;/number&gt;&lt;dates&gt;&lt;year&gt;2008&lt;/year&gt;&lt;/dates&gt;&lt;isbn&gt;1754-2189&lt;/isbn&gt;&lt;urls&gt;&lt;/urls&gt;&lt;/record&gt;&lt;/Cite&gt;&lt;/EndNote&gt;</w:instrText>
      </w:r>
      <w:r>
        <w:rPr>
          <w:rFonts w:ascii="Times New Roman" w:hAnsi="Times New Roman"/>
          <w:b/>
          <w:sz w:val="24"/>
          <w:szCs w:val="24"/>
        </w:rPr>
        <w:fldChar w:fldCharType="end"/>
      </w:r>
      <w:r>
        <w:rPr>
          <w:rFonts w:ascii="Times New Roman" w:hAnsi="Times New Roman"/>
          <w:sz w:val="24"/>
          <w:szCs w:val="24"/>
        </w:rPr>
        <w:t xml:space="preserve">we performed experiments with </w:t>
      </w:r>
      <w:r>
        <w:rPr>
          <w:rFonts w:ascii="Times New Roman" w:hAnsi="Times New Roman"/>
          <w:sz w:val="24"/>
          <w:szCs w:val="24"/>
          <w:vertAlign w:val="superscript"/>
        </w:rPr>
        <w:t>13</w:t>
      </w:r>
      <w:r>
        <w:rPr>
          <w:rFonts w:ascii="Times New Roman" w:hAnsi="Times New Roman"/>
          <w:sz w:val="24"/>
          <w:szCs w:val="24"/>
        </w:rPr>
        <w:t xml:space="preserve">C-acetate and monitored the incorporation of the label into 14 select TCA cycle components, N assimilation intermediates, and amino acids to assess their turnover rates as well as general cellular metabolic activity. This was done for populations in both the early (immediately following virus addition) and late (240 min post infection) phases of the time course described above. While the generation time of the bacterium was ~6 hr, the incorporation of labeled substrates into metabolites occurred within minutes (Appendix, Tables </w:t>
      </w:r>
      <w:r w:rsidR="00420CB2">
        <w:rPr>
          <w:rFonts w:ascii="Times New Roman" w:hAnsi="Times New Roman"/>
          <w:sz w:val="24"/>
          <w:szCs w:val="24"/>
        </w:rPr>
        <w:t>12-15</w:t>
      </w:r>
      <w:r w:rsidRPr="000716DD">
        <w:rPr>
          <w:rFonts w:ascii="Times New Roman" w:hAnsi="Times New Roman"/>
          <w:sz w:val="24"/>
          <w:szCs w:val="24"/>
        </w:rPr>
        <w:t>).</w:t>
      </w:r>
      <w:r>
        <w:rPr>
          <w:rFonts w:ascii="Times New Roman" w:hAnsi="Times New Roman"/>
          <w:sz w:val="24"/>
          <w:szCs w:val="24"/>
        </w:rPr>
        <w:t xml:space="preserve"> With the exception of glutamate and glutamine, the cell normalized turnover rates for all measured metabolites were indistinguishable between the control and viral treated cultures for both phases of the infection cycle.  As metabolite concentrations were largely similar between infected and control populations during these early time points (Figure 2f), the rate data further supports the observation that host metabolism was not dramatically altered </w:t>
      </w:r>
      <w:r>
        <w:rPr>
          <w:rFonts w:ascii="Times New Roman" w:hAnsi="Times New Roman"/>
          <w:sz w:val="24"/>
          <w:szCs w:val="24"/>
        </w:rPr>
        <w:lastRenderedPageBreak/>
        <w:t>within the first hour following phage addition. However, the elevated metabolite concentrations in infected populations during the later phase of infection signifies an increase in metabolic activity as a greater concentration of metabolites were being utilized and replenished by these populations in the same period of time. Although the glutamate and glutamine pools were being turned over more slowly in the infected cultures (relative rates of 0.80 and 0.72 respectively (Figure 4), glutamine displayed a dramatic increase in concentration over the time course of the experiment culminating in a 6-fold excess in the phage amended cultures by the final time point. The magnitude of the glutamate pool increase was not as dramatic (1.37-1.67 fold) and concentrations of this metabolite remained fairly consistent throughout the experiment (Figure 2d). As flux is proportional to both pool size and turnover rate, the higher cellular concentrations of these metabolites in the infected cultures results in a flux that is essentially equivalent to those of the control populations for glutamate and higher for glutamine during the late phase of the experiment, even though the entire pool is consumed more slowly (Figure 4). Collectively, these data indicate that in comparison to controls, cell metabolism is measurably higher during the later stages of the infection cycle.</w:t>
      </w: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sz w:val="24"/>
          <w:szCs w:val="24"/>
        </w:rPr>
      </w:pPr>
    </w:p>
    <w:p w:rsidR="005E3076" w:rsidRDefault="005E3076" w:rsidP="005E3076">
      <w:pPr>
        <w:pStyle w:val="NoSpacing"/>
        <w:spacing w:line="360" w:lineRule="auto"/>
        <w:jc w:val="both"/>
        <w:rPr>
          <w:rFonts w:ascii="Times New Roman" w:hAnsi="Times New Roman"/>
          <w:color w:val="000000" w:themeColor="text1"/>
          <w:sz w:val="24"/>
          <w:szCs w:val="24"/>
        </w:rPr>
      </w:pPr>
      <w:r>
        <w:rPr>
          <w:noProof/>
        </w:rPr>
        <w:drawing>
          <wp:inline distT="0" distB="0" distL="0" distR="0" wp14:anchorId="14BE13BD" wp14:editId="5B07F514">
            <wp:extent cx="5943600" cy="2581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581275"/>
                    </a:xfrm>
                    <a:prstGeom prst="rect">
                      <a:avLst/>
                    </a:prstGeom>
                    <a:noFill/>
                    <a:ln>
                      <a:noFill/>
                    </a:ln>
                  </pic:spPr>
                </pic:pic>
              </a:graphicData>
            </a:graphic>
          </wp:inline>
        </w:drawing>
      </w:r>
    </w:p>
    <w:p w:rsidR="005E3076" w:rsidRDefault="005E3076" w:rsidP="005E3076">
      <w:pPr>
        <w:pStyle w:val="NoSpacing"/>
        <w:jc w:val="both"/>
        <w:rPr>
          <w:rFonts w:ascii="Times New Roman" w:hAnsi="Times New Roman"/>
          <w:color w:val="000000" w:themeColor="text1"/>
          <w:sz w:val="24"/>
          <w:szCs w:val="24"/>
        </w:rPr>
      </w:pPr>
      <w:r>
        <w:rPr>
          <w:rFonts w:ascii="Times New Roman" w:hAnsi="Times New Roman"/>
          <w:b/>
          <w:sz w:val="24"/>
          <w:szCs w:val="24"/>
        </w:rPr>
        <w:t>Figure 4:</w:t>
      </w:r>
      <w:r>
        <w:rPr>
          <w:rFonts w:ascii="Times New Roman" w:hAnsi="Times New Roman"/>
          <w:sz w:val="24"/>
          <w:szCs w:val="24"/>
        </w:rPr>
        <w:t xml:space="preserve"> Incorporation of acetate derived </w:t>
      </w:r>
      <w:r>
        <w:rPr>
          <w:rFonts w:ascii="Times New Roman" w:hAnsi="Times New Roman"/>
          <w:sz w:val="24"/>
          <w:szCs w:val="24"/>
          <w:vertAlign w:val="superscript"/>
        </w:rPr>
        <w:t>13</w:t>
      </w:r>
      <w:r>
        <w:rPr>
          <w:rFonts w:ascii="Times New Roman" w:hAnsi="Times New Roman"/>
          <w:sz w:val="24"/>
          <w:szCs w:val="24"/>
        </w:rPr>
        <w:t>C into glutamine and glutamate in phage amended and control populations during two distinct phases of infection (0 and 240 minutes post infection). The rate constant is determined by SigmaPlot (Methods and Materials). Flux is calculated by multiplying the fold change by the rate. Fold changes between 0.67 and 1.5 were considered as no change in concentration. Values are averages of duplicate biological and duplicate technical replicates.</w:t>
      </w:r>
    </w:p>
    <w:p w:rsidR="005E3076" w:rsidRDefault="005E3076" w:rsidP="005E3076">
      <w:pPr>
        <w:pStyle w:val="NoSpacing"/>
        <w:spacing w:line="360" w:lineRule="auto"/>
        <w:jc w:val="both"/>
        <w:rPr>
          <w:rFonts w:ascii="Times New Roman" w:hAnsi="Times New Roman"/>
          <w:sz w:val="24"/>
          <w:szCs w:val="24"/>
        </w:rPr>
      </w:pPr>
      <w:r>
        <w:rPr>
          <w:rFonts w:ascii="Times New Roman" w:hAnsi="Times New Roman"/>
          <w:color w:val="000000" w:themeColor="text1"/>
          <w:sz w:val="24"/>
          <w:szCs w:val="24"/>
        </w:rPr>
        <w:lastRenderedPageBreak/>
        <w:t xml:space="preserve">The small molecule composition of the filtrates as well as the intracellular metabolite concentrations and turnover rates suggest that the phage-amended cultures were incorporating nutrients from recycled sources, </w:t>
      </w:r>
      <w:r>
        <w:rPr>
          <w:rFonts w:ascii="Times New Roman" w:hAnsi="Times New Roman"/>
          <w:i/>
          <w:color w:val="000000" w:themeColor="text1"/>
          <w:sz w:val="24"/>
          <w:szCs w:val="24"/>
        </w:rPr>
        <w:t>i.e.</w:t>
      </w:r>
      <w:r>
        <w:rPr>
          <w:rFonts w:ascii="Times New Roman" w:hAnsi="Times New Roman"/>
          <w:color w:val="000000" w:themeColor="text1"/>
          <w:sz w:val="24"/>
          <w:szCs w:val="24"/>
        </w:rPr>
        <w:t xml:space="preserve"> from small molecules that were liberated during viral lysis or from breakdown of unlabeled macromolecules. The strongest evidence for this phenomenon comes from the data for glutamate and glutamine, which despite showing high intracellular concentrations in infected populations were undetectable i</w:t>
      </w:r>
      <w:r w:rsidR="00420CB2">
        <w:rPr>
          <w:rFonts w:ascii="Times New Roman" w:hAnsi="Times New Roman"/>
          <w:color w:val="000000" w:themeColor="text1"/>
          <w:sz w:val="24"/>
          <w:szCs w:val="24"/>
        </w:rPr>
        <w:t>n the culture filtrates (Table 2</w:t>
      </w:r>
      <w:r>
        <w:rPr>
          <w:rFonts w:ascii="Times New Roman" w:hAnsi="Times New Roman"/>
          <w:color w:val="000000" w:themeColor="text1"/>
          <w:sz w:val="24"/>
          <w:szCs w:val="24"/>
        </w:rPr>
        <w:t>). Given that these compounds are typically preferred sources of N (over ammonium) in bacteria</w:t>
      </w:r>
      <w:r w:rsidR="00392D2C">
        <w:rPr>
          <w:rFonts w:ascii="Times New Roman" w:hAnsi="Times New Roman"/>
          <w:color w:val="000000" w:themeColor="text1"/>
          <w:sz w:val="24"/>
          <w:szCs w:val="24"/>
        </w:rPr>
        <w:t xml:space="preserve"> </w:t>
      </w:r>
      <w:r w:rsidR="00392D2C">
        <w:rPr>
          <w:rFonts w:ascii="Times New Roman" w:hAnsi="Times New Roman"/>
          <w:color w:val="000000" w:themeColor="text1"/>
          <w:sz w:val="24"/>
          <w:szCs w:val="24"/>
          <w:vertAlign w:val="superscript"/>
        </w:rPr>
        <w:t>3, 4, 5, 114, 115</w:t>
      </w:r>
      <w:r>
        <w:rPr>
          <w:rFonts w:ascii="Times New Roman" w:hAnsi="Times New Roman"/>
          <w:color w:val="000000" w:themeColor="text1"/>
          <w:sz w:val="24"/>
          <w:szCs w:val="24"/>
          <w:vertAlign w:val="superscript"/>
        </w:rPr>
        <w:t xml:space="preserve"> </w:t>
      </w:r>
      <w:r>
        <w:rPr>
          <w:rFonts w:ascii="Times New Roman" w:hAnsi="Times New Roman"/>
          <w:color w:val="000000" w:themeColor="text1"/>
          <w:sz w:val="24"/>
          <w:szCs w:val="24"/>
        </w:rPr>
        <w:t xml:space="preserve">it is likely that these compounds were released from lysed cells and then rapidly assimilated by metabolically active cells. Furthermore, these compounds typically have high intracellular concentrations in bacteria, with glutamate identified as the single most abundant metabolite in actively growing, acetate-fed </w:t>
      </w:r>
      <w:r>
        <w:rPr>
          <w:rFonts w:ascii="Times New Roman" w:hAnsi="Times New Roman"/>
          <w:i/>
          <w:color w:val="000000" w:themeColor="text1"/>
          <w:sz w:val="24"/>
          <w:szCs w:val="24"/>
        </w:rPr>
        <w:t>E. coli.</w:t>
      </w:r>
      <w:r w:rsidR="00392D2C">
        <w:rPr>
          <w:rFonts w:ascii="Times New Roman" w:hAnsi="Times New Roman"/>
          <w:color w:val="000000" w:themeColor="text1"/>
          <w:sz w:val="24"/>
          <w:szCs w:val="24"/>
          <w:vertAlign w:val="superscript"/>
        </w:rPr>
        <w:t>116</w:t>
      </w:r>
      <w:r>
        <w:rPr>
          <w:rFonts w:ascii="Times New Roman" w:hAnsi="Times New Roman"/>
          <w:color w:val="000000" w:themeColor="text1"/>
          <w:sz w:val="24"/>
          <w:szCs w:val="24"/>
        </w:rPr>
        <w:t xml:space="preserve">  To verify </w:t>
      </w:r>
      <w:r>
        <w:rPr>
          <w:rFonts w:ascii="Times New Roman" w:hAnsi="Times New Roman"/>
          <w:i/>
          <w:color w:val="000000" w:themeColor="text1"/>
          <w:sz w:val="24"/>
          <w:szCs w:val="24"/>
        </w:rPr>
        <w:t>Sulfitobacter</w:t>
      </w:r>
      <w:r>
        <w:rPr>
          <w:rFonts w:ascii="Times New Roman" w:hAnsi="Times New Roman"/>
          <w:color w:val="000000" w:themeColor="text1"/>
          <w:sz w:val="24"/>
          <w:szCs w:val="24"/>
        </w:rPr>
        <w:t xml:space="preserve"> sp. 2047 also contained high concentrations of both of these metabolites, their absolute concentrations were determined for the “core metabolome” experiment and found to be similar to what has been reported for </w:t>
      </w:r>
      <w:r>
        <w:rPr>
          <w:rFonts w:ascii="Times New Roman" w:hAnsi="Times New Roman"/>
          <w:i/>
          <w:color w:val="000000" w:themeColor="text1"/>
          <w:sz w:val="24"/>
          <w:szCs w:val="24"/>
        </w:rPr>
        <w:t>E. coli</w:t>
      </w:r>
      <w:r>
        <w:rPr>
          <w:rFonts w:ascii="Times New Roman" w:hAnsi="Times New Roman"/>
          <w:color w:val="000000" w:themeColor="text1"/>
          <w:sz w:val="24"/>
          <w:szCs w:val="24"/>
        </w:rPr>
        <w:t xml:space="preserve"> (1.5 x 10</w:t>
      </w:r>
      <w:r>
        <w:rPr>
          <w:rFonts w:ascii="Times New Roman" w:hAnsi="Times New Roman"/>
          <w:color w:val="000000" w:themeColor="text1"/>
          <w:sz w:val="24"/>
          <w:szCs w:val="24"/>
          <w:vertAlign w:val="superscript"/>
        </w:rPr>
        <w:t>-14</w:t>
      </w:r>
      <w:r>
        <w:rPr>
          <w:rFonts w:ascii="Times New Roman" w:hAnsi="Times New Roman"/>
          <w:color w:val="000000" w:themeColor="text1"/>
          <w:sz w:val="24"/>
          <w:szCs w:val="24"/>
        </w:rPr>
        <w:t xml:space="preserve"> g/cell and 1.1 x 10</w:t>
      </w:r>
      <w:r>
        <w:rPr>
          <w:rFonts w:ascii="Times New Roman" w:hAnsi="Times New Roman"/>
          <w:color w:val="000000" w:themeColor="text1"/>
          <w:sz w:val="24"/>
          <w:szCs w:val="24"/>
          <w:vertAlign w:val="superscript"/>
        </w:rPr>
        <w:t>-15</w:t>
      </w:r>
      <w:r>
        <w:rPr>
          <w:rFonts w:ascii="Times New Roman" w:hAnsi="Times New Roman"/>
          <w:color w:val="000000" w:themeColor="text1"/>
          <w:sz w:val="24"/>
          <w:szCs w:val="24"/>
        </w:rPr>
        <w:t xml:space="preserve"> g/cell for glutamate and glutamine, respectively;</w:t>
      </w:r>
      <w:r w:rsidR="00392D2C">
        <w:rPr>
          <w:rFonts w:ascii="Times New Roman" w:hAnsi="Times New Roman"/>
          <w:color w:val="000000" w:themeColor="text1"/>
          <w:sz w:val="24"/>
          <w:szCs w:val="24"/>
          <w:vertAlign w:val="superscript"/>
        </w:rPr>
        <w:t>116</w:t>
      </w:r>
      <w:r>
        <w:rPr>
          <w:rFonts w:ascii="Times New Roman" w:hAnsi="Times New Roman"/>
          <w:color w:val="000000" w:themeColor="text1"/>
          <w:sz w:val="24"/>
          <w:szCs w:val="24"/>
        </w:rPr>
        <w:t xml:space="preserve"> (Figure 2c-d), further supporting the argument that these two compounds could serve as important sources of regenerated N in phage-amended cultures. Finally, the </w:t>
      </w:r>
      <w:r>
        <w:rPr>
          <w:rFonts w:ascii="Times New Roman" w:hAnsi="Times New Roman"/>
          <w:sz w:val="24"/>
          <w:szCs w:val="24"/>
        </w:rPr>
        <w:t>intracellular glutamate to glutamine ratio has been used as an indicator of nitrogen availability in many bacterial species, with an increased ratio indi</w:t>
      </w:r>
      <w:r w:rsidR="00392D2C">
        <w:rPr>
          <w:rFonts w:ascii="Times New Roman" w:hAnsi="Times New Roman"/>
          <w:sz w:val="24"/>
          <w:szCs w:val="24"/>
        </w:rPr>
        <w:t>cating growth under nitrogen lim</w:t>
      </w:r>
      <w:r>
        <w:rPr>
          <w:rFonts w:ascii="Times New Roman" w:hAnsi="Times New Roman"/>
          <w:sz w:val="24"/>
          <w:szCs w:val="24"/>
        </w:rPr>
        <w:t>iting conditions.</w:t>
      </w:r>
      <w:r w:rsidR="00392D2C">
        <w:rPr>
          <w:rFonts w:ascii="Times New Roman" w:hAnsi="Times New Roman"/>
          <w:sz w:val="24"/>
          <w:szCs w:val="24"/>
          <w:vertAlign w:val="superscript"/>
        </w:rPr>
        <w:t>117</w:t>
      </w:r>
      <w:r>
        <w:rPr>
          <w:rFonts w:ascii="Times New Roman" w:hAnsi="Times New Roman"/>
          <w:sz w:val="24"/>
          <w:szCs w:val="24"/>
        </w:rPr>
        <w:t xml:space="preserve">   </w:t>
      </w:r>
      <w:r>
        <w:rPr>
          <w:rFonts w:ascii="Times New Roman" w:hAnsi="Times New Roman"/>
          <w:b/>
          <w:sz w:val="24"/>
          <w:szCs w:val="24"/>
        </w:rPr>
        <w:fldChar w:fldCharType="begin"/>
      </w:r>
      <w:r>
        <w:rPr>
          <w:rFonts w:ascii="Times New Roman" w:hAnsi="Times New Roman"/>
          <w:b/>
          <w:sz w:val="24"/>
          <w:szCs w:val="24"/>
        </w:rPr>
        <w:instrText xml:space="preserve"> ADDIN EN.CITE &lt;EndNote&gt;&lt;Cite&gt;&lt;Author&gt;Flynn&lt;/Author&gt;&lt;Year&gt;1989&lt;/Year&gt;&lt;RecNum&gt;1120&lt;/RecNum&gt;&lt;DisplayText&gt;(Flynn, Dickson, &amp;amp; Al-Amoudi, 1989)&lt;/DisplayText&gt;&lt;record&gt;&lt;rec-number&gt;1120&lt;/rec-number&gt;&lt;foreign-keys&gt;&lt;key app="EN" db-id="vap92xewodvfzgeddtmxsvanvxzav9r22fxa"&gt;1120&lt;/key&gt;&lt;/foreign-keys&gt;&lt;ref-type name="Journal Article"&gt;17&lt;/ref-type&gt;&lt;contributors&gt;&lt;authors&gt;&lt;author&gt;Flynn, K.J.&lt;/author&gt;&lt;author&gt;Dickson, D.M.J.&lt;/author&gt;&lt;author&gt;Al-Amoudi, O.A.&lt;/author&gt;&lt;/authors&gt;&lt;/contributors&gt;&lt;titles&gt;&lt;title&gt;The ratio of glutamine: glutamate in microalgae: a biomarker for N-status suitable for use at natural cell densities&lt;/title&gt;&lt;secondary-title&gt;Journal of plankton research&lt;/secondary-title&gt;&lt;/titles&gt;&lt;periodical&gt;&lt;full-title&gt;Journal of plankton research&lt;/full-title&gt;&lt;/periodical&gt;&lt;pages&gt;165-170&lt;/pages&gt;&lt;volume&gt;11&lt;/volume&gt;&lt;number&gt;1&lt;/number&gt;&lt;dates&gt;&lt;year&gt;1989&lt;/year&gt;&lt;/dates&gt;&lt;isbn&gt;0142-7873&lt;/isbn&gt;&lt;urls&gt;&lt;/urls&gt;&lt;/record&gt;&lt;/Cite&gt;&lt;/EndNote&gt;</w:instrText>
      </w:r>
      <w:r>
        <w:rPr>
          <w:rFonts w:ascii="Times New Roman" w:hAnsi="Times New Roman"/>
          <w:b/>
          <w:sz w:val="24"/>
          <w:szCs w:val="24"/>
        </w:rPr>
        <w:fldChar w:fldCharType="end"/>
      </w:r>
      <w:r>
        <w:rPr>
          <w:rFonts w:ascii="Times New Roman" w:hAnsi="Times New Roman"/>
          <w:sz w:val="24"/>
          <w:szCs w:val="24"/>
        </w:rPr>
        <w:t>An analysis of this ratio for both phage-amended and control cultures indicates that the control population, which shows a progressive increase in this ratio through the growth cycle, is likely experiencing decreased N availability as the cultures reach the end of exponential phase (Figure 2e). The shift in the ratio is primarily driven by a decrease in the glutamine concentration. In contrast, the phage-amended cultures maintained a constant</w:t>
      </w:r>
      <w:r w:rsidR="00392D2C">
        <w:rPr>
          <w:rFonts w:ascii="Times New Roman" w:hAnsi="Times New Roman"/>
          <w:sz w:val="24"/>
          <w:szCs w:val="24"/>
        </w:rPr>
        <w:t xml:space="preserve"> C:N ratio throughout</w:t>
      </w:r>
      <w:r>
        <w:rPr>
          <w:rFonts w:ascii="Times New Roman" w:hAnsi="Times New Roman"/>
          <w:sz w:val="24"/>
          <w:szCs w:val="24"/>
        </w:rPr>
        <w:t xml:space="preserve"> the experiment, and these cells were able to increase both their glutamate and glutamine concentrations. As sufficient ammonium was provided to supply the N required in both cultures, these data indicate that the liberation of higher quality C and N containing nutrient sources are likely beneficial to the remaining members of the infected population. </w:t>
      </w:r>
    </w:p>
    <w:p w:rsidR="005E3076" w:rsidRDefault="005E3076" w:rsidP="005E3076"/>
    <w:p w:rsidR="005E3076" w:rsidRDefault="005E3076" w:rsidP="005E3076">
      <w:pPr>
        <w:pStyle w:val="NoSpacing"/>
        <w:rPr>
          <w:rFonts w:ascii="Times New Roman" w:hAnsi="Times New Roman"/>
          <w:bCs/>
          <w:sz w:val="24"/>
          <w:szCs w:val="24"/>
        </w:rPr>
      </w:pPr>
    </w:p>
    <w:p w:rsidR="005E3076" w:rsidRDefault="005E3076" w:rsidP="005E3076">
      <w:pPr>
        <w:pStyle w:val="NoSpacing"/>
        <w:jc w:val="both"/>
        <w:rPr>
          <w:rFonts w:ascii="Times New Roman" w:hAnsi="Times New Roman"/>
          <w:sz w:val="24"/>
          <w:szCs w:val="24"/>
        </w:rPr>
      </w:pPr>
    </w:p>
    <w:p w:rsidR="003775EC" w:rsidRDefault="003775EC" w:rsidP="005E3076">
      <w:pPr>
        <w:rPr>
          <w:b/>
          <w:u w:val="single"/>
        </w:rPr>
      </w:pPr>
    </w:p>
    <w:p w:rsidR="005E3076" w:rsidRDefault="005E3076" w:rsidP="005E3076">
      <w:pPr>
        <w:rPr>
          <w:rFonts w:ascii="Times New Roman" w:hAnsi="Times New Roman" w:cs="Times New Roman"/>
          <w:b/>
          <w:i/>
          <w:sz w:val="24"/>
          <w:szCs w:val="24"/>
        </w:rPr>
      </w:pPr>
      <w:r>
        <w:rPr>
          <w:rFonts w:ascii="Times New Roman" w:hAnsi="Times New Roman" w:cs="Times New Roman"/>
          <w:b/>
          <w:i/>
          <w:sz w:val="24"/>
          <w:szCs w:val="24"/>
        </w:rPr>
        <w:lastRenderedPageBreak/>
        <w:t>External Calibration Curves of Glutamine and Glutamate</w:t>
      </w:r>
    </w:p>
    <w:p w:rsidR="005E3076" w:rsidRDefault="005E3076" w:rsidP="005E3076">
      <w:pPr>
        <w:spacing w:line="360" w:lineRule="auto"/>
        <w:jc w:val="both"/>
        <w:rPr>
          <w:rFonts w:ascii="Times New Roman" w:hAnsi="Times New Roman" w:cs="Times New Roman"/>
          <w:sz w:val="24"/>
          <w:szCs w:val="24"/>
        </w:rPr>
      </w:pPr>
      <w:r>
        <w:rPr>
          <w:rFonts w:ascii="Times New Roman" w:hAnsi="Times New Roman" w:cs="Times New Roman"/>
          <w:sz w:val="24"/>
          <w:szCs w:val="24"/>
        </w:rPr>
        <w:t>The calibration curves for glutamine and glutamate have a less than optimum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due to the presence of salt.  When the calibration curves were collected with standards dissolved in extraction solvent without the added ratio of minimal media the reproducibility of duplicate injections and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value was improved along with an increase in slope affirming an online desalting column would improve quantitation.</w:t>
      </w:r>
      <w:r>
        <w:rPr>
          <w:rFonts w:ascii="Times New Roman" w:hAnsi="Times New Roman" w:cs="Times New Roman"/>
          <w:sz w:val="24"/>
          <w:szCs w:val="24"/>
          <w:vertAlign w:val="superscript"/>
        </w:rPr>
        <w:t xml:space="preserve"> </w:t>
      </w:r>
      <w:r w:rsidR="00471B3A">
        <w:rPr>
          <w:rFonts w:ascii="Times New Roman" w:hAnsi="Times New Roman" w:cs="Times New Roman"/>
          <w:sz w:val="24"/>
          <w:szCs w:val="24"/>
          <w:vertAlign w:val="superscript"/>
        </w:rPr>
        <w:t>68</w:t>
      </w:r>
      <w:r>
        <w:rPr>
          <w:rFonts w:ascii="Times New Roman" w:hAnsi="Times New Roman" w:cs="Times New Roman"/>
          <w:sz w:val="24"/>
          <w:szCs w:val="24"/>
        </w:rPr>
        <w:t xml:space="preserve">  The salt causes ion suppression, clogs the ITT, and affects shape of chromatographic peaks.  The reproducibility of </w:t>
      </w:r>
      <w:r>
        <w:rPr>
          <w:rFonts w:ascii="Times New Roman" w:hAnsi="Times New Roman"/>
          <w:sz w:val="24"/>
          <w:szCs w:val="24"/>
        </w:rPr>
        <w:t xml:space="preserve">duplicate biological and duplicate technical replicates in Figure 4 </w:t>
      </w:r>
      <w:r>
        <w:rPr>
          <w:rFonts w:ascii="Times New Roman" w:hAnsi="Times New Roman" w:cs="Times New Roman"/>
          <w:sz w:val="24"/>
          <w:szCs w:val="24"/>
        </w:rPr>
        <w:t xml:space="preserve">suggest the use of an internal standard </w:t>
      </w:r>
      <w:r>
        <w:rPr>
          <w:rFonts w:ascii="Times New Roman" w:hAnsi="Times New Roman"/>
          <w:sz w:val="24"/>
          <w:szCs w:val="24"/>
        </w:rPr>
        <w:t>would correct</w:t>
      </w:r>
      <w:r>
        <w:rPr>
          <w:rFonts w:ascii="Times New Roman" w:hAnsi="Times New Roman" w:cs="Times New Roman"/>
          <w:sz w:val="24"/>
          <w:szCs w:val="24"/>
        </w:rPr>
        <w:t xml:space="preserve"> for irreproducibility </w:t>
      </w:r>
      <w:r>
        <w:rPr>
          <w:rFonts w:ascii="Times New Roman" w:hAnsi="Times New Roman"/>
          <w:sz w:val="24"/>
          <w:szCs w:val="24"/>
        </w:rPr>
        <w:t xml:space="preserve">of duplicate injections but the slope of the calibration curves would still be less than if salt was not present meaning a loss in sensitivity would remain.  </w:t>
      </w: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5E3076" w:rsidP="005E3076">
      <w:pPr>
        <w:rPr>
          <w:b/>
          <w:u w:val="single"/>
        </w:rPr>
      </w:pPr>
    </w:p>
    <w:p w:rsidR="005E3076" w:rsidRDefault="00BD58F5" w:rsidP="005E3076">
      <w:pPr>
        <w:jc w:val="center"/>
        <w:rPr>
          <w:b/>
          <w:u w:val="single"/>
        </w:rPr>
      </w:pPr>
      <w:r>
        <w:rPr>
          <w:noProof/>
        </w:rPr>
        <w:lastRenderedPageBreak/>
        <w:drawing>
          <wp:inline distT="0" distB="0" distL="0" distR="0" wp14:anchorId="155CEBC2" wp14:editId="28CD251B">
            <wp:extent cx="5943600" cy="4820285"/>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E3076" w:rsidRDefault="005E3076" w:rsidP="005E3076">
      <w:pPr>
        <w:spacing w:line="240" w:lineRule="atLeast"/>
        <w:jc w:val="both"/>
        <w:rPr>
          <w:rFonts w:ascii="Times New Roman" w:hAnsi="Times New Roman" w:cs="Times New Roman"/>
          <w:sz w:val="24"/>
          <w:szCs w:val="24"/>
        </w:rPr>
      </w:pPr>
      <w:r>
        <w:rPr>
          <w:rFonts w:ascii="Times New Roman" w:hAnsi="Times New Roman" w:cs="Times New Roman"/>
          <w:b/>
          <w:sz w:val="24"/>
          <w:szCs w:val="24"/>
        </w:rPr>
        <w:t>Figure 5</w:t>
      </w:r>
      <w:r w:rsidR="003B707E">
        <w:rPr>
          <w:rFonts w:ascii="Times New Roman" w:hAnsi="Times New Roman" w:cs="Times New Roman"/>
          <w:sz w:val="24"/>
          <w:szCs w:val="24"/>
        </w:rPr>
        <w:t>: External standard calibration curve of g</w:t>
      </w:r>
      <w:r>
        <w:rPr>
          <w:rFonts w:ascii="Times New Roman" w:hAnsi="Times New Roman" w:cs="Times New Roman"/>
          <w:sz w:val="24"/>
          <w:szCs w:val="24"/>
        </w:rPr>
        <w:t xml:space="preserve">lutamine.  One dilution series and duplicate injections per calibration level.  </w:t>
      </w:r>
    </w:p>
    <w:p w:rsidR="005E3076" w:rsidRDefault="005E3076" w:rsidP="005E3076"/>
    <w:p w:rsidR="005E3076" w:rsidRDefault="005E3076" w:rsidP="005E3076"/>
    <w:p w:rsidR="005E3076" w:rsidRDefault="005E3076" w:rsidP="005E3076"/>
    <w:p w:rsidR="005E3076" w:rsidRDefault="005E3076" w:rsidP="005E3076"/>
    <w:p w:rsidR="005E3076" w:rsidRDefault="005E3076" w:rsidP="005E3076"/>
    <w:p w:rsidR="005E3076" w:rsidRDefault="005E3076" w:rsidP="005E3076"/>
    <w:p w:rsidR="005E3076" w:rsidRDefault="00BD58F5" w:rsidP="005E3076">
      <w:r>
        <w:rPr>
          <w:noProof/>
        </w:rPr>
        <w:lastRenderedPageBreak/>
        <w:drawing>
          <wp:inline distT="0" distB="0" distL="0" distR="0" wp14:anchorId="6FB47B05" wp14:editId="79E050D2">
            <wp:extent cx="5943600" cy="482346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E3076" w:rsidRDefault="005E3076" w:rsidP="005E3076">
      <w:pPr>
        <w:spacing w:line="240" w:lineRule="atLeast"/>
        <w:jc w:val="both"/>
        <w:rPr>
          <w:rFonts w:ascii="Times New Roman" w:hAnsi="Times New Roman" w:cs="Times New Roman"/>
          <w:sz w:val="24"/>
          <w:szCs w:val="24"/>
        </w:rPr>
      </w:pPr>
      <w:r>
        <w:rPr>
          <w:rFonts w:ascii="Times New Roman" w:hAnsi="Times New Roman" w:cs="Times New Roman"/>
          <w:b/>
          <w:sz w:val="24"/>
          <w:szCs w:val="24"/>
        </w:rPr>
        <w:t>Figure 6</w:t>
      </w:r>
      <w:r w:rsidR="003B707E">
        <w:rPr>
          <w:rFonts w:ascii="Times New Roman" w:hAnsi="Times New Roman" w:cs="Times New Roman"/>
          <w:sz w:val="24"/>
          <w:szCs w:val="24"/>
        </w:rPr>
        <w:t>: External standard calibration curve of g</w:t>
      </w:r>
      <w:r>
        <w:rPr>
          <w:rFonts w:ascii="Times New Roman" w:hAnsi="Times New Roman" w:cs="Times New Roman"/>
          <w:sz w:val="24"/>
          <w:szCs w:val="24"/>
        </w:rPr>
        <w:t xml:space="preserve">lutamate.  One dilution series and duplicate injections per calibration level.  </w:t>
      </w:r>
    </w:p>
    <w:p w:rsidR="005E3076" w:rsidRDefault="005E3076" w:rsidP="005E3076"/>
    <w:p w:rsidR="005E3076" w:rsidRDefault="005E3076" w:rsidP="005E3076"/>
    <w:p w:rsidR="005E3076" w:rsidRDefault="005E3076" w:rsidP="005E3076"/>
    <w:p w:rsidR="005E3076" w:rsidRDefault="005E3076" w:rsidP="005E3076"/>
    <w:p w:rsidR="005E3076" w:rsidRDefault="005E3076" w:rsidP="005E3076"/>
    <w:p w:rsidR="005E3076" w:rsidRDefault="005E3076" w:rsidP="005E3076"/>
    <w:p w:rsidR="005E3076" w:rsidRDefault="005E3076" w:rsidP="005E3076"/>
    <w:p w:rsidR="005E3076" w:rsidRDefault="005E3076" w:rsidP="005E3076"/>
    <w:p w:rsidR="00BD58F5" w:rsidRDefault="00BD58F5" w:rsidP="005E3076"/>
    <w:p w:rsidR="005E3076" w:rsidRDefault="005E3076" w:rsidP="005E3076">
      <w:pPr>
        <w:rPr>
          <w:rFonts w:ascii="Times New Roman" w:hAnsi="Times New Roman" w:cs="Times New Roman"/>
          <w:sz w:val="24"/>
          <w:szCs w:val="24"/>
        </w:rPr>
      </w:pPr>
      <w:r>
        <w:rPr>
          <w:rFonts w:ascii="Times New Roman" w:hAnsi="Times New Roman" w:cs="Times New Roman"/>
          <w:b/>
          <w:i/>
          <w:sz w:val="24"/>
          <w:szCs w:val="24"/>
        </w:rPr>
        <w:lastRenderedPageBreak/>
        <w:t>Calculations</w:t>
      </w:r>
    </w:p>
    <w:p w:rsidR="005E3076" w:rsidRDefault="005E3076" w:rsidP="005E3076">
      <w:pPr>
        <w:rPr>
          <w:rFonts w:ascii="Times New Roman" w:hAnsi="Times New Roman" w:cs="Times New Roman"/>
          <w:sz w:val="24"/>
          <w:szCs w:val="24"/>
        </w:rPr>
      </w:pPr>
      <w:r>
        <w:rPr>
          <w:rFonts w:ascii="Times New Roman" w:hAnsi="Times New Roman" w:cs="Times New Roman"/>
          <w:i/>
          <w:sz w:val="24"/>
          <w:szCs w:val="24"/>
        </w:rPr>
        <w:t>Figure 2a and Figure 3</w:t>
      </w:r>
    </w:p>
    <w:p w:rsidR="005E3076" w:rsidRDefault="005E3076" w:rsidP="005E3076">
      <w:pPr>
        <w:rPr>
          <w:rFonts w:ascii="Times New Roman" w:hAnsi="Times New Roman" w:cs="Times New Roman"/>
          <w:sz w:val="24"/>
          <w:szCs w:val="24"/>
        </w:rPr>
      </w:pPr>
      <w:r>
        <w:rPr>
          <w:rFonts w:ascii="Times New Roman" w:hAnsi="Times New Roman" w:cs="Times New Roman"/>
          <w:sz w:val="24"/>
          <w:szCs w:val="24"/>
        </w:rPr>
        <w:t>Average areas of duplicate biological and duplicate technical replicates:</w:t>
      </w:r>
    </w:p>
    <w:p w:rsidR="005E3076" w:rsidRDefault="005E3076" w:rsidP="005E3076">
      <w:pPr>
        <w:rPr>
          <w:rFonts w:ascii="Times New Roman" w:hAnsi="Times New Roman" w:cs="Times New Roman"/>
          <w:sz w:val="24"/>
          <w:szCs w:val="24"/>
        </w:rPr>
      </w:pPr>
    </w:p>
    <w:p w:rsidR="005E3076" w:rsidRDefault="00CB2AB9" w:rsidP="005E3076">
      <w:pPr>
        <w:rPr>
          <w:rFonts w:eastAsiaTheme="minorEastAsia"/>
          <w:sz w:val="24"/>
          <w:szCs w:val="24"/>
        </w:rPr>
      </w:pPr>
      <m:oMathPara>
        <m:oMath>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Area of Bio. Rep. 1+Area of Tech. Rep.</m:t>
                      </m:r>
                    </m:num>
                    <m:den>
                      <m:r>
                        <w:rPr>
                          <w:rFonts w:ascii="Cambria Math" w:hAnsi="Cambria Math" w:cs="Times New Roman"/>
                          <w:sz w:val="24"/>
                          <w:szCs w:val="24"/>
                        </w:rPr>
                        <m:t>Cell # of Bio. Rep. 1</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Area of Bio. Rep. 2+Area of Tech. Rep.</m:t>
                      </m:r>
                    </m:num>
                    <m:den>
                      <m:r>
                        <w:rPr>
                          <w:rFonts w:ascii="Cambria Math" w:hAnsi="Cambria Math" w:cs="Times New Roman"/>
                          <w:sz w:val="24"/>
                          <w:szCs w:val="24"/>
                        </w:rPr>
                        <m:t>Cell # of Bio. Rep. 2</m:t>
                      </m:r>
                    </m:den>
                  </m:f>
                </m:e>
              </m:d>
            </m:num>
            <m:den>
              <m:r>
                <w:rPr>
                  <w:rFonts w:ascii="Cambria Math" w:hAnsi="Cambria Math" w:cs="Times New Roman"/>
                  <w:sz w:val="24"/>
                  <w:szCs w:val="24"/>
                </w:rPr>
                <m:t># of Areas</m:t>
              </m:r>
            </m:den>
          </m:f>
        </m:oMath>
      </m:oMathPara>
    </w:p>
    <w:p w:rsidR="005E3076" w:rsidRDefault="005E3076" w:rsidP="005E3076">
      <w:pPr>
        <w:spacing w:line="360" w:lineRule="auto"/>
        <w:rPr>
          <w:rFonts w:eastAsiaTheme="minorEastAsia"/>
          <w:b/>
          <w:u w:val="single"/>
        </w:rPr>
      </w:pPr>
    </w:p>
    <w:p w:rsidR="005E3076" w:rsidRDefault="005E3076" w:rsidP="005E3076">
      <w:pPr>
        <w:spacing w:line="360" w:lineRule="auto"/>
        <w:rPr>
          <w:rFonts w:ascii="Times New Roman" w:hAnsi="Times New Roman" w:cs="Times New Roman"/>
          <w:sz w:val="24"/>
          <w:szCs w:val="24"/>
        </w:rPr>
      </w:pPr>
      <w:r>
        <w:rPr>
          <w:rFonts w:ascii="Times New Roman" w:hAnsi="Times New Roman" w:cs="Times New Roman"/>
          <w:sz w:val="24"/>
          <w:szCs w:val="24"/>
        </w:rPr>
        <w:t>The following Microsoft Excel formula was applied to calculate fold change:</w:t>
      </w:r>
    </w:p>
    <w:p w:rsidR="005E3076" w:rsidRDefault="005E3076" w:rsidP="005E3076">
      <w:pPr>
        <w:spacing w:line="360" w:lineRule="auto"/>
        <w:rPr>
          <w:rFonts w:ascii="Times New Roman" w:hAnsi="Times New Roman" w:cs="Times New Roman"/>
          <w:sz w:val="24"/>
          <w:szCs w:val="24"/>
        </w:rPr>
      </w:pPr>
    </w:p>
    <w:p w:rsidR="005E3076" w:rsidRDefault="005E3076" w:rsidP="005E3076">
      <w:pPr>
        <w:spacing w:line="360" w:lineRule="auto"/>
        <w:rPr>
          <w:rFonts w:ascii="Cambria Math" w:hAnsi="Cambria Math" w:cs="Times New Roman"/>
          <w:i/>
          <w:sz w:val="24"/>
          <w:szCs w:val="24"/>
        </w:rPr>
      </w:pPr>
      <w:r>
        <w:rPr>
          <w:rFonts w:ascii="Cambria Math" w:hAnsi="Cambria Math" w:cs="Times New Roman"/>
          <w:i/>
          <w:sz w:val="24"/>
          <w:szCs w:val="24"/>
        </w:rPr>
        <w:t>=IF( AND (Avg. Infected Area = “#DIV/0!”, Avg. Uninfected Area = “#DIV/0!” ), “N/A”, IF( Avg. Uninfected Area = “#DIV/0!”, 1000, IF( Avg. Infected Area = “#DIV/0!”, 0.001, Avg. Infected Area / Avg. Uninfected Area) ) )</w:t>
      </w:r>
    </w:p>
    <w:p w:rsidR="005E3076" w:rsidRDefault="005E3076" w:rsidP="005E3076">
      <w:pPr>
        <w:spacing w:line="360" w:lineRule="auto"/>
        <w:rPr>
          <w:rFonts w:ascii="Times New Roman" w:hAnsi="Times New Roman" w:cs="Times New Roman"/>
          <w:sz w:val="24"/>
          <w:szCs w:val="24"/>
        </w:rPr>
      </w:pPr>
    </w:p>
    <w:p w:rsidR="005E3076" w:rsidRDefault="005E3076" w:rsidP="005E3076">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Avg. Uninfected Area is at </w:t>
      </w:r>
      <w:r w:rsidR="00CB19C5">
        <w:rPr>
          <w:rFonts w:ascii="Times New Roman" w:hAnsi="Times New Roman" w:cs="Times New Roman"/>
          <w:sz w:val="24"/>
          <w:szCs w:val="24"/>
        </w:rPr>
        <w:t xml:space="preserve">the </w:t>
      </w:r>
      <w:r>
        <w:rPr>
          <w:rFonts w:ascii="Times New Roman" w:hAnsi="Times New Roman" w:cs="Times New Roman"/>
          <w:sz w:val="24"/>
          <w:szCs w:val="24"/>
        </w:rPr>
        <w:t>relevant time point.</w:t>
      </w:r>
    </w:p>
    <w:p w:rsidR="005E3076" w:rsidRDefault="005E3076" w:rsidP="005E3076">
      <w:pPr>
        <w:spacing w:line="360" w:lineRule="auto"/>
        <w:rPr>
          <w:rFonts w:ascii="Times New Roman" w:hAnsi="Times New Roman" w:cs="Times New Roman"/>
          <w:i/>
          <w:sz w:val="24"/>
          <w:szCs w:val="24"/>
        </w:rPr>
      </w:pPr>
    </w:p>
    <w:p w:rsidR="005E3076" w:rsidRDefault="005E3076" w:rsidP="005E3076">
      <w:pPr>
        <w:spacing w:line="360" w:lineRule="auto"/>
        <w:rPr>
          <w:rFonts w:ascii="Times New Roman" w:hAnsi="Times New Roman" w:cs="Times New Roman"/>
          <w:i/>
          <w:sz w:val="24"/>
          <w:szCs w:val="24"/>
        </w:rPr>
      </w:pPr>
      <w:r>
        <w:rPr>
          <w:rFonts w:ascii="Times New Roman" w:hAnsi="Times New Roman" w:cs="Times New Roman"/>
          <w:i/>
          <w:sz w:val="24"/>
          <w:szCs w:val="24"/>
        </w:rPr>
        <w:t>Figure 2c and Figure 2d</w:t>
      </w:r>
    </w:p>
    <w:p w:rsidR="005E3076" w:rsidRDefault="005E3076" w:rsidP="005E3076">
      <w:pPr>
        <w:spacing w:line="360" w:lineRule="auto"/>
        <w:rPr>
          <w:rFonts w:ascii="Times New Roman" w:hAnsi="Times New Roman" w:cs="Times New Roman"/>
          <w:sz w:val="24"/>
          <w:szCs w:val="24"/>
        </w:rPr>
      </w:pPr>
      <w:r>
        <w:rPr>
          <w:rFonts w:ascii="Times New Roman" w:hAnsi="Times New Roman" w:cs="Times New Roman"/>
          <w:sz w:val="24"/>
          <w:szCs w:val="24"/>
        </w:rPr>
        <w:t>After interpolation of concentration using the linear equation of the external standard calibration curves the following formula was applied:</w:t>
      </w:r>
    </w:p>
    <w:p w:rsidR="005E3076" w:rsidRDefault="00CB2AB9" w:rsidP="005E3076">
      <w:pPr>
        <w:rPr>
          <w:rFonts w:ascii="Times New Roman" w:hAnsi="Times New Roman" w:cs="Times New Roman"/>
          <w:sz w:val="24"/>
          <w:szCs w:val="24"/>
        </w:rPr>
      </w:pPr>
      <m:oMathPara>
        <m:oMath>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d>
                    <m:dPr>
                      <m:begChr m:val="["/>
                      <m:endChr m:val="]"/>
                      <m:ctrlPr>
                        <w:rPr>
                          <w:rFonts w:ascii="Cambria Math" w:hAnsi="Cambria Math" w:cs="Times New Roman"/>
                          <w:i/>
                          <w:sz w:val="24"/>
                          <w:szCs w:val="24"/>
                        </w:rPr>
                      </m:ctrlPr>
                    </m:dPr>
                    <m:e>
                      <m:r>
                        <w:rPr>
                          <w:rFonts w:ascii="Cambria Math" w:hAnsi="Cambria Math" w:cs="Times New Roman"/>
                          <w:sz w:val="24"/>
                          <w:szCs w:val="24"/>
                        </w:rPr>
                        <m:t>M</m:t>
                      </m:r>
                    </m:e>
                  </m:d>
                  <m:r>
                    <w:rPr>
                      <w:rFonts w:ascii="Cambria Math" w:hAnsi="Cambria Math" w:cs="Times New Roman"/>
                      <w:sz w:val="24"/>
                      <w:szCs w:val="24"/>
                    </w:rPr>
                    <m:t xml:space="preserve">x Volume of Extraction Solvent used to Extract </m:t>
                  </m:r>
                  <m:d>
                    <m:dPr>
                      <m:ctrlPr>
                        <w:rPr>
                          <w:rFonts w:ascii="Cambria Math" w:hAnsi="Cambria Math" w:cs="Times New Roman"/>
                          <w:i/>
                          <w:sz w:val="24"/>
                          <w:szCs w:val="24"/>
                        </w:rPr>
                      </m:ctrlPr>
                    </m:dPr>
                    <m:e>
                      <m:r>
                        <w:rPr>
                          <w:rFonts w:ascii="Cambria Math" w:hAnsi="Cambria Math" w:cs="Times New Roman"/>
                          <w:sz w:val="24"/>
                          <w:szCs w:val="24"/>
                        </w:rPr>
                        <m:t>L</m:t>
                      </m:r>
                    </m:e>
                  </m:d>
                  <m:r>
                    <w:rPr>
                      <w:rFonts w:ascii="Cambria Math" w:hAnsi="Cambria Math" w:cs="Times New Roman"/>
                      <w:sz w:val="24"/>
                      <w:szCs w:val="24"/>
                    </w:rPr>
                    <m:t>x Molecular Weight (</m:t>
                  </m:r>
                  <m:f>
                    <m:fPr>
                      <m:ctrlPr>
                        <w:rPr>
                          <w:rFonts w:ascii="Cambria Math" w:hAnsi="Cambria Math" w:cs="Times New Roman"/>
                          <w:i/>
                          <w:sz w:val="24"/>
                          <w:szCs w:val="24"/>
                        </w:rPr>
                      </m:ctrlPr>
                    </m:fPr>
                    <m:num>
                      <m:r>
                        <w:rPr>
                          <w:rFonts w:ascii="Cambria Math" w:hAnsi="Cambria Math" w:cs="Times New Roman"/>
                          <w:sz w:val="24"/>
                          <w:szCs w:val="24"/>
                        </w:rPr>
                        <m:t>g</m:t>
                      </m:r>
                    </m:num>
                    <m:den>
                      <m:r>
                        <w:rPr>
                          <w:rFonts w:ascii="Cambria Math" w:hAnsi="Cambria Math" w:cs="Times New Roman"/>
                          <w:sz w:val="24"/>
                          <w:szCs w:val="24"/>
                        </w:rPr>
                        <m:t>mol</m:t>
                      </m:r>
                    </m:den>
                  </m:f>
                  <m:r>
                    <w:rPr>
                      <w:rFonts w:ascii="Cambria Math" w:hAnsi="Cambria Math" w:cs="Times New Roman"/>
                      <w:sz w:val="24"/>
                      <w:szCs w:val="24"/>
                    </w:rPr>
                    <m:t xml:space="preserve">) </m:t>
                  </m:r>
                </m:e>
              </m:d>
            </m:num>
            <m:den>
              <m:r>
                <w:rPr>
                  <w:rFonts w:ascii="Cambria Math" w:hAnsi="Cambria Math" w:cs="Times New Roman"/>
                  <w:sz w:val="24"/>
                  <w:szCs w:val="24"/>
                </w:rPr>
                <m:t xml:space="preserve">Cell Count </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cell</m:t>
                      </m:r>
                    </m:num>
                    <m:den>
                      <m:r>
                        <w:rPr>
                          <w:rFonts w:ascii="Cambria Math" w:hAnsi="Cambria Math" w:cs="Times New Roman"/>
                          <w:sz w:val="24"/>
                          <w:szCs w:val="24"/>
                        </w:rPr>
                        <m:t>mL</m:t>
                      </m:r>
                    </m:den>
                  </m:f>
                </m:e>
              </m:d>
              <m:r>
                <w:rPr>
                  <w:rFonts w:ascii="Cambria Math" w:hAnsi="Cambria Math" w:cs="Times New Roman"/>
                  <w:sz w:val="24"/>
                  <w:szCs w:val="24"/>
                </w:rPr>
                <m:t>x Aliquot of Culture Filtered (mL)</m:t>
              </m:r>
            </m:den>
          </m:f>
        </m:oMath>
      </m:oMathPara>
    </w:p>
    <w:p w:rsidR="005E3076" w:rsidRDefault="005E3076" w:rsidP="005E3076">
      <w:pPr>
        <w:rPr>
          <w:b/>
          <w:u w:val="single"/>
        </w:rPr>
      </w:pPr>
    </w:p>
    <w:p w:rsidR="005E3076" w:rsidRDefault="005E3076" w:rsidP="005E3076"/>
    <w:p w:rsidR="005E3076" w:rsidRPr="0083245E" w:rsidRDefault="005E3076" w:rsidP="005E3076">
      <w:pPr>
        <w:spacing w:line="360" w:lineRule="auto"/>
        <w:jc w:val="both"/>
        <w:rPr>
          <w:rFonts w:ascii="Times New Roman" w:hAnsi="Times New Roman" w:cs="Times New Roman"/>
          <w:sz w:val="24"/>
          <w:szCs w:val="24"/>
        </w:rPr>
      </w:pPr>
    </w:p>
    <w:p w:rsidR="005E3076" w:rsidRPr="00C6644F" w:rsidRDefault="005E3076" w:rsidP="005E3076">
      <w:pPr>
        <w:spacing w:after="0" w:line="360" w:lineRule="auto"/>
        <w:contextualSpacing/>
        <w:jc w:val="both"/>
        <w:rPr>
          <w:rFonts w:ascii="Times New Roman" w:eastAsia="Calibri" w:hAnsi="Times New Roman" w:cs="Times New Roman"/>
          <w:sz w:val="24"/>
          <w:szCs w:val="24"/>
        </w:rPr>
      </w:pPr>
      <w:r w:rsidRPr="00C6644F">
        <w:rPr>
          <w:rFonts w:ascii="Times New Roman" w:eastAsia="Calibri" w:hAnsi="Times New Roman" w:cs="Times New Roman"/>
          <w:sz w:val="24"/>
          <w:szCs w:val="24"/>
        </w:rPr>
        <w:lastRenderedPageBreak/>
        <w:t>Material for Isolation of Bacterial and Phage Strains, Culture Conditions and Sample Collection, and Flux Analysis taken from:</w:t>
      </w:r>
    </w:p>
    <w:p w:rsidR="005E3076" w:rsidRPr="00C6644F" w:rsidRDefault="005E3076" w:rsidP="005E3076">
      <w:pPr>
        <w:spacing w:after="0" w:line="240" w:lineRule="auto"/>
        <w:jc w:val="both"/>
        <w:rPr>
          <w:rFonts w:ascii="Times New Roman" w:eastAsia="Calibri" w:hAnsi="Times New Roman" w:cs="Times New Roman"/>
          <w:bCs/>
          <w:sz w:val="24"/>
          <w:szCs w:val="24"/>
        </w:rPr>
      </w:pPr>
    </w:p>
    <w:p w:rsidR="005E3076" w:rsidRPr="00C6644F" w:rsidRDefault="005E3076" w:rsidP="005E3076">
      <w:pPr>
        <w:spacing w:after="0" w:line="240" w:lineRule="auto"/>
        <w:jc w:val="both"/>
        <w:rPr>
          <w:rFonts w:ascii="Times New Roman" w:eastAsia="Calibri" w:hAnsi="Times New Roman" w:cs="Times New Roman"/>
          <w:b/>
          <w:sz w:val="24"/>
          <w:szCs w:val="24"/>
        </w:rPr>
      </w:pPr>
      <w:r w:rsidRPr="00C6644F">
        <w:rPr>
          <w:rFonts w:ascii="Times New Roman" w:eastAsia="Calibri" w:hAnsi="Times New Roman" w:cs="Times New Roman"/>
          <w:bCs/>
          <w:sz w:val="24"/>
          <w:szCs w:val="24"/>
        </w:rPr>
        <w:t>Ankrah, N. Y. D., May, A. L., Middleton J. L., Jones D. R., Hadden, M., Gooding, J. R., LeCleir, G. R.</w:t>
      </w:r>
      <w:r w:rsidRPr="00C6644F">
        <w:rPr>
          <w:rFonts w:ascii="Times New Roman" w:eastAsia="Calibri" w:hAnsi="Times New Roman" w:cs="Times New Roman"/>
          <w:bCs/>
          <w:sz w:val="24"/>
          <w:szCs w:val="24"/>
          <w:vertAlign w:val="superscript"/>
        </w:rPr>
        <w:t xml:space="preserve"> </w:t>
      </w:r>
      <w:r w:rsidRPr="00C6644F">
        <w:rPr>
          <w:rFonts w:ascii="Times New Roman" w:eastAsia="Calibri" w:hAnsi="Times New Roman" w:cs="Times New Roman"/>
          <w:bCs/>
          <w:sz w:val="24"/>
          <w:szCs w:val="24"/>
        </w:rPr>
        <w:t xml:space="preserve">, Wilhelm S. W., Campagna, S. R. and Buchan, A. </w:t>
      </w:r>
      <w:r w:rsidRPr="00C6644F">
        <w:rPr>
          <w:rFonts w:ascii="Times New Roman" w:eastAsia="Calibri" w:hAnsi="Times New Roman" w:cs="Times New Roman"/>
          <w:sz w:val="24"/>
          <w:szCs w:val="24"/>
        </w:rPr>
        <w:t>Metabolic response of a Roseobacter to phage infection: insights into the influence of viral lysis on ocean biogeochemistry,</w:t>
      </w:r>
      <w:r w:rsidRPr="00C6644F">
        <w:rPr>
          <w:rFonts w:ascii="Times New Roman" w:eastAsia="Calibri" w:hAnsi="Times New Roman" w:cs="Times New Roman"/>
          <w:b/>
          <w:sz w:val="24"/>
          <w:szCs w:val="24"/>
        </w:rPr>
        <w:t xml:space="preserve"> </w:t>
      </w:r>
      <w:r w:rsidRPr="00C6644F">
        <w:rPr>
          <w:rFonts w:ascii="Times New Roman" w:hAnsi="Times New Roman" w:cs="Times New Roman"/>
          <w:i/>
          <w:sz w:val="24"/>
          <w:szCs w:val="24"/>
        </w:rPr>
        <w:t>PNAS</w:t>
      </w:r>
      <w:r w:rsidRPr="00C6644F">
        <w:rPr>
          <w:rFonts w:ascii="Times New Roman" w:hAnsi="Times New Roman" w:cs="Times New Roman"/>
          <w:sz w:val="24"/>
          <w:szCs w:val="24"/>
        </w:rPr>
        <w:t xml:space="preserve">, </w:t>
      </w:r>
      <w:r w:rsidRPr="00C6644F">
        <w:rPr>
          <w:rFonts w:ascii="Times New Roman" w:hAnsi="Times New Roman" w:cs="Times New Roman"/>
          <w:i/>
          <w:sz w:val="24"/>
          <w:szCs w:val="24"/>
        </w:rPr>
        <w:t>in press</w:t>
      </w:r>
      <w:r w:rsidRPr="00C6644F">
        <w:rPr>
          <w:rFonts w:ascii="Times New Roman" w:hAnsi="Times New Roman" w:cs="Times New Roman"/>
          <w:sz w:val="24"/>
          <w:szCs w:val="24"/>
        </w:rPr>
        <w:t>.</w:t>
      </w:r>
    </w:p>
    <w:p w:rsidR="005E3076" w:rsidRPr="00C6644F" w:rsidRDefault="005E3076" w:rsidP="005E3076">
      <w:pPr>
        <w:rPr>
          <w:rFonts w:ascii="Times New Roman" w:hAnsi="Times New Roman" w:cs="Times New Roman"/>
          <w:sz w:val="28"/>
          <w:szCs w:val="28"/>
        </w:rPr>
      </w:pPr>
    </w:p>
    <w:p w:rsidR="005E3076" w:rsidRPr="00C6644F" w:rsidRDefault="005E3076" w:rsidP="005E3076">
      <w:pPr>
        <w:jc w:val="center"/>
        <w:rPr>
          <w:rFonts w:ascii="Times New Roman" w:hAnsi="Times New Roman" w:cs="Times New Roman"/>
          <w:b/>
          <w:sz w:val="28"/>
          <w:szCs w:val="28"/>
        </w:rPr>
      </w:pPr>
      <w:r w:rsidRPr="00C6644F">
        <w:rPr>
          <w:rFonts w:ascii="Times New Roman" w:hAnsi="Times New Roman" w:cs="Times New Roman"/>
          <w:b/>
          <w:sz w:val="28"/>
          <w:szCs w:val="28"/>
        </w:rPr>
        <w:t>Methods and Materials</w:t>
      </w:r>
    </w:p>
    <w:p w:rsidR="005E3076" w:rsidRPr="00C6644F" w:rsidRDefault="005E3076" w:rsidP="005E3076">
      <w:pPr>
        <w:jc w:val="center"/>
        <w:rPr>
          <w:rFonts w:ascii="Times New Roman" w:hAnsi="Times New Roman" w:cs="Times New Roman"/>
          <w:b/>
        </w:rPr>
      </w:pPr>
    </w:p>
    <w:p w:rsidR="005E3076" w:rsidRPr="00C6644F" w:rsidRDefault="005E3076" w:rsidP="005E3076">
      <w:pPr>
        <w:spacing w:line="360" w:lineRule="auto"/>
        <w:rPr>
          <w:rFonts w:ascii="Times New Roman" w:hAnsi="Times New Roman" w:cs="Times New Roman"/>
          <w:b/>
          <w:i/>
          <w:sz w:val="24"/>
          <w:szCs w:val="24"/>
        </w:rPr>
      </w:pPr>
      <w:r w:rsidRPr="00C6644F">
        <w:rPr>
          <w:rFonts w:ascii="Times New Roman" w:hAnsi="Times New Roman" w:cs="Times New Roman"/>
          <w:b/>
          <w:i/>
          <w:sz w:val="24"/>
          <w:szCs w:val="24"/>
        </w:rPr>
        <w:t>General Methods</w:t>
      </w:r>
    </w:p>
    <w:p w:rsidR="005E3076" w:rsidRPr="00C6644F" w:rsidRDefault="005E3076" w:rsidP="005E3076">
      <w:pPr>
        <w:spacing w:line="360" w:lineRule="auto"/>
        <w:jc w:val="both"/>
        <w:rPr>
          <w:rFonts w:ascii="Times New Roman" w:hAnsi="Times New Roman" w:cs="Times New Roman"/>
          <w:b/>
          <w:i/>
          <w:sz w:val="24"/>
          <w:szCs w:val="24"/>
        </w:rPr>
      </w:pPr>
      <w:r w:rsidRPr="00C6644F">
        <w:rPr>
          <w:rFonts w:ascii="Times New Roman" w:hAnsi="Times New Roman" w:cs="Times New Roman"/>
          <w:sz w:val="24"/>
          <w:szCs w:val="24"/>
        </w:rPr>
        <w:t>The HPLC-ESI-MS-MS system used for detection of metabolites included a Finnigan Surveyor MS Pump Plus, a Finnigan Surveyor Autosampler upgraded to Autosampler Plus Specifications, an Ion Max API Source operating in ESI mode, and a Finnigan TSQ Quantum Discovery MAX.  A Dell Precision 390 was used as the data system.  Xcalibur 2.0.7 was used for data acquisition and data processing.  HPLC separations were performed using two separate columns for detection of positive ions and negative ions.  Positive polarity separates in a Phenomenex Luna 250 x 2.00 mm NP column packed with 5 µm pore size, 100 Å diameter aminopropyl particles at 10.0°C column temperature and 150.0 µL/min flow rate.  Negative polarity separates in a Phenomenex Synergi 150 x 2.00 mm RP column packed with 4 µm pore size, 80 Å diameter C18</w:t>
      </w:r>
      <w:r w:rsidRPr="00C6644F">
        <w:rPr>
          <w:rFonts w:ascii="Times New Roman" w:hAnsi="Times New Roman" w:cs="Times New Roman"/>
          <w:color w:val="FF0000"/>
          <w:sz w:val="24"/>
          <w:szCs w:val="24"/>
        </w:rPr>
        <w:t xml:space="preserve"> </w:t>
      </w:r>
      <w:r w:rsidRPr="00C6644F">
        <w:rPr>
          <w:rFonts w:ascii="Times New Roman" w:hAnsi="Times New Roman" w:cs="Times New Roman"/>
          <w:color w:val="000000" w:themeColor="text1"/>
          <w:sz w:val="24"/>
          <w:szCs w:val="24"/>
        </w:rPr>
        <w:t>particles at 25.0°C column temperature and 200.0 µL/min flow rate.</w:t>
      </w:r>
    </w:p>
    <w:p w:rsidR="005E3076" w:rsidRPr="00C6644F" w:rsidRDefault="005E3076" w:rsidP="005E3076">
      <w:pPr>
        <w:spacing w:after="0" w:line="360" w:lineRule="auto"/>
        <w:contextualSpacing/>
        <w:jc w:val="both"/>
        <w:rPr>
          <w:rFonts w:ascii="Times New Roman" w:eastAsia="Calibri" w:hAnsi="Times New Roman" w:cs="Times New Roman"/>
          <w:b/>
          <w:i/>
          <w:sz w:val="24"/>
          <w:szCs w:val="24"/>
        </w:rPr>
      </w:pPr>
    </w:p>
    <w:p w:rsidR="005E3076" w:rsidRPr="00C6644F" w:rsidRDefault="005E3076" w:rsidP="005E3076">
      <w:pPr>
        <w:spacing w:after="0" w:line="360" w:lineRule="auto"/>
        <w:contextualSpacing/>
        <w:jc w:val="both"/>
        <w:rPr>
          <w:rFonts w:ascii="Times New Roman" w:eastAsia="Calibri" w:hAnsi="Times New Roman" w:cs="Times New Roman"/>
          <w:b/>
          <w:i/>
          <w:sz w:val="24"/>
          <w:szCs w:val="24"/>
        </w:rPr>
      </w:pPr>
      <w:r w:rsidRPr="00C6644F">
        <w:rPr>
          <w:rFonts w:ascii="Times New Roman" w:eastAsia="Calibri" w:hAnsi="Times New Roman" w:cs="Times New Roman"/>
          <w:b/>
          <w:i/>
          <w:sz w:val="24"/>
          <w:szCs w:val="24"/>
        </w:rPr>
        <w:t>Isolation of Bacterial and Phage Strains</w:t>
      </w:r>
    </w:p>
    <w:p w:rsidR="005E3076" w:rsidRPr="00C6644F" w:rsidRDefault="005E3076" w:rsidP="005E3076">
      <w:pPr>
        <w:spacing w:after="0" w:line="360" w:lineRule="auto"/>
        <w:contextualSpacing/>
        <w:jc w:val="both"/>
        <w:rPr>
          <w:rFonts w:ascii="Times New Roman" w:hAnsi="Times New Roman" w:cs="Times New Roman"/>
          <w:sz w:val="24"/>
          <w:szCs w:val="24"/>
        </w:rPr>
      </w:pPr>
      <w:r w:rsidRPr="00C6644F">
        <w:rPr>
          <w:rFonts w:ascii="Times New Roman" w:eastAsia="Calibri" w:hAnsi="Times New Roman" w:cs="Times New Roman"/>
          <w:i/>
          <w:sz w:val="24"/>
          <w:szCs w:val="24"/>
        </w:rPr>
        <w:t>Sulfitobacter</w:t>
      </w:r>
      <w:r w:rsidRPr="00C6644F">
        <w:rPr>
          <w:rFonts w:ascii="Times New Roman" w:eastAsia="Calibri" w:hAnsi="Times New Roman" w:cs="Times New Roman"/>
          <w:sz w:val="24"/>
          <w:szCs w:val="24"/>
        </w:rPr>
        <w:t xml:space="preserve"> sp. 2047 was isolated from a mesocosm study in Raunefjorden, Norway in 2008 by enrichment with dimethylsufoniopropionate (DMSP). Agar plates (0.8% w/v Noble Agar [Difco, Sparks, MD, USA]) were made using 0.22 μm filtered fjord water and 10mM DMSP (kindly provided by J. Henrikson and W. Whitman UGA).  The strain was subsequently maintained on Artificial Seawater (ASW) 1.0% agar plates [</w:t>
      </w:r>
      <w:r w:rsidRPr="00C6644F">
        <w:rPr>
          <w:rFonts w:ascii="Times New Roman" w:hAnsi="Times New Roman" w:cs="Times New Roman"/>
          <w:sz w:val="24"/>
          <w:szCs w:val="24"/>
        </w:rPr>
        <w:t>230 mMNaCl, 5.3 mMKCl, 3.9 mM CaCl</w:t>
      </w:r>
      <w:r w:rsidRPr="00C6644F">
        <w:rPr>
          <w:rFonts w:ascii="Times New Roman" w:hAnsi="Times New Roman" w:cs="Times New Roman"/>
          <w:sz w:val="24"/>
          <w:szCs w:val="24"/>
          <w:vertAlign w:val="subscript"/>
        </w:rPr>
        <w:t>2</w:t>
      </w:r>
      <w:r w:rsidRPr="00C6644F">
        <w:rPr>
          <w:rFonts w:ascii="Times New Roman" w:hAnsi="Times New Roman" w:cs="Times New Roman"/>
          <w:sz w:val="24"/>
          <w:szCs w:val="24"/>
        </w:rPr>
        <w:t>, 0.1 mM H</w:t>
      </w:r>
      <w:r w:rsidRPr="00C6644F">
        <w:rPr>
          <w:rFonts w:ascii="Times New Roman" w:hAnsi="Times New Roman" w:cs="Times New Roman"/>
          <w:sz w:val="24"/>
          <w:szCs w:val="24"/>
          <w:vertAlign w:val="subscript"/>
        </w:rPr>
        <w:t>3</w:t>
      </w:r>
      <w:r w:rsidRPr="00C6644F">
        <w:rPr>
          <w:rFonts w:ascii="Times New Roman" w:hAnsi="Times New Roman" w:cs="Times New Roman"/>
          <w:sz w:val="24"/>
          <w:szCs w:val="24"/>
        </w:rPr>
        <w:t>BO</w:t>
      </w:r>
      <w:r w:rsidRPr="00C6644F">
        <w:rPr>
          <w:rFonts w:ascii="Times New Roman" w:hAnsi="Times New Roman" w:cs="Times New Roman"/>
          <w:sz w:val="24"/>
          <w:szCs w:val="24"/>
          <w:vertAlign w:val="subscript"/>
        </w:rPr>
        <w:t>3</w:t>
      </w:r>
      <w:r w:rsidRPr="00C6644F">
        <w:rPr>
          <w:rFonts w:ascii="Times New Roman" w:hAnsi="Times New Roman" w:cs="Times New Roman"/>
          <w:sz w:val="24"/>
          <w:szCs w:val="24"/>
        </w:rPr>
        <w:t>, 11.8 mM MgSO</w:t>
      </w:r>
      <w:r w:rsidRPr="00C6644F">
        <w:rPr>
          <w:rFonts w:ascii="Times New Roman" w:hAnsi="Times New Roman" w:cs="Times New Roman"/>
          <w:sz w:val="24"/>
          <w:szCs w:val="24"/>
          <w:vertAlign w:val="subscript"/>
        </w:rPr>
        <w:t>4</w:t>
      </w:r>
      <w:r w:rsidRPr="00C6644F">
        <w:rPr>
          <w:rFonts w:ascii="Times New Roman" w:hAnsi="Times New Roman" w:cs="Times New Roman"/>
          <w:sz w:val="24"/>
          <w:szCs w:val="24"/>
        </w:rPr>
        <w:t>, 11.2 mM MgCl</w:t>
      </w:r>
      <w:r w:rsidRPr="00C6644F">
        <w:rPr>
          <w:rFonts w:ascii="Times New Roman" w:hAnsi="Times New Roman" w:cs="Times New Roman"/>
          <w:sz w:val="24"/>
          <w:szCs w:val="24"/>
          <w:vertAlign w:val="subscript"/>
        </w:rPr>
        <w:t>2</w:t>
      </w:r>
      <w:r w:rsidRPr="00C6644F">
        <w:rPr>
          <w:rFonts w:ascii="Times New Roman" w:hAnsi="Times New Roman" w:cs="Times New Roman"/>
          <w:sz w:val="24"/>
          <w:szCs w:val="24"/>
        </w:rPr>
        <w:t>, 0.8 mM NaHCO</w:t>
      </w:r>
      <w:r w:rsidRPr="00C6644F">
        <w:rPr>
          <w:rFonts w:ascii="Times New Roman" w:hAnsi="Times New Roman" w:cs="Times New Roman"/>
          <w:sz w:val="24"/>
          <w:szCs w:val="24"/>
          <w:vertAlign w:val="subscript"/>
        </w:rPr>
        <w:t>3</w:t>
      </w:r>
      <w:r w:rsidRPr="00C6644F">
        <w:rPr>
          <w:rFonts w:ascii="Times New Roman" w:hAnsi="Times New Roman" w:cs="Times New Roman"/>
          <w:sz w:val="24"/>
          <w:szCs w:val="24"/>
        </w:rPr>
        <w:t>, 5 mM NH</w:t>
      </w:r>
      <w:r w:rsidRPr="00C6644F">
        <w:rPr>
          <w:rFonts w:ascii="Times New Roman" w:hAnsi="Times New Roman" w:cs="Times New Roman"/>
          <w:sz w:val="24"/>
          <w:szCs w:val="24"/>
          <w:vertAlign w:val="subscript"/>
        </w:rPr>
        <w:t>4</w:t>
      </w:r>
      <w:r w:rsidRPr="00C6644F">
        <w:rPr>
          <w:rFonts w:ascii="Times New Roman" w:hAnsi="Times New Roman" w:cs="Times New Roman"/>
          <w:sz w:val="24"/>
          <w:szCs w:val="24"/>
        </w:rPr>
        <w:t>Cl, 75 μM K</w:t>
      </w:r>
      <w:r w:rsidRPr="00C6644F">
        <w:rPr>
          <w:rFonts w:ascii="Times New Roman" w:hAnsi="Times New Roman" w:cs="Times New Roman"/>
          <w:sz w:val="24"/>
          <w:szCs w:val="24"/>
          <w:vertAlign w:val="subscript"/>
        </w:rPr>
        <w:t>2</w:t>
      </w:r>
      <w:r w:rsidRPr="00C6644F">
        <w:rPr>
          <w:rFonts w:ascii="Times New Roman" w:hAnsi="Times New Roman" w:cs="Times New Roman"/>
          <w:sz w:val="24"/>
          <w:szCs w:val="24"/>
        </w:rPr>
        <w:t>HPO</w:t>
      </w:r>
      <w:r w:rsidRPr="00C6644F">
        <w:rPr>
          <w:rFonts w:ascii="Times New Roman" w:hAnsi="Times New Roman" w:cs="Times New Roman"/>
          <w:sz w:val="24"/>
          <w:szCs w:val="24"/>
          <w:vertAlign w:val="subscript"/>
        </w:rPr>
        <w:t>4</w:t>
      </w:r>
      <w:r w:rsidRPr="00C6644F">
        <w:rPr>
          <w:rFonts w:ascii="Times New Roman" w:hAnsi="Times New Roman" w:cs="Times New Roman"/>
          <w:sz w:val="24"/>
          <w:szCs w:val="24"/>
        </w:rPr>
        <w:t xml:space="preserve">, and 10 mMTris-HCl (pH 7.5)] </w:t>
      </w:r>
      <w:r w:rsidRPr="00C6644F">
        <w:rPr>
          <w:rFonts w:ascii="Times New Roman" w:eastAsia="Calibri" w:hAnsi="Times New Roman" w:cs="Times New Roman"/>
          <w:sz w:val="24"/>
          <w:szCs w:val="24"/>
        </w:rPr>
        <w:t>supplemented with</w:t>
      </w:r>
      <w:r w:rsidRPr="00C6644F">
        <w:rPr>
          <w:rFonts w:ascii="Times New Roman" w:hAnsi="Times New Roman" w:cs="Times New Roman"/>
          <w:sz w:val="24"/>
          <w:szCs w:val="24"/>
        </w:rPr>
        <w:t xml:space="preserve"> 0.25% yeast extract (Fisher, Fair Lawn, NJ, USA) and 0.4% tryptone (Fisher, Fair Lawn, NJ, USA) at 20°C. Filter-sterilized </w:t>
      </w:r>
      <w:r w:rsidRPr="00C6644F">
        <w:rPr>
          <w:rFonts w:ascii="Times New Roman" w:hAnsi="Times New Roman" w:cs="Times New Roman"/>
          <w:sz w:val="24"/>
          <w:szCs w:val="24"/>
        </w:rPr>
        <w:lastRenderedPageBreak/>
        <w:t>(0.22µm) stock solutions were added to the autoclaved basal salt solution along with vitamins, iron, and trace metals. Unless otherwise stated, all further</w:t>
      </w:r>
      <w:r w:rsidRPr="00C6644F">
        <w:rPr>
          <w:rFonts w:ascii="Times New Roman" w:eastAsia="Calibri" w:hAnsi="Times New Roman" w:cs="Times New Roman"/>
          <w:sz w:val="24"/>
          <w:szCs w:val="24"/>
        </w:rPr>
        <w:t xml:space="preserve"> growth experiments with the bacterium, including infections, were performed in ASW at 20°C. </w:t>
      </w:r>
    </w:p>
    <w:p w:rsidR="005E3076" w:rsidRPr="00C6644F" w:rsidRDefault="005E3076" w:rsidP="005E3076">
      <w:pPr>
        <w:spacing w:after="0" w:line="360" w:lineRule="auto"/>
        <w:contextualSpacing/>
        <w:jc w:val="both"/>
        <w:rPr>
          <w:rFonts w:ascii="Times New Roman" w:eastAsia="Calibri" w:hAnsi="Times New Roman" w:cs="Times New Roman"/>
          <w:sz w:val="24"/>
          <w:szCs w:val="24"/>
        </w:rPr>
      </w:pPr>
    </w:p>
    <w:p w:rsidR="005E3076" w:rsidRPr="00C6644F" w:rsidRDefault="005E3076" w:rsidP="005E3076">
      <w:pPr>
        <w:spacing w:after="0" w:line="360" w:lineRule="auto"/>
        <w:contextualSpacing/>
        <w:jc w:val="both"/>
        <w:rPr>
          <w:rFonts w:ascii="Times New Roman" w:eastAsia="Calibri" w:hAnsi="Times New Roman" w:cs="Times New Roman"/>
          <w:sz w:val="24"/>
          <w:szCs w:val="24"/>
        </w:rPr>
      </w:pPr>
      <w:r w:rsidRPr="00C6644F">
        <w:rPr>
          <w:rFonts w:ascii="Times New Roman" w:hAnsi="Times New Roman" w:cs="Times New Roman"/>
          <w:sz w:val="24"/>
          <w:szCs w:val="24"/>
        </w:rPr>
        <w:t xml:space="preserve">Phage were isolated from viral concentrates of Raunefjorden seawater using standard bacteriophage enrichment. Viral (ca. 10X) concentrates were produced using a Labscale (tangential flow filtration) TFF System (Millipore, Billerica, MA) equipped with a Pellicon XL 50 Ultrafiltration Cassette (Millipore).  Phage specific for </w:t>
      </w:r>
      <w:r w:rsidRPr="00C6644F">
        <w:rPr>
          <w:rFonts w:ascii="Times New Roman" w:hAnsi="Times New Roman" w:cs="Times New Roman"/>
          <w:i/>
          <w:sz w:val="24"/>
          <w:szCs w:val="24"/>
        </w:rPr>
        <w:t>Sulfitobacter</w:t>
      </w:r>
      <w:r w:rsidRPr="00C6644F">
        <w:rPr>
          <w:rFonts w:ascii="Times New Roman" w:hAnsi="Times New Roman" w:cs="Times New Roman"/>
          <w:sz w:val="24"/>
          <w:szCs w:val="24"/>
        </w:rPr>
        <w:t xml:space="preserve"> sp. 2047 were enriched by adding early exponential phase host cells grown in ASW to an OD</w:t>
      </w:r>
      <w:r w:rsidRPr="00C6644F">
        <w:rPr>
          <w:rFonts w:ascii="Times New Roman" w:hAnsi="Times New Roman" w:cs="Times New Roman"/>
          <w:sz w:val="24"/>
          <w:szCs w:val="24"/>
          <w:vertAlign w:val="subscript"/>
        </w:rPr>
        <w:t>540</w:t>
      </w:r>
      <w:r w:rsidRPr="00C6644F">
        <w:rPr>
          <w:rFonts w:ascii="Times New Roman" w:hAnsi="Times New Roman" w:cs="Times New Roman"/>
          <w:sz w:val="24"/>
          <w:szCs w:val="24"/>
        </w:rPr>
        <w:t xml:space="preserve"> of 0.15-0.17 with the viral concentrate at a ratio of 2:1:2 of cell culture: ASW: Raunefjorden viral concentrate. Following incubation at 20°C for 48h, enrichments were centrifuged at 5000 x </w:t>
      </w:r>
      <w:r w:rsidRPr="00C6644F">
        <w:rPr>
          <w:rFonts w:ascii="Times New Roman" w:hAnsi="Times New Roman" w:cs="Times New Roman"/>
          <w:i/>
          <w:iCs/>
          <w:sz w:val="24"/>
          <w:szCs w:val="24"/>
        </w:rPr>
        <w:t xml:space="preserve">g </w:t>
      </w:r>
      <w:r w:rsidRPr="00C6644F">
        <w:rPr>
          <w:rFonts w:ascii="Times New Roman" w:hAnsi="Times New Roman" w:cs="Times New Roman"/>
          <w:sz w:val="24"/>
          <w:szCs w:val="24"/>
        </w:rPr>
        <w:t>for 10 min and then filtered through a 0.22 μm cellulosic filter (BD, Franklin Lakes, NJ, USA). Clarified phage enrichments were then subject to plaque assay using the same host. Plaques purification and preparation of phage stocks were based on standard methods.</w:t>
      </w:r>
      <w:r w:rsidR="00195989">
        <w:rPr>
          <w:rFonts w:ascii="Times New Roman" w:hAnsi="Times New Roman" w:cs="Times New Roman"/>
          <w:sz w:val="24"/>
          <w:szCs w:val="24"/>
          <w:vertAlign w:val="superscript"/>
        </w:rPr>
        <w:t>118</w:t>
      </w:r>
      <w:r w:rsidRPr="00C6644F">
        <w:rPr>
          <w:rFonts w:ascii="Times New Roman" w:hAnsi="Times New Roman" w:cs="Times New Roman"/>
          <w:sz w:val="24"/>
          <w:szCs w:val="24"/>
        </w:rPr>
        <w:t xml:space="preserve"> </w:t>
      </w:r>
      <w:r w:rsidRPr="00C6644F">
        <w:rPr>
          <w:rFonts w:ascii="Times New Roman" w:eastAsia="Calibri" w:hAnsi="Times New Roman" w:cs="Times New Roman"/>
          <w:sz w:val="24"/>
          <w:szCs w:val="24"/>
        </w:rPr>
        <w:t>Isolated phage were plaque-purified six times. Once purified, concentrated lysates were made by gently washing soft agar from 10 completely lysed plates of each phage strain using 7 mL of MSB buffer [230 mMNaCl, 5.3 mMKCl, 3.9 mM CaCl</w:t>
      </w:r>
      <w:r w:rsidRPr="00C6644F">
        <w:rPr>
          <w:rFonts w:ascii="Times New Roman" w:eastAsia="Calibri" w:hAnsi="Times New Roman" w:cs="Times New Roman"/>
          <w:sz w:val="24"/>
          <w:szCs w:val="24"/>
          <w:vertAlign w:val="subscript"/>
        </w:rPr>
        <w:t>2</w:t>
      </w:r>
      <w:r w:rsidRPr="00C6644F">
        <w:rPr>
          <w:rFonts w:ascii="Times New Roman" w:eastAsia="Calibri" w:hAnsi="Times New Roman" w:cs="Times New Roman"/>
          <w:sz w:val="24"/>
          <w:szCs w:val="24"/>
        </w:rPr>
        <w:t>, 0.1 mM H</w:t>
      </w:r>
      <w:r w:rsidRPr="00C6644F">
        <w:rPr>
          <w:rFonts w:ascii="Times New Roman" w:eastAsia="Calibri" w:hAnsi="Times New Roman" w:cs="Times New Roman"/>
          <w:sz w:val="24"/>
          <w:szCs w:val="24"/>
          <w:vertAlign w:val="subscript"/>
        </w:rPr>
        <w:t>3</w:t>
      </w:r>
      <w:r w:rsidRPr="00C6644F">
        <w:rPr>
          <w:rFonts w:ascii="Times New Roman" w:eastAsia="Calibri" w:hAnsi="Times New Roman" w:cs="Times New Roman"/>
          <w:sz w:val="24"/>
          <w:szCs w:val="24"/>
        </w:rPr>
        <w:t>BO</w:t>
      </w:r>
      <w:r w:rsidRPr="00C6644F">
        <w:rPr>
          <w:rFonts w:ascii="Times New Roman" w:eastAsia="Calibri" w:hAnsi="Times New Roman" w:cs="Times New Roman"/>
          <w:sz w:val="24"/>
          <w:szCs w:val="24"/>
          <w:vertAlign w:val="subscript"/>
        </w:rPr>
        <w:t>3</w:t>
      </w:r>
      <w:r w:rsidRPr="00C6644F">
        <w:rPr>
          <w:rFonts w:ascii="Times New Roman" w:eastAsia="Calibri" w:hAnsi="Times New Roman" w:cs="Times New Roman"/>
          <w:sz w:val="24"/>
          <w:szCs w:val="24"/>
        </w:rPr>
        <w:t>, 11.8 mM MgSO</w:t>
      </w:r>
      <w:r w:rsidRPr="00C6644F">
        <w:rPr>
          <w:rFonts w:ascii="Times New Roman" w:eastAsia="Calibri" w:hAnsi="Times New Roman" w:cs="Times New Roman"/>
          <w:sz w:val="24"/>
          <w:szCs w:val="24"/>
          <w:vertAlign w:val="subscript"/>
        </w:rPr>
        <w:t>4</w:t>
      </w:r>
      <w:r w:rsidRPr="00C6644F">
        <w:rPr>
          <w:rFonts w:ascii="Times New Roman" w:eastAsia="Calibri" w:hAnsi="Times New Roman" w:cs="Times New Roman"/>
          <w:sz w:val="24"/>
          <w:szCs w:val="24"/>
        </w:rPr>
        <w:t>, 11.2 mM MgCl</w:t>
      </w:r>
      <w:r w:rsidRPr="00C6644F">
        <w:rPr>
          <w:rFonts w:ascii="Times New Roman" w:eastAsia="Calibri" w:hAnsi="Times New Roman" w:cs="Times New Roman"/>
          <w:sz w:val="24"/>
          <w:szCs w:val="24"/>
          <w:vertAlign w:val="subscript"/>
        </w:rPr>
        <w:t>2</w:t>
      </w:r>
      <w:r w:rsidRPr="00C6644F">
        <w:rPr>
          <w:rFonts w:ascii="Times New Roman" w:eastAsia="Calibri" w:hAnsi="Times New Roman" w:cs="Times New Roman"/>
          <w:sz w:val="24"/>
          <w:szCs w:val="24"/>
        </w:rPr>
        <w:t>, 0.8 mM NaHCO</w:t>
      </w:r>
      <w:r w:rsidRPr="00C6644F">
        <w:rPr>
          <w:rFonts w:ascii="Times New Roman" w:eastAsia="Calibri" w:hAnsi="Times New Roman" w:cs="Times New Roman"/>
          <w:sz w:val="24"/>
          <w:szCs w:val="24"/>
          <w:vertAlign w:val="subscript"/>
        </w:rPr>
        <w:t>3</w:t>
      </w:r>
      <w:r w:rsidRPr="00C6644F">
        <w:rPr>
          <w:rFonts w:ascii="Times New Roman" w:eastAsia="Calibri" w:hAnsi="Times New Roman" w:cs="Times New Roman"/>
          <w:sz w:val="24"/>
          <w:szCs w:val="24"/>
        </w:rPr>
        <w:t>, 5 mM NH</w:t>
      </w:r>
      <w:r w:rsidRPr="00C6644F">
        <w:rPr>
          <w:rFonts w:ascii="Times New Roman" w:eastAsia="Calibri" w:hAnsi="Times New Roman" w:cs="Times New Roman"/>
          <w:sz w:val="24"/>
          <w:szCs w:val="24"/>
          <w:vertAlign w:val="subscript"/>
        </w:rPr>
        <w:t>4</w:t>
      </w:r>
      <w:r w:rsidRPr="00C6644F">
        <w:rPr>
          <w:rFonts w:ascii="Times New Roman" w:eastAsia="Calibri" w:hAnsi="Times New Roman" w:cs="Times New Roman"/>
          <w:sz w:val="24"/>
          <w:szCs w:val="24"/>
        </w:rPr>
        <w:t>Cl, 75 μM K</w:t>
      </w:r>
      <w:r w:rsidRPr="00C6644F">
        <w:rPr>
          <w:rFonts w:ascii="Times New Roman" w:eastAsia="Calibri" w:hAnsi="Times New Roman" w:cs="Times New Roman"/>
          <w:sz w:val="24"/>
          <w:szCs w:val="24"/>
          <w:vertAlign w:val="subscript"/>
        </w:rPr>
        <w:t>2</w:t>
      </w:r>
      <w:r w:rsidRPr="00C6644F">
        <w:rPr>
          <w:rFonts w:ascii="Times New Roman" w:eastAsia="Calibri" w:hAnsi="Times New Roman" w:cs="Times New Roman"/>
          <w:sz w:val="24"/>
          <w:szCs w:val="24"/>
        </w:rPr>
        <w:t>HPO</w:t>
      </w:r>
      <w:r w:rsidRPr="00C6644F">
        <w:rPr>
          <w:rFonts w:ascii="Times New Roman" w:eastAsia="Calibri" w:hAnsi="Times New Roman" w:cs="Times New Roman"/>
          <w:sz w:val="24"/>
          <w:szCs w:val="24"/>
          <w:vertAlign w:val="subscript"/>
        </w:rPr>
        <w:t>4</w:t>
      </w:r>
      <w:r w:rsidRPr="00C6644F">
        <w:rPr>
          <w:rFonts w:ascii="Times New Roman" w:eastAsia="Calibri" w:hAnsi="Times New Roman" w:cs="Times New Roman"/>
          <w:sz w:val="24"/>
          <w:szCs w:val="24"/>
        </w:rPr>
        <w:t>, and 10 mMTris-HCl (pH 7.5)]. The final purified phage concentrate was 0.22 μm filtered and stored at 4°C in the dark.</w:t>
      </w:r>
    </w:p>
    <w:p w:rsidR="005E3076" w:rsidRPr="00C6644F" w:rsidRDefault="005E3076" w:rsidP="005E3076">
      <w:pPr>
        <w:spacing w:after="0" w:line="360" w:lineRule="auto"/>
        <w:contextualSpacing/>
        <w:jc w:val="both"/>
        <w:rPr>
          <w:rFonts w:ascii="Times New Roman" w:eastAsia="Calibri" w:hAnsi="Times New Roman" w:cs="Times New Roman"/>
          <w:sz w:val="24"/>
          <w:szCs w:val="24"/>
        </w:rPr>
      </w:pPr>
    </w:p>
    <w:p w:rsidR="005E3076" w:rsidRPr="00C6644F" w:rsidRDefault="005E3076" w:rsidP="005E3076">
      <w:pPr>
        <w:spacing w:after="0" w:line="360" w:lineRule="auto"/>
        <w:contextualSpacing/>
        <w:jc w:val="both"/>
        <w:rPr>
          <w:rFonts w:ascii="Times New Roman" w:eastAsia="Calibri" w:hAnsi="Times New Roman" w:cs="Times New Roman"/>
          <w:b/>
          <w:i/>
          <w:sz w:val="24"/>
          <w:szCs w:val="24"/>
        </w:rPr>
      </w:pPr>
      <w:r w:rsidRPr="00C6644F">
        <w:rPr>
          <w:rFonts w:ascii="Times New Roman" w:eastAsia="Calibri" w:hAnsi="Times New Roman" w:cs="Times New Roman"/>
          <w:b/>
          <w:i/>
          <w:sz w:val="24"/>
          <w:szCs w:val="24"/>
        </w:rPr>
        <w:t>Culture Conditions and Sample Collection</w:t>
      </w:r>
    </w:p>
    <w:p w:rsidR="005E3076" w:rsidRPr="00C6644F" w:rsidRDefault="005E3076" w:rsidP="005E3076">
      <w:pPr>
        <w:spacing w:after="0" w:line="360" w:lineRule="auto"/>
        <w:contextualSpacing/>
        <w:jc w:val="both"/>
        <w:rPr>
          <w:rFonts w:ascii="Times New Roman" w:eastAsia="Calibri" w:hAnsi="Times New Roman" w:cs="Times New Roman"/>
          <w:sz w:val="24"/>
          <w:szCs w:val="24"/>
        </w:rPr>
      </w:pPr>
      <w:r w:rsidRPr="00C6644F">
        <w:rPr>
          <w:rFonts w:ascii="Times New Roman" w:eastAsia="Calibri" w:hAnsi="Times New Roman" w:cs="Times New Roman"/>
          <w:sz w:val="24"/>
          <w:szCs w:val="24"/>
        </w:rPr>
        <w:t xml:space="preserve">To carry out an analysis of the metabolite repertoire in phage infected </w:t>
      </w:r>
      <w:r w:rsidRPr="00C6644F">
        <w:rPr>
          <w:rFonts w:ascii="Times New Roman" w:eastAsia="Calibri" w:hAnsi="Times New Roman" w:cs="Times New Roman"/>
          <w:i/>
          <w:sz w:val="24"/>
          <w:szCs w:val="24"/>
        </w:rPr>
        <w:t>Sulfitobacter</w:t>
      </w:r>
      <w:r w:rsidRPr="00C6644F">
        <w:rPr>
          <w:rFonts w:ascii="Times New Roman" w:eastAsia="Calibri" w:hAnsi="Times New Roman" w:cs="Times New Roman"/>
          <w:sz w:val="24"/>
          <w:szCs w:val="24"/>
        </w:rPr>
        <w:t xml:space="preserve"> sp. CB2047, the bacterium was grown in ASW supplemented with 10 mM sodium acetate (Fisher, Fair Lawn, NJ, USA) at 25°C in the dark with 200 rpm agitation. Once cultures reached an OD</w:t>
      </w:r>
      <w:r w:rsidRPr="00C6644F">
        <w:rPr>
          <w:rFonts w:ascii="Times New Roman" w:eastAsia="Calibri" w:hAnsi="Times New Roman" w:cs="Times New Roman"/>
          <w:sz w:val="24"/>
          <w:szCs w:val="24"/>
          <w:vertAlign w:val="subscript"/>
        </w:rPr>
        <w:t>540</w:t>
      </w:r>
      <w:r w:rsidRPr="00C6644F">
        <w:rPr>
          <w:rFonts w:ascii="Times New Roman" w:eastAsia="Calibri" w:hAnsi="Times New Roman" w:cs="Times New Roman"/>
          <w:sz w:val="24"/>
          <w:szCs w:val="24"/>
        </w:rPr>
        <w:t xml:space="preserve"> of ca. 0.17, phage were added at a multiplicity of infection of 4 (4 phage cell</w:t>
      </w:r>
      <w:r w:rsidRPr="00C6644F">
        <w:rPr>
          <w:rFonts w:ascii="Times New Roman" w:eastAsia="Calibri" w:hAnsi="Times New Roman" w:cs="Times New Roman"/>
          <w:sz w:val="24"/>
          <w:szCs w:val="24"/>
          <w:vertAlign w:val="superscript"/>
        </w:rPr>
        <w:t>-1</w:t>
      </w:r>
      <w:r w:rsidRPr="00C6644F">
        <w:rPr>
          <w:rFonts w:ascii="Times New Roman" w:eastAsia="Calibri" w:hAnsi="Times New Roman" w:cs="Times New Roman"/>
          <w:sz w:val="24"/>
          <w:szCs w:val="24"/>
        </w:rPr>
        <w:t>). No phage added controls were run in parallel. Samples were collected for intracellular metabolites analysis prior to phage addition (t=0) and then 15, 30, 60, 120, 240, 360 and 480 min post phage addition.   Sampling of the extracellular metabolites in the first cultures was performed after 480 min of growth in both the viral infected and control cultures.</w:t>
      </w:r>
    </w:p>
    <w:p w:rsidR="005E3076" w:rsidRPr="00C6644F" w:rsidRDefault="005E3076" w:rsidP="005E3076">
      <w:pPr>
        <w:spacing w:after="0" w:line="360" w:lineRule="auto"/>
        <w:contextualSpacing/>
        <w:jc w:val="both"/>
        <w:rPr>
          <w:rFonts w:ascii="Times New Roman" w:eastAsia="Calibri" w:hAnsi="Times New Roman" w:cs="Times New Roman"/>
          <w:sz w:val="24"/>
          <w:szCs w:val="24"/>
        </w:rPr>
      </w:pPr>
      <w:r w:rsidRPr="00C6644F">
        <w:rPr>
          <w:rFonts w:ascii="Times New Roman" w:eastAsia="Calibri" w:hAnsi="Times New Roman" w:cs="Times New Roman"/>
          <w:sz w:val="24"/>
          <w:szCs w:val="24"/>
        </w:rPr>
        <w:t xml:space="preserve"> </w:t>
      </w:r>
    </w:p>
    <w:p w:rsidR="005E3076" w:rsidRDefault="005E3076" w:rsidP="005E3076">
      <w:pPr>
        <w:spacing w:after="0" w:line="360" w:lineRule="auto"/>
        <w:contextualSpacing/>
        <w:jc w:val="both"/>
        <w:rPr>
          <w:rFonts w:ascii="Times New Roman" w:eastAsia="Calibri" w:hAnsi="Times New Roman" w:cs="Times New Roman"/>
          <w:b/>
          <w:i/>
          <w:sz w:val="24"/>
          <w:szCs w:val="24"/>
        </w:rPr>
      </w:pPr>
    </w:p>
    <w:p w:rsidR="005E3076" w:rsidRPr="00C6644F" w:rsidRDefault="005E3076" w:rsidP="005E3076">
      <w:pPr>
        <w:spacing w:after="0" w:line="360" w:lineRule="auto"/>
        <w:contextualSpacing/>
        <w:jc w:val="both"/>
        <w:rPr>
          <w:rFonts w:ascii="Times New Roman" w:eastAsia="Calibri" w:hAnsi="Times New Roman" w:cs="Times New Roman"/>
          <w:b/>
          <w:i/>
          <w:sz w:val="24"/>
          <w:szCs w:val="24"/>
        </w:rPr>
      </w:pPr>
      <w:r w:rsidRPr="00C6644F">
        <w:rPr>
          <w:rFonts w:ascii="Times New Roman" w:eastAsia="Calibri" w:hAnsi="Times New Roman" w:cs="Times New Roman"/>
          <w:b/>
          <w:i/>
          <w:sz w:val="24"/>
          <w:szCs w:val="24"/>
        </w:rPr>
        <w:lastRenderedPageBreak/>
        <w:t>Flux Analysis</w:t>
      </w:r>
    </w:p>
    <w:p w:rsidR="005E3076" w:rsidRPr="00C6644F" w:rsidRDefault="005E3076" w:rsidP="005E3076">
      <w:pPr>
        <w:spacing w:after="0" w:line="360" w:lineRule="auto"/>
        <w:contextualSpacing/>
        <w:jc w:val="both"/>
        <w:rPr>
          <w:rFonts w:ascii="Times New Roman" w:eastAsia="Calibri" w:hAnsi="Times New Roman" w:cs="Times New Roman"/>
          <w:sz w:val="24"/>
          <w:szCs w:val="24"/>
        </w:rPr>
      </w:pPr>
      <w:r w:rsidRPr="00C6644F">
        <w:rPr>
          <w:rFonts w:ascii="Times New Roman" w:eastAsia="Calibri" w:hAnsi="Times New Roman" w:cs="Times New Roman"/>
          <w:sz w:val="24"/>
          <w:szCs w:val="24"/>
        </w:rPr>
        <w:t xml:space="preserve">For flux analyses, 20mM </w:t>
      </w:r>
      <w:r w:rsidRPr="00C6644F">
        <w:rPr>
          <w:rFonts w:ascii="Times New Roman" w:eastAsia="Calibri" w:hAnsi="Times New Roman" w:cs="Times New Roman"/>
          <w:sz w:val="24"/>
          <w:szCs w:val="24"/>
          <w:vertAlign w:val="superscript"/>
        </w:rPr>
        <w:t>13</w:t>
      </w:r>
      <w:r w:rsidRPr="00C6644F">
        <w:rPr>
          <w:rFonts w:ascii="Times New Roman" w:eastAsia="Calibri" w:hAnsi="Times New Roman" w:cs="Times New Roman"/>
          <w:sz w:val="24"/>
          <w:szCs w:val="24"/>
        </w:rPr>
        <w:t>C-acetate was added to a set of control and viral infected cultures at either 0 min or 240 min</w:t>
      </w:r>
      <w:r w:rsidR="00E613FF">
        <w:rPr>
          <w:rFonts w:ascii="Times New Roman" w:eastAsia="Calibri" w:hAnsi="Times New Roman" w:cs="Times New Roman"/>
          <w:sz w:val="24"/>
          <w:szCs w:val="24"/>
        </w:rPr>
        <w:t xml:space="preserve"> </w:t>
      </w:r>
      <w:r w:rsidRPr="00C6644F">
        <w:rPr>
          <w:rFonts w:ascii="Times New Roman" w:eastAsia="Calibri" w:hAnsi="Times New Roman" w:cs="Times New Roman"/>
          <w:sz w:val="24"/>
          <w:szCs w:val="24"/>
        </w:rPr>
        <w:t>post</w:t>
      </w:r>
      <w:r w:rsidR="00E613FF">
        <w:rPr>
          <w:rFonts w:ascii="Times New Roman" w:eastAsia="Calibri" w:hAnsi="Times New Roman" w:cs="Times New Roman"/>
          <w:sz w:val="24"/>
          <w:szCs w:val="24"/>
        </w:rPr>
        <w:t xml:space="preserve"> </w:t>
      </w:r>
      <w:r w:rsidRPr="00C6644F">
        <w:rPr>
          <w:rFonts w:ascii="Times New Roman" w:eastAsia="Calibri" w:hAnsi="Times New Roman" w:cs="Times New Roman"/>
          <w:sz w:val="24"/>
          <w:szCs w:val="24"/>
        </w:rPr>
        <w:t xml:space="preserve">infection.  Samples were then taken from each culture to which </w:t>
      </w:r>
      <w:r w:rsidRPr="00C6644F">
        <w:rPr>
          <w:rFonts w:ascii="Times New Roman" w:eastAsia="Calibri" w:hAnsi="Times New Roman" w:cs="Times New Roman"/>
          <w:sz w:val="24"/>
          <w:szCs w:val="24"/>
          <w:vertAlign w:val="superscript"/>
        </w:rPr>
        <w:t>13</w:t>
      </w:r>
      <w:r w:rsidRPr="00C6644F">
        <w:rPr>
          <w:rFonts w:ascii="Times New Roman" w:eastAsia="Calibri" w:hAnsi="Times New Roman" w:cs="Times New Roman"/>
          <w:sz w:val="24"/>
          <w:szCs w:val="24"/>
        </w:rPr>
        <w:t xml:space="preserve">C-acetate had been added at 0, 5, 15, 30 60, 120 post-addition.  To investigate any changes in central metabolic fluxes during infection we monitored the incorporation of </w:t>
      </w:r>
      <w:r w:rsidRPr="00C6644F">
        <w:rPr>
          <w:rFonts w:ascii="Times New Roman" w:eastAsia="Calibri" w:hAnsi="Times New Roman" w:cs="Times New Roman"/>
          <w:sz w:val="24"/>
          <w:szCs w:val="24"/>
          <w:vertAlign w:val="superscript"/>
        </w:rPr>
        <w:t>13</w:t>
      </w:r>
      <w:r w:rsidRPr="00C6644F">
        <w:rPr>
          <w:rFonts w:ascii="Times New Roman" w:eastAsia="Calibri" w:hAnsi="Times New Roman" w:cs="Times New Roman"/>
          <w:sz w:val="24"/>
          <w:szCs w:val="24"/>
        </w:rPr>
        <w:t xml:space="preserve">C-labeled acetate into intracellular metabolites over the course of infection cycle. </w:t>
      </w:r>
      <w:r w:rsidRPr="00C6644F">
        <w:rPr>
          <w:rFonts w:ascii="Times New Roman" w:eastAsia="Calibri" w:hAnsi="Times New Roman" w:cs="Times New Roman"/>
          <w:sz w:val="24"/>
          <w:szCs w:val="24"/>
          <w:vertAlign w:val="superscript"/>
        </w:rPr>
        <w:t>13</w:t>
      </w:r>
      <w:r w:rsidRPr="00C6644F">
        <w:rPr>
          <w:rFonts w:ascii="Times New Roman" w:eastAsia="Calibri" w:hAnsi="Times New Roman" w:cs="Times New Roman"/>
          <w:sz w:val="24"/>
          <w:szCs w:val="24"/>
        </w:rPr>
        <w:t>C-labeled sodium acetate (1,2-13C2, 99%, Cambridge Isotope Laboratories, Andover, MA, USA) was added to both infected and uninfected cultures at two distinct time</w:t>
      </w:r>
      <w:r w:rsidR="00E613FF">
        <w:rPr>
          <w:rFonts w:ascii="Times New Roman" w:eastAsia="Calibri" w:hAnsi="Times New Roman" w:cs="Times New Roman"/>
          <w:sz w:val="24"/>
          <w:szCs w:val="24"/>
        </w:rPr>
        <w:t xml:space="preserve"> </w:t>
      </w:r>
      <w:r w:rsidRPr="00C6644F">
        <w:rPr>
          <w:rFonts w:ascii="Times New Roman" w:eastAsia="Calibri" w:hAnsi="Times New Roman" w:cs="Times New Roman"/>
          <w:sz w:val="24"/>
          <w:szCs w:val="24"/>
        </w:rPr>
        <w:t xml:space="preserve">points: immediately prior to phage addition (t=0) and at the onset of phage proliferation (t=240 min). Samples were collected  ̴ 2 min following addition of </w:t>
      </w:r>
      <w:r w:rsidRPr="00C6644F">
        <w:rPr>
          <w:rFonts w:ascii="Times New Roman" w:eastAsia="Calibri" w:hAnsi="Times New Roman" w:cs="Times New Roman"/>
          <w:sz w:val="24"/>
          <w:szCs w:val="24"/>
          <w:vertAlign w:val="superscript"/>
        </w:rPr>
        <w:t>13</w:t>
      </w:r>
      <w:r w:rsidRPr="00C6644F">
        <w:rPr>
          <w:rFonts w:ascii="Times New Roman" w:eastAsia="Calibri" w:hAnsi="Times New Roman" w:cs="Times New Roman"/>
          <w:sz w:val="24"/>
          <w:szCs w:val="24"/>
        </w:rPr>
        <w:t xml:space="preserve">C acetate at 5, 15, 30, 60, 120, and 240, 245, 255, 270, 300, 360, 480 min. </w:t>
      </w:r>
    </w:p>
    <w:p w:rsidR="005E3076" w:rsidRPr="00C6644F" w:rsidRDefault="005E3076" w:rsidP="005E3076">
      <w:pPr>
        <w:spacing w:after="0" w:line="360" w:lineRule="auto"/>
        <w:contextualSpacing/>
        <w:jc w:val="both"/>
        <w:rPr>
          <w:rFonts w:ascii="Times New Roman" w:eastAsia="Calibri" w:hAnsi="Times New Roman" w:cs="Times New Roman"/>
          <w:sz w:val="24"/>
          <w:szCs w:val="24"/>
        </w:rPr>
      </w:pPr>
    </w:p>
    <w:p w:rsidR="005E3076" w:rsidRPr="00C6644F" w:rsidRDefault="005E3076" w:rsidP="005E3076">
      <w:pPr>
        <w:spacing w:line="360" w:lineRule="auto"/>
        <w:contextualSpacing/>
        <w:jc w:val="both"/>
        <w:rPr>
          <w:rFonts w:ascii="Times New Roman" w:hAnsi="Times New Roman" w:cs="Times New Roman"/>
          <w:b/>
          <w:i/>
          <w:sz w:val="24"/>
          <w:szCs w:val="24"/>
        </w:rPr>
      </w:pPr>
      <w:r w:rsidRPr="00C6644F">
        <w:rPr>
          <w:rFonts w:ascii="Times New Roman" w:hAnsi="Times New Roman" w:cs="Times New Roman"/>
          <w:b/>
          <w:i/>
          <w:sz w:val="24"/>
          <w:szCs w:val="24"/>
        </w:rPr>
        <w:t>Extraction Procedure</w:t>
      </w: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sz w:val="24"/>
          <w:szCs w:val="24"/>
        </w:rPr>
        <w:t>Extraction of metabolites followed methods developed by Rabinowitz and coworkers</w:t>
      </w:r>
      <w:r w:rsidR="00B408CA">
        <w:rPr>
          <w:rFonts w:ascii="Times New Roman" w:hAnsi="Times New Roman" w:cs="Times New Roman"/>
          <w:sz w:val="24"/>
          <w:szCs w:val="24"/>
          <w:vertAlign w:val="superscript"/>
        </w:rPr>
        <w:t>119</w:t>
      </w:r>
      <w:r w:rsidRPr="00C6644F">
        <w:rPr>
          <w:rFonts w:ascii="Times New Roman" w:hAnsi="Times New Roman" w:cs="Times New Roman"/>
          <w:sz w:val="24"/>
          <w:szCs w:val="24"/>
        </w:rPr>
        <w:t xml:space="preserve"> with some modifications.  Filter culture aliquots of 10 mL using Magna Nylon Filters (Millipore, Billerica MA) and house the filters cell side down in 60 x 15 mm polystyrene petri dishes holding 1.3 mL of 0.1 M formic acid 2:2:1 acetonitrile:methanol:water extraction solvent for 15 min at -20°C.  Relocate the petri dishes to a 4°C controlled climate, flip filters cell side up, and pipette extraction solvent over the surface for 60 s.  Transfer the solution into a 1.5 mL Eppendorf tube and centrifuge using an Eppendorf Centrifuge 5415 D set at parameters of 5 min, 13.2 rpm or 16.1 rcf, and 4°C.  Aspire the supernatant and deliver 300 µ</w:t>
      </w:r>
      <w:r w:rsidR="00464D7A">
        <w:rPr>
          <w:rFonts w:ascii="Times New Roman" w:hAnsi="Times New Roman" w:cs="Times New Roman"/>
          <w:sz w:val="24"/>
          <w:szCs w:val="24"/>
        </w:rPr>
        <w:t xml:space="preserve">L to each two autosampler vials.  </w:t>
      </w:r>
      <w:r w:rsidRPr="00C6644F">
        <w:rPr>
          <w:rFonts w:ascii="Times New Roman" w:hAnsi="Times New Roman" w:cs="Times New Roman"/>
          <w:sz w:val="24"/>
          <w:szCs w:val="24"/>
        </w:rPr>
        <w:t>Data acquisition of one autosampler vial begins immediately and the other is reserved at -80°C for the opposite polarity following completion of the first chosen polarity.</w:t>
      </w:r>
    </w:p>
    <w:p w:rsidR="005E3076" w:rsidRPr="00C6644F" w:rsidRDefault="005E3076" w:rsidP="005E3076">
      <w:pPr>
        <w:spacing w:line="360" w:lineRule="auto"/>
        <w:contextualSpacing/>
        <w:jc w:val="both"/>
        <w:rPr>
          <w:rFonts w:ascii="Times New Roman" w:hAnsi="Times New Roman" w:cs="Times New Roman"/>
          <w:i/>
          <w:sz w:val="24"/>
          <w:szCs w:val="24"/>
        </w:rPr>
      </w:pP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i/>
          <w:sz w:val="24"/>
          <w:szCs w:val="24"/>
        </w:rPr>
        <w:t>Filtrates</w:t>
      </w: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sz w:val="24"/>
          <w:szCs w:val="24"/>
        </w:rPr>
        <w:t>Freeze filtrate aliquots of 5 mL at -80°C then place in a VirTis 3.5 L DBTES Lyophilizer and relocate to a 4°C controlled climate.  Resuspend lyophilized filtrates in 300 µL of extraction solvent and centrifuge using an Eppendorf Centrifuge 5415 D set at parameters of 5 min, 13.2 rpm or 16.1 rcf, and 4°C.  Aspire the supernatant and deliver to a 1.5 mL Eppendorf tube</w:t>
      </w:r>
      <w:r w:rsidR="009F698C">
        <w:rPr>
          <w:rFonts w:ascii="Times New Roman" w:hAnsi="Times New Roman" w:cs="Times New Roman"/>
          <w:sz w:val="24"/>
          <w:szCs w:val="24"/>
        </w:rPr>
        <w:t xml:space="preserve">.  </w:t>
      </w:r>
      <w:r w:rsidRPr="00C6644F">
        <w:rPr>
          <w:rFonts w:ascii="Times New Roman" w:hAnsi="Times New Roman" w:cs="Times New Roman"/>
          <w:sz w:val="24"/>
          <w:szCs w:val="24"/>
        </w:rPr>
        <w:t xml:space="preserve">Centrifuge again under same parameters.  Aspire the supernatant and deliver 100 µL to each two autosampler vials.  </w:t>
      </w:r>
    </w:p>
    <w:p w:rsidR="005E3076" w:rsidRPr="00C6644F" w:rsidRDefault="005E3076" w:rsidP="005E3076">
      <w:pPr>
        <w:spacing w:line="360" w:lineRule="auto"/>
        <w:contextualSpacing/>
        <w:jc w:val="both"/>
        <w:rPr>
          <w:rFonts w:ascii="Times New Roman" w:hAnsi="Times New Roman" w:cs="Times New Roman"/>
          <w:b/>
          <w:i/>
          <w:sz w:val="24"/>
          <w:szCs w:val="24"/>
        </w:rPr>
      </w:pP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b/>
          <w:i/>
          <w:sz w:val="24"/>
          <w:szCs w:val="24"/>
        </w:rPr>
        <w:lastRenderedPageBreak/>
        <w:t>Chromatographic Details</w:t>
      </w: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sz w:val="24"/>
          <w:szCs w:val="24"/>
        </w:rPr>
        <w:t>Partitioning of metabolites followed methods developed by Rabinowitz  and coworkers with some modifications.</w:t>
      </w:r>
      <w:r w:rsidR="009C68DC">
        <w:rPr>
          <w:rFonts w:ascii="Times New Roman" w:hAnsi="Times New Roman" w:cs="Times New Roman"/>
          <w:sz w:val="24"/>
          <w:szCs w:val="24"/>
          <w:vertAlign w:val="superscript"/>
        </w:rPr>
        <w:t>20</w:t>
      </w:r>
      <w:r w:rsidRPr="00C6644F">
        <w:rPr>
          <w:rFonts w:ascii="Times New Roman" w:hAnsi="Times New Roman" w:cs="Times New Roman"/>
          <w:sz w:val="24"/>
          <w:szCs w:val="24"/>
          <w:vertAlign w:val="superscript"/>
        </w:rPr>
        <w:t xml:space="preserve">, </w:t>
      </w:r>
      <w:r w:rsidR="00B408CA">
        <w:rPr>
          <w:rFonts w:ascii="Times New Roman" w:hAnsi="Times New Roman" w:cs="Times New Roman"/>
          <w:sz w:val="24"/>
          <w:szCs w:val="24"/>
          <w:vertAlign w:val="superscript"/>
        </w:rPr>
        <w:t>120</w:t>
      </w:r>
      <w:r w:rsidRPr="00C6644F">
        <w:rPr>
          <w:rFonts w:ascii="Times New Roman" w:hAnsi="Times New Roman" w:cs="Times New Roman"/>
          <w:sz w:val="24"/>
          <w:szCs w:val="24"/>
        </w:rPr>
        <w:t xml:space="preserve">  A Finnigan Surveyor MS Pump Plus coupled to a Finnigan Surveyor Autosampler, upgraded to Autosampler Plus specifications, is used to perform high-performance liquid chromatography (HPLC) plumbed with 1/16 OD 0.003 in. </w:t>
      </w:r>
      <w:proofErr w:type="gramStart"/>
      <w:r w:rsidRPr="00C6644F">
        <w:rPr>
          <w:rFonts w:ascii="Times New Roman" w:hAnsi="Times New Roman" w:cs="Times New Roman"/>
          <w:sz w:val="24"/>
          <w:szCs w:val="24"/>
        </w:rPr>
        <w:t>ID polyether ether ketone (PEEK) tubing.</w:t>
      </w:r>
      <w:proofErr w:type="gramEnd"/>
      <w:r w:rsidRPr="00C6644F">
        <w:rPr>
          <w:rFonts w:ascii="Times New Roman" w:hAnsi="Times New Roman" w:cs="Times New Roman"/>
          <w:sz w:val="24"/>
          <w:szCs w:val="24"/>
        </w:rPr>
        <w:t xml:space="preserve">  A 4°C autosampler tray temperature and partial loop injections of 10 µL utilizing a 25 µL sample loop is used for both polarities.  </w:t>
      </w:r>
    </w:p>
    <w:p w:rsidR="005E3076" w:rsidRPr="00C6644F" w:rsidRDefault="005E3076" w:rsidP="005E3076">
      <w:pPr>
        <w:spacing w:line="360" w:lineRule="auto"/>
        <w:contextualSpacing/>
        <w:jc w:val="both"/>
        <w:rPr>
          <w:rFonts w:ascii="Times New Roman" w:hAnsi="Times New Roman" w:cs="Times New Roman"/>
          <w:i/>
          <w:sz w:val="24"/>
          <w:szCs w:val="24"/>
        </w:rPr>
      </w:pPr>
    </w:p>
    <w:p w:rsidR="005E3076" w:rsidRPr="00C6644F" w:rsidRDefault="005E3076" w:rsidP="005E3076">
      <w:pPr>
        <w:spacing w:line="360" w:lineRule="auto"/>
        <w:contextualSpacing/>
        <w:jc w:val="both"/>
        <w:rPr>
          <w:rFonts w:ascii="Times New Roman" w:hAnsi="Times New Roman" w:cs="Times New Roman"/>
          <w:i/>
          <w:sz w:val="24"/>
          <w:szCs w:val="24"/>
        </w:rPr>
      </w:pPr>
      <w:r w:rsidRPr="00C6644F">
        <w:rPr>
          <w:rFonts w:ascii="Times New Roman" w:hAnsi="Times New Roman" w:cs="Times New Roman"/>
          <w:i/>
          <w:sz w:val="24"/>
          <w:szCs w:val="24"/>
        </w:rPr>
        <w:t>Positive Mode</w:t>
      </w:r>
    </w:p>
    <w:p w:rsidR="005E3076" w:rsidRPr="00C6644F" w:rsidRDefault="005E3076" w:rsidP="005E3076">
      <w:pPr>
        <w:spacing w:line="360" w:lineRule="auto"/>
        <w:contextualSpacing/>
        <w:jc w:val="both"/>
        <w:rPr>
          <w:rFonts w:ascii="Times New Roman" w:hAnsi="Times New Roman" w:cs="Times New Roman"/>
          <w:color w:val="000000" w:themeColor="text1"/>
          <w:sz w:val="24"/>
          <w:szCs w:val="24"/>
        </w:rPr>
      </w:pPr>
      <w:r w:rsidRPr="00C6644F">
        <w:rPr>
          <w:rFonts w:ascii="Times New Roman" w:hAnsi="Times New Roman" w:cs="Times New Roman"/>
          <w:sz w:val="24"/>
          <w:szCs w:val="24"/>
        </w:rPr>
        <w:t>Positive polarity separates in a Phenomenex Luna 250 x 2.00 mm NP column packed with 5 µm pore size, 100 Å diameter aminopropyl particles at 10.0°C column temperature and 150.0 µL/min flow rate.  Mobile phases are 95% 20 mM ammonium acetate, 20mM ammonium hydroxide in water, 5% ACN at pH 9.4 (solvent C) and ACN (solvent D).  A 40 min gradient follows: t) 0 min, 15% solvent C : 85% solvent D; t) 15 min, 100% solvent C : 0% solvent D; t) 28 min, 100% solvent C : 0% solvent D; t) 30 min, 15% solvent C : 85% solvent D; t) 40 min, 15% solvent C : 85% solvent D.</w:t>
      </w:r>
    </w:p>
    <w:p w:rsidR="005E3076" w:rsidRPr="00C6644F" w:rsidRDefault="005E3076" w:rsidP="005E3076">
      <w:pPr>
        <w:spacing w:line="360" w:lineRule="auto"/>
        <w:contextualSpacing/>
        <w:jc w:val="both"/>
        <w:rPr>
          <w:rFonts w:ascii="Times New Roman" w:hAnsi="Times New Roman" w:cs="Times New Roman"/>
          <w:i/>
          <w:sz w:val="24"/>
          <w:szCs w:val="24"/>
        </w:rPr>
      </w:pPr>
    </w:p>
    <w:p w:rsidR="005E3076" w:rsidRPr="00C6644F" w:rsidRDefault="005E3076" w:rsidP="005E3076">
      <w:pPr>
        <w:spacing w:line="360" w:lineRule="auto"/>
        <w:contextualSpacing/>
        <w:jc w:val="both"/>
        <w:rPr>
          <w:rFonts w:ascii="Times New Roman" w:hAnsi="Times New Roman" w:cs="Times New Roman"/>
          <w:i/>
          <w:sz w:val="24"/>
          <w:szCs w:val="24"/>
        </w:rPr>
      </w:pPr>
      <w:r w:rsidRPr="00C6644F">
        <w:rPr>
          <w:rFonts w:ascii="Times New Roman" w:hAnsi="Times New Roman" w:cs="Times New Roman"/>
          <w:i/>
          <w:sz w:val="24"/>
          <w:szCs w:val="24"/>
        </w:rPr>
        <w:t>Negative Mode</w:t>
      </w:r>
    </w:p>
    <w:p w:rsidR="005E3076" w:rsidRPr="00C6644F" w:rsidRDefault="005E3076" w:rsidP="005E3076">
      <w:pPr>
        <w:spacing w:line="360" w:lineRule="auto"/>
        <w:contextualSpacing/>
        <w:jc w:val="both"/>
        <w:rPr>
          <w:rFonts w:ascii="Times New Roman" w:hAnsi="Times New Roman" w:cs="Times New Roman"/>
          <w:color w:val="000000" w:themeColor="text1"/>
          <w:sz w:val="24"/>
          <w:szCs w:val="24"/>
        </w:rPr>
      </w:pPr>
      <w:r w:rsidRPr="00C6644F">
        <w:rPr>
          <w:rFonts w:ascii="Times New Roman" w:hAnsi="Times New Roman" w:cs="Times New Roman"/>
          <w:sz w:val="24"/>
          <w:szCs w:val="24"/>
        </w:rPr>
        <w:t>Negative polarity separates in a Phenomenex Synergi 150 x 2.00 mm RP column packed with 4 µm pore size, 80 Å diameter C18</w:t>
      </w:r>
      <w:r w:rsidRPr="00C6644F">
        <w:rPr>
          <w:rFonts w:ascii="Times New Roman" w:hAnsi="Times New Roman" w:cs="Times New Roman"/>
          <w:color w:val="FF0000"/>
          <w:sz w:val="24"/>
          <w:szCs w:val="24"/>
        </w:rPr>
        <w:t xml:space="preserve"> </w:t>
      </w:r>
      <w:r w:rsidRPr="00C6644F">
        <w:rPr>
          <w:rFonts w:ascii="Times New Roman" w:hAnsi="Times New Roman" w:cs="Times New Roman"/>
          <w:color w:val="000000" w:themeColor="text1"/>
          <w:sz w:val="24"/>
          <w:szCs w:val="24"/>
        </w:rPr>
        <w:t xml:space="preserve">particles at 25.0°C column temperature and 200.0 µL/min flow rate.  Mobile phases are 97% 15mM acetic acid, 11mM tributylamine (TBA) in water, 3% methanol (solvent A) and methanol (solvent B).  A 50 min gradient follows: t) 0 min, 100% solvent A : 0% solvent B; t) 5 min, 100% solvent A : 0% solvent B; t) 10 min, 80% solvent A : 20% solvent B; t) 15 min, 80% solvent A : 20% solvent B; t) 30 min, 35% solvent A : 65% solvent B; t) 33 min, 5% solvent A : 95% solvent B; t) 37 min, 5% solvent A : 95% solvent B; t) 38 min, 100% solvent A : 0% solvent B; t) 50 min, 100% solvent A : 0% solvent B.  </w:t>
      </w:r>
    </w:p>
    <w:p w:rsidR="005E3076" w:rsidRPr="00C6644F" w:rsidRDefault="005E3076" w:rsidP="005E3076">
      <w:pPr>
        <w:spacing w:line="360" w:lineRule="auto"/>
        <w:contextualSpacing/>
        <w:jc w:val="both"/>
        <w:rPr>
          <w:rFonts w:ascii="Times New Roman" w:hAnsi="Times New Roman" w:cs="Times New Roman"/>
          <w:b/>
          <w:i/>
          <w:sz w:val="24"/>
          <w:szCs w:val="24"/>
        </w:rPr>
      </w:pPr>
    </w:p>
    <w:p w:rsidR="005E3076" w:rsidRDefault="005E3076" w:rsidP="005E3076">
      <w:pPr>
        <w:spacing w:line="360" w:lineRule="auto"/>
        <w:contextualSpacing/>
        <w:jc w:val="both"/>
        <w:rPr>
          <w:rFonts w:ascii="Times New Roman" w:hAnsi="Times New Roman" w:cs="Times New Roman"/>
          <w:b/>
          <w:i/>
          <w:sz w:val="24"/>
          <w:szCs w:val="24"/>
        </w:rPr>
      </w:pPr>
    </w:p>
    <w:p w:rsidR="005E3076" w:rsidRDefault="005E3076" w:rsidP="005E3076">
      <w:pPr>
        <w:spacing w:line="360" w:lineRule="auto"/>
        <w:contextualSpacing/>
        <w:jc w:val="both"/>
        <w:rPr>
          <w:rFonts w:ascii="Times New Roman" w:hAnsi="Times New Roman" w:cs="Times New Roman"/>
          <w:b/>
          <w:i/>
          <w:sz w:val="24"/>
          <w:szCs w:val="24"/>
        </w:rPr>
      </w:pPr>
    </w:p>
    <w:p w:rsidR="005E3076" w:rsidRDefault="005E3076" w:rsidP="005E3076">
      <w:pPr>
        <w:spacing w:line="360" w:lineRule="auto"/>
        <w:contextualSpacing/>
        <w:jc w:val="both"/>
        <w:rPr>
          <w:rFonts w:ascii="Times New Roman" w:hAnsi="Times New Roman" w:cs="Times New Roman"/>
          <w:b/>
          <w:i/>
          <w:sz w:val="24"/>
          <w:szCs w:val="24"/>
        </w:rPr>
      </w:pPr>
    </w:p>
    <w:p w:rsidR="00BD58F5" w:rsidRDefault="00BD58F5" w:rsidP="005E3076">
      <w:pPr>
        <w:spacing w:line="360" w:lineRule="auto"/>
        <w:contextualSpacing/>
        <w:jc w:val="both"/>
        <w:rPr>
          <w:rFonts w:ascii="Times New Roman" w:hAnsi="Times New Roman" w:cs="Times New Roman"/>
          <w:b/>
          <w:i/>
          <w:sz w:val="24"/>
          <w:szCs w:val="24"/>
        </w:rPr>
      </w:pPr>
    </w:p>
    <w:p w:rsidR="005E3076" w:rsidRPr="00C6644F" w:rsidRDefault="005E3076" w:rsidP="005E3076">
      <w:pPr>
        <w:spacing w:line="360" w:lineRule="auto"/>
        <w:contextualSpacing/>
        <w:jc w:val="both"/>
        <w:rPr>
          <w:rFonts w:ascii="Times New Roman" w:hAnsi="Times New Roman" w:cs="Times New Roman"/>
          <w:b/>
          <w:i/>
          <w:sz w:val="24"/>
          <w:szCs w:val="24"/>
        </w:rPr>
      </w:pPr>
      <w:r w:rsidRPr="00C6644F">
        <w:rPr>
          <w:rFonts w:ascii="Times New Roman" w:hAnsi="Times New Roman" w:cs="Times New Roman"/>
          <w:b/>
          <w:i/>
          <w:sz w:val="24"/>
          <w:szCs w:val="24"/>
        </w:rPr>
        <w:lastRenderedPageBreak/>
        <w:t>Mass Spectrometric Detection Parameters</w:t>
      </w:r>
    </w:p>
    <w:p w:rsidR="005E3076" w:rsidRPr="00C6644F" w:rsidRDefault="005E3076" w:rsidP="005E3076">
      <w:pPr>
        <w:spacing w:line="360" w:lineRule="auto"/>
        <w:contextualSpacing/>
        <w:jc w:val="both"/>
        <w:rPr>
          <w:rFonts w:ascii="Times New Roman" w:hAnsi="Times New Roman" w:cs="Times New Roman"/>
          <w:color w:val="000000" w:themeColor="text1"/>
          <w:sz w:val="24"/>
          <w:szCs w:val="24"/>
        </w:rPr>
      </w:pPr>
      <w:r w:rsidRPr="00C6644F">
        <w:rPr>
          <w:rFonts w:ascii="Times New Roman" w:hAnsi="Times New Roman" w:cs="Times New Roman"/>
          <w:color w:val="000000" w:themeColor="text1"/>
          <w:sz w:val="24"/>
          <w:szCs w:val="24"/>
        </w:rPr>
        <w:t xml:space="preserve">Eluent traversed through a 0.10 ID x 0.19 mm OD fused silica tube and into an Ion Max ion source housing of a Finnigan TSQ Quantum Discovery MAX operating in electrospray ionization (ESI) mode.  The polyimide sheath coating of fused silica tubing was removed from the spray tip to prevent elongation due to ACN.  The ion source was set at depth C, front-to-back 1.30, and side-to-side 0. Positive polarity uses a </w:t>
      </w:r>
      <w:r w:rsidRPr="00C6644F">
        <w:rPr>
          <w:rFonts w:ascii="Times New Roman" w:hAnsi="Times New Roman" w:cs="Times New Roman"/>
          <w:sz w:val="24"/>
          <w:szCs w:val="24"/>
        </w:rPr>
        <w:t xml:space="preserve">4500 ESI </w:t>
      </w:r>
      <w:r w:rsidRPr="00C6644F">
        <w:rPr>
          <w:rFonts w:ascii="Times New Roman" w:hAnsi="Times New Roman" w:cs="Times New Roman"/>
          <w:color w:val="000000" w:themeColor="text1"/>
          <w:sz w:val="24"/>
          <w:szCs w:val="24"/>
        </w:rPr>
        <w:t xml:space="preserve">spray voltage and negative polarity uses a </w:t>
      </w:r>
      <w:r w:rsidRPr="00C6644F">
        <w:rPr>
          <w:rFonts w:ascii="Times New Roman" w:hAnsi="Times New Roman" w:cs="Times New Roman"/>
          <w:sz w:val="24"/>
          <w:szCs w:val="24"/>
        </w:rPr>
        <w:t xml:space="preserve">3000 ESI </w:t>
      </w:r>
      <w:r w:rsidRPr="00C6644F">
        <w:rPr>
          <w:rFonts w:ascii="Times New Roman" w:hAnsi="Times New Roman" w:cs="Times New Roman"/>
          <w:color w:val="000000" w:themeColor="text1"/>
          <w:sz w:val="24"/>
          <w:szCs w:val="24"/>
        </w:rPr>
        <w:t xml:space="preserve">spray voltage.  The ion transfer capillary temperature was 290°C.  Nitrogen was used as </w:t>
      </w:r>
      <w:r w:rsidRPr="00C6644F">
        <w:rPr>
          <w:rFonts w:ascii="Times New Roman" w:hAnsi="Times New Roman" w:cs="Times New Roman"/>
          <w:sz w:val="24"/>
          <w:szCs w:val="24"/>
        </w:rPr>
        <w:t xml:space="preserve">sheath, auxillary, and sweep gas </w:t>
      </w:r>
      <w:r w:rsidRPr="00C6644F">
        <w:rPr>
          <w:rFonts w:ascii="Times New Roman" w:hAnsi="Times New Roman" w:cs="Times New Roman"/>
          <w:color w:val="000000" w:themeColor="text1"/>
          <w:sz w:val="24"/>
          <w:szCs w:val="24"/>
        </w:rPr>
        <w:t xml:space="preserve">set at 40, 5, and 1 arbitrary units, respectively, and 100 psi from the source.  Ultra high purity argon was used as collision gas and was set to 1.5 mTorr in the collision cell and 20 psi from the source.  The scan type SRM was used with parameters 0.05 s scan time, 1 </w:t>
      </w:r>
      <w:r w:rsidRPr="00C6644F">
        <w:rPr>
          <w:rFonts w:ascii="Times New Roman" w:hAnsi="Times New Roman" w:cs="Times New Roman"/>
          <w:i/>
          <w:color w:val="000000" w:themeColor="text1"/>
          <w:sz w:val="24"/>
          <w:szCs w:val="24"/>
        </w:rPr>
        <w:t>m/z</w:t>
      </w:r>
      <w:r w:rsidRPr="00C6644F">
        <w:rPr>
          <w:rFonts w:ascii="Times New Roman" w:hAnsi="Times New Roman" w:cs="Times New Roman"/>
          <w:color w:val="000000" w:themeColor="text1"/>
          <w:sz w:val="24"/>
          <w:szCs w:val="24"/>
        </w:rPr>
        <w:t xml:space="preserve"> scan width, and Q1 &amp; Q3 peak width (FWHM) 0.7 Da, 0V skimmer offset voltage, centroid data type, and 1 microscan.  Tuned tube lens voltage was used.  Complete SRM parameters for the majority of metabolites have been reported by Rabinowitz and coworkers.</w:t>
      </w:r>
      <w:r w:rsidR="009C68DC">
        <w:rPr>
          <w:rFonts w:ascii="Times New Roman" w:hAnsi="Times New Roman" w:cs="Times New Roman"/>
          <w:color w:val="000000" w:themeColor="text1"/>
          <w:sz w:val="24"/>
          <w:szCs w:val="24"/>
          <w:vertAlign w:val="superscript"/>
        </w:rPr>
        <w:t>20</w:t>
      </w:r>
      <w:r w:rsidRPr="00C6644F">
        <w:rPr>
          <w:rFonts w:ascii="Times New Roman" w:hAnsi="Times New Roman" w:cs="Times New Roman"/>
          <w:color w:val="000000" w:themeColor="text1"/>
          <w:sz w:val="24"/>
          <w:szCs w:val="24"/>
        </w:rPr>
        <w:t xml:space="preserve">  All Finnigan instruments were operated using Xcalibur 2.0.7 from a Dell Precision 390.  All power systems were connected to a Toshiba 1600 EP Series UPS (Uninterruptible Power Supply).</w:t>
      </w:r>
    </w:p>
    <w:p w:rsidR="005E3076" w:rsidRPr="00C6644F" w:rsidRDefault="005E3076" w:rsidP="005E3076">
      <w:pPr>
        <w:spacing w:line="360" w:lineRule="auto"/>
        <w:contextualSpacing/>
        <w:jc w:val="both"/>
        <w:rPr>
          <w:rFonts w:ascii="Times New Roman" w:hAnsi="Times New Roman" w:cs="Times New Roman"/>
          <w:b/>
          <w:i/>
          <w:sz w:val="24"/>
          <w:szCs w:val="24"/>
        </w:rPr>
      </w:pPr>
    </w:p>
    <w:p w:rsidR="005E3076" w:rsidRPr="00C6644F" w:rsidRDefault="005E3076" w:rsidP="005E3076">
      <w:pPr>
        <w:spacing w:line="360" w:lineRule="auto"/>
        <w:contextualSpacing/>
        <w:jc w:val="both"/>
        <w:rPr>
          <w:rFonts w:ascii="Times New Roman" w:hAnsi="Times New Roman" w:cs="Times New Roman"/>
          <w:b/>
          <w:i/>
          <w:sz w:val="24"/>
          <w:szCs w:val="24"/>
        </w:rPr>
      </w:pPr>
      <w:r w:rsidRPr="00C6644F">
        <w:rPr>
          <w:rFonts w:ascii="Times New Roman" w:hAnsi="Times New Roman" w:cs="Times New Roman"/>
          <w:b/>
          <w:i/>
          <w:sz w:val="24"/>
          <w:szCs w:val="24"/>
        </w:rPr>
        <w:t>Data Processing</w:t>
      </w:r>
    </w:p>
    <w:p w:rsidR="005E3076" w:rsidRPr="00C6644F" w:rsidRDefault="005E3076" w:rsidP="005E3076">
      <w:pPr>
        <w:spacing w:line="360" w:lineRule="auto"/>
        <w:contextualSpacing/>
        <w:jc w:val="both"/>
        <w:rPr>
          <w:rFonts w:ascii="Times New Roman" w:hAnsi="Times New Roman" w:cs="Times New Roman"/>
          <w:color w:val="000000" w:themeColor="text1"/>
          <w:sz w:val="24"/>
          <w:szCs w:val="24"/>
        </w:rPr>
      </w:pPr>
      <w:r w:rsidRPr="00C6644F">
        <w:rPr>
          <w:rFonts w:ascii="Times New Roman" w:hAnsi="Times New Roman" w:cs="Times New Roman"/>
          <w:color w:val="000000" w:themeColor="text1"/>
          <w:sz w:val="24"/>
          <w:szCs w:val="24"/>
        </w:rPr>
        <w:t>Electronically stored chromatograms were viewed using Xcalibur 2.0.7 Quan Browser and peak area values were downloaded to Microsoft Excel 2007 where fold changes and p-values were calculated.  Heat maps were generated using Gene Cluster 3.0 and viewed using Java TreeView 1.1.5.</w:t>
      </w:r>
      <w:r w:rsidR="00B408CA">
        <w:rPr>
          <w:rFonts w:ascii="Times New Roman" w:hAnsi="Times New Roman" w:cs="Times New Roman"/>
          <w:color w:val="000000" w:themeColor="text1"/>
          <w:sz w:val="24"/>
          <w:szCs w:val="24"/>
          <w:vertAlign w:val="superscript"/>
        </w:rPr>
        <w:t>121</w:t>
      </w:r>
      <w:r w:rsidRPr="00C6644F">
        <w:rPr>
          <w:rFonts w:ascii="Times New Roman" w:hAnsi="Times New Roman" w:cs="Times New Roman"/>
          <w:color w:val="000000" w:themeColor="text1"/>
          <w:sz w:val="24"/>
          <w:szCs w:val="24"/>
          <w:vertAlign w:val="superscript"/>
        </w:rPr>
        <w:t xml:space="preserve"> </w:t>
      </w:r>
      <w:r w:rsidRPr="00C6644F">
        <w:rPr>
          <w:rFonts w:ascii="Times New Roman" w:hAnsi="Times New Roman" w:cs="Times New Roman"/>
          <w:color w:val="000000" w:themeColor="text1"/>
          <w:sz w:val="24"/>
          <w:szCs w:val="24"/>
        </w:rPr>
        <w:t xml:space="preserve"> SigmaPlot was used for calculation of rate constants.  An exponential decay formula was obtained:</w:t>
      </w:r>
    </w:p>
    <w:p w:rsidR="005E3076" w:rsidRPr="00C6644F" w:rsidRDefault="005E3076" w:rsidP="005E3076">
      <w:pPr>
        <w:spacing w:line="360" w:lineRule="auto"/>
        <w:contextualSpacing/>
        <w:rPr>
          <w:rFonts w:ascii="Times New Roman" w:hAnsi="Times New Roman" w:cs="Times New Roman"/>
          <w:color w:val="000000" w:themeColor="text1"/>
          <w:sz w:val="24"/>
          <w:szCs w:val="24"/>
        </w:rPr>
      </w:pPr>
    </w:p>
    <w:p w:rsidR="005E3076" w:rsidRPr="00C6644F" w:rsidRDefault="005E3076" w:rsidP="005E3076">
      <w:pPr>
        <w:spacing w:line="360" w:lineRule="auto"/>
        <w:contextualSpacing/>
        <w:jc w:val="center"/>
        <w:rPr>
          <w:rFonts w:ascii="Times New Roman" w:hAnsi="Times New Roman" w:cs="Times New Roman"/>
          <w:i/>
          <w:color w:val="000000" w:themeColor="text1"/>
          <w:sz w:val="24"/>
          <w:szCs w:val="24"/>
        </w:rPr>
      </w:pPr>
      <w:r w:rsidRPr="00C6644F">
        <w:rPr>
          <w:rFonts w:ascii="Times New Roman" w:hAnsi="Times New Roman" w:cs="Times New Roman"/>
          <w:i/>
          <w:color w:val="000000" w:themeColor="text1"/>
          <w:sz w:val="24"/>
          <w:szCs w:val="24"/>
        </w:rPr>
        <w:t>y = Ae</w:t>
      </w:r>
      <w:r w:rsidRPr="00C6644F">
        <w:rPr>
          <w:rFonts w:ascii="Times New Roman" w:hAnsi="Times New Roman" w:cs="Times New Roman"/>
          <w:i/>
          <w:color w:val="000000" w:themeColor="text1"/>
          <w:sz w:val="24"/>
          <w:szCs w:val="24"/>
          <w:vertAlign w:val="superscript"/>
        </w:rPr>
        <w:t>-kx</w:t>
      </w:r>
      <w:r w:rsidRPr="00C6644F">
        <w:rPr>
          <w:rFonts w:ascii="Times New Roman" w:hAnsi="Times New Roman" w:cs="Times New Roman"/>
          <w:i/>
          <w:color w:val="000000" w:themeColor="text1"/>
          <w:sz w:val="24"/>
          <w:szCs w:val="24"/>
        </w:rPr>
        <w:t xml:space="preserve"> + c</w:t>
      </w:r>
    </w:p>
    <w:p w:rsidR="005E3076" w:rsidRPr="00C6644F" w:rsidRDefault="005E3076" w:rsidP="005E3076">
      <w:pPr>
        <w:spacing w:line="360" w:lineRule="auto"/>
        <w:contextualSpacing/>
        <w:jc w:val="center"/>
        <w:rPr>
          <w:rFonts w:ascii="Times New Roman" w:hAnsi="Times New Roman" w:cs="Times New Roman"/>
          <w:i/>
          <w:color w:val="000000" w:themeColor="text1"/>
          <w:sz w:val="24"/>
          <w:szCs w:val="24"/>
        </w:rPr>
      </w:pPr>
    </w:p>
    <w:p w:rsidR="005E3076" w:rsidRPr="00C6644F" w:rsidRDefault="005E3076" w:rsidP="005E3076">
      <w:pPr>
        <w:spacing w:line="360" w:lineRule="auto"/>
        <w:contextualSpacing/>
        <w:rPr>
          <w:rFonts w:ascii="Times New Roman" w:hAnsi="Times New Roman" w:cs="Times New Roman"/>
          <w:color w:val="000000" w:themeColor="text1"/>
          <w:sz w:val="24"/>
          <w:szCs w:val="24"/>
        </w:rPr>
      </w:pPr>
      <w:r w:rsidRPr="00C6644F">
        <w:rPr>
          <w:rFonts w:ascii="Times New Roman" w:hAnsi="Times New Roman" w:cs="Times New Roman"/>
          <w:color w:val="000000" w:themeColor="text1"/>
          <w:sz w:val="24"/>
          <w:szCs w:val="24"/>
        </w:rPr>
        <w:t xml:space="preserve">SigmaPlot solves for the rate constant </w:t>
      </w:r>
      <w:r w:rsidRPr="00C6644F">
        <w:rPr>
          <w:rFonts w:ascii="Times New Roman" w:hAnsi="Times New Roman" w:cs="Times New Roman"/>
          <w:i/>
          <w:color w:val="000000" w:themeColor="text1"/>
          <w:sz w:val="24"/>
          <w:szCs w:val="24"/>
        </w:rPr>
        <w:t>k</w:t>
      </w:r>
      <w:r w:rsidRPr="00C6644F">
        <w:rPr>
          <w:rFonts w:ascii="Times New Roman" w:hAnsi="Times New Roman" w:cs="Times New Roman"/>
          <w:color w:val="000000" w:themeColor="text1"/>
          <w:sz w:val="24"/>
          <w:szCs w:val="24"/>
        </w:rPr>
        <w:t>.</w:t>
      </w:r>
    </w:p>
    <w:p w:rsidR="005E3076" w:rsidRPr="00C6644F" w:rsidRDefault="005E3076" w:rsidP="005E3076">
      <w:pPr>
        <w:spacing w:line="360" w:lineRule="auto"/>
        <w:contextualSpacing/>
        <w:rPr>
          <w:rFonts w:ascii="Times New Roman" w:hAnsi="Times New Roman" w:cs="Times New Roman"/>
          <w:color w:val="000000" w:themeColor="text1"/>
          <w:sz w:val="24"/>
          <w:szCs w:val="24"/>
        </w:rPr>
      </w:pPr>
    </w:p>
    <w:p w:rsidR="005E3076" w:rsidRDefault="005E3076" w:rsidP="005E3076">
      <w:pPr>
        <w:spacing w:line="360" w:lineRule="auto"/>
        <w:contextualSpacing/>
        <w:jc w:val="both"/>
        <w:rPr>
          <w:rFonts w:ascii="Times New Roman" w:hAnsi="Times New Roman" w:cs="Times New Roman"/>
          <w:b/>
          <w:i/>
          <w:sz w:val="24"/>
          <w:szCs w:val="24"/>
        </w:rPr>
      </w:pPr>
    </w:p>
    <w:p w:rsidR="005E3076" w:rsidRDefault="005E3076" w:rsidP="005E3076">
      <w:pPr>
        <w:spacing w:line="360" w:lineRule="auto"/>
        <w:contextualSpacing/>
        <w:jc w:val="both"/>
        <w:rPr>
          <w:rFonts w:ascii="Times New Roman" w:hAnsi="Times New Roman" w:cs="Times New Roman"/>
          <w:b/>
          <w:i/>
          <w:sz w:val="24"/>
          <w:szCs w:val="24"/>
        </w:rPr>
      </w:pPr>
    </w:p>
    <w:p w:rsidR="005E3076" w:rsidRDefault="005E3076" w:rsidP="005E3076">
      <w:pPr>
        <w:spacing w:line="360" w:lineRule="auto"/>
        <w:contextualSpacing/>
        <w:jc w:val="both"/>
        <w:rPr>
          <w:rFonts w:ascii="Times New Roman" w:hAnsi="Times New Roman" w:cs="Times New Roman"/>
          <w:b/>
          <w:i/>
          <w:sz w:val="24"/>
          <w:szCs w:val="24"/>
        </w:rPr>
      </w:pPr>
    </w:p>
    <w:p w:rsidR="005E3076" w:rsidRPr="00C6644F" w:rsidRDefault="005E3076" w:rsidP="005E3076">
      <w:pPr>
        <w:spacing w:line="360" w:lineRule="auto"/>
        <w:contextualSpacing/>
        <w:jc w:val="both"/>
        <w:rPr>
          <w:rFonts w:ascii="Times New Roman" w:hAnsi="Times New Roman" w:cs="Times New Roman"/>
          <w:b/>
          <w:i/>
          <w:sz w:val="24"/>
          <w:szCs w:val="24"/>
        </w:rPr>
      </w:pPr>
      <w:r w:rsidRPr="00C6644F">
        <w:rPr>
          <w:rFonts w:ascii="Times New Roman" w:hAnsi="Times New Roman" w:cs="Times New Roman"/>
          <w:b/>
          <w:i/>
          <w:sz w:val="24"/>
          <w:szCs w:val="24"/>
        </w:rPr>
        <w:lastRenderedPageBreak/>
        <w:t>Sample Matrix for External Standards</w:t>
      </w: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sz w:val="24"/>
          <w:szCs w:val="24"/>
        </w:rPr>
        <w:t>A 10 mL volumetric flask was zeroed and filled to its mark with minimal media thermally equilibrated at 22˚C.  The weight of 10 mL of minimal media was then used to calculate density:</w:t>
      </w:r>
    </w:p>
    <w:p w:rsidR="005E3076" w:rsidRDefault="005E3076" w:rsidP="005E3076">
      <w:pPr>
        <w:spacing w:line="360" w:lineRule="auto"/>
        <w:contextualSpacing/>
        <w:jc w:val="both"/>
        <w:rPr>
          <w:rFonts w:ascii="Times New Roman" w:hAnsi="Times New Roman" w:cs="Times New Roman"/>
          <w:sz w:val="24"/>
          <w:szCs w:val="24"/>
        </w:rPr>
      </w:pPr>
    </w:p>
    <w:p w:rsidR="005E3076" w:rsidRPr="00C6644F" w:rsidRDefault="005E3076" w:rsidP="005E3076">
      <w:pPr>
        <w:spacing w:line="360" w:lineRule="auto"/>
        <w:contextualSpacing/>
        <w:jc w:val="both"/>
        <w:rPr>
          <w:rFonts w:ascii="Times New Roman" w:hAnsi="Times New Roman" w:cs="Times New Roman"/>
          <w:sz w:val="24"/>
          <w:szCs w:val="24"/>
        </w:rPr>
      </w:pPr>
    </w:p>
    <w:p w:rsidR="005E3076" w:rsidRPr="00C6644F" w:rsidRDefault="00CB2AB9" w:rsidP="005E3076">
      <w:pPr>
        <w:spacing w:line="360" w:lineRule="auto"/>
        <w:contextualSpacing/>
        <w:jc w:val="center"/>
        <w:rPr>
          <w:rFonts w:ascii="Times New Roman" w:eastAsiaTheme="minorEastAsia" w:hAnsi="Times New Roman" w:cs="Times New Roman"/>
          <w:i/>
          <w:sz w:val="24"/>
          <w:szCs w:val="24"/>
        </w:rPr>
      </w:pPr>
      <m:oMathPara>
        <m:oMath>
          <m:f>
            <m:fPr>
              <m:ctrlPr>
                <w:rPr>
                  <w:rFonts w:ascii="Cambria Math" w:eastAsiaTheme="minorEastAsia" w:hAnsi="Cambria Math" w:cs="Times New Roman"/>
                  <w:i/>
                  <w:sz w:val="24"/>
                  <w:szCs w:val="24"/>
                </w:rPr>
              </m:ctrlPr>
            </m:fPr>
            <m:num>
              <m:r>
                <w:rPr>
                  <w:rFonts w:ascii="Cambria Math" w:hAnsi="Cambria Math" w:cs="Times New Roman"/>
                  <w:sz w:val="24"/>
                  <w:szCs w:val="24"/>
                </w:rPr>
                <m:t xml:space="preserve">Minimal media (g)    </m:t>
              </m:r>
            </m:num>
            <m:den>
              <m:r>
                <w:rPr>
                  <w:rFonts w:ascii="Cambria Math" w:hAnsi="Cambria Math" w:cs="Times New Roman"/>
                  <w:sz w:val="24"/>
                  <w:szCs w:val="24"/>
                </w:rPr>
                <m:t>Volume of flask (m</m:t>
              </m:r>
              <m:r>
                <w:rPr>
                  <w:rFonts w:ascii="Cambria Math" w:hAnsi="Cambria Math" w:cs="Times New Roman"/>
                  <w:sz w:val="24"/>
                  <w:szCs w:val="24"/>
                </w:rPr>
                <m:t>L)</m:t>
              </m:r>
            </m:den>
          </m:f>
          <m:r>
            <w:rPr>
              <w:rFonts w:ascii="Cambria Math" w:eastAsiaTheme="minorEastAsia" w:hAnsi="Cambria Math" w:cs="Times New Roman"/>
              <w:sz w:val="24"/>
              <w:szCs w:val="24"/>
            </w:rPr>
            <m:t>=</m:t>
          </m:r>
          <m:r>
            <w:rPr>
              <w:rFonts w:ascii="Cambria Math" w:hAnsi="Cambria Math" w:cs="Times New Roman"/>
              <w:sz w:val="24"/>
              <w:szCs w:val="24"/>
            </w:rPr>
            <m:t>Density of minimal media (g/mL)</m:t>
          </m:r>
        </m:oMath>
      </m:oMathPara>
    </w:p>
    <w:p w:rsidR="005E3076" w:rsidRDefault="005E3076" w:rsidP="005E3076">
      <w:pPr>
        <w:spacing w:line="360" w:lineRule="auto"/>
        <w:contextualSpacing/>
        <w:rPr>
          <w:rFonts w:ascii="Times New Roman" w:eastAsiaTheme="minorEastAsia" w:hAnsi="Times New Roman" w:cs="Times New Roman"/>
          <w:i/>
          <w:sz w:val="24"/>
          <w:szCs w:val="24"/>
        </w:rPr>
      </w:pPr>
    </w:p>
    <w:p w:rsidR="005E3076" w:rsidRPr="00C6644F" w:rsidRDefault="005E3076" w:rsidP="005E3076">
      <w:pPr>
        <w:spacing w:line="360" w:lineRule="auto"/>
        <w:contextualSpacing/>
        <w:rPr>
          <w:rFonts w:ascii="Times New Roman" w:eastAsiaTheme="minorEastAsia" w:hAnsi="Times New Roman" w:cs="Times New Roman"/>
          <w:i/>
          <w:sz w:val="24"/>
          <w:szCs w:val="24"/>
        </w:rPr>
      </w:pP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sz w:val="24"/>
          <w:szCs w:val="24"/>
        </w:rPr>
        <w:t>Then the weight of a dry Magna Nylon Filter was recorded and the weight of a wet Magna Nylon Filter after filtering 10 mL of minimal media.  The difference was taken in the wet and dry weights to obtain the weight of minimal media on the filter.  This was repeated twice more and the average weight of minimal media on the filter was used for further calculations:</w:t>
      </w:r>
    </w:p>
    <w:p w:rsidR="005E3076" w:rsidRDefault="005E3076" w:rsidP="005E3076">
      <w:pPr>
        <w:spacing w:line="360" w:lineRule="auto"/>
        <w:contextualSpacing/>
        <w:rPr>
          <w:rFonts w:ascii="Cambria Math" w:hAnsi="Cambria Math" w:cs="Times New Roman"/>
          <w:i/>
          <w:sz w:val="24"/>
          <w:szCs w:val="24"/>
        </w:rPr>
      </w:pPr>
    </w:p>
    <w:p w:rsidR="005E3076" w:rsidRPr="00C6644F" w:rsidRDefault="005E3076" w:rsidP="005E3076">
      <w:pPr>
        <w:spacing w:line="360" w:lineRule="auto"/>
        <w:contextualSpacing/>
        <w:rPr>
          <w:rFonts w:ascii="Cambria Math" w:hAnsi="Cambria Math" w:cs="Times New Roman"/>
          <w:i/>
          <w:sz w:val="24"/>
          <w:szCs w:val="24"/>
        </w:rPr>
      </w:pPr>
    </w:p>
    <w:p w:rsidR="005E3076" w:rsidRPr="00C6644F" w:rsidRDefault="005E3076" w:rsidP="005E3076">
      <w:pPr>
        <w:spacing w:line="360" w:lineRule="auto"/>
        <w:contextualSpacing/>
        <w:jc w:val="center"/>
        <w:rPr>
          <w:rFonts w:ascii="Cambria Math" w:hAnsi="Cambria Math" w:cs="Times New Roman"/>
          <w:i/>
          <w:sz w:val="24"/>
          <w:szCs w:val="24"/>
        </w:rPr>
      </w:pPr>
      <w:r w:rsidRPr="00C6644F">
        <w:rPr>
          <w:rFonts w:ascii="Cambria Math" w:hAnsi="Cambria Math" w:cs="Times New Roman"/>
          <w:i/>
          <w:sz w:val="24"/>
          <w:szCs w:val="24"/>
        </w:rPr>
        <w:t>Average weight of minimal media on filter (g)</w:t>
      </w:r>
      <w:r w:rsidRPr="00C6644F">
        <w:rPr>
          <w:rFonts w:ascii="Cambria Math" w:hAnsi="Cambria Math" w:cs="Times New Roman"/>
          <w:sz w:val="24"/>
          <w:szCs w:val="24"/>
        </w:rPr>
        <w:t xml:space="preserve"> χ </w:t>
      </w:r>
      <w:r w:rsidRPr="00C6644F">
        <w:rPr>
          <w:rFonts w:ascii="Cambria Math" w:hAnsi="Cambria Math" w:cs="Times New Roman"/>
          <w:i/>
          <w:sz w:val="24"/>
          <w:szCs w:val="24"/>
        </w:rPr>
        <w:t>Density of minimal media (mL/g)</w:t>
      </w:r>
      <w:r w:rsidRPr="00C6644F">
        <w:rPr>
          <w:rFonts w:ascii="Cambria Math" w:hAnsi="Cambria Math" w:cs="Times New Roman"/>
          <w:sz w:val="24"/>
          <w:szCs w:val="24"/>
        </w:rPr>
        <w:t xml:space="preserve"> = </w:t>
      </w:r>
      <w:r w:rsidRPr="00C6644F">
        <w:rPr>
          <w:rFonts w:ascii="Cambria Math" w:hAnsi="Cambria Math" w:cs="Times New Roman"/>
          <w:i/>
          <w:sz w:val="24"/>
          <w:szCs w:val="24"/>
        </w:rPr>
        <w:t>Average volume of minimal media on filter (mL)</w:t>
      </w:r>
    </w:p>
    <w:p w:rsidR="005E3076" w:rsidRDefault="005E3076" w:rsidP="005E3076">
      <w:pPr>
        <w:spacing w:line="360" w:lineRule="auto"/>
        <w:contextualSpacing/>
        <w:jc w:val="center"/>
        <w:rPr>
          <w:rFonts w:ascii="Cambria Math" w:hAnsi="Cambria Math" w:cs="Times New Roman"/>
          <w:i/>
          <w:sz w:val="24"/>
          <w:szCs w:val="24"/>
        </w:rPr>
      </w:pPr>
    </w:p>
    <w:p w:rsidR="005E3076" w:rsidRPr="00C6644F" w:rsidRDefault="005E3076" w:rsidP="005E3076">
      <w:pPr>
        <w:spacing w:line="360" w:lineRule="auto"/>
        <w:contextualSpacing/>
        <w:jc w:val="center"/>
        <w:rPr>
          <w:rFonts w:ascii="Cambria Math" w:hAnsi="Cambria Math" w:cs="Times New Roman"/>
          <w:i/>
          <w:sz w:val="24"/>
          <w:szCs w:val="24"/>
        </w:rPr>
      </w:pP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sz w:val="24"/>
          <w:szCs w:val="24"/>
        </w:rPr>
        <w:t>The average volume of minimal media on the filter was used to determine a ratio of extraction solvent to minimal media to reproduce the sample matrix.  The volume of extraction solvent is already determined by experimental design to be 1.3 mL and the average volume of minimal media on a filter was determined to be 0.1472 mL.  Due to limitations of pipettes the ratio was rounded to 1.3:0.147.  This ratio of extraction solvent to minimal media was used as the solvent in preparing glutamine and glutamate standards.</w:t>
      </w:r>
    </w:p>
    <w:p w:rsidR="005E3076" w:rsidRPr="00C6644F" w:rsidRDefault="005E3076" w:rsidP="005E3076">
      <w:pPr>
        <w:spacing w:line="360" w:lineRule="auto"/>
        <w:contextualSpacing/>
        <w:jc w:val="both"/>
        <w:rPr>
          <w:rFonts w:ascii="Times New Roman" w:hAnsi="Times New Roman" w:cs="Times New Roman"/>
          <w:b/>
          <w:i/>
          <w:sz w:val="24"/>
          <w:szCs w:val="24"/>
        </w:rPr>
      </w:pPr>
    </w:p>
    <w:p w:rsidR="005E3076" w:rsidRDefault="005E3076" w:rsidP="005E3076">
      <w:pPr>
        <w:spacing w:line="360" w:lineRule="auto"/>
        <w:contextualSpacing/>
        <w:jc w:val="both"/>
        <w:rPr>
          <w:rFonts w:ascii="Times New Roman" w:hAnsi="Times New Roman" w:cs="Times New Roman"/>
          <w:b/>
          <w:i/>
          <w:sz w:val="24"/>
          <w:szCs w:val="24"/>
        </w:rPr>
      </w:pPr>
    </w:p>
    <w:p w:rsidR="005E3076" w:rsidRDefault="005E3076" w:rsidP="005E3076">
      <w:pPr>
        <w:spacing w:line="360" w:lineRule="auto"/>
        <w:contextualSpacing/>
        <w:jc w:val="both"/>
        <w:rPr>
          <w:rFonts w:ascii="Times New Roman" w:hAnsi="Times New Roman" w:cs="Times New Roman"/>
          <w:b/>
          <w:i/>
          <w:sz w:val="24"/>
          <w:szCs w:val="24"/>
        </w:rPr>
      </w:pPr>
    </w:p>
    <w:p w:rsidR="005E3076" w:rsidRDefault="005E3076" w:rsidP="005E3076">
      <w:pPr>
        <w:spacing w:line="360" w:lineRule="auto"/>
        <w:contextualSpacing/>
        <w:jc w:val="both"/>
        <w:rPr>
          <w:rFonts w:ascii="Times New Roman" w:hAnsi="Times New Roman" w:cs="Times New Roman"/>
          <w:b/>
          <w:i/>
          <w:sz w:val="24"/>
          <w:szCs w:val="24"/>
        </w:rPr>
      </w:pPr>
    </w:p>
    <w:p w:rsidR="005E3076" w:rsidRDefault="005E3076" w:rsidP="005E3076">
      <w:pPr>
        <w:spacing w:line="360" w:lineRule="auto"/>
        <w:contextualSpacing/>
        <w:jc w:val="both"/>
        <w:rPr>
          <w:rFonts w:ascii="Times New Roman" w:hAnsi="Times New Roman" w:cs="Times New Roman"/>
          <w:b/>
          <w:i/>
          <w:sz w:val="24"/>
          <w:szCs w:val="24"/>
        </w:rPr>
      </w:pPr>
    </w:p>
    <w:p w:rsidR="005E3076" w:rsidRDefault="005E3076" w:rsidP="005E3076">
      <w:pPr>
        <w:spacing w:line="360" w:lineRule="auto"/>
        <w:contextualSpacing/>
        <w:jc w:val="both"/>
        <w:rPr>
          <w:rFonts w:ascii="Times New Roman" w:hAnsi="Times New Roman" w:cs="Times New Roman"/>
          <w:b/>
          <w:i/>
          <w:sz w:val="24"/>
          <w:szCs w:val="24"/>
        </w:rPr>
      </w:pP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b/>
          <w:i/>
          <w:sz w:val="24"/>
          <w:szCs w:val="24"/>
        </w:rPr>
        <w:lastRenderedPageBreak/>
        <w:t>Data Processing for the Calculation of Absolute Quantitation using External Standard</w:t>
      </w: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sz w:val="24"/>
          <w:szCs w:val="24"/>
        </w:rPr>
        <w:t>A calibration curve was used to calculate the absolute quantitation of glutamine and glutamate as all other metabolites are relative quantitation through fold changes of area ion counts.</w:t>
      </w:r>
    </w:p>
    <w:p w:rsidR="005E3076" w:rsidRPr="00C6644F" w:rsidRDefault="005E3076" w:rsidP="005E3076">
      <w:pPr>
        <w:spacing w:line="360" w:lineRule="auto"/>
        <w:contextualSpacing/>
        <w:jc w:val="both"/>
        <w:rPr>
          <w:rFonts w:ascii="Times New Roman" w:hAnsi="Times New Roman" w:cs="Times New Roman"/>
          <w:i/>
          <w:sz w:val="24"/>
          <w:szCs w:val="24"/>
        </w:rPr>
      </w:pPr>
    </w:p>
    <w:p w:rsidR="005E3076" w:rsidRPr="00C6644F" w:rsidRDefault="005E3076" w:rsidP="005E3076">
      <w:pPr>
        <w:spacing w:line="360" w:lineRule="auto"/>
        <w:contextualSpacing/>
        <w:jc w:val="both"/>
        <w:rPr>
          <w:rFonts w:ascii="Times New Roman" w:hAnsi="Times New Roman" w:cs="Times New Roman"/>
          <w:i/>
          <w:sz w:val="24"/>
          <w:szCs w:val="24"/>
        </w:rPr>
      </w:pPr>
      <w:r w:rsidRPr="00C6644F">
        <w:rPr>
          <w:rFonts w:ascii="Times New Roman" w:hAnsi="Times New Roman" w:cs="Times New Roman"/>
          <w:i/>
          <w:sz w:val="24"/>
          <w:szCs w:val="24"/>
        </w:rPr>
        <w:t>Glutamine</w:t>
      </w:r>
    </w:p>
    <w:p w:rsidR="005E3076" w:rsidRPr="006B5831"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sz w:val="24"/>
          <w:szCs w:val="24"/>
        </w:rPr>
        <w:t>Serial dilutions were made of glutamine standard.  35 mg of glutamine</w:t>
      </w:r>
      <w:r>
        <w:rPr>
          <w:rFonts w:ascii="Times New Roman" w:hAnsi="Times New Roman" w:cs="Times New Roman"/>
          <w:sz w:val="24"/>
          <w:szCs w:val="24"/>
        </w:rPr>
        <w:t xml:space="preserve"> (+99% Sigma-Aldrich)</w:t>
      </w:r>
      <w:r w:rsidRPr="00C6644F">
        <w:rPr>
          <w:rFonts w:ascii="Times New Roman" w:hAnsi="Times New Roman" w:cs="Times New Roman"/>
          <w:sz w:val="24"/>
          <w:szCs w:val="24"/>
        </w:rPr>
        <w:t xml:space="preserve"> was weighed on weighing paper then a 10 mL volumetric flask with a glass funnel was zeroed.  The glutamine was then transferred into the glass funnel and the actual weight glutamine transferred was recorded.  1.3:0.147 extraction solvent:minimal media was used to wash the glutamine down and for dilution.  Then half log dilutions were performed using a pipette to transfer 750 µL x 2 from the stock to a 5 mL volumetric flask then to another 5 mL volumetric flask and so on until enough dilutions were obtained to produce a calibration curve where all measured values could be interpolated.  The sampling order for chromatographic injections was from lowest concentration to highest to prevent erroneous carryover.  One dilution series but each sample was injected in duplicate.</w:t>
      </w:r>
    </w:p>
    <w:p w:rsidR="005E3076" w:rsidRPr="00C6644F" w:rsidRDefault="005E3076" w:rsidP="005E3076">
      <w:pPr>
        <w:spacing w:line="360" w:lineRule="auto"/>
        <w:contextualSpacing/>
        <w:jc w:val="both"/>
        <w:rPr>
          <w:rFonts w:ascii="Times New Roman" w:hAnsi="Times New Roman" w:cs="Times New Roman"/>
          <w:i/>
          <w:sz w:val="24"/>
          <w:szCs w:val="24"/>
        </w:rPr>
      </w:pPr>
    </w:p>
    <w:p w:rsidR="005E3076" w:rsidRPr="00C6644F" w:rsidRDefault="005E3076" w:rsidP="005E3076">
      <w:pPr>
        <w:spacing w:line="360" w:lineRule="auto"/>
        <w:contextualSpacing/>
        <w:jc w:val="both"/>
        <w:rPr>
          <w:rFonts w:ascii="Times New Roman" w:hAnsi="Times New Roman" w:cs="Times New Roman"/>
          <w:i/>
          <w:sz w:val="24"/>
          <w:szCs w:val="24"/>
        </w:rPr>
      </w:pPr>
      <w:r w:rsidRPr="00C6644F">
        <w:rPr>
          <w:rFonts w:ascii="Times New Roman" w:hAnsi="Times New Roman" w:cs="Times New Roman"/>
          <w:sz w:val="24"/>
          <w:szCs w:val="24"/>
        </w:rPr>
        <w:t>The calibration curve was graphed on a log</w:t>
      </w:r>
      <w:r w:rsidRPr="00C6644F">
        <w:rPr>
          <w:rFonts w:ascii="Times New Roman" w:hAnsi="Times New Roman" w:cs="Times New Roman"/>
          <w:sz w:val="24"/>
          <w:szCs w:val="24"/>
          <w:vertAlign w:val="subscript"/>
        </w:rPr>
        <w:t>10</w:t>
      </w:r>
      <w:r w:rsidRPr="00C6644F">
        <w:rPr>
          <w:rFonts w:ascii="Times New Roman" w:hAnsi="Times New Roman" w:cs="Times New Roman"/>
          <w:sz w:val="24"/>
          <w:szCs w:val="24"/>
        </w:rPr>
        <w:t xml:space="preserve"> scale to display calibration levels equidistance apart.  A linear equation was obtained using least-squares linear regression of the data:</w:t>
      </w:r>
    </w:p>
    <w:p w:rsidR="005E3076" w:rsidRPr="00C6644F" w:rsidRDefault="005E3076" w:rsidP="005E3076">
      <w:pPr>
        <w:spacing w:line="360" w:lineRule="auto"/>
        <w:contextualSpacing/>
        <w:jc w:val="both"/>
        <w:rPr>
          <w:rFonts w:ascii="Times New Roman" w:hAnsi="Times New Roman" w:cs="Times New Roman"/>
          <w:sz w:val="24"/>
          <w:szCs w:val="24"/>
        </w:rPr>
      </w:pPr>
    </w:p>
    <w:p w:rsidR="005E3076" w:rsidRPr="00C6644F" w:rsidRDefault="005E3076" w:rsidP="005E3076">
      <w:pPr>
        <w:spacing w:line="360" w:lineRule="auto"/>
        <w:contextualSpacing/>
        <w:jc w:val="center"/>
        <w:rPr>
          <w:rFonts w:ascii="Cambria Math" w:hAnsi="Cambria Math" w:cs="Times New Roman"/>
          <w:i/>
          <w:sz w:val="24"/>
          <w:szCs w:val="24"/>
        </w:rPr>
      </w:pPr>
      <w:r w:rsidRPr="00C6644F">
        <w:rPr>
          <w:rFonts w:ascii="Cambria Math" w:hAnsi="Cambria Math" w:cs="Times New Roman"/>
          <w:i/>
          <w:sz w:val="24"/>
          <w:szCs w:val="24"/>
        </w:rPr>
        <w:t xml:space="preserve">Area of Glutamine = m </w:t>
      </w:r>
      <w:r w:rsidRPr="00C6644F">
        <w:rPr>
          <w:rFonts w:ascii="Cambria Math" w:hAnsi="Cambria Math" w:cs="Times New Roman"/>
          <w:sz w:val="24"/>
          <w:szCs w:val="24"/>
        </w:rPr>
        <w:t>[</w:t>
      </w:r>
      <w:r w:rsidRPr="00C6644F">
        <w:rPr>
          <w:rFonts w:ascii="Cambria Math" w:hAnsi="Cambria Math" w:cs="Times New Roman"/>
          <w:i/>
          <w:sz w:val="24"/>
          <w:szCs w:val="24"/>
        </w:rPr>
        <w:t>Glutamine</w:t>
      </w:r>
      <w:r w:rsidRPr="00C6644F">
        <w:rPr>
          <w:rFonts w:ascii="Cambria Math" w:hAnsi="Cambria Math" w:cs="Times New Roman"/>
          <w:sz w:val="24"/>
          <w:szCs w:val="24"/>
        </w:rPr>
        <w:t>]</w:t>
      </w:r>
      <w:r w:rsidRPr="00C6644F">
        <w:rPr>
          <w:rFonts w:ascii="Cambria Math" w:hAnsi="Cambria Math" w:cs="Times New Roman"/>
          <w:i/>
          <w:sz w:val="24"/>
          <w:szCs w:val="24"/>
        </w:rPr>
        <w:t xml:space="preserve"> + b</w:t>
      </w:r>
    </w:p>
    <w:p w:rsidR="005E3076" w:rsidRPr="00C6644F" w:rsidRDefault="005E3076" w:rsidP="005E3076">
      <w:pPr>
        <w:spacing w:line="360" w:lineRule="auto"/>
        <w:contextualSpacing/>
        <w:rPr>
          <w:rFonts w:ascii="Times New Roman" w:hAnsi="Times New Roman" w:cs="Times New Roman"/>
          <w:sz w:val="24"/>
          <w:szCs w:val="24"/>
        </w:rPr>
      </w:pPr>
    </w:p>
    <w:p w:rsidR="005E3076" w:rsidRPr="00C6644F" w:rsidRDefault="005E3076" w:rsidP="005E3076">
      <w:pPr>
        <w:spacing w:line="360" w:lineRule="auto"/>
        <w:contextualSpacing/>
        <w:rPr>
          <w:rFonts w:ascii="Times New Roman" w:hAnsi="Times New Roman" w:cs="Times New Roman"/>
          <w:sz w:val="24"/>
          <w:szCs w:val="24"/>
        </w:rPr>
      </w:pPr>
      <w:r w:rsidRPr="00C6644F">
        <w:rPr>
          <w:rFonts w:ascii="Times New Roman" w:hAnsi="Times New Roman" w:cs="Times New Roman"/>
          <w:sz w:val="24"/>
          <w:szCs w:val="24"/>
        </w:rPr>
        <w:t>The [</w:t>
      </w:r>
      <w:r w:rsidRPr="00C6644F">
        <w:rPr>
          <w:rFonts w:ascii="Times New Roman" w:hAnsi="Times New Roman" w:cs="Times New Roman"/>
          <w:i/>
          <w:sz w:val="24"/>
          <w:szCs w:val="24"/>
        </w:rPr>
        <w:t>Glutamine</w:t>
      </w:r>
      <w:r w:rsidRPr="00C6644F">
        <w:rPr>
          <w:rFonts w:ascii="Times New Roman" w:hAnsi="Times New Roman" w:cs="Times New Roman"/>
          <w:sz w:val="24"/>
          <w:szCs w:val="24"/>
        </w:rPr>
        <w:t xml:space="preserve">] in samples can be determined as </w:t>
      </w:r>
      <w:r w:rsidRPr="00C6644F">
        <w:rPr>
          <w:rFonts w:ascii="Times New Roman" w:hAnsi="Times New Roman" w:cs="Times New Roman"/>
          <w:i/>
          <w:sz w:val="24"/>
          <w:szCs w:val="24"/>
        </w:rPr>
        <w:t xml:space="preserve">Area of Glutamine </w:t>
      </w:r>
      <w:r w:rsidRPr="00C6644F">
        <w:rPr>
          <w:rFonts w:ascii="Times New Roman" w:hAnsi="Times New Roman" w:cs="Times New Roman"/>
          <w:sz w:val="24"/>
          <w:szCs w:val="24"/>
        </w:rPr>
        <w:t>is known.</w:t>
      </w:r>
    </w:p>
    <w:p w:rsidR="005E3076" w:rsidRPr="00C6644F" w:rsidRDefault="005E3076" w:rsidP="005E3076">
      <w:pPr>
        <w:spacing w:line="360" w:lineRule="auto"/>
        <w:contextualSpacing/>
        <w:rPr>
          <w:rFonts w:ascii="Times New Roman" w:hAnsi="Times New Roman" w:cs="Times New Roman"/>
          <w:i/>
          <w:sz w:val="24"/>
          <w:szCs w:val="24"/>
        </w:rPr>
      </w:pPr>
    </w:p>
    <w:p w:rsidR="005E3076" w:rsidRPr="00C6644F" w:rsidRDefault="005E3076" w:rsidP="005E3076">
      <w:pPr>
        <w:spacing w:line="360" w:lineRule="auto"/>
        <w:contextualSpacing/>
        <w:rPr>
          <w:rFonts w:ascii="Times New Roman" w:hAnsi="Times New Roman" w:cs="Times New Roman"/>
          <w:i/>
          <w:sz w:val="24"/>
          <w:szCs w:val="24"/>
        </w:rPr>
      </w:pPr>
      <w:r w:rsidRPr="00C6644F">
        <w:rPr>
          <w:rFonts w:ascii="Times New Roman" w:hAnsi="Times New Roman" w:cs="Times New Roman"/>
          <w:i/>
          <w:sz w:val="24"/>
          <w:szCs w:val="24"/>
        </w:rPr>
        <w:t>Glutamate</w:t>
      </w: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sz w:val="24"/>
          <w:szCs w:val="24"/>
        </w:rPr>
        <w:t>Serial dilutions were made of glutamate standard.  35 mg of glutamate</w:t>
      </w:r>
      <w:r>
        <w:rPr>
          <w:rFonts w:ascii="Times New Roman" w:hAnsi="Times New Roman" w:cs="Times New Roman"/>
          <w:sz w:val="24"/>
          <w:szCs w:val="24"/>
        </w:rPr>
        <w:t xml:space="preserve"> (+99% Sigma Aldrich) </w:t>
      </w:r>
      <w:r w:rsidRPr="00C6644F">
        <w:rPr>
          <w:rFonts w:ascii="Times New Roman" w:hAnsi="Times New Roman" w:cs="Times New Roman"/>
          <w:sz w:val="24"/>
          <w:szCs w:val="24"/>
        </w:rPr>
        <w:t xml:space="preserve">was weighed on weighing paper then a 10 mL volumetric flask with a glass funnel was zeroed.  The glutamate was then transferred into the glass funnel and the actual weight glutamate transferred was recorded.  1.3:0.147 extraction solvent:minimal media was used to wash the glutamate down and for dilution.  Then half log dilutions were performed using a pipette to transfer 750 µL x 2 from the stock to a 5 mL volumetric flask then to another 5 mL volumetric flask and so on until enough dilutions were obtained to produce a calibration curve where all </w:t>
      </w:r>
      <w:r w:rsidRPr="00C6644F">
        <w:rPr>
          <w:rFonts w:ascii="Times New Roman" w:hAnsi="Times New Roman" w:cs="Times New Roman"/>
          <w:sz w:val="24"/>
          <w:szCs w:val="24"/>
        </w:rPr>
        <w:lastRenderedPageBreak/>
        <w:t>measured values could be interpolated.  The sampling order for chromatographic injections was from lowest concentration to highest to prevent erroneous carryover.  One dilution series but each sample was injected in duplicate.</w:t>
      </w:r>
    </w:p>
    <w:p w:rsidR="005E3076" w:rsidRPr="00C6644F" w:rsidRDefault="005E3076" w:rsidP="005E3076">
      <w:pPr>
        <w:spacing w:line="360" w:lineRule="auto"/>
        <w:contextualSpacing/>
        <w:jc w:val="both"/>
        <w:rPr>
          <w:rFonts w:ascii="Times New Roman" w:hAnsi="Times New Roman" w:cs="Times New Roman"/>
          <w:sz w:val="24"/>
          <w:szCs w:val="24"/>
        </w:rPr>
      </w:pPr>
    </w:p>
    <w:p w:rsidR="005E3076" w:rsidRPr="00C6644F" w:rsidRDefault="005E3076" w:rsidP="005E3076">
      <w:pPr>
        <w:spacing w:line="360" w:lineRule="auto"/>
        <w:contextualSpacing/>
        <w:jc w:val="both"/>
        <w:rPr>
          <w:rFonts w:ascii="Times New Roman" w:hAnsi="Times New Roman" w:cs="Times New Roman"/>
          <w:sz w:val="24"/>
          <w:szCs w:val="24"/>
        </w:rPr>
      </w:pPr>
      <w:r w:rsidRPr="00C6644F">
        <w:rPr>
          <w:rFonts w:ascii="Times New Roman" w:hAnsi="Times New Roman" w:cs="Times New Roman"/>
          <w:sz w:val="24"/>
          <w:szCs w:val="24"/>
        </w:rPr>
        <w:t>The calibration curve was graphed on a log</w:t>
      </w:r>
      <w:r w:rsidRPr="00C6644F">
        <w:rPr>
          <w:rFonts w:ascii="Times New Roman" w:hAnsi="Times New Roman" w:cs="Times New Roman"/>
          <w:sz w:val="24"/>
          <w:szCs w:val="24"/>
          <w:vertAlign w:val="subscript"/>
        </w:rPr>
        <w:t>10</w:t>
      </w:r>
      <w:r w:rsidRPr="00C6644F">
        <w:rPr>
          <w:rFonts w:ascii="Times New Roman" w:hAnsi="Times New Roman" w:cs="Times New Roman"/>
          <w:sz w:val="24"/>
          <w:szCs w:val="24"/>
        </w:rPr>
        <w:t xml:space="preserve"> scale to display calibration levels equidistance apart.  A linear equation was obtained using least-squares linear regression of the data:</w:t>
      </w:r>
    </w:p>
    <w:p w:rsidR="005E3076" w:rsidRPr="00C6644F" w:rsidRDefault="005E3076" w:rsidP="005E3076">
      <w:pPr>
        <w:spacing w:line="360" w:lineRule="auto"/>
        <w:contextualSpacing/>
        <w:jc w:val="both"/>
        <w:rPr>
          <w:rFonts w:ascii="Times New Roman" w:hAnsi="Times New Roman" w:cs="Times New Roman"/>
          <w:sz w:val="24"/>
          <w:szCs w:val="24"/>
        </w:rPr>
      </w:pPr>
    </w:p>
    <w:p w:rsidR="005E3076" w:rsidRPr="00C6644F" w:rsidRDefault="005E3076" w:rsidP="005E3076">
      <w:pPr>
        <w:spacing w:line="360" w:lineRule="auto"/>
        <w:contextualSpacing/>
        <w:jc w:val="center"/>
        <w:rPr>
          <w:rFonts w:ascii="Cambria Math" w:hAnsi="Cambria Math" w:cs="Times New Roman"/>
          <w:i/>
          <w:sz w:val="24"/>
          <w:szCs w:val="24"/>
        </w:rPr>
      </w:pPr>
      <w:r w:rsidRPr="00C6644F">
        <w:rPr>
          <w:rFonts w:ascii="Cambria Math" w:hAnsi="Cambria Math" w:cs="Times New Roman"/>
          <w:i/>
          <w:sz w:val="24"/>
          <w:szCs w:val="24"/>
        </w:rPr>
        <w:t xml:space="preserve">Area of Glutamate = m </w:t>
      </w:r>
      <w:r w:rsidRPr="00C6644F">
        <w:rPr>
          <w:rFonts w:ascii="Cambria Math" w:hAnsi="Cambria Math" w:cs="Times New Roman"/>
          <w:sz w:val="24"/>
          <w:szCs w:val="24"/>
        </w:rPr>
        <w:t>[</w:t>
      </w:r>
      <w:r w:rsidRPr="00C6644F">
        <w:rPr>
          <w:rFonts w:ascii="Cambria Math" w:hAnsi="Cambria Math" w:cs="Times New Roman"/>
          <w:i/>
          <w:sz w:val="24"/>
          <w:szCs w:val="24"/>
        </w:rPr>
        <w:t>Glutamate</w:t>
      </w:r>
      <w:r w:rsidRPr="00C6644F">
        <w:rPr>
          <w:rFonts w:ascii="Cambria Math" w:hAnsi="Cambria Math" w:cs="Times New Roman"/>
          <w:sz w:val="24"/>
          <w:szCs w:val="24"/>
        </w:rPr>
        <w:t>]</w:t>
      </w:r>
      <w:r w:rsidRPr="00C6644F">
        <w:rPr>
          <w:rFonts w:ascii="Cambria Math" w:hAnsi="Cambria Math" w:cs="Times New Roman"/>
          <w:i/>
          <w:sz w:val="24"/>
          <w:szCs w:val="24"/>
        </w:rPr>
        <w:t xml:space="preserve"> + b</w:t>
      </w:r>
    </w:p>
    <w:p w:rsidR="005E3076" w:rsidRPr="00C6644F" w:rsidRDefault="005E3076" w:rsidP="005E3076">
      <w:pPr>
        <w:spacing w:line="360" w:lineRule="auto"/>
        <w:contextualSpacing/>
        <w:jc w:val="center"/>
        <w:rPr>
          <w:rFonts w:ascii="Cambria Math" w:hAnsi="Cambria Math" w:cs="Times New Roman"/>
          <w:i/>
          <w:sz w:val="24"/>
          <w:szCs w:val="24"/>
        </w:rPr>
      </w:pPr>
    </w:p>
    <w:p w:rsidR="005E3076" w:rsidRPr="00C6644F" w:rsidRDefault="005E3076" w:rsidP="005E3076">
      <w:pPr>
        <w:spacing w:line="360" w:lineRule="auto"/>
        <w:contextualSpacing/>
        <w:rPr>
          <w:rFonts w:ascii="Times New Roman" w:hAnsi="Times New Roman" w:cs="Times New Roman"/>
          <w:sz w:val="24"/>
          <w:szCs w:val="24"/>
        </w:rPr>
      </w:pPr>
      <w:r w:rsidRPr="00C6644F">
        <w:rPr>
          <w:rFonts w:ascii="Times New Roman" w:hAnsi="Times New Roman" w:cs="Times New Roman"/>
          <w:sz w:val="24"/>
          <w:szCs w:val="24"/>
        </w:rPr>
        <w:t>The [</w:t>
      </w:r>
      <w:r w:rsidRPr="00C6644F">
        <w:rPr>
          <w:rFonts w:ascii="Times New Roman" w:hAnsi="Times New Roman" w:cs="Times New Roman"/>
          <w:i/>
          <w:sz w:val="24"/>
          <w:szCs w:val="24"/>
        </w:rPr>
        <w:t>Glutamate</w:t>
      </w:r>
      <w:r w:rsidRPr="00C6644F">
        <w:rPr>
          <w:rFonts w:ascii="Times New Roman" w:hAnsi="Times New Roman" w:cs="Times New Roman"/>
          <w:sz w:val="24"/>
          <w:szCs w:val="24"/>
        </w:rPr>
        <w:t xml:space="preserve">] in samples can be determined as </w:t>
      </w:r>
      <w:r w:rsidRPr="00C6644F">
        <w:rPr>
          <w:rFonts w:ascii="Times New Roman" w:hAnsi="Times New Roman" w:cs="Times New Roman"/>
          <w:i/>
          <w:sz w:val="24"/>
          <w:szCs w:val="24"/>
        </w:rPr>
        <w:t xml:space="preserve">Area of Glutamate </w:t>
      </w:r>
      <w:r w:rsidRPr="00C6644F">
        <w:rPr>
          <w:rFonts w:ascii="Times New Roman" w:hAnsi="Times New Roman" w:cs="Times New Roman"/>
          <w:sz w:val="24"/>
          <w:szCs w:val="24"/>
        </w:rPr>
        <w:t>is known.</w:t>
      </w:r>
    </w:p>
    <w:p w:rsidR="005E3076" w:rsidRPr="00C6644F" w:rsidRDefault="005E3076" w:rsidP="005E3076">
      <w:pPr>
        <w:rPr>
          <w:rFonts w:ascii="Times New Roman" w:hAnsi="Times New Roman" w:cs="Times New Roman"/>
          <w:sz w:val="24"/>
          <w:szCs w:val="24"/>
        </w:rPr>
      </w:pPr>
    </w:p>
    <w:p w:rsidR="005E3076" w:rsidRPr="00C6644F" w:rsidRDefault="005E3076" w:rsidP="005E3076">
      <w:pPr>
        <w:rPr>
          <w:rFonts w:ascii="Times New Roman" w:hAnsi="Times New Roman" w:cs="Times New Roman"/>
          <w:sz w:val="24"/>
          <w:szCs w:val="24"/>
        </w:rPr>
      </w:pPr>
    </w:p>
    <w:p w:rsidR="005E3076" w:rsidRPr="00C6644F" w:rsidRDefault="005E3076" w:rsidP="005E3076">
      <w:pPr>
        <w:rPr>
          <w:rFonts w:ascii="Times New Roman" w:hAnsi="Times New Roman" w:cs="Times New Roman"/>
          <w:color w:val="000000" w:themeColor="text1"/>
          <w:sz w:val="24"/>
          <w:szCs w:val="24"/>
          <w:vertAlign w:val="superscript"/>
        </w:rPr>
      </w:pPr>
    </w:p>
    <w:p w:rsidR="005E3076" w:rsidRPr="00C6644F" w:rsidRDefault="005E3076" w:rsidP="005E3076">
      <w:pPr>
        <w:spacing w:after="0" w:line="240" w:lineRule="auto"/>
        <w:ind w:left="720" w:hanging="720"/>
        <w:contextualSpacing/>
        <w:jc w:val="both"/>
        <w:rPr>
          <w:rFonts w:ascii="Arial" w:eastAsia="Times New Roman" w:hAnsi="Arial" w:cs="Arial"/>
          <w:noProof/>
        </w:rPr>
      </w:pPr>
    </w:p>
    <w:p w:rsidR="005E3076" w:rsidRPr="00C6644F" w:rsidRDefault="005E3076" w:rsidP="005E3076">
      <w:pPr>
        <w:rPr>
          <w:rFonts w:ascii="Times New Roman" w:hAnsi="Times New Roman" w:cs="Times New Roman"/>
          <w:sz w:val="24"/>
          <w:szCs w:val="24"/>
        </w:rPr>
      </w:pPr>
    </w:p>
    <w:p w:rsidR="005E3076" w:rsidRPr="00C6644F" w:rsidRDefault="005E3076" w:rsidP="005E3076">
      <w:pPr>
        <w:rPr>
          <w:rFonts w:ascii="Times New Roman" w:hAnsi="Times New Roman" w:cs="Times New Roman"/>
          <w:color w:val="FF0000"/>
          <w:sz w:val="24"/>
          <w:szCs w:val="24"/>
        </w:rPr>
      </w:pPr>
      <w:r w:rsidRPr="00C6644F">
        <w:rPr>
          <w:rFonts w:ascii="Times New Roman" w:hAnsi="Times New Roman" w:cs="Times New Roman"/>
          <w:color w:val="FF0000"/>
          <w:sz w:val="24"/>
          <w:szCs w:val="24"/>
        </w:rPr>
        <w:br/>
      </w:r>
    </w:p>
    <w:p w:rsidR="005E3076" w:rsidRPr="0083245E" w:rsidRDefault="005E3076" w:rsidP="005E3076">
      <w:pPr>
        <w:spacing w:line="360" w:lineRule="auto"/>
        <w:jc w:val="both"/>
        <w:rPr>
          <w:rFonts w:ascii="Times New Roman" w:hAnsi="Times New Roman" w:cs="Times New Roman"/>
          <w:b/>
          <w:sz w:val="24"/>
          <w:szCs w:val="24"/>
        </w:rPr>
      </w:pP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spacing w:line="360" w:lineRule="auto"/>
        <w:jc w:val="both"/>
        <w:rPr>
          <w:rFonts w:ascii="Times New Roman" w:hAnsi="Times New Roman" w:cs="Times New Roman"/>
          <w:sz w:val="24"/>
          <w:szCs w:val="24"/>
        </w:rPr>
      </w:pPr>
    </w:p>
    <w:p w:rsidR="005E3076" w:rsidRPr="0083245E" w:rsidRDefault="005E3076" w:rsidP="005E3076">
      <w:pPr>
        <w:jc w:val="both"/>
        <w:rPr>
          <w:rFonts w:ascii="Times New Roman" w:hAnsi="Times New Roman" w:cs="Times New Roman"/>
          <w:sz w:val="24"/>
          <w:szCs w:val="24"/>
        </w:rPr>
      </w:pPr>
    </w:p>
    <w:p w:rsidR="005E3076" w:rsidRPr="0083245E" w:rsidRDefault="005E3076" w:rsidP="005E3076">
      <w:pPr>
        <w:jc w:val="both"/>
        <w:rPr>
          <w:rFonts w:ascii="Times New Roman" w:hAnsi="Times New Roman" w:cs="Times New Roman"/>
          <w:sz w:val="24"/>
          <w:szCs w:val="24"/>
        </w:rPr>
      </w:pPr>
    </w:p>
    <w:p w:rsidR="005E3076" w:rsidRPr="0083245E" w:rsidRDefault="005E3076" w:rsidP="005E3076">
      <w:pPr>
        <w:jc w:val="both"/>
        <w:rPr>
          <w:rFonts w:ascii="Times New Roman" w:hAnsi="Times New Roman" w:cs="Times New Roman"/>
          <w:sz w:val="24"/>
          <w:szCs w:val="24"/>
        </w:rPr>
      </w:pPr>
    </w:p>
    <w:p w:rsidR="005E3076" w:rsidRPr="0083245E" w:rsidRDefault="005E3076" w:rsidP="005E3076">
      <w:pPr>
        <w:jc w:val="both"/>
        <w:rPr>
          <w:rFonts w:ascii="Times New Roman" w:hAnsi="Times New Roman" w:cs="Times New Roman"/>
          <w:sz w:val="24"/>
          <w:szCs w:val="24"/>
        </w:rPr>
      </w:pPr>
    </w:p>
    <w:p w:rsidR="005E3076" w:rsidRPr="0083245E" w:rsidRDefault="005E3076" w:rsidP="005E3076">
      <w:pPr>
        <w:jc w:val="both"/>
        <w:rPr>
          <w:rFonts w:ascii="Times New Roman" w:hAnsi="Times New Roman" w:cs="Times New Roman"/>
          <w:sz w:val="24"/>
          <w:szCs w:val="24"/>
        </w:rPr>
      </w:pPr>
    </w:p>
    <w:p w:rsidR="005E3076" w:rsidRPr="005E3076" w:rsidRDefault="005E3076" w:rsidP="005E3076">
      <w:pPr>
        <w:spacing w:line="360" w:lineRule="auto"/>
        <w:jc w:val="center"/>
        <w:rPr>
          <w:rFonts w:ascii="Times New Roman" w:eastAsia="Calibri" w:hAnsi="Times New Roman" w:cs="Times New Roman"/>
          <w:b/>
          <w:sz w:val="28"/>
          <w:szCs w:val="28"/>
        </w:rPr>
      </w:pPr>
      <w:r w:rsidRPr="005E3076">
        <w:rPr>
          <w:rFonts w:ascii="Times New Roman" w:eastAsia="Calibri" w:hAnsi="Times New Roman" w:cs="Times New Roman"/>
          <w:b/>
          <w:sz w:val="28"/>
          <w:szCs w:val="28"/>
        </w:rPr>
        <w:lastRenderedPageBreak/>
        <w:t>Chapter 2</w:t>
      </w:r>
    </w:p>
    <w:p w:rsidR="005E3076" w:rsidRPr="005E3076" w:rsidRDefault="005E3076" w:rsidP="005E3076">
      <w:pPr>
        <w:spacing w:line="360" w:lineRule="auto"/>
        <w:jc w:val="center"/>
        <w:rPr>
          <w:rFonts w:ascii="Times New Roman" w:eastAsia="Calibri" w:hAnsi="Times New Roman" w:cs="Times New Roman"/>
          <w:b/>
          <w:sz w:val="28"/>
          <w:szCs w:val="28"/>
        </w:rPr>
      </w:pPr>
      <w:r w:rsidRPr="005E3076">
        <w:rPr>
          <w:rFonts w:ascii="Times New Roman" w:eastAsia="Calibri" w:hAnsi="Times New Roman" w:cs="Times New Roman"/>
          <w:b/>
          <w:sz w:val="28"/>
          <w:szCs w:val="28"/>
        </w:rPr>
        <w:t>Changes in Choline Esters in Blood and Milk during Early, Mid, and Late Lactation in Dairy Cows</w:t>
      </w: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after="0"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lastRenderedPageBreak/>
        <w:t>Material for Abstract</w:t>
      </w:r>
      <w:r w:rsidR="005D64C2">
        <w:rPr>
          <w:rFonts w:ascii="Times New Roman" w:eastAsia="Calibri" w:hAnsi="Times New Roman" w:cs="Times New Roman"/>
          <w:sz w:val="24"/>
          <w:szCs w:val="24"/>
        </w:rPr>
        <w:t xml:space="preserve"> and Introduction</w:t>
      </w:r>
      <w:r w:rsidRPr="005E3076">
        <w:rPr>
          <w:rFonts w:ascii="Times New Roman" w:eastAsia="Calibri" w:hAnsi="Times New Roman" w:cs="Times New Roman"/>
          <w:sz w:val="24"/>
          <w:szCs w:val="24"/>
        </w:rPr>
        <w:t xml:space="preserve"> taken from:</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b/>
          <w:sz w:val="28"/>
          <w:szCs w:val="28"/>
        </w:rPr>
      </w:pPr>
      <w:r w:rsidRPr="005E3076">
        <w:rPr>
          <w:rFonts w:ascii="Times New Roman" w:eastAsia="Calibri" w:hAnsi="Times New Roman" w:cs="Times New Roman"/>
          <w:sz w:val="24"/>
          <w:szCs w:val="24"/>
        </w:rPr>
        <w:t>Artegoitia, V. M., Middleton, J. L., Harte, F., Campagna, S. R., and de Veth, M. J.</w:t>
      </w:r>
      <w:r w:rsidRPr="005E3076">
        <w:rPr>
          <w:rFonts w:ascii="Times New Roman" w:eastAsia="Calibri" w:hAnsi="Times New Roman" w:cs="Times New Roman"/>
          <w:b/>
          <w:sz w:val="24"/>
          <w:szCs w:val="24"/>
        </w:rPr>
        <w:t xml:space="preserve"> </w:t>
      </w:r>
      <w:r w:rsidRPr="005E3076">
        <w:rPr>
          <w:rFonts w:ascii="Times New Roman" w:eastAsia="Calibri" w:hAnsi="Times New Roman" w:cs="Times New Roman"/>
          <w:sz w:val="24"/>
          <w:szCs w:val="24"/>
        </w:rPr>
        <w:t xml:space="preserve">Changes in Choline Esters in Blood and Milk during Early, Mid, and Late Lactation in Dairy Cows, </w:t>
      </w:r>
      <w:r w:rsidR="00DC178D">
        <w:rPr>
          <w:rFonts w:ascii="Times New Roman" w:eastAsia="Calibri" w:hAnsi="Times New Roman" w:cs="Times New Roman"/>
          <w:i/>
          <w:sz w:val="24"/>
          <w:szCs w:val="24"/>
        </w:rPr>
        <w:t>in preparation.</w:t>
      </w:r>
    </w:p>
    <w:p w:rsidR="005E3076" w:rsidRPr="005E3076" w:rsidRDefault="005E3076" w:rsidP="005E3076">
      <w:pPr>
        <w:spacing w:line="240" w:lineRule="auto"/>
        <w:jc w:val="center"/>
        <w:rPr>
          <w:rFonts w:ascii="Times New Roman" w:eastAsia="Calibri" w:hAnsi="Times New Roman" w:cs="Times New Roman"/>
          <w:b/>
          <w:sz w:val="28"/>
          <w:szCs w:val="28"/>
        </w:rPr>
      </w:pPr>
    </w:p>
    <w:p w:rsidR="005E3076" w:rsidRPr="005E3076" w:rsidRDefault="005E3076" w:rsidP="005E3076">
      <w:pPr>
        <w:spacing w:line="240" w:lineRule="auto"/>
        <w:jc w:val="center"/>
        <w:rPr>
          <w:rFonts w:ascii="Times New Roman" w:eastAsia="Calibri" w:hAnsi="Times New Roman" w:cs="Times New Roman"/>
          <w:b/>
          <w:sz w:val="28"/>
          <w:szCs w:val="28"/>
        </w:rPr>
      </w:pPr>
      <w:r w:rsidRPr="005E3076">
        <w:rPr>
          <w:rFonts w:ascii="Times New Roman" w:eastAsia="Calibri" w:hAnsi="Times New Roman" w:cs="Times New Roman"/>
          <w:b/>
          <w:sz w:val="28"/>
          <w:szCs w:val="28"/>
        </w:rPr>
        <w:t>Abstract</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Choline is an essential nutrient for humans and production animals. The ruminant is a unique animal model as almost all dietary choline is degraded in the rumen and the requirement for choline is not established for dairy cows. Therefore, understanding what choline forms are secreted by the mammary gland may provide an understanding of the lactation requirement for choline in the dairy cow. The objective of this study was to characterize the changes in choline and choline esters in blood</w:t>
      </w:r>
      <w:r w:rsidR="00D71EC9">
        <w:rPr>
          <w:rFonts w:ascii="Times New Roman" w:eastAsia="Calibri" w:hAnsi="Times New Roman" w:cs="Times New Roman"/>
          <w:sz w:val="24"/>
          <w:szCs w:val="24"/>
        </w:rPr>
        <w:t xml:space="preserve"> and milk occurring in early,</w:t>
      </w:r>
      <w:r w:rsidRPr="005E3076">
        <w:rPr>
          <w:rFonts w:ascii="Times New Roman" w:eastAsia="Calibri" w:hAnsi="Times New Roman" w:cs="Times New Roman"/>
          <w:sz w:val="24"/>
          <w:szCs w:val="24"/>
        </w:rPr>
        <w:t xml:space="preserve"> mid</w:t>
      </w:r>
      <w:r w:rsidR="00D71EC9">
        <w:rPr>
          <w:rFonts w:ascii="Times New Roman" w:eastAsia="Calibri" w:hAnsi="Times New Roman" w:cs="Times New Roman"/>
          <w:sz w:val="24"/>
          <w:szCs w:val="24"/>
        </w:rPr>
        <w:t xml:space="preserve">, and late </w:t>
      </w:r>
      <w:r w:rsidRPr="005E3076">
        <w:rPr>
          <w:rFonts w:ascii="Times New Roman" w:eastAsia="Calibri" w:hAnsi="Times New Roman" w:cs="Times New Roman"/>
          <w:sz w:val="24"/>
          <w:szCs w:val="24"/>
        </w:rPr>
        <w:t>lactation. Twelve Holstein cows were selected at calving and managed under the same diet, without choline supplementation. Throughout the study milk and blood samples were collected three times during early (wk 1, 2 and 3), mid (wk 4, 5 and 6), and late lactation (wk 7, 8, and 9).  Free choline (Cho) and choline esters, glycerophosphocholine (GPC), lysophosphatidylcholine (LPC), phosphatidylcholine (PtCho), phosphocholine (PCho) and sphingomyelin (SM), were analyzed using liquid chromatography-tandem mass spectrometry and quantified by using stable isotope-labeled internal standards.  Fold changes reported are all P ≤ 0.01 for these compounds. The major choline forms in plasma were PtCho (79%) and SM (14%)</w:t>
      </w:r>
      <w:r w:rsidR="00825A49">
        <w:rPr>
          <w:rFonts w:ascii="Times New Roman" w:eastAsia="Calibri" w:hAnsi="Times New Roman" w:cs="Times New Roman"/>
          <w:sz w:val="24"/>
          <w:szCs w:val="24"/>
        </w:rPr>
        <w:t xml:space="preserve">.  </w:t>
      </w:r>
      <w:r w:rsidRPr="005E3076">
        <w:rPr>
          <w:rFonts w:ascii="Times New Roman" w:eastAsia="Calibri" w:hAnsi="Times New Roman" w:cs="Times New Roman"/>
          <w:sz w:val="24"/>
          <w:szCs w:val="24"/>
        </w:rPr>
        <w:t>The main choline forms in milk were PCho (46%), PtCho (27%) and Cho (11%).</w:t>
      </w:r>
      <w:r w:rsidR="00825A49" w:rsidRPr="00825A49">
        <w:rPr>
          <w:rFonts w:ascii="Times New Roman" w:eastAsia="Calibri" w:hAnsi="Times New Roman" w:cs="Times New Roman"/>
          <w:sz w:val="24"/>
          <w:szCs w:val="24"/>
        </w:rPr>
        <w:t xml:space="preserve"> </w:t>
      </w:r>
      <w:r w:rsidR="00825A49" w:rsidRPr="005E3076">
        <w:rPr>
          <w:rFonts w:ascii="Times New Roman" w:eastAsia="Calibri" w:hAnsi="Times New Roman" w:cs="Times New Roman"/>
          <w:sz w:val="24"/>
          <w:szCs w:val="24"/>
        </w:rPr>
        <w:t>The concentration of all esters d</w:t>
      </w:r>
      <w:r w:rsidR="00825A49">
        <w:rPr>
          <w:rFonts w:ascii="Times New Roman" w:eastAsia="Calibri" w:hAnsi="Times New Roman" w:cs="Times New Roman"/>
          <w:sz w:val="24"/>
          <w:szCs w:val="24"/>
        </w:rPr>
        <w:t xml:space="preserve">ecreased in milk, except PtCho </w:t>
      </w:r>
      <w:r w:rsidR="00825A49" w:rsidRPr="005E3076">
        <w:rPr>
          <w:rFonts w:ascii="Times New Roman" w:eastAsia="Calibri" w:hAnsi="Times New Roman" w:cs="Times New Roman"/>
          <w:sz w:val="24"/>
          <w:szCs w:val="24"/>
        </w:rPr>
        <w:t xml:space="preserve">and </w:t>
      </w:r>
      <w:r w:rsidR="00825A49">
        <w:rPr>
          <w:rFonts w:ascii="Times New Roman" w:eastAsia="Calibri" w:hAnsi="Times New Roman" w:cs="Times New Roman"/>
          <w:sz w:val="24"/>
          <w:szCs w:val="24"/>
        </w:rPr>
        <w:t xml:space="preserve">Cho </w:t>
      </w:r>
      <w:r w:rsidR="00825A49" w:rsidRPr="005E3076">
        <w:rPr>
          <w:rFonts w:ascii="Times New Roman" w:eastAsia="Calibri" w:hAnsi="Times New Roman" w:cs="Times New Roman"/>
          <w:sz w:val="24"/>
          <w:szCs w:val="24"/>
        </w:rPr>
        <w:t>(increased)</w:t>
      </w:r>
      <w:r w:rsidR="00825A49">
        <w:rPr>
          <w:rFonts w:ascii="Times New Roman" w:eastAsia="Calibri" w:hAnsi="Times New Roman" w:cs="Times New Roman"/>
          <w:sz w:val="24"/>
          <w:szCs w:val="24"/>
        </w:rPr>
        <w:t>, and SM (remained the same)</w:t>
      </w:r>
      <w:r w:rsidR="00825A49" w:rsidRPr="005E3076">
        <w:rPr>
          <w:rFonts w:ascii="Times New Roman" w:eastAsia="Calibri" w:hAnsi="Times New Roman" w:cs="Times New Roman"/>
          <w:sz w:val="24"/>
          <w:szCs w:val="24"/>
        </w:rPr>
        <w:t xml:space="preserve">. </w:t>
      </w:r>
      <w:r w:rsidRPr="005E3076">
        <w:rPr>
          <w:rFonts w:ascii="Times New Roman" w:eastAsia="Calibri" w:hAnsi="Times New Roman" w:cs="Times New Roman"/>
          <w:sz w:val="24"/>
          <w:szCs w:val="24"/>
        </w:rPr>
        <w:t xml:space="preserve">  In summary, the 2-fold higher level of choline output by the mammary gland, combined with lower plasma levels, during early lactation suggest that there is a greater requirement</w:t>
      </w:r>
      <w:r w:rsidR="00E93242">
        <w:rPr>
          <w:rFonts w:ascii="Times New Roman" w:eastAsia="Calibri" w:hAnsi="Times New Roman" w:cs="Times New Roman"/>
          <w:sz w:val="24"/>
          <w:szCs w:val="24"/>
        </w:rPr>
        <w:t xml:space="preserve"> for choline during this perio</w:t>
      </w:r>
      <w:r w:rsidR="00B54D6B">
        <w:rPr>
          <w:rFonts w:ascii="Times New Roman" w:eastAsia="Calibri" w:hAnsi="Times New Roman" w:cs="Times New Roman"/>
          <w:sz w:val="24"/>
          <w:szCs w:val="24"/>
        </w:rPr>
        <w:t>d.</w:t>
      </w:r>
    </w:p>
    <w:p w:rsidR="005E3076" w:rsidRPr="005E3076" w:rsidRDefault="005E3076" w:rsidP="005D64C2">
      <w:pPr>
        <w:spacing w:after="0" w:line="360" w:lineRule="auto"/>
        <w:rPr>
          <w:rFonts w:ascii="Times New Roman" w:eastAsiaTheme="minorEastAsia" w:hAnsi="Times New Roman" w:cs="Times New Roman"/>
          <w:b/>
          <w:sz w:val="28"/>
          <w:szCs w:val="28"/>
        </w:rPr>
      </w:pPr>
    </w:p>
    <w:p w:rsidR="00DD7165" w:rsidRDefault="00DD7165" w:rsidP="005E3076">
      <w:pPr>
        <w:spacing w:after="0" w:line="360" w:lineRule="auto"/>
        <w:jc w:val="center"/>
        <w:rPr>
          <w:rFonts w:ascii="Times New Roman" w:eastAsiaTheme="minorEastAsia" w:hAnsi="Times New Roman" w:cs="Times New Roman"/>
          <w:b/>
          <w:sz w:val="28"/>
          <w:szCs w:val="28"/>
        </w:rPr>
      </w:pPr>
    </w:p>
    <w:p w:rsidR="005E3076" w:rsidRPr="005E3076" w:rsidRDefault="005E3076" w:rsidP="005E3076">
      <w:pPr>
        <w:spacing w:after="0" w:line="360" w:lineRule="auto"/>
        <w:jc w:val="center"/>
        <w:rPr>
          <w:rFonts w:ascii="Times New Roman" w:eastAsiaTheme="minorEastAsia" w:hAnsi="Times New Roman" w:cs="Times New Roman"/>
          <w:b/>
          <w:sz w:val="28"/>
          <w:szCs w:val="28"/>
        </w:rPr>
      </w:pPr>
      <w:bookmarkStart w:id="0" w:name="_GoBack"/>
      <w:bookmarkEnd w:id="0"/>
      <w:r w:rsidRPr="005E3076">
        <w:rPr>
          <w:rFonts w:ascii="Times New Roman" w:eastAsiaTheme="minorEastAsia" w:hAnsi="Times New Roman" w:cs="Times New Roman"/>
          <w:b/>
          <w:sz w:val="28"/>
          <w:szCs w:val="28"/>
        </w:rPr>
        <w:lastRenderedPageBreak/>
        <w:t>Background and Significance</w:t>
      </w:r>
    </w:p>
    <w:p w:rsidR="005E3076" w:rsidRPr="005E3076" w:rsidRDefault="005E3076" w:rsidP="005E3076">
      <w:pPr>
        <w:spacing w:after="120" w:line="360" w:lineRule="auto"/>
        <w:rPr>
          <w:rFonts w:ascii="Times New Roman" w:eastAsiaTheme="minorEastAsia" w:hAnsi="Times New Roman" w:cs="Times New Roman"/>
          <w:b/>
          <w:i/>
          <w:sz w:val="24"/>
          <w:szCs w:val="24"/>
        </w:rPr>
      </w:pPr>
    </w:p>
    <w:p w:rsidR="00CB2AB9" w:rsidRPr="005E3076" w:rsidRDefault="00CB2AB9" w:rsidP="00CB2AB9">
      <w:pPr>
        <w:spacing w:after="120" w:line="360" w:lineRule="auto"/>
        <w:jc w:val="both"/>
        <w:rPr>
          <w:rFonts w:ascii="Times New Roman" w:eastAsiaTheme="minorEastAsia" w:hAnsi="Times New Roman" w:cs="Times New Roman"/>
          <w:b/>
          <w:i/>
          <w:sz w:val="24"/>
          <w:szCs w:val="24"/>
        </w:rPr>
      </w:pPr>
      <w:r w:rsidRPr="005E3076">
        <w:rPr>
          <w:rFonts w:ascii="Times New Roman" w:eastAsiaTheme="minorEastAsia" w:hAnsi="Times New Roman" w:cs="Times New Roman"/>
          <w:b/>
          <w:i/>
          <w:sz w:val="24"/>
          <w:szCs w:val="24"/>
        </w:rPr>
        <w:t>Introduction</w:t>
      </w:r>
    </w:p>
    <w:p w:rsidR="00CB2AB9" w:rsidRDefault="00CB2AB9" w:rsidP="00CB2AB9">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Production animals require the essential nutrient of choline for optimal growth and performance.  The primary importance of choline is the biosynthesis of phosphatidylcholine (PtCho), which has important roles in the body.  The phospholipid membrane in all cells is comprised of PtCho, making dietary choline especially important in growing animals.  Lipid metabolism in the liver requires choline since PtCho hastens the removal of fat and reduces fat accumulation.  Triglycerides (TG) will accumulate in the liver of a lactating dairy cow during the periparturient period, which may lead to metabolic disorder known as ketosis and lower milk yield.  Supplementing the diet with rumen protected (RP) choline during this period will reduce TG accumulation and improve milk </w:t>
      </w:r>
      <w:proofErr w:type="gramStart"/>
      <w:r>
        <w:rPr>
          <w:rFonts w:ascii="Times New Roman" w:eastAsiaTheme="minorEastAsia" w:hAnsi="Times New Roman" w:cs="Times New Roman"/>
          <w:sz w:val="24"/>
          <w:szCs w:val="24"/>
        </w:rPr>
        <w:t>yield.</w:t>
      </w:r>
      <w:r>
        <w:rPr>
          <w:rFonts w:ascii="Times New Roman" w:eastAsiaTheme="minorEastAsia" w:hAnsi="Times New Roman" w:cs="Times New Roman"/>
          <w:sz w:val="24"/>
          <w:szCs w:val="24"/>
          <w:vertAlign w:val="superscript"/>
        </w:rPr>
        <w:t>122</w:t>
      </w:r>
      <w:r>
        <w:rPr>
          <w:rFonts w:ascii="Times New Roman" w:eastAsiaTheme="minorEastAsia" w:hAnsi="Times New Roman" w:cs="Times New Roman"/>
          <w:sz w:val="24"/>
          <w:szCs w:val="24"/>
        </w:rPr>
        <w:t xml:space="preserve">  Until</w:t>
      </w:r>
      <w:proofErr w:type="gramEnd"/>
      <w:r>
        <w:rPr>
          <w:rFonts w:ascii="Times New Roman" w:eastAsiaTheme="minorEastAsia" w:hAnsi="Times New Roman" w:cs="Times New Roman"/>
          <w:sz w:val="24"/>
          <w:szCs w:val="24"/>
        </w:rPr>
        <w:t xml:space="preserve"> now the supplementation of RP choline has been during the periparturient period.</w:t>
      </w:r>
    </w:p>
    <w:p w:rsidR="00CB2AB9" w:rsidRDefault="00CB2AB9" w:rsidP="00CB2AB9">
      <w:pPr>
        <w:spacing w:after="0" w:line="360" w:lineRule="auto"/>
        <w:jc w:val="both"/>
        <w:rPr>
          <w:rFonts w:ascii="Times New Roman" w:eastAsiaTheme="minorEastAsia" w:hAnsi="Times New Roman" w:cs="Times New Roman"/>
          <w:sz w:val="24"/>
          <w:szCs w:val="24"/>
        </w:rPr>
      </w:pPr>
    </w:p>
    <w:p w:rsidR="00CB2AB9" w:rsidRDefault="00CB2AB9" w:rsidP="00CB2AB9">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Choline also participates in methylgenesis, in which the methyl groups on choline are used for the formation of methionine (Met) from homocysteine.  Oxidation of choline occurs when methyl groups are transferred to form up to three molecules of Met.  The first methyl group is transferred when the oxidative intermediate of choline, betaine, is metabolized to dimethyl glycine.  Then choline is further oxidized to release the remaining two methyl groups which may enter the folate pathway.</w:t>
      </w:r>
    </w:p>
    <w:p w:rsidR="00CB2AB9" w:rsidRDefault="00CB2AB9" w:rsidP="00CB2AB9">
      <w:pPr>
        <w:spacing w:after="0" w:line="360" w:lineRule="auto"/>
        <w:jc w:val="both"/>
        <w:rPr>
          <w:rFonts w:ascii="Times New Roman" w:eastAsiaTheme="minorEastAsia" w:hAnsi="Times New Roman" w:cs="Times New Roman"/>
          <w:sz w:val="24"/>
          <w:szCs w:val="24"/>
        </w:rPr>
      </w:pPr>
    </w:p>
    <w:p w:rsidR="00CB2AB9" w:rsidRDefault="00CB2AB9" w:rsidP="00CB2AB9">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potential for choline to act as a surrogate for and provide Met has biological and economic importance, but choline has not been used as an alternative for Met as a supplementation for dairy cows.  The reasons for this may come from reliance of information from previous studies.  The studies where RP choline was supplemented did not determine the level of choline absorbed at the small intestine after degradation in the rumen.  The alternative use of RP choline to provide RP Met as a feed additive must evaluate the actual choline availability to the dairy cow post rumen.  The development of RP amino acids studied the post rumen availability, and this must be done with RP choline.  Also, other studies have conflicting reports of the importance of methylgenesis in the lactating dairy cow.  In a classical study of methylgenesis, radio labeled </w:t>
      </w:r>
      <w:r>
        <w:rPr>
          <w:rFonts w:ascii="Times New Roman" w:eastAsiaTheme="minorEastAsia" w:hAnsi="Times New Roman" w:cs="Times New Roman"/>
          <w:sz w:val="24"/>
          <w:szCs w:val="24"/>
        </w:rPr>
        <w:lastRenderedPageBreak/>
        <w:t>choline was injected in lactating goats, and no radio labeled methyl groups on Met were found, suggesting choline was not the source of methyl groups for Met.</w:t>
      </w:r>
      <w:r>
        <w:rPr>
          <w:rFonts w:ascii="Times New Roman" w:eastAsiaTheme="minorEastAsia" w:hAnsi="Times New Roman" w:cs="Times New Roman"/>
          <w:sz w:val="24"/>
          <w:szCs w:val="24"/>
          <w:vertAlign w:val="superscript"/>
        </w:rPr>
        <w:t>123</w:t>
      </w:r>
      <w:r>
        <w:rPr>
          <w:rFonts w:ascii="Times New Roman" w:eastAsiaTheme="minorEastAsia" w:hAnsi="Times New Roman" w:cs="Times New Roman"/>
          <w:sz w:val="24"/>
          <w:szCs w:val="24"/>
        </w:rPr>
        <w:t xml:space="preserve">  Another report stated the enzyme betaine-homocysteine methyl transferase (BHMT), which transfers the methyl group from betaine to homocysteine to form Met, had enzymatic activity 5 times lower in the sheep (a ruminant) than in rats.</w:t>
      </w:r>
      <w:r>
        <w:rPr>
          <w:rFonts w:ascii="Times New Roman" w:eastAsiaTheme="minorEastAsia" w:hAnsi="Times New Roman" w:cs="Times New Roman"/>
          <w:sz w:val="24"/>
          <w:szCs w:val="24"/>
          <w:vertAlign w:val="superscript"/>
        </w:rPr>
        <w:t>124</w:t>
      </w:r>
      <w:r>
        <w:rPr>
          <w:rFonts w:ascii="Times New Roman" w:eastAsiaTheme="minorEastAsia" w:hAnsi="Times New Roman" w:cs="Times New Roman"/>
          <w:sz w:val="24"/>
          <w:szCs w:val="24"/>
        </w:rPr>
        <w:t xml:space="preserve">  In contrast, a different report determined that BHMT enzymatic activity alters with changes in Met supplementation in steers.</w:t>
      </w:r>
      <w:r>
        <w:rPr>
          <w:rFonts w:ascii="Times New Roman" w:eastAsiaTheme="minorEastAsia" w:hAnsi="Times New Roman" w:cs="Times New Roman"/>
          <w:sz w:val="24"/>
          <w:szCs w:val="24"/>
          <w:vertAlign w:val="superscript"/>
        </w:rPr>
        <w:t>125</w:t>
      </w:r>
      <w:r>
        <w:rPr>
          <w:rFonts w:ascii="Times New Roman" w:eastAsiaTheme="minorEastAsia" w:hAnsi="Times New Roman" w:cs="Times New Roman"/>
          <w:sz w:val="24"/>
          <w:szCs w:val="24"/>
        </w:rPr>
        <w:t xml:space="preserve">  A more recent study</w:t>
      </w:r>
      <w:r>
        <w:rPr>
          <w:rFonts w:ascii="Times New Roman" w:eastAsiaTheme="minorEastAsia" w:hAnsi="Times New Roman" w:cs="Times New Roman"/>
          <w:sz w:val="24"/>
          <w:szCs w:val="24"/>
          <w:vertAlign w:val="superscript"/>
        </w:rPr>
        <w:t>126</w:t>
      </w:r>
      <w:r>
        <w:rPr>
          <w:rFonts w:ascii="Times New Roman" w:eastAsiaTheme="minorEastAsia" w:hAnsi="Times New Roman" w:cs="Times New Roman"/>
          <w:sz w:val="24"/>
          <w:szCs w:val="24"/>
        </w:rPr>
        <w:t xml:space="preserve"> concluded changes in the methylation cycle due to methylgenesis is not the reason why folate and vitamin B12 increases milk production.  This experiment has another important research objective of elucidating the changes in choline metabolism and methylgenesis due to choline supplementation and evaluate if choline can provide Met as a supplement in the lactating dairy cow.</w:t>
      </w:r>
    </w:p>
    <w:p w:rsidR="00CB2AB9" w:rsidRDefault="00CB2AB9" w:rsidP="00CB2AB9">
      <w:pPr>
        <w:spacing w:after="0" w:line="360" w:lineRule="auto"/>
        <w:jc w:val="both"/>
        <w:rPr>
          <w:rFonts w:ascii="Times New Roman" w:eastAsiaTheme="minorEastAsia" w:hAnsi="Times New Roman" w:cs="Times New Roman"/>
          <w:sz w:val="24"/>
          <w:szCs w:val="24"/>
        </w:rPr>
      </w:pPr>
    </w:p>
    <w:p w:rsidR="00CB2AB9" w:rsidRPr="005E3076" w:rsidRDefault="00CB2AB9" w:rsidP="00CB2AB9">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Microbes in the rumen degrade the majority of naturally occurring choline in feed and choline chloride in </w:t>
      </w:r>
      <w:proofErr w:type="gramStart"/>
      <w:r>
        <w:rPr>
          <w:rFonts w:ascii="Times New Roman" w:eastAsiaTheme="minorEastAsia" w:hAnsi="Times New Roman" w:cs="Times New Roman"/>
          <w:sz w:val="24"/>
          <w:szCs w:val="24"/>
        </w:rPr>
        <w:t>supplements.</w:t>
      </w:r>
      <w:r>
        <w:rPr>
          <w:rFonts w:ascii="Times New Roman" w:eastAsiaTheme="minorEastAsia" w:hAnsi="Times New Roman" w:cs="Times New Roman"/>
          <w:sz w:val="24"/>
          <w:szCs w:val="24"/>
          <w:vertAlign w:val="superscript"/>
        </w:rPr>
        <w:t>127</w:t>
      </w:r>
      <w:r>
        <w:rPr>
          <w:rFonts w:ascii="Times New Roman" w:eastAsiaTheme="minorEastAsia" w:hAnsi="Times New Roman" w:cs="Times New Roman"/>
          <w:sz w:val="24"/>
          <w:szCs w:val="24"/>
        </w:rPr>
        <w:t xml:space="preserve">  Choline</w:t>
      </w:r>
      <w:proofErr w:type="gramEnd"/>
      <w:r>
        <w:rPr>
          <w:rFonts w:ascii="Times New Roman" w:eastAsiaTheme="minorEastAsia" w:hAnsi="Times New Roman" w:cs="Times New Roman"/>
          <w:sz w:val="24"/>
          <w:szCs w:val="24"/>
        </w:rPr>
        <w:t xml:space="preserve"> is absorbed at the small intestine of ruminants. For choline supplementation to be effective it must be RP choline, and when RP choline is supplemented to the lactating dairy cow a reduction in TG in the liver has been observed.</w:t>
      </w:r>
      <w:r>
        <w:rPr>
          <w:rFonts w:ascii="Times New Roman" w:eastAsiaTheme="minorEastAsia" w:hAnsi="Times New Roman" w:cs="Times New Roman"/>
          <w:sz w:val="24"/>
          <w:szCs w:val="24"/>
          <w:vertAlign w:val="superscript"/>
        </w:rPr>
        <w:t>122</w:t>
      </w:r>
      <w:r>
        <w:rPr>
          <w:rFonts w:ascii="Times New Roman" w:eastAsiaTheme="minorEastAsia" w:hAnsi="Times New Roman" w:cs="Times New Roman"/>
          <w:sz w:val="24"/>
          <w:szCs w:val="24"/>
        </w:rPr>
        <w:t xml:space="preserve">  A limiting factor in such studies is that they do not allow an understanding of the choline absorption at the small intestine or bioavailability to the animal.  This is problematic for the following two reasons.  Firstly, there is no protocol for effectively evaluating the efficacy of various RP choline products.</w:t>
      </w:r>
      <w:r>
        <w:rPr>
          <w:rFonts w:ascii="Times New Roman" w:eastAsiaTheme="minorEastAsia" w:hAnsi="Times New Roman" w:cs="Times New Roman"/>
          <w:sz w:val="24"/>
          <w:szCs w:val="24"/>
          <w:vertAlign w:val="superscript"/>
        </w:rPr>
        <w:t>128</w:t>
      </w:r>
      <w:r w:rsidRPr="005E3076">
        <w:rPr>
          <w:rFonts w:ascii="Times New Roman" w:eastAsiaTheme="minorEastAsia" w:hAnsi="Times New Roman" w:cs="Times New Roman"/>
          <w:sz w:val="24"/>
          <w:szCs w:val="24"/>
          <w:vertAlign w:val="superscript"/>
        </w:rPr>
        <w:t xml:space="preserve">, </w:t>
      </w:r>
      <w:r>
        <w:rPr>
          <w:rFonts w:ascii="Times New Roman" w:eastAsiaTheme="minorEastAsia" w:hAnsi="Times New Roman" w:cs="Times New Roman"/>
          <w:sz w:val="24"/>
          <w:szCs w:val="24"/>
          <w:vertAlign w:val="superscript"/>
        </w:rPr>
        <w:t>129</w:t>
      </w:r>
      <w:r w:rsidRPr="005E307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Secondly, the importance of choline supplementation is established, but a requirement of choline supplementation could not be established due to variable responses of reduced TG in the liver in the lactating dairy cows.  This is possibly due to the uncertainty of bioavailable choline from different RP choline products meaning absorption at the small intestine or the various responses were due to inconsistent RP choline supplementation.</w:t>
      </w:r>
      <w:r>
        <w:rPr>
          <w:rFonts w:ascii="Times New Roman" w:eastAsiaTheme="minorEastAsia" w:hAnsi="Times New Roman" w:cs="Times New Roman"/>
          <w:sz w:val="24"/>
          <w:szCs w:val="24"/>
          <w:vertAlign w:val="superscript"/>
        </w:rPr>
        <w:t>127</w:t>
      </w:r>
      <w:r w:rsidRPr="005E3076">
        <w:rPr>
          <w:rFonts w:ascii="Times New Roman" w:eastAsiaTheme="minorEastAsia" w:hAnsi="Times New Roman" w:cs="Times New Roman"/>
          <w:sz w:val="24"/>
          <w:szCs w:val="24"/>
        </w:rPr>
        <w:t xml:space="preserve"> </w:t>
      </w:r>
    </w:p>
    <w:p w:rsidR="00CB2AB9" w:rsidRDefault="00CB2AB9" w:rsidP="00CB2AB9">
      <w:pPr>
        <w:spacing w:after="0" w:line="360" w:lineRule="auto"/>
        <w:jc w:val="both"/>
        <w:rPr>
          <w:rFonts w:ascii="Times New Roman" w:eastAsiaTheme="minorEastAsia" w:hAnsi="Times New Roman" w:cs="Times New Roman"/>
          <w:sz w:val="24"/>
          <w:szCs w:val="24"/>
        </w:rPr>
      </w:pPr>
    </w:p>
    <w:p w:rsidR="00CB2AB9" w:rsidRDefault="00CB2AB9" w:rsidP="00CB2AB9">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An approach to estimate bioavailability of choline in the lactating dairy cow is to measure choline levels in the blood when no supplementation is given and at various known amounts of RP choline supplementation, then comparing the increase in blood choline levels with the amount of RP choline supplementation.  This approach has been previously applied to evaluate the bioavailability of lysine in soybean meal and RP lysine.</w:t>
      </w:r>
      <w:r>
        <w:rPr>
          <w:rFonts w:ascii="Times New Roman" w:eastAsiaTheme="minorEastAsia" w:hAnsi="Times New Roman" w:cs="Times New Roman"/>
          <w:sz w:val="24"/>
          <w:szCs w:val="24"/>
          <w:vertAlign w:val="superscript"/>
        </w:rPr>
        <w:t>130</w:t>
      </w:r>
      <w:r w:rsidRPr="005E3076">
        <w:rPr>
          <w:rFonts w:ascii="Times New Roman" w:eastAsiaTheme="minorEastAsia" w:hAnsi="Times New Roman" w:cs="Times New Roman"/>
          <w:sz w:val="24"/>
          <w:szCs w:val="24"/>
          <w:vertAlign w:val="superscript"/>
        </w:rPr>
        <w:t xml:space="preserve">, </w:t>
      </w:r>
      <w:r>
        <w:rPr>
          <w:rFonts w:ascii="Times New Roman" w:eastAsiaTheme="minorEastAsia" w:hAnsi="Times New Roman" w:cs="Times New Roman"/>
          <w:sz w:val="24"/>
          <w:szCs w:val="24"/>
          <w:vertAlign w:val="superscript"/>
        </w:rPr>
        <w:t xml:space="preserve">131 </w:t>
      </w:r>
      <w:r>
        <w:rPr>
          <w:rFonts w:ascii="Times New Roman" w:eastAsiaTheme="minorEastAsia" w:hAnsi="Times New Roman" w:cs="Times New Roman"/>
          <w:sz w:val="24"/>
          <w:szCs w:val="24"/>
        </w:rPr>
        <w:t xml:space="preserve"> An alternative approach is to evaluate bioavailability of choline through measurements of choline levels in milk and to </w:t>
      </w:r>
      <w:r>
        <w:rPr>
          <w:rFonts w:ascii="Times New Roman" w:eastAsiaTheme="minorEastAsia" w:hAnsi="Times New Roman" w:cs="Times New Roman"/>
          <w:sz w:val="24"/>
          <w:szCs w:val="24"/>
        </w:rPr>
        <w:lastRenderedPageBreak/>
        <w:t>compare rises in milk choline levels against various known amounts of RP choline supplementation.</w:t>
      </w:r>
    </w:p>
    <w:p w:rsidR="00CB2AB9" w:rsidRDefault="00CB2AB9" w:rsidP="00CB2AB9">
      <w:pPr>
        <w:spacing w:after="0" w:line="360" w:lineRule="auto"/>
        <w:jc w:val="both"/>
        <w:rPr>
          <w:rFonts w:ascii="Times New Roman" w:eastAsiaTheme="minorEastAsia" w:hAnsi="Times New Roman" w:cs="Times New Roman"/>
          <w:sz w:val="24"/>
          <w:szCs w:val="24"/>
        </w:rPr>
      </w:pPr>
    </w:p>
    <w:p w:rsidR="00CB2AB9" w:rsidRPr="00E91C1E" w:rsidRDefault="00CB2AB9" w:rsidP="00CB2AB9">
      <w:pPr>
        <w:spacing w:after="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advantage of measuring choline levels in the milk over blood for evaluating bioavailability of choline is that the total amount of choline secreted in the milk is measured, whereas, blood only measures changes in choline concentration since choline is secreted in the milk.  A study used the approach of measuring choline levels in the milk after abomasally infusing four different levels of unprotected choline chloride and an increase in milk choline yield was correlated with increasing choline chloride </w:t>
      </w:r>
      <w:proofErr w:type="gramStart"/>
      <w:r>
        <w:rPr>
          <w:rFonts w:ascii="Times New Roman" w:eastAsiaTheme="minorEastAsia" w:hAnsi="Times New Roman" w:cs="Times New Roman"/>
          <w:sz w:val="24"/>
          <w:szCs w:val="24"/>
        </w:rPr>
        <w:t>dosages.</w:t>
      </w:r>
      <w:r>
        <w:rPr>
          <w:rFonts w:ascii="Times New Roman" w:eastAsiaTheme="minorEastAsia" w:hAnsi="Times New Roman" w:cs="Times New Roman"/>
          <w:sz w:val="24"/>
          <w:szCs w:val="24"/>
          <w:vertAlign w:val="superscript"/>
        </w:rPr>
        <w:t>132</w:t>
      </w:r>
      <w:r>
        <w:rPr>
          <w:rFonts w:ascii="Times New Roman" w:eastAsiaTheme="minorEastAsia" w:hAnsi="Times New Roman" w:cs="Times New Roman"/>
          <w:sz w:val="24"/>
          <w:szCs w:val="24"/>
        </w:rPr>
        <w:t xml:space="preserve">  However</w:t>
      </w:r>
      <w:proofErr w:type="gramEnd"/>
      <w:r>
        <w:rPr>
          <w:rFonts w:ascii="Times New Roman" w:eastAsiaTheme="minorEastAsia" w:hAnsi="Times New Roman" w:cs="Times New Roman"/>
          <w:sz w:val="24"/>
          <w:szCs w:val="24"/>
        </w:rPr>
        <w:t xml:space="preserve">, the authors noted the response of choline infusion was curvilinear and the actual recovery of choline in the milk was ~20-fold lower than previous reports in lactating cows, in other words, &lt;5% of the choline infused was recovered in the milk.  This concludes that this approach is not appropriate for quantitative evaluation of choline bioavailability.  In addition, other field evaluations of using milk choline levels to assess the bioavailability of choline from RP choline supplementation have been found to not be reproducible, but the lack of reproducibility may be in large part due to the sample </w:t>
      </w:r>
      <w:proofErr w:type="gramStart"/>
      <w:r>
        <w:rPr>
          <w:rFonts w:ascii="Times New Roman" w:eastAsiaTheme="minorEastAsia" w:hAnsi="Times New Roman" w:cs="Times New Roman"/>
          <w:sz w:val="24"/>
          <w:szCs w:val="24"/>
        </w:rPr>
        <w:t>preparation.</w:t>
      </w:r>
      <w:r>
        <w:rPr>
          <w:rFonts w:ascii="Times New Roman" w:eastAsiaTheme="minorEastAsia" w:hAnsi="Times New Roman" w:cs="Times New Roman"/>
          <w:sz w:val="24"/>
          <w:szCs w:val="24"/>
          <w:vertAlign w:val="superscript"/>
        </w:rPr>
        <w:t>132</w:t>
      </w:r>
      <w:r>
        <w:rPr>
          <w:rFonts w:ascii="Times New Roman" w:eastAsiaTheme="minorEastAsia" w:hAnsi="Times New Roman" w:cs="Times New Roman"/>
          <w:sz w:val="24"/>
          <w:szCs w:val="24"/>
        </w:rPr>
        <w:t xml:space="preserve">  It</w:t>
      </w:r>
      <w:proofErr w:type="gramEnd"/>
      <w:r>
        <w:rPr>
          <w:rFonts w:ascii="Times New Roman" w:eastAsiaTheme="minorEastAsia" w:hAnsi="Times New Roman" w:cs="Times New Roman"/>
          <w:sz w:val="24"/>
          <w:szCs w:val="24"/>
        </w:rPr>
        <w:t xml:space="preserve"> seems that they did not extract the choline from milk fat, which is a major choline containing component in milk,</w:t>
      </w:r>
      <w:r>
        <w:rPr>
          <w:rFonts w:ascii="Times New Roman" w:eastAsiaTheme="minorEastAsia" w:hAnsi="Times New Roman" w:cs="Times New Roman"/>
          <w:sz w:val="24"/>
          <w:szCs w:val="24"/>
          <w:vertAlign w:val="superscript"/>
        </w:rPr>
        <w:t xml:space="preserve">133 </w:t>
      </w:r>
      <w:r>
        <w:rPr>
          <w:rFonts w:ascii="Times New Roman" w:eastAsiaTheme="minorEastAsia" w:hAnsi="Times New Roman" w:cs="Times New Roman"/>
          <w:sz w:val="24"/>
          <w:szCs w:val="24"/>
        </w:rPr>
        <w:t>therefore, milk choline levels may still be a reliable indicator of bioavailability.  An LC/MS/MS method has been developed that is suitable for quantitation of choline and choline esters in blood and milk at different physiological states of the lactating cow such as early, mid, and late lactation.  Up until now there have been difficulties in quantifying the total bovine milk choline</w:t>
      </w:r>
      <w:proofErr w:type="gramStart"/>
      <w:r>
        <w:rPr>
          <w:rFonts w:ascii="Times New Roman" w:eastAsiaTheme="minorEastAsia" w:hAnsi="Times New Roman" w:cs="Times New Roman"/>
          <w:sz w:val="24"/>
          <w:szCs w:val="24"/>
        </w:rPr>
        <w:t>,</w:t>
      </w:r>
      <w:r>
        <w:rPr>
          <w:rFonts w:ascii="Times New Roman" w:eastAsiaTheme="minorEastAsia" w:hAnsi="Times New Roman" w:cs="Times New Roman"/>
          <w:sz w:val="24"/>
          <w:szCs w:val="24"/>
          <w:vertAlign w:val="superscript"/>
        </w:rPr>
        <w:t>133</w:t>
      </w:r>
      <w:proofErr w:type="gramEnd"/>
      <w:r>
        <w:rPr>
          <w:rFonts w:ascii="Times New Roman" w:eastAsiaTheme="minorEastAsia" w:hAnsi="Times New Roman" w:cs="Times New Roman"/>
          <w:sz w:val="24"/>
          <w:szCs w:val="24"/>
        </w:rPr>
        <w:t xml:space="preserve"> and this approach will correlate milk choline and other milk components to determine if choline levels can be predicted form these components.  </w:t>
      </w:r>
    </w:p>
    <w:p w:rsidR="00CB2AB9" w:rsidRDefault="00CB2AB9" w:rsidP="00CB2AB9">
      <w:pPr>
        <w:spacing w:after="0" w:line="360" w:lineRule="auto"/>
        <w:jc w:val="both"/>
        <w:rPr>
          <w:rFonts w:ascii="Times New Roman" w:eastAsiaTheme="minorEastAsia" w:hAnsi="Times New Roman" w:cs="Times New Roman"/>
          <w:sz w:val="24"/>
          <w:szCs w:val="24"/>
        </w:rPr>
      </w:pPr>
    </w:p>
    <w:p w:rsidR="006B61E2" w:rsidRDefault="006B61E2" w:rsidP="006B61E2">
      <w:pPr>
        <w:spacing w:after="0" w:line="360" w:lineRule="auto"/>
        <w:rPr>
          <w:rFonts w:ascii="Times New Roman" w:eastAsiaTheme="minorEastAsia" w:hAnsi="Times New Roman" w:cs="Times New Roman"/>
          <w:sz w:val="24"/>
          <w:szCs w:val="24"/>
        </w:rPr>
      </w:pPr>
    </w:p>
    <w:p w:rsidR="00CB2AB9" w:rsidRDefault="00CB2AB9" w:rsidP="006B61E2">
      <w:pPr>
        <w:spacing w:after="0" w:line="360" w:lineRule="auto"/>
        <w:rPr>
          <w:rFonts w:ascii="Times New Roman" w:eastAsiaTheme="minorEastAsia" w:hAnsi="Times New Roman" w:cs="Times New Roman"/>
          <w:sz w:val="24"/>
          <w:szCs w:val="24"/>
        </w:rPr>
      </w:pPr>
    </w:p>
    <w:p w:rsidR="00CB2AB9" w:rsidRDefault="00CB2AB9" w:rsidP="006B61E2">
      <w:pPr>
        <w:spacing w:after="0" w:line="360" w:lineRule="auto"/>
        <w:rPr>
          <w:rFonts w:ascii="Times New Roman" w:eastAsiaTheme="minorEastAsia" w:hAnsi="Times New Roman" w:cs="Times New Roman"/>
          <w:sz w:val="24"/>
          <w:szCs w:val="24"/>
        </w:rPr>
      </w:pPr>
    </w:p>
    <w:p w:rsidR="00CB2AB9" w:rsidRDefault="00CB2AB9" w:rsidP="006B61E2">
      <w:pPr>
        <w:spacing w:after="0" w:line="360" w:lineRule="auto"/>
        <w:rPr>
          <w:rFonts w:ascii="Times New Roman" w:eastAsiaTheme="minorEastAsia" w:hAnsi="Times New Roman" w:cs="Times New Roman"/>
          <w:sz w:val="24"/>
          <w:szCs w:val="24"/>
        </w:rPr>
      </w:pPr>
    </w:p>
    <w:p w:rsidR="00CB2AB9" w:rsidRDefault="00CB2AB9" w:rsidP="006B61E2">
      <w:pPr>
        <w:spacing w:after="0" w:line="360" w:lineRule="auto"/>
        <w:rPr>
          <w:rFonts w:ascii="Times New Roman" w:eastAsiaTheme="minorEastAsia" w:hAnsi="Times New Roman" w:cs="Times New Roman"/>
          <w:sz w:val="24"/>
          <w:szCs w:val="24"/>
        </w:rPr>
      </w:pPr>
    </w:p>
    <w:p w:rsidR="00CB2AB9" w:rsidRDefault="00CB2AB9" w:rsidP="006B61E2">
      <w:pPr>
        <w:spacing w:after="0" w:line="360" w:lineRule="auto"/>
        <w:rPr>
          <w:rFonts w:ascii="Times New Roman" w:eastAsiaTheme="minorEastAsia" w:hAnsi="Times New Roman" w:cs="Times New Roman"/>
          <w:sz w:val="24"/>
          <w:szCs w:val="24"/>
        </w:rPr>
      </w:pPr>
    </w:p>
    <w:p w:rsidR="00CB2AB9" w:rsidRDefault="00CB2AB9" w:rsidP="006B61E2">
      <w:pPr>
        <w:spacing w:after="0" w:line="360" w:lineRule="auto"/>
        <w:rPr>
          <w:rFonts w:ascii="Times New Roman" w:eastAsiaTheme="minorEastAsia" w:hAnsi="Times New Roman" w:cs="Times New Roman"/>
          <w:sz w:val="24"/>
          <w:szCs w:val="24"/>
        </w:rPr>
      </w:pPr>
    </w:p>
    <w:p w:rsidR="00CB2AB9" w:rsidRPr="005E3076" w:rsidRDefault="00CB2AB9" w:rsidP="006B61E2">
      <w:pPr>
        <w:spacing w:after="0" w:line="360" w:lineRule="auto"/>
        <w:rPr>
          <w:rFonts w:ascii="Times New Roman" w:eastAsiaTheme="minorEastAsia" w:hAnsi="Times New Roman" w:cs="Times New Roman"/>
          <w:sz w:val="24"/>
          <w:szCs w:val="24"/>
        </w:rPr>
      </w:pPr>
    </w:p>
    <w:p w:rsidR="005E3076" w:rsidRPr="005E3076" w:rsidRDefault="005E3076" w:rsidP="005E3076">
      <w:pPr>
        <w:spacing w:line="360" w:lineRule="auto"/>
        <w:rPr>
          <w:rFonts w:ascii="Times New Roman" w:hAnsi="Times New Roman" w:cs="Times New Roman"/>
          <w:b/>
          <w:i/>
          <w:sz w:val="24"/>
          <w:szCs w:val="24"/>
        </w:rPr>
      </w:pPr>
      <w:r w:rsidRPr="005E3076">
        <w:rPr>
          <w:rFonts w:ascii="Times New Roman" w:hAnsi="Times New Roman" w:cs="Times New Roman"/>
          <w:b/>
          <w:i/>
          <w:sz w:val="24"/>
          <w:szCs w:val="24"/>
        </w:rPr>
        <w:lastRenderedPageBreak/>
        <w:t>Internal Standard</w:t>
      </w:r>
    </w:p>
    <w:p w:rsidR="005E3076" w:rsidRPr="005E3076" w:rsidRDefault="005E3076" w:rsidP="005E3076">
      <w:pPr>
        <w:spacing w:line="360" w:lineRule="auto"/>
        <w:jc w:val="both"/>
        <w:rPr>
          <w:rFonts w:ascii="Times New Roman" w:hAnsi="Times New Roman" w:cs="Times New Roman"/>
          <w:sz w:val="24"/>
          <w:szCs w:val="24"/>
        </w:rPr>
      </w:pPr>
      <w:r w:rsidRPr="005E3076">
        <w:rPr>
          <w:rFonts w:ascii="Times New Roman" w:hAnsi="Times New Roman" w:cs="Times New Roman"/>
          <w:sz w:val="24"/>
          <w:szCs w:val="24"/>
        </w:rPr>
        <w:t xml:space="preserve">Internal standards (ISTD) may be an isotope of the target compound or a different compound typically used to correct for ion suppression and loss of signal due to the ITT clogging.  An ISTD works best when it shares the same RT as the target and is chemically similar to the target compound, in other words, an isotope of the target compound.  The forepump pressure decreases as the ID of the ITT is narrowed by accumulation of contaminants creating a better vacuum but decreasing ion transmission.  The loss of signal can be monitored by plotting the area of an ISTD and forepump pressure versus injection number.  Typically a two-fold decrease in ISTD area is observed before total loss of signal meaning target compounds in samples at the end of a high </w:t>
      </w:r>
      <w:r w:rsidR="00D00ACE">
        <w:rPr>
          <w:rFonts w:ascii="Times New Roman" w:hAnsi="Times New Roman" w:cs="Times New Roman"/>
          <w:sz w:val="24"/>
          <w:szCs w:val="24"/>
        </w:rPr>
        <w:t xml:space="preserve">number </w:t>
      </w:r>
      <w:r w:rsidRPr="005E3076">
        <w:rPr>
          <w:rFonts w:ascii="Times New Roman" w:hAnsi="Times New Roman" w:cs="Times New Roman"/>
          <w:sz w:val="24"/>
          <w:szCs w:val="24"/>
        </w:rPr>
        <w:t>sample analysis is subject to lower signal response even if they share the same concentration of target compound as the samples in the beginning of the analysis.  The corre</w:t>
      </w:r>
      <w:r w:rsidR="00BB2317">
        <w:rPr>
          <w:rFonts w:ascii="Times New Roman" w:hAnsi="Times New Roman" w:cs="Times New Roman"/>
          <w:sz w:val="24"/>
          <w:szCs w:val="24"/>
        </w:rPr>
        <w:t xml:space="preserve">ction for ion suppression is </w:t>
      </w:r>
      <w:proofErr w:type="gramStart"/>
      <w:r w:rsidR="00BB2317">
        <w:rPr>
          <w:rFonts w:ascii="Times New Roman" w:hAnsi="Times New Roman" w:cs="Times New Roman"/>
          <w:sz w:val="24"/>
          <w:szCs w:val="24"/>
        </w:rPr>
        <w:t xml:space="preserve">an </w:t>
      </w:r>
      <w:r w:rsidRPr="005E3076">
        <w:rPr>
          <w:rFonts w:ascii="Times New Roman" w:hAnsi="Times New Roman" w:cs="Times New Roman"/>
          <w:sz w:val="24"/>
          <w:szCs w:val="24"/>
        </w:rPr>
        <w:t>estimation</w:t>
      </w:r>
      <w:proofErr w:type="gramEnd"/>
      <w:r w:rsidRPr="005E3076">
        <w:rPr>
          <w:rFonts w:ascii="Times New Roman" w:hAnsi="Times New Roman" w:cs="Times New Roman"/>
          <w:sz w:val="24"/>
          <w:szCs w:val="24"/>
        </w:rPr>
        <w:t xml:space="preserve"> because no two SRM transitions can be measured at the same time.  An ISTD that has a different RT is affected by ion suppression during a chromatographic window that does not equally affect the target compound.</w:t>
      </w:r>
      <w:r w:rsidR="00BB1F74">
        <w:rPr>
          <w:rFonts w:ascii="Times New Roman" w:hAnsi="Times New Roman" w:cs="Times New Roman"/>
          <w:sz w:val="24"/>
          <w:szCs w:val="24"/>
        </w:rPr>
        <w:t xml:space="preserve"> </w:t>
      </w:r>
      <w:r w:rsidR="00BB1F74">
        <w:rPr>
          <w:rFonts w:ascii="Times New Roman" w:hAnsi="Times New Roman" w:cs="Times New Roman"/>
          <w:sz w:val="24"/>
          <w:szCs w:val="24"/>
          <w:vertAlign w:val="superscript"/>
        </w:rPr>
        <w:t xml:space="preserve">48, </w:t>
      </w:r>
      <w:proofErr w:type="gramStart"/>
      <w:r w:rsidR="00BB1F74">
        <w:rPr>
          <w:rFonts w:ascii="Times New Roman" w:hAnsi="Times New Roman" w:cs="Times New Roman"/>
          <w:sz w:val="24"/>
          <w:szCs w:val="24"/>
          <w:vertAlign w:val="superscript"/>
        </w:rPr>
        <w:t>134</w:t>
      </w:r>
      <w:r w:rsidRPr="005E3076">
        <w:rPr>
          <w:rFonts w:ascii="Times New Roman" w:hAnsi="Times New Roman" w:cs="Times New Roman"/>
          <w:sz w:val="24"/>
          <w:szCs w:val="24"/>
        </w:rPr>
        <w:t xml:space="preserve">  The</w:t>
      </w:r>
      <w:proofErr w:type="gramEnd"/>
      <w:r w:rsidRPr="005E3076">
        <w:rPr>
          <w:rFonts w:ascii="Times New Roman" w:hAnsi="Times New Roman" w:cs="Times New Roman"/>
          <w:sz w:val="24"/>
          <w:szCs w:val="24"/>
        </w:rPr>
        <w:t xml:space="preserve"> closer the RT to the target compound the more similar the ion suppression conditions are if the ion suppression zone is broad and encompasses both.  The signal loss due to ITT clogging is typically a slow change</w:t>
      </w:r>
      <w:r w:rsidR="00D00ACE">
        <w:rPr>
          <w:rFonts w:ascii="Times New Roman" w:hAnsi="Times New Roman" w:cs="Times New Roman"/>
          <w:sz w:val="24"/>
          <w:szCs w:val="24"/>
        </w:rPr>
        <w:t>,</w:t>
      </w:r>
      <w:r w:rsidRPr="005E3076">
        <w:rPr>
          <w:rFonts w:ascii="Times New Roman" w:hAnsi="Times New Roman" w:cs="Times New Roman"/>
          <w:sz w:val="24"/>
          <w:szCs w:val="24"/>
        </w:rPr>
        <w:t xml:space="preserve"> and an ISTD does not need the same RT as a target compo</w:t>
      </w:r>
      <w:r w:rsidR="005D64C2">
        <w:rPr>
          <w:rFonts w:ascii="Times New Roman" w:hAnsi="Times New Roman" w:cs="Times New Roman"/>
          <w:sz w:val="24"/>
          <w:szCs w:val="24"/>
        </w:rPr>
        <w:t>und to correct for signal loss.</w:t>
      </w:r>
    </w:p>
    <w:p w:rsidR="005D64C2" w:rsidRDefault="005D64C2" w:rsidP="005E3076">
      <w:pPr>
        <w:spacing w:line="360" w:lineRule="auto"/>
        <w:jc w:val="both"/>
        <w:rPr>
          <w:rFonts w:ascii="Times New Roman" w:hAnsi="Times New Roman" w:cs="Times New Roman"/>
          <w:sz w:val="24"/>
          <w:szCs w:val="24"/>
        </w:rPr>
      </w:pPr>
    </w:p>
    <w:p w:rsidR="005E3076" w:rsidRPr="005E3076" w:rsidRDefault="005E3076" w:rsidP="005E3076">
      <w:pPr>
        <w:spacing w:line="360" w:lineRule="auto"/>
        <w:jc w:val="both"/>
        <w:rPr>
          <w:rFonts w:ascii="Times New Roman" w:hAnsi="Times New Roman" w:cs="Times New Roman"/>
          <w:sz w:val="24"/>
          <w:szCs w:val="24"/>
        </w:rPr>
      </w:pPr>
      <w:r w:rsidRPr="005E3076">
        <w:rPr>
          <w:rFonts w:ascii="Times New Roman" w:hAnsi="Times New Roman" w:cs="Times New Roman"/>
          <w:sz w:val="24"/>
          <w:szCs w:val="24"/>
        </w:rPr>
        <w:t>Impurities can be added to the sample when adding internal standard.</w:t>
      </w:r>
      <w:r w:rsidR="00BB1F74">
        <w:rPr>
          <w:rFonts w:ascii="Times New Roman" w:hAnsi="Times New Roman" w:cs="Times New Roman"/>
          <w:sz w:val="24"/>
          <w:szCs w:val="24"/>
          <w:vertAlign w:val="superscript"/>
        </w:rPr>
        <w:t>134</w:t>
      </w:r>
      <w:r w:rsidRPr="005E3076">
        <w:rPr>
          <w:rFonts w:ascii="Times New Roman" w:hAnsi="Times New Roman" w:cs="Times New Roman"/>
          <w:sz w:val="24"/>
          <w:szCs w:val="24"/>
        </w:rPr>
        <w:t xml:space="preserve"> The ISTD stock solution should screened for target compounds and the sample for ISTD compounds to ensure both solutions are free of each other’s compounds.  An isotope labeled target compound should be labeled enough to not have interference from the natural isotope of the target compound in the SRM transition and be pure enough that unlabeled target compound does not interfere with the target compound SRM transition.  If interferences exist</w:t>
      </w:r>
      <w:r w:rsidR="00D00ACE">
        <w:rPr>
          <w:rFonts w:ascii="Times New Roman" w:hAnsi="Times New Roman" w:cs="Times New Roman"/>
          <w:sz w:val="24"/>
          <w:szCs w:val="24"/>
        </w:rPr>
        <w:t>,</w:t>
      </w:r>
      <w:r w:rsidRPr="005E3076">
        <w:rPr>
          <w:rFonts w:ascii="Times New Roman" w:hAnsi="Times New Roman" w:cs="Times New Roman"/>
          <w:sz w:val="24"/>
          <w:szCs w:val="24"/>
        </w:rPr>
        <w:t xml:space="preserve"> than a correction formula must be used that subtracts the contribution of area from the interference.</w:t>
      </w:r>
      <w:r w:rsidR="00BB1F74">
        <w:rPr>
          <w:rFonts w:ascii="Times New Roman" w:hAnsi="Times New Roman" w:cs="Times New Roman"/>
          <w:sz w:val="24"/>
          <w:szCs w:val="24"/>
          <w:vertAlign w:val="superscript"/>
        </w:rPr>
        <w:t>135</w:t>
      </w:r>
    </w:p>
    <w:p w:rsidR="005E3076" w:rsidRPr="005E3076" w:rsidRDefault="005E3076" w:rsidP="005E3076">
      <w:pPr>
        <w:spacing w:line="360" w:lineRule="auto"/>
        <w:jc w:val="both"/>
        <w:rPr>
          <w:rFonts w:ascii="Times New Roman" w:hAnsi="Times New Roman" w:cs="Times New Roman"/>
          <w:sz w:val="24"/>
          <w:szCs w:val="24"/>
        </w:rPr>
      </w:pPr>
    </w:p>
    <w:p w:rsidR="005E3076" w:rsidRPr="005E3076" w:rsidRDefault="005E3076" w:rsidP="005E3076">
      <w:pPr>
        <w:spacing w:line="360" w:lineRule="auto"/>
        <w:jc w:val="both"/>
        <w:rPr>
          <w:rFonts w:ascii="Times New Roman" w:hAnsi="Times New Roman" w:cs="Times New Roman"/>
          <w:sz w:val="24"/>
          <w:szCs w:val="24"/>
        </w:rPr>
      </w:pPr>
      <w:r w:rsidRPr="005E3076">
        <w:rPr>
          <w:rFonts w:ascii="Times New Roman" w:hAnsi="Times New Roman" w:cs="Times New Roman"/>
          <w:sz w:val="24"/>
          <w:szCs w:val="24"/>
        </w:rPr>
        <w:t>The concentration of ISTD must be constant in all samples.  The area of the target compound is divided by the area of the ISTD</w:t>
      </w:r>
      <w:r w:rsidR="00D00ACE">
        <w:rPr>
          <w:rFonts w:ascii="Times New Roman" w:hAnsi="Times New Roman" w:cs="Times New Roman"/>
          <w:sz w:val="24"/>
          <w:szCs w:val="24"/>
        </w:rPr>
        <w:t>,</w:t>
      </w:r>
      <w:r w:rsidRPr="005E3076">
        <w:rPr>
          <w:rFonts w:ascii="Times New Roman" w:hAnsi="Times New Roman" w:cs="Times New Roman"/>
          <w:sz w:val="24"/>
          <w:szCs w:val="24"/>
        </w:rPr>
        <w:t xml:space="preserve"> and two samples with the same concentration of target </w:t>
      </w:r>
      <w:r w:rsidRPr="005E3076">
        <w:rPr>
          <w:rFonts w:ascii="Times New Roman" w:hAnsi="Times New Roman" w:cs="Times New Roman"/>
          <w:sz w:val="24"/>
          <w:szCs w:val="24"/>
        </w:rPr>
        <w:lastRenderedPageBreak/>
        <w:t>compound will yield two different area ratios if the concentration of the ISTD is different in both.</w:t>
      </w:r>
      <w:r w:rsidR="00BB1F74">
        <w:rPr>
          <w:rFonts w:ascii="Times New Roman" w:hAnsi="Times New Roman" w:cs="Times New Roman"/>
          <w:sz w:val="24"/>
          <w:szCs w:val="24"/>
          <w:vertAlign w:val="superscript"/>
        </w:rPr>
        <w:t>134</w:t>
      </w:r>
      <w:r w:rsidRPr="005E3076">
        <w:rPr>
          <w:rFonts w:ascii="Times New Roman" w:hAnsi="Times New Roman" w:cs="Times New Roman"/>
          <w:sz w:val="24"/>
          <w:szCs w:val="24"/>
        </w:rPr>
        <w:t xml:space="preserve">  Any factors resulting in differences in ISTD area are assumed to equally affect the target compound but the area ratios of samples are only valid for comparison when the concentration of ISTD is the same in samples.  A difference in ISTD area due to addition to samples will cause error in analysis as the differences in ISTD area do not equally affect the target compound area</w:t>
      </w:r>
      <w:r w:rsidR="00D00ACE">
        <w:rPr>
          <w:rFonts w:ascii="Times New Roman" w:hAnsi="Times New Roman" w:cs="Times New Roman"/>
          <w:sz w:val="24"/>
          <w:szCs w:val="24"/>
        </w:rPr>
        <w:t>,</w:t>
      </w:r>
      <w:r w:rsidRPr="005E3076">
        <w:rPr>
          <w:rFonts w:ascii="Times New Roman" w:hAnsi="Times New Roman" w:cs="Times New Roman"/>
          <w:sz w:val="24"/>
          <w:szCs w:val="24"/>
        </w:rPr>
        <w:t xml:space="preserve"> and it is best to not use area ratios.</w:t>
      </w:r>
      <w:r w:rsidR="00BB1F74">
        <w:rPr>
          <w:rFonts w:ascii="Times New Roman" w:hAnsi="Times New Roman" w:cs="Times New Roman"/>
          <w:sz w:val="24"/>
          <w:szCs w:val="24"/>
          <w:vertAlign w:val="superscript"/>
        </w:rPr>
        <w:t>134</w:t>
      </w:r>
      <w:r w:rsidRPr="005E3076">
        <w:rPr>
          <w:rFonts w:ascii="Times New Roman" w:hAnsi="Times New Roman" w:cs="Times New Roman"/>
          <w:sz w:val="24"/>
          <w:szCs w:val="24"/>
        </w:rPr>
        <w:t xml:space="preserve">  To prevent this</w:t>
      </w:r>
      <w:r w:rsidR="00D00ACE">
        <w:rPr>
          <w:rFonts w:ascii="Times New Roman" w:hAnsi="Times New Roman" w:cs="Times New Roman"/>
          <w:sz w:val="24"/>
          <w:szCs w:val="24"/>
        </w:rPr>
        <w:t>,</w:t>
      </w:r>
      <w:r w:rsidRPr="005E3076">
        <w:rPr>
          <w:rFonts w:ascii="Times New Roman" w:hAnsi="Times New Roman" w:cs="Times New Roman"/>
          <w:sz w:val="24"/>
          <w:szCs w:val="24"/>
        </w:rPr>
        <w:t xml:space="preserve"> one batch of ISTD with enough volume to last the entire experiment is prepared</w:t>
      </w:r>
      <w:r w:rsidR="00D00ACE">
        <w:rPr>
          <w:rFonts w:ascii="Times New Roman" w:hAnsi="Times New Roman" w:cs="Times New Roman"/>
          <w:sz w:val="24"/>
          <w:szCs w:val="24"/>
        </w:rPr>
        <w:t>,</w:t>
      </w:r>
      <w:r w:rsidRPr="005E3076">
        <w:rPr>
          <w:rFonts w:ascii="Times New Roman" w:hAnsi="Times New Roman" w:cs="Times New Roman"/>
          <w:sz w:val="24"/>
          <w:szCs w:val="24"/>
        </w:rPr>
        <w:t xml:space="preserve"> and the same pipets are used.  ISTD is also used to correct for transfer loss, degradation, loop injections, and is best added to the sample directly after collection and prior to storage.</w:t>
      </w:r>
    </w:p>
    <w:p w:rsidR="005E3076" w:rsidRPr="005E3076" w:rsidRDefault="005E3076" w:rsidP="005E3076">
      <w:pPr>
        <w:spacing w:line="360" w:lineRule="auto"/>
        <w:jc w:val="both"/>
        <w:rPr>
          <w:rFonts w:ascii="Times New Roman" w:hAnsi="Times New Roman" w:cs="Times New Roman"/>
          <w:sz w:val="24"/>
          <w:szCs w:val="24"/>
        </w:rPr>
      </w:pPr>
    </w:p>
    <w:p w:rsidR="005E3076" w:rsidRPr="005E3076" w:rsidRDefault="005E3076" w:rsidP="005E3076">
      <w:pPr>
        <w:spacing w:line="360" w:lineRule="auto"/>
        <w:jc w:val="both"/>
        <w:rPr>
          <w:rFonts w:ascii="Times New Roman" w:hAnsi="Times New Roman" w:cs="Times New Roman"/>
          <w:sz w:val="24"/>
          <w:szCs w:val="24"/>
        </w:rPr>
      </w:pPr>
      <w:r w:rsidRPr="005E3076">
        <w:rPr>
          <w:rFonts w:ascii="Times New Roman" w:hAnsi="Times New Roman" w:cs="Times New Roman"/>
          <w:sz w:val="24"/>
          <w:szCs w:val="24"/>
        </w:rPr>
        <w:t>Classes of compounds usually elute at different RT due to the varying lengths of R groups.  To have an ISTD that covers the entire peak of a target compound</w:t>
      </w:r>
      <w:r w:rsidR="00D00ACE">
        <w:rPr>
          <w:rFonts w:ascii="Times New Roman" w:hAnsi="Times New Roman" w:cs="Times New Roman"/>
          <w:sz w:val="24"/>
          <w:szCs w:val="24"/>
        </w:rPr>
        <w:t>,</w:t>
      </w:r>
      <w:r w:rsidRPr="005E3076">
        <w:rPr>
          <w:rFonts w:ascii="Times New Roman" w:hAnsi="Times New Roman" w:cs="Times New Roman"/>
          <w:sz w:val="24"/>
          <w:szCs w:val="24"/>
        </w:rPr>
        <w:t xml:space="preserve"> one would need an isotope labeled target compound of each.  This is unrealistic due to issues of solubility, introduction of contaminants, and the cost.  Typically one ISTD for each class of compounds is used in experiments where the R</w:t>
      </w:r>
      <w:r w:rsidR="005D64C2">
        <w:rPr>
          <w:rFonts w:ascii="Times New Roman" w:hAnsi="Times New Roman" w:cs="Times New Roman"/>
          <w:sz w:val="24"/>
          <w:szCs w:val="24"/>
        </w:rPr>
        <w:t xml:space="preserve">T of the compounds </w:t>
      </w:r>
      <w:proofErr w:type="gramStart"/>
      <w:r w:rsidR="005D64C2">
        <w:rPr>
          <w:rFonts w:ascii="Times New Roman" w:hAnsi="Times New Roman" w:cs="Times New Roman"/>
          <w:sz w:val="24"/>
          <w:szCs w:val="24"/>
        </w:rPr>
        <w:t>are</w:t>
      </w:r>
      <w:proofErr w:type="gramEnd"/>
      <w:r w:rsidR="005D64C2">
        <w:rPr>
          <w:rFonts w:ascii="Times New Roman" w:hAnsi="Times New Roman" w:cs="Times New Roman"/>
          <w:sz w:val="24"/>
          <w:szCs w:val="24"/>
        </w:rPr>
        <w:t xml:space="preserve"> similar.</w:t>
      </w:r>
    </w:p>
    <w:p w:rsidR="005D64C2" w:rsidRDefault="005D64C2" w:rsidP="005E3076">
      <w:pPr>
        <w:spacing w:line="360" w:lineRule="auto"/>
        <w:jc w:val="both"/>
        <w:rPr>
          <w:rFonts w:ascii="Times New Roman" w:hAnsi="Times New Roman" w:cs="Times New Roman"/>
          <w:sz w:val="24"/>
          <w:szCs w:val="24"/>
        </w:rPr>
      </w:pPr>
    </w:p>
    <w:p w:rsidR="005E3076" w:rsidRPr="005E3076" w:rsidRDefault="005E3076" w:rsidP="005E3076">
      <w:pPr>
        <w:spacing w:line="360" w:lineRule="auto"/>
        <w:jc w:val="both"/>
        <w:rPr>
          <w:rFonts w:ascii="Times New Roman" w:hAnsi="Times New Roman" w:cs="Times New Roman"/>
          <w:sz w:val="24"/>
          <w:szCs w:val="24"/>
        </w:rPr>
      </w:pPr>
      <w:r w:rsidRPr="005E3076">
        <w:rPr>
          <w:rFonts w:ascii="Times New Roman" w:hAnsi="Times New Roman" w:cs="Times New Roman"/>
          <w:sz w:val="24"/>
          <w:szCs w:val="24"/>
        </w:rPr>
        <w:t xml:space="preserve">Foregoing the external standard calibration curve with internal standard and applying the formula for absolute quantitation using isotope dilution saves much lab work not preparing external standard curves but there are differences.  The formula assumes that double the area of a target compound to the area of an isotope standard is double concentration, only reports concentration of monoisotopic mass when an SRM scan is set for the monoisotopic parent mass, and neglects mass discrimination of the electron multiplier.   </w:t>
      </w:r>
    </w:p>
    <w:p w:rsidR="005E3076" w:rsidRPr="005E3076" w:rsidRDefault="005E3076" w:rsidP="005E3076">
      <w:pPr>
        <w:spacing w:line="360" w:lineRule="auto"/>
        <w:jc w:val="both"/>
        <w:rPr>
          <w:rFonts w:ascii="Times New Roman" w:hAnsi="Times New Roman" w:cs="Times New Roman"/>
          <w:sz w:val="24"/>
          <w:szCs w:val="24"/>
        </w:rPr>
      </w:pPr>
    </w:p>
    <w:p w:rsidR="005E3076" w:rsidRPr="005E3076" w:rsidRDefault="005E3076" w:rsidP="005E3076">
      <w:pPr>
        <w:spacing w:line="360" w:lineRule="auto"/>
        <w:jc w:val="both"/>
        <w:rPr>
          <w:rFonts w:ascii="Times New Roman" w:hAnsi="Times New Roman" w:cs="Times New Roman"/>
          <w:sz w:val="24"/>
          <w:szCs w:val="24"/>
        </w:rPr>
      </w:pPr>
      <w:r w:rsidRPr="005E3076">
        <w:rPr>
          <w:rFonts w:ascii="Times New Roman" w:hAnsi="Times New Roman" w:cs="Times New Roman"/>
          <w:sz w:val="24"/>
          <w:szCs w:val="24"/>
        </w:rPr>
        <w:t>Double the area of a target compound to the area of an isotope standard is double concentration when measurements are within the linear portion of the sigmoidal curve and the slope of the</w:t>
      </w:r>
      <w:r w:rsidR="00D00ACE">
        <w:rPr>
          <w:rFonts w:ascii="Times New Roman" w:hAnsi="Times New Roman" w:cs="Times New Roman"/>
          <w:sz w:val="24"/>
          <w:szCs w:val="24"/>
        </w:rPr>
        <w:t xml:space="preserve"> external calibration curve is</w:t>
      </w:r>
      <w:r w:rsidR="00817A76">
        <w:rPr>
          <w:rFonts w:ascii="Times New Roman" w:hAnsi="Times New Roman" w:cs="Times New Roman"/>
          <w:sz w:val="24"/>
          <w:szCs w:val="24"/>
        </w:rPr>
        <w:t xml:space="preserve"> 1 </w:t>
      </w:r>
      <w:r w:rsidR="00D00ACE">
        <w:rPr>
          <w:rFonts w:ascii="Times New Roman" w:hAnsi="Times New Roman" w:cs="Times New Roman"/>
          <w:sz w:val="24"/>
          <w:szCs w:val="24"/>
        </w:rPr>
        <w:t>for both iso</w:t>
      </w:r>
      <w:r w:rsidR="00817A76">
        <w:rPr>
          <w:rFonts w:ascii="Times New Roman" w:hAnsi="Times New Roman" w:cs="Times New Roman"/>
          <w:sz w:val="24"/>
          <w:szCs w:val="24"/>
        </w:rPr>
        <w:t>to</w:t>
      </w:r>
      <w:r w:rsidR="00D00ACE">
        <w:rPr>
          <w:rFonts w:ascii="Times New Roman" w:hAnsi="Times New Roman" w:cs="Times New Roman"/>
          <w:sz w:val="24"/>
          <w:szCs w:val="24"/>
        </w:rPr>
        <w:t>pomers</w:t>
      </w:r>
      <w:r w:rsidRPr="005E3076">
        <w:rPr>
          <w:rFonts w:ascii="Times New Roman" w:hAnsi="Times New Roman" w:cs="Times New Roman"/>
          <w:sz w:val="24"/>
          <w:szCs w:val="24"/>
        </w:rPr>
        <w:t xml:space="preserve">.  Since ESI external calibration curves are ~1 in slope at the set mass spectrometry parameters that affect sensitivity this is a good approximation.  A doubling  in scan time would increase the slope.  Signal is twice as much with </w:t>
      </w:r>
      <w:r w:rsidRPr="005E3076">
        <w:rPr>
          <w:rFonts w:ascii="Times New Roman" w:hAnsi="Times New Roman" w:cs="Times New Roman"/>
          <w:sz w:val="24"/>
          <w:szCs w:val="24"/>
        </w:rPr>
        <w:lastRenderedPageBreak/>
        <w:t>direct injection on a constant concentration</w:t>
      </w:r>
      <w:r w:rsidR="00817A76">
        <w:rPr>
          <w:rFonts w:ascii="Times New Roman" w:hAnsi="Times New Roman" w:cs="Times New Roman"/>
          <w:sz w:val="24"/>
          <w:szCs w:val="24"/>
        </w:rPr>
        <w:t>,</w:t>
      </w:r>
      <w:r w:rsidRPr="005E3076">
        <w:rPr>
          <w:rFonts w:ascii="Times New Roman" w:hAnsi="Times New Roman" w:cs="Times New Roman"/>
          <w:sz w:val="24"/>
          <w:szCs w:val="24"/>
        </w:rPr>
        <w:t xml:space="preserve"> but with chromatographic peaks the concentration is changing over time and twice the scan time does not result in twice the signal in each individual scan.  Conversely, a loss in steepness of slope and linearity can be observed when increasing scan time as an increase in duty cycle can lead to a loss in signal due to missing the apex of the peak and irreproducible areas.  </w:t>
      </w:r>
    </w:p>
    <w:p w:rsidR="005E3076" w:rsidRPr="005E3076" w:rsidRDefault="005E3076" w:rsidP="005E3076">
      <w:pPr>
        <w:spacing w:line="360" w:lineRule="auto"/>
        <w:jc w:val="both"/>
        <w:rPr>
          <w:rFonts w:ascii="Times New Roman" w:hAnsi="Times New Roman" w:cs="Times New Roman"/>
          <w:sz w:val="24"/>
          <w:szCs w:val="24"/>
        </w:rPr>
      </w:pPr>
    </w:p>
    <w:p w:rsidR="005E3076" w:rsidRPr="005E3076" w:rsidRDefault="005E3076" w:rsidP="005E3076">
      <w:pPr>
        <w:spacing w:line="360" w:lineRule="auto"/>
        <w:jc w:val="both"/>
        <w:rPr>
          <w:rFonts w:ascii="Times New Roman" w:hAnsi="Times New Roman" w:cs="Times New Roman"/>
          <w:sz w:val="24"/>
          <w:szCs w:val="24"/>
        </w:rPr>
      </w:pPr>
      <w:r w:rsidRPr="005E3076">
        <w:rPr>
          <w:rFonts w:ascii="Times New Roman" w:hAnsi="Times New Roman" w:cs="Times New Roman"/>
          <w:sz w:val="24"/>
          <w:szCs w:val="24"/>
        </w:rPr>
        <w:t xml:space="preserve">The formula only reports the concentration of monoisotopic mass when an SRM scan is set for the monoisotopic parent mass.  The concentration reported using an external standard calibration curve is for all isotopic masses regardless that the SRM scan is for a monoisotopic parent mass.  The actual concentration of the compound including all isotopic forms is larger and becomes more significant with </w:t>
      </w:r>
      <w:r w:rsidR="00817A76">
        <w:rPr>
          <w:rFonts w:ascii="Times New Roman" w:hAnsi="Times New Roman" w:cs="Times New Roman"/>
          <w:sz w:val="24"/>
          <w:szCs w:val="24"/>
        </w:rPr>
        <w:t xml:space="preserve">much </w:t>
      </w:r>
      <w:r w:rsidRPr="005E3076">
        <w:rPr>
          <w:rFonts w:ascii="Times New Roman" w:hAnsi="Times New Roman" w:cs="Times New Roman"/>
          <w:sz w:val="24"/>
          <w:szCs w:val="24"/>
        </w:rPr>
        <w:t xml:space="preserve">larger compounds as the largest peak in a full scan MS </w:t>
      </w:r>
      <w:r w:rsidR="00817A76">
        <w:rPr>
          <w:rFonts w:ascii="Times New Roman" w:hAnsi="Times New Roman" w:cs="Times New Roman"/>
          <w:sz w:val="24"/>
          <w:szCs w:val="24"/>
        </w:rPr>
        <w:t>may not be</w:t>
      </w:r>
      <w:r w:rsidRPr="005E3076">
        <w:rPr>
          <w:rFonts w:ascii="Times New Roman" w:hAnsi="Times New Roman" w:cs="Times New Roman"/>
          <w:sz w:val="24"/>
          <w:szCs w:val="24"/>
        </w:rPr>
        <w:t xml:space="preserve"> the monoisotope.  Scanning for the most abundant isotope instead of the monoisotope would lower LOD in MS analysis</w:t>
      </w:r>
      <w:r w:rsidR="00817A76">
        <w:rPr>
          <w:rFonts w:ascii="Times New Roman" w:hAnsi="Times New Roman" w:cs="Times New Roman"/>
          <w:sz w:val="24"/>
          <w:szCs w:val="24"/>
        </w:rPr>
        <w:t>,</w:t>
      </w:r>
      <w:r w:rsidRPr="005E3076">
        <w:rPr>
          <w:rFonts w:ascii="Times New Roman" w:hAnsi="Times New Roman" w:cs="Times New Roman"/>
          <w:sz w:val="24"/>
          <w:szCs w:val="24"/>
        </w:rPr>
        <w:t xml:space="preserve"> but in MS/MS analysis the LOD may not be lowered because the desired fragment is a combination of isotopes due to the random positions of isotopes in the parent mass which is not the case with a monoisotopic parent mass.  A theoretical correction factor</w:t>
      </w:r>
      <w:r w:rsidR="00BB1F74">
        <w:rPr>
          <w:rFonts w:ascii="Times New Roman" w:hAnsi="Times New Roman" w:cs="Times New Roman"/>
          <w:sz w:val="24"/>
          <w:szCs w:val="24"/>
          <w:vertAlign w:val="superscript"/>
        </w:rPr>
        <w:t>136</w:t>
      </w:r>
      <w:r w:rsidRPr="005E3076">
        <w:rPr>
          <w:rFonts w:ascii="Times New Roman" w:hAnsi="Times New Roman" w:cs="Times New Roman"/>
          <w:sz w:val="24"/>
          <w:szCs w:val="24"/>
        </w:rPr>
        <w:t xml:space="preserve"> would need to be applied to obtain the concentration of all isotopic masses.  An alternative is the empirical </w:t>
      </w:r>
      <w:r w:rsidR="00817A76">
        <w:rPr>
          <w:rFonts w:ascii="Times New Roman" w:hAnsi="Times New Roman" w:cs="Times New Roman"/>
          <w:sz w:val="24"/>
          <w:szCs w:val="24"/>
        </w:rPr>
        <w:t>determination by direct infusion</w:t>
      </w:r>
      <w:r w:rsidRPr="005E3076">
        <w:rPr>
          <w:rFonts w:ascii="Times New Roman" w:hAnsi="Times New Roman" w:cs="Times New Roman"/>
          <w:sz w:val="24"/>
          <w:szCs w:val="24"/>
        </w:rPr>
        <w:t xml:space="preserve"> </w:t>
      </w:r>
      <w:r w:rsidR="00817A76">
        <w:rPr>
          <w:rFonts w:ascii="Times New Roman" w:hAnsi="Times New Roman" w:cs="Times New Roman"/>
          <w:sz w:val="24"/>
          <w:szCs w:val="24"/>
        </w:rPr>
        <w:t xml:space="preserve">of </w:t>
      </w:r>
      <w:r w:rsidRPr="005E3076">
        <w:rPr>
          <w:rFonts w:ascii="Times New Roman" w:hAnsi="Times New Roman" w:cs="Times New Roman"/>
          <w:sz w:val="24"/>
          <w:szCs w:val="24"/>
        </w:rPr>
        <w:t xml:space="preserve">the compound </w:t>
      </w:r>
      <w:r w:rsidR="00817A76">
        <w:rPr>
          <w:rFonts w:ascii="Times New Roman" w:hAnsi="Times New Roman" w:cs="Times New Roman"/>
          <w:sz w:val="24"/>
          <w:szCs w:val="24"/>
        </w:rPr>
        <w:t>to obtain</w:t>
      </w:r>
      <w:r w:rsidRPr="005E3076">
        <w:rPr>
          <w:rFonts w:ascii="Times New Roman" w:hAnsi="Times New Roman" w:cs="Times New Roman"/>
          <w:sz w:val="24"/>
          <w:szCs w:val="24"/>
        </w:rPr>
        <w:t xml:space="preserve"> a full scan mass spectrum with a sufficient number of microscans then using the centroid peak heights to determine the percent abundance of the monoisotopic form compared to the total isotopic forms.  The correction factor would be the multiplication of (100 / % abundance of monoisotope) to the entire formula.</w:t>
      </w:r>
    </w:p>
    <w:p w:rsidR="005E3076" w:rsidRPr="005E3076" w:rsidRDefault="005E3076" w:rsidP="005E3076">
      <w:pPr>
        <w:spacing w:line="360" w:lineRule="auto"/>
        <w:jc w:val="both"/>
        <w:rPr>
          <w:rFonts w:ascii="Times New Roman" w:hAnsi="Times New Roman" w:cs="Times New Roman"/>
          <w:sz w:val="24"/>
          <w:szCs w:val="24"/>
        </w:rPr>
      </w:pPr>
    </w:p>
    <w:p w:rsidR="005E3076" w:rsidRPr="005E3076" w:rsidRDefault="005E3076" w:rsidP="005E3076">
      <w:pPr>
        <w:spacing w:line="360" w:lineRule="auto"/>
        <w:jc w:val="both"/>
        <w:rPr>
          <w:rFonts w:ascii="Times New Roman" w:hAnsi="Times New Roman" w:cs="Times New Roman"/>
          <w:sz w:val="24"/>
          <w:szCs w:val="24"/>
        </w:rPr>
      </w:pPr>
      <w:r w:rsidRPr="005E3076">
        <w:rPr>
          <w:rFonts w:ascii="Times New Roman" w:hAnsi="Times New Roman" w:cs="Times New Roman"/>
          <w:sz w:val="24"/>
          <w:szCs w:val="24"/>
        </w:rPr>
        <w:t xml:space="preserve">Mass discrimination of </w:t>
      </w:r>
      <w:r w:rsidR="00817A76">
        <w:rPr>
          <w:rFonts w:ascii="Times New Roman" w:hAnsi="Times New Roman" w:cs="Times New Roman"/>
          <w:sz w:val="24"/>
          <w:szCs w:val="24"/>
        </w:rPr>
        <w:t xml:space="preserve">the </w:t>
      </w:r>
      <w:r w:rsidRPr="005E3076">
        <w:rPr>
          <w:rFonts w:ascii="Times New Roman" w:hAnsi="Times New Roman" w:cs="Times New Roman"/>
          <w:sz w:val="24"/>
          <w:szCs w:val="24"/>
        </w:rPr>
        <w:t>electron multiplier is neglected in the formula.  The heavier isotope standard product ion will eject more electrons upon impact of the conversion dynode than the lighter target compound product ion resulting in a higher signal for the isotope standard at the same concentration.  The increase in signal for the isotope standard is higher at higher concentrations</w:t>
      </w:r>
      <w:r w:rsidR="00817A76">
        <w:rPr>
          <w:rFonts w:ascii="Times New Roman" w:hAnsi="Times New Roman" w:cs="Times New Roman"/>
          <w:sz w:val="24"/>
          <w:szCs w:val="24"/>
        </w:rPr>
        <w:t>,</w:t>
      </w:r>
      <w:r w:rsidRPr="005E3076">
        <w:rPr>
          <w:rFonts w:ascii="Times New Roman" w:hAnsi="Times New Roman" w:cs="Times New Roman"/>
          <w:sz w:val="24"/>
          <w:szCs w:val="24"/>
        </w:rPr>
        <w:t xml:space="preserve"> but because a constant concentration of isotope standard is used the factor of mass discrimination remains constant.  The formula places the isotope standard area in the denominator and equal concentrations result in a ratio less than 1</w:t>
      </w:r>
      <w:r w:rsidR="00817A76">
        <w:rPr>
          <w:rFonts w:ascii="Times New Roman" w:hAnsi="Times New Roman" w:cs="Times New Roman"/>
          <w:sz w:val="24"/>
          <w:szCs w:val="24"/>
        </w:rPr>
        <w:t>,</w:t>
      </w:r>
      <w:r w:rsidRPr="005E3076">
        <w:rPr>
          <w:rFonts w:ascii="Times New Roman" w:hAnsi="Times New Roman" w:cs="Times New Roman"/>
          <w:sz w:val="24"/>
          <w:szCs w:val="24"/>
        </w:rPr>
        <w:t xml:space="preserve"> which slightly underestimates </w:t>
      </w:r>
      <w:r w:rsidRPr="005E3076">
        <w:rPr>
          <w:rFonts w:ascii="Times New Roman" w:hAnsi="Times New Roman" w:cs="Times New Roman"/>
          <w:sz w:val="24"/>
          <w:szCs w:val="24"/>
        </w:rPr>
        <w:lastRenderedPageBreak/>
        <w:t>the concentration of target compound.  The mass discrimination of the electron multiplier is typically not disclosed</w:t>
      </w:r>
      <w:r w:rsidR="00817A76">
        <w:rPr>
          <w:rFonts w:ascii="Times New Roman" w:hAnsi="Times New Roman" w:cs="Times New Roman"/>
          <w:sz w:val="24"/>
          <w:szCs w:val="24"/>
        </w:rPr>
        <w:t>,</w:t>
      </w:r>
      <w:r w:rsidRPr="005E3076">
        <w:rPr>
          <w:rFonts w:ascii="Times New Roman" w:hAnsi="Times New Roman" w:cs="Times New Roman"/>
          <w:sz w:val="24"/>
          <w:szCs w:val="24"/>
        </w:rPr>
        <w:t xml:space="preserve"> and an empirical determination can be made of the mass discrimination factor by direct infusion of a standard with a known isotopic ratio then obtaining a full scan mass spectrum with a sufficient number of microscans.  The centroid peak heights are used to determine the isotopic ratio of the monoisotope and the +1 isotope peak.  This isotopic ratio can be compared to an accepted value</w:t>
      </w:r>
      <w:r w:rsidR="00817A76">
        <w:rPr>
          <w:rFonts w:ascii="Times New Roman" w:hAnsi="Times New Roman" w:cs="Times New Roman"/>
          <w:sz w:val="24"/>
          <w:szCs w:val="24"/>
        </w:rPr>
        <w:t>,</w:t>
      </w:r>
      <w:r w:rsidRPr="005E3076">
        <w:rPr>
          <w:rFonts w:ascii="Times New Roman" w:hAnsi="Times New Roman" w:cs="Times New Roman"/>
          <w:sz w:val="24"/>
          <w:szCs w:val="24"/>
        </w:rPr>
        <w:t xml:space="preserve"> and the error is from mass discrimination.  A typical value is 0 to 6% increase</w:t>
      </w:r>
      <w:r w:rsidR="008A52B7">
        <w:rPr>
          <w:rFonts w:ascii="Times New Roman" w:hAnsi="Times New Roman" w:cs="Times New Roman"/>
          <w:sz w:val="24"/>
          <w:szCs w:val="24"/>
          <w:vertAlign w:val="superscript"/>
        </w:rPr>
        <w:t>64</w:t>
      </w:r>
      <w:r w:rsidRPr="005E3076">
        <w:rPr>
          <w:rFonts w:ascii="Times New Roman" w:hAnsi="Times New Roman" w:cs="Times New Roman"/>
          <w:sz w:val="24"/>
          <w:szCs w:val="24"/>
        </w:rPr>
        <w:t xml:space="preserve"> in signal for each amu.  This means the heavier the product ion of the isotope standard compared to the product ion of the target compound the more significant the correction becomes. The correction factor would be the multiplication of (1 + % increase as a decimal) to the entire formula.</w:t>
      </w:r>
    </w:p>
    <w:p w:rsidR="005E3076" w:rsidRPr="005E3076" w:rsidRDefault="005E3076" w:rsidP="005E3076">
      <w:pPr>
        <w:spacing w:line="360" w:lineRule="auto"/>
        <w:jc w:val="both"/>
        <w:rPr>
          <w:rFonts w:ascii="Times New Roman" w:hAnsi="Times New Roman" w:cs="Times New Roman"/>
          <w:sz w:val="24"/>
          <w:szCs w:val="24"/>
        </w:rPr>
      </w:pPr>
    </w:p>
    <w:p w:rsidR="005E3076" w:rsidRPr="005E3076" w:rsidRDefault="005E3076" w:rsidP="005E3076">
      <w:pPr>
        <w:spacing w:line="360" w:lineRule="auto"/>
        <w:jc w:val="both"/>
        <w:rPr>
          <w:rFonts w:ascii="Times New Roman" w:hAnsi="Times New Roman" w:cs="Times New Roman"/>
          <w:sz w:val="24"/>
          <w:szCs w:val="24"/>
        </w:rPr>
      </w:pPr>
      <w:r w:rsidRPr="005E3076">
        <w:rPr>
          <w:rFonts w:ascii="Times New Roman" w:hAnsi="Times New Roman" w:cs="Times New Roman"/>
          <w:sz w:val="24"/>
          <w:szCs w:val="24"/>
        </w:rPr>
        <w:t>The alternative of using an external calibration curve with internal standard has the same errors of neglecting thermal degradation, assuming a purity of 100% considering all weight to be from the compound, mas</w:t>
      </w:r>
      <w:r w:rsidR="00817A76">
        <w:rPr>
          <w:rFonts w:ascii="Times New Roman" w:hAnsi="Times New Roman" w:cs="Times New Roman"/>
          <w:sz w:val="24"/>
          <w:szCs w:val="24"/>
        </w:rPr>
        <w:t xml:space="preserve">s transfer into the first stock and </w:t>
      </w:r>
      <w:r w:rsidRPr="005E3076">
        <w:rPr>
          <w:rFonts w:ascii="Times New Roman" w:hAnsi="Times New Roman" w:cs="Times New Roman"/>
          <w:sz w:val="24"/>
          <w:szCs w:val="24"/>
        </w:rPr>
        <w:t>analytical balance rounding error, dilution error, in addition to, neglecting changes in instrument response, ignoring SRM interferences from matrix when a target compound free matrix cannot be obtained,</w:t>
      </w:r>
      <w:r w:rsidR="00E35DD4">
        <w:rPr>
          <w:rFonts w:ascii="Times New Roman" w:hAnsi="Times New Roman" w:cs="Times New Roman"/>
          <w:sz w:val="24"/>
          <w:szCs w:val="24"/>
          <w:vertAlign w:val="superscript"/>
        </w:rPr>
        <w:t>59</w:t>
      </w:r>
      <w:r w:rsidRPr="005E3076">
        <w:rPr>
          <w:rFonts w:ascii="Times New Roman" w:hAnsi="Times New Roman" w:cs="Times New Roman"/>
          <w:sz w:val="24"/>
          <w:szCs w:val="24"/>
        </w:rPr>
        <w:t xml:space="preserve"> and an imperfect fit of the curve.  An error in dilution may be seen on the graph as a sharp change in pattern of calibration levels affecting the fit</w:t>
      </w:r>
      <w:r w:rsidR="00817A76">
        <w:rPr>
          <w:rFonts w:ascii="Times New Roman" w:hAnsi="Times New Roman" w:cs="Times New Roman"/>
          <w:sz w:val="24"/>
          <w:szCs w:val="24"/>
        </w:rPr>
        <w:t>,</w:t>
      </w:r>
      <w:r w:rsidRPr="005E3076">
        <w:rPr>
          <w:rFonts w:ascii="Times New Roman" w:hAnsi="Times New Roman" w:cs="Times New Roman"/>
          <w:sz w:val="24"/>
          <w:szCs w:val="24"/>
        </w:rPr>
        <w:t xml:space="preserve"> but an error in mass transfer results in the entire curve to be lower and the fit is not affected.  Multiple dilution series are used to account for mass transfer error into stock and analytical balance rounding error.  </w:t>
      </w:r>
      <w:r w:rsidRPr="005E3076">
        <w:rPr>
          <w:rFonts w:ascii="Times New Roman" w:eastAsiaTheme="minorEastAsia" w:hAnsi="Times New Roman" w:cs="Times New Roman"/>
          <w:sz w:val="24"/>
          <w:szCs w:val="24"/>
        </w:rPr>
        <w:t xml:space="preserve">An empirical comparison can be made by preparing an external standard calibration curve with the isotope standard as the internal standard.  Then compare the concentrations predicted by the fit to the concentrations predicted using the formula to determine the difference between the two techniques.  </w:t>
      </w:r>
      <w:r w:rsidRPr="005E3076">
        <w:rPr>
          <w:rFonts w:ascii="Times New Roman" w:hAnsi="Times New Roman" w:cs="Times New Roman"/>
          <w:sz w:val="24"/>
          <w:szCs w:val="24"/>
        </w:rPr>
        <w:t xml:space="preserve">In conclusion, neither approach is 100% accurate but are within acceptable error when applied correctly.  </w:t>
      </w:r>
    </w:p>
    <w:p w:rsidR="005E3076" w:rsidRPr="005D64C2" w:rsidRDefault="005E3076" w:rsidP="005D64C2">
      <w:pPr>
        <w:spacing w:line="360" w:lineRule="auto"/>
        <w:jc w:val="both"/>
        <w:rPr>
          <w:rFonts w:ascii="Times New Roman" w:hAnsi="Times New Roman" w:cs="Times New Roman"/>
          <w:i/>
          <w:sz w:val="24"/>
          <w:szCs w:val="24"/>
        </w:rPr>
      </w:pPr>
      <w:r w:rsidRPr="00B80476">
        <w:rPr>
          <w:rFonts w:ascii="Times New Roman" w:eastAsiaTheme="minorEastAsia" w:hAnsi="Times New Roman" w:cs="Times New Roman"/>
          <w:i/>
          <w:sz w:val="24"/>
          <w:szCs w:val="24"/>
        </w:rPr>
        <w:t>Please Refer to Chapter 1 for a Fuller Discussion on Analytical Techniques</w:t>
      </w:r>
    </w:p>
    <w:p w:rsidR="00BB42EC" w:rsidRDefault="007075D5" w:rsidP="007075D5">
      <w:pPr>
        <w:tabs>
          <w:tab w:val="left" w:pos="3165"/>
          <w:tab w:val="center" w:pos="4680"/>
        </w:tabs>
        <w:spacing w:line="360" w:lineRule="auto"/>
        <w:rPr>
          <w:rFonts w:ascii="Times New Roman" w:eastAsia="Calibri" w:hAnsi="Times New Roman" w:cs="Times New Roman"/>
          <w:b/>
          <w:sz w:val="28"/>
          <w:szCs w:val="28"/>
        </w:rPr>
      </w:pPr>
      <w:r>
        <w:rPr>
          <w:rFonts w:ascii="Times New Roman" w:eastAsia="Calibri" w:hAnsi="Times New Roman" w:cs="Times New Roman"/>
          <w:b/>
          <w:sz w:val="28"/>
          <w:szCs w:val="28"/>
        </w:rPr>
        <w:tab/>
      </w:r>
      <w:r>
        <w:rPr>
          <w:rFonts w:ascii="Times New Roman" w:eastAsia="Calibri" w:hAnsi="Times New Roman" w:cs="Times New Roman"/>
          <w:b/>
          <w:sz w:val="28"/>
          <w:szCs w:val="28"/>
        </w:rPr>
        <w:tab/>
      </w:r>
    </w:p>
    <w:p w:rsidR="00BB42EC" w:rsidRDefault="00BB42EC" w:rsidP="007075D5">
      <w:pPr>
        <w:tabs>
          <w:tab w:val="left" w:pos="3165"/>
          <w:tab w:val="center" w:pos="4680"/>
        </w:tabs>
        <w:spacing w:line="360" w:lineRule="auto"/>
        <w:rPr>
          <w:rFonts w:ascii="Times New Roman" w:eastAsia="Calibri" w:hAnsi="Times New Roman" w:cs="Times New Roman"/>
          <w:b/>
          <w:sz w:val="28"/>
          <w:szCs w:val="28"/>
        </w:rPr>
      </w:pPr>
    </w:p>
    <w:p w:rsidR="00BB42EC" w:rsidRDefault="00BB42EC" w:rsidP="007075D5">
      <w:pPr>
        <w:tabs>
          <w:tab w:val="left" w:pos="3165"/>
          <w:tab w:val="center" w:pos="4680"/>
        </w:tabs>
        <w:spacing w:line="360" w:lineRule="auto"/>
        <w:rPr>
          <w:rFonts w:ascii="Times New Roman" w:eastAsia="Calibri" w:hAnsi="Times New Roman" w:cs="Times New Roman"/>
          <w:b/>
          <w:sz w:val="28"/>
          <w:szCs w:val="28"/>
        </w:rPr>
      </w:pPr>
    </w:p>
    <w:p w:rsidR="005E3076" w:rsidRPr="005E3076" w:rsidRDefault="005E3076" w:rsidP="00BB42EC">
      <w:pPr>
        <w:tabs>
          <w:tab w:val="left" w:pos="3165"/>
          <w:tab w:val="center" w:pos="4680"/>
        </w:tabs>
        <w:spacing w:line="360" w:lineRule="auto"/>
        <w:jc w:val="center"/>
        <w:rPr>
          <w:rFonts w:ascii="Times New Roman" w:eastAsia="Calibri" w:hAnsi="Times New Roman" w:cs="Times New Roman"/>
          <w:sz w:val="28"/>
          <w:szCs w:val="28"/>
        </w:rPr>
      </w:pPr>
      <w:r w:rsidRPr="005E3076">
        <w:rPr>
          <w:rFonts w:ascii="Times New Roman" w:eastAsia="Calibri" w:hAnsi="Times New Roman" w:cs="Times New Roman"/>
          <w:b/>
          <w:sz w:val="28"/>
          <w:szCs w:val="28"/>
        </w:rPr>
        <w:lastRenderedPageBreak/>
        <w:t>Results and Discussion</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The concentrations were typically &lt; 20% RSD for triplicate injections.  Classes of compounds eluted at slightly different RT depending on the length of their chains.  For example, a short chain PtCho has a higher RT than a long chain PtCho</w:t>
      </w:r>
      <w:r w:rsidR="00817A76">
        <w:rPr>
          <w:rFonts w:ascii="Times New Roman" w:eastAsia="Calibri" w:hAnsi="Times New Roman" w:cs="Times New Roman"/>
          <w:sz w:val="24"/>
          <w:szCs w:val="24"/>
        </w:rPr>
        <w:t>,</w:t>
      </w:r>
      <w:r w:rsidRPr="005E3076">
        <w:rPr>
          <w:rFonts w:ascii="Times New Roman" w:eastAsia="Calibri" w:hAnsi="Times New Roman" w:cs="Times New Roman"/>
          <w:sz w:val="24"/>
          <w:szCs w:val="24"/>
        </w:rPr>
        <w:t xml:space="preserve"> and RT shifts were observed between milk samples but not plasma samples.  The time segmentation of MS acquisition placed PtCho close to the end of its time segment.  To ensure detection of an entire chromatographic peak</w:t>
      </w:r>
      <w:r w:rsidR="00817A76">
        <w:rPr>
          <w:rFonts w:ascii="Times New Roman" w:eastAsia="Calibri" w:hAnsi="Times New Roman" w:cs="Times New Roman"/>
          <w:sz w:val="24"/>
          <w:szCs w:val="24"/>
        </w:rPr>
        <w:t>,</w:t>
      </w:r>
      <w:r w:rsidRPr="005E3076">
        <w:rPr>
          <w:rFonts w:ascii="Times New Roman" w:eastAsia="Calibri" w:hAnsi="Times New Roman" w:cs="Times New Roman"/>
          <w:sz w:val="24"/>
          <w:szCs w:val="24"/>
        </w:rPr>
        <w:t xml:space="preserve"> the shortest chain PtCho was monitored using Qual Browser throughout the analysis.  Other compounds that bordered their time segment were also monitored.  As the column aged time segmentation was shifted to the right due to an increase in RT of compounds.  If a comparison of milk samples to plasma samples is made at each corresponding week of lactation</w:t>
      </w:r>
      <w:r w:rsidR="00817A76">
        <w:rPr>
          <w:rFonts w:ascii="Times New Roman" w:eastAsia="Calibri" w:hAnsi="Times New Roman" w:cs="Times New Roman"/>
          <w:sz w:val="24"/>
          <w:szCs w:val="24"/>
        </w:rPr>
        <w:t>,</w:t>
      </w:r>
      <w:r w:rsidRPr="005E3076">
        <w:rPr>
          <w:rFonts w:ascii="Times New Roman" w:eastAsia="Calibri" w:hAnsi="Times New Roman" w:cs="Times New Roman"/>
          <w:sz w:val="24"/>
          <w:szCs w:val="24"/>
        </w:rPr>
        <w:t xml:space="preserve"> then the following general statements can be made.  Milk has a higher concentration of AcCho, Cho, GPC, and Pcho than plasma.  Plasma has a higher concentration of PtCho, LPC, and SM.  Betaine is in near equal amounts in both milk and plasma samples.</w:t>
      </w:r>
    </w:p>
    <w:p w:rsidR="005E3076" w:rsidRPr="005E3076" w:rsidRDefault="005E3076"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t>Determination of Heatmap Log Scale</w:t>
      </w:r>
    </w:p>
    <w:p w:rsidR="005E3076" w:rsidRDefault="005E3076" w:rsidP="001A60C3">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Heatmaps were tested on log</w:t>
      </w:r>
      <w:r w:rsidRPr="005E3076">
        <w:rPr>
          <w:rFonts w:ascii="Times New Roman" w:eastAsia="Calibri" w:hAnsi="Times New Roman" w:cs="Times New Roman"/>
          <w:sz w:val="24"/>
          <w:szCs w:val="24"/>
          <w:vertAlign w:val="subscript"/>
        </w:rPr>
        <w:t>2</w:t>
      </w:r>
      <w:r w:rsidRPr="005E3076">
        <w:rPr>
          <w:rFonts w:ascii="Times New Roman" w:eastAsia="Calibri" w:hAnsi="Times New Roman" w:cs="Times New Roman"/>
          <w:sz w:val="24"/>
          <w:szCs w:val="24"/>
        </w:rPr>
        <w:t xml:space="preserve"> – log</w:t>
      </w:r>
      <w:r w:rsidRPr="005E3076">
        <w:rPr>
          <w:rFonts w:ascii="Times New Roman" w:eastAsia="Calibri" w:hAnsi="Times New Roman" w:cs="Times New Roman"/>
          <w:sz w:val="24"/>
          <w:szCs w:val="24"/>
          <w:vertAlign w:val="subscript"/>
        </w:rPr>
        <w:t>10</w:t>
      </w:r>
      <w:r w:rsidRPr="005E3076">
        <w:rPr>
          <w:rFonts w:ascii="Times New Roman" w:eastAsia="Calibri" w:hAnsi="Times New Roman" w:cs="Times New Roman"/>
          <w:sz w:val="24"/>
          <w:szCs w:val="24"/>
        </w:rPr>
        <w:t xml:space="preserve"> scales to determine a suitable log scale.  A lower base log is more sensitive than a higher base log and can show small differences more efficiently, whereas, the higher base log would be more efficient for large differences.  A log scale is needed to remove fraction bias.  A difference between two data sets would give two different fold changes depending on which set is selected for the numerator.  For example, if the larger data set is chosen for the numerator then (2x / x) = 2 which is 200% greater, whereas, if the smaller data set is chosen for the numberator then (x / 2x) = 0.5 which is 50% lower.  However, the log (2) = +Y and </w:t>
      </w:r>
      <w:r w:rsidR="001A60C3">
        <w:rPr>
          <w:rFonts w:ascii="Times New Roman" w:eastAsia="Calibri" w:hAnsi="Times New Roman" w:cs="Times New Roman"/>
          <w:sz w:val="24"/>
          <w:szCs w:val="24"/>
        </w:rPr>
        <w:t xml:space="preserve">the </w:t>
      </w:r>
      <w:r w:rsidRPr="005E3076">
        <w:rPr>
          <w:rFonts w:ascii="Times New Roman" w:eastAsia="Calibri" w:hAnsi="Times New Roman" w:cs="Times New Roman"/>
          <w:sz w:val="24"/>
          <w:szCs w:val="24"/>
        </w:rPr>
        <w:t>log (0.5) = -Y which is the same distance from 0.  A compromise must be made for all compounds and a log</w:t>
      </w:r>
      <w:r w:rsidRPr="005E3076">
        <w:rPr>
          <w:rFonts w:ascii="Times New Roman" w:eastAsia="Calibri" w:hAnsi="Times New Roman" w:cs="Times New Roman"/>
          <w:sz w:val="24"/>
          <w:szCs w:val="24"/>
          <w:vertAlign w:val="subscript"/>
        </w:rPr>
        <w:t>3</w:t>
      </w:r>
      <w:r w:rsidRPr="005E3076">
        <w:rPr>
          <w:rFonts w:ascii="Times New Roman" w:eastAsia="Calibri" w:hAnsi="Times New Roman" w:cs="Times New Roman"/>
          <w:sz w:val="24"/>
          <w:szCs w:val="24"/>
        </w:rPr>
        <w:t xml:space="preserve"> scale was determined to be the most suitable to sho</w:t>
      </w:r>
      <w:r w:rsidR="001A60C3">
        <w:rPr>
          <w:rFonts w:ascii="Times New Roman" w:eastAsia="Calibri" w:hAnsi="Times New Roman" w:cs="Times New Roman"/>
          <w:sz w:val="24"/>
          <w:szCs w:val="24"/>
        </w:rPr>
        <w:t>w differences in all compounds.</w:t>
      </w:r>
    </w:p>
    <w:p w:rsidR="001A60C3" w:rsidRPr="001A60C3" w:rsidRDefault="001A60C3" w:rsidP="001A60C3">
      <w:pPr>
        <w:spacing w:line="360" w:lineRule="auto"/>
        <w:jc w:val="both"/>
        <w:rPr>
          <w:rFonts w:ascii="Times New Roman" w:eastAsia="Calibri" w:hAnsi="Times New Roman" w:cs="Times New Roman"/>
          <w:sz w:val="24"/>
          <w:szCs w:val="24"/>
        </w:rPr>
      </w:pPr>
    </w:p>
    <w:p w:rsidR="005D64C2" w:rsidRDefault="005D64C2" w:rsidP="005E3076">
      <w:pPr>
        <w:spacing w:line="360" w:lineRule="auto"/>
        <w:jc w:val="both"/>
        <w:rPr>
          <w:rFonts w:ascii="Times New Roman" w:eastAsia="Calibri" w:hAnsi="Times New Roman" w:cs="Times New Roman"/>
          <w:b/>
          <w:i/>
          <w:sz w:val="24"/>
          <w:szCs w:val="24"/>
        </w:rPr>
      </w:pPr>
    </w:p>
    <w:p w:rsidR="005D64C2" w:rsidRDefault="005D64C2"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lastRenderedPageBreak/>
        <w:t>Changes in Milk and Plasma at Different Weeks of Lactation Relative to Week 1</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Milk samples displayed an overall decrease in AcCho, Pcho, and Bet.  An increase was observed for Cho and PtCho.  Sphingomyelin stayed nearly the same.  Acetylcholine was not detected in early lactation (Figure 7).  Plasma samples showed an overall increase in LPC, PtCho, and SM.  Betaine and C</w:t>
      </w:r>
      <w:r w:rsidR="00B463F8">
        <w:rPr>
          <w:rFonts w:ascii="Times New Roman" w:eastAsia="Calibri" w:hAnsi="Times New Roman" w:cs="Times New Roman"/>
          <w:sz w:val="24"/>
          <w:szCs w:val="24"/>
        </w:rPr>
        <w:t xml:space="preserve">ho remained nearly the same.  </w:t>
      </w:r>
      <w:r w:rsidRPr="005E3076">
        <w:rPr>
          <w:rFonts w:ascii="Times New Roman" w:eastAsia="Calibri" w:hAnsi="Times New Roman" w:cs="Times New Roman"/>
          <w:sz w:val="24"/>
          <w:szCs w:val="24"/>
        </w:rPr>
        <w:t xml:space="preserve">No decreases were observed (Figure 8).  Phosphocholine had a %RSD greater than 20% for triplicate injections because the concentration was at LOD.  Acetylcholine was not detected but the recovery of AcCho ISTD was sporadic suggesting that AcCho may be present in significant amounts in plasma.  The addition of an enzyme inhibitor upon collection of plasma sample has been discussed for future work. </w:t>
      </w: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sectPr w:rsidR="005E3076" w:rsidRPr="005E3076" w:rsidSect="001E7932">
          <w:pgSz w:w="12240" w:h="15840"/>
          <w:pgMar w:top="1440" w:right="1440" w:bottom="1440" w:left="1440" w:header="720" w:footer="720" w:gutter="0"/>
          <w:pgNumType w:start="1"/>
          <w:cols w:space="720"/>
        </w:sect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Times New Roman" w:eastAsia="Calibri" w:hAnsi="Times New Roman" w:cs="Times New Roman"/>
          <w:b/>
          <w:sz w:val="24"/>
          <w:szCs w:val="24"/>
        </w:rPr>
      </w:pPr>
    </w:p>
    <w:p w:rsidR="005E3076" w:rsidRPr="005E3076" w:rsidRDefault="005E3076" w:rsidP="005E3076">
      <w:pPr>
        <w:spacing w:line="480" w:lineRule="auto"/>
        <w:jc w:val="both"/>
        <w:rPr>
          <w:rFonts w:ascii="Times New Roman" w:eastAsia="Calibri" w:hAnsi="Times New Roman" w:cs="Times New Roman"/>
          <w:b/>
          <w:sz w:val="24"/>
          <w:szCs w:val="24"/>
        </w:rPr>
      </w:pPr>
    </w:p>
    <w:p w:rsidR="005E3076" w:rsidRPr="005E3076" w:rsidRDefault="005E3076" w:rsidP="005E3076">
      <w:pPr>
        <w:spacing w:line="480" w:lineRule="auto"/>
        <w:jc w:val="both"/>
        <w:rPr>
          <w:rFonts w:ascii="Times New Roman" w:eastAsia="Calibri" w:hAnsi="Times New Roman" w:cs="Times New Roman"/>
          <w:b/>
          <w:sz w:val="24"/>
          <w:szCs w:val="24"/>
        </w:rPr>
      </w:pPr>
      <w:r w:rsidRPr="005E3076">
        <w:rPr>
          <w:rFonts w:ascii="Calibri" w:eastAsia="Calibri" w:hAnsi="Calibri" w:cs="Times New Roman"/>
          <w:noProof/>
        </w:rPr>
        <w:drawing>
          <wp:inline distT="0" distB="0" distL="0" distR="0" wp14:anchorId="00FFA63C" wp14:editId="6A9904D1">
            <wp:extent cx="8772525" cy="27241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72525" cy="2724150"/>
                    </a:xfrm>
                    <a:prstGeom prst="rect">
                      <a:avLst/>
                    </a:prstGeom>
                    <a:noFill/>
                    <a:ln>
                      <a:noFill/>
                    </a:ln>
                  </pic:spPr>
                </pic:pic>
              </a:graphicData>
            </a:graphic>
          </wp:inline>
        </w:drawing>
      </w:r>
    </w:p>
    <w:p w:rsidR="005E3076" w:rsidRPr="005E3076" w:rsidRDefault="005E3076" w:rsidP="005E3076">
      <w:pPr>
        <w:spacing w:line="240" w:lineRule="auto"/>
        <w:jc w:val="both"/>
        <w:rPr>
          <w:rFonts w:ascii="Times New Roman" w:eastAsia="Calibri" w:hAnsi="Times New Roman" w:cs="Times New Roman"/>
          <w:b/>
          <w:sz w:val="24"/>
          <w:szCs w:val="24"/>
        </w:rPr>
      </w:pPr>
      <w:r w:rsidRPr="005E3076">
        <w:rPr>
          <w:rFonts w:ascii="Times New Roman" w:eastAsia="Calibri" w:hAnsi="Times New Roman" w:cs="Times New Roman"/>
          <w:b/>
          <w:sz w:val="24"/>
          <w:szCs w:val="24"/>
        </w:rPr>
        <w:t>Figure 7</w:t>
      </w:r>
      <w:r w:rsidRPr="005E3076">
        <w:rPr>
          <w:rFonts w:ascii="Times New Roman" w:eastAsia="Calibri" w:hAnsi="Times New Roman" w:cs="Times New Roman"/>
          <w:sz w:val="24"/>
          <w:szCs w:val="24"/>
        </w:rPr>
        <w:t>: Heatmap of milk samples from 12 cows.  Rows are lipids detected and columns are weeks of lactation with each cow in staggered formation.  Each color square represents the fold change of average absolute concentration of triplicate injections.  Blue is decrease and red is increase in fold change relative to week 1 or 1</w:t>
      </w:r>
      <w:r w:rsidRPr="005E3076">
        <w:rPr>
          <w:rFonts w:ascii="Times New Roman" w:eastAsia="Calibri" w:hAnsi="Times New Roman" w:cs="Times New Roman"/>
          <w:sz w:val="24"/>
          <w:szCs w:val="24"/>
          <w:vertAlign w:val="superscript"/>
        </w:rPr>
        <w:t>st</w:t>
      </w:r>
      <w:r w:rsidRPr="005E3076">
        <w:rPr>
          <w:rFonts w:ascii="Times New Roman" w:eastAsia="Calibri" w:hAnsi="Times New Roman" w:cs="Times New Roman"/>
          <w:sz w:val="24"/>
          <w:szCs w:val="24"/>
        </w:rPr>
        <w:t xml:space="preserve"> week of detection for each cow displayed on a log</w:t>
      </w:r>
      <w:r w:rsidRPr="005E3076">
        <w:rPr>
          <w:rFonts w:ascii="Times New Roman" w:eastAsia="Calibri" w:hAnsi="Times New Roman" w:cs="Times New Roman"/>
          <w:sz w:val="24"/>
          <w:szCs w:val="24"/>
          <w:vertAlign w:val="subscript"/>
        </w:rPr>
        <w:t>3</w:t>
      </w:r>
      <w:r w:rsidRPr="005E3076">
        <w:rPr>
          <w:rFonts w:ascii="Times New Roman" w:eastAsia="Calibri" w:hAnsi="Times New Roman" w:cs="Times New Roman"/>
          <w:sz w:val="24"/>
          <w:szCs w:val="24"/>
        </w:rPr>
        <w:t xml:space="preserve"> scale.  Black is no change and gray is undetected.  Cows #11 and #12 were unavailable for late lactation sampling. </w:t>
      </w:r>
    </w:p>
    <w:p w:rsidR="005E3076" w:rsidRPr="005E3076" w:rsidRDefault="005E3076" w:rsidP="005E3076">
      <w:pPr>
        <w:spacing w:line="480" w:lineRule="auto"/>
        <w:jc w:val="both"/>
        <w:rPr>
          <w:rFonts w:eastAsia="Calibri"/>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Times New Roman" w:eastAsia="Calibri" w:hAnsi="Times New Roman" w:cs="Times New Roman"/>
          <w:b/>
          <w:sz w:val="24"/>
          <w:szCs w:val="24"/>
        </w:rPr>
      </w:pPr>
    </w:p>
    <w:p w:rsidR="005E3076" w:rsidRPr="005E3076" w:rsidRDefault="005E3076" w:rsidP="005E3076">
      <w:pPr>
        <w:spacing w:line="480" w:lineRule="auto"/>
        <w:jc w:val="both"/>
        <w:rPr>
          <w:rFonts w:ascii="Times New Roman" w:eastAsia="Calibri" w:hAnsi="Times New Roman" w:cs="Times New Roman"/>
          <w:b/>
          <w:sz w:val="24"/>
          <w:szCs w:val="24"/>
        </w:rPr>
      </w:pPr>
      <w:r w:rsidRPr="005E3076">
        <w:rPr>
          <w:rFonts w:ascii="Calibri" w:eastAsia="Calibri" w:hAnsi="Calibri" w:cs="Times New Roman"/>
          <w:noProof/>
        </w:rPr>
        <w:drawing>
          <wp:inline distT="0" distB="0" distL="0" distR="0" wp14:anchorId="0B5AA889" wp14:editId="30005036">
            <wp:extent cx="8705850" cy="2581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05850" cy="2581275"/>
                    </a:xfrm>
                    <a:prstGeom prst="rect">
                      <a:avLst/>
                    </a:prstGeom>
                    <a:noFill/>
                    <a:ln>
                      <a:noFill/>
                    </a:ln>
                  </pic:spPr>
                </pic:pic>
              </a:graphicData>
            </a:graphic>
          </wp:inline>
        </w:drawing>
      </w:r>
    </w:p>
    <w:p w:rsidR="005E3076" w:rsidRPr="005E3076" w:rsidRDefault="005E3076" w:rsidP="005E3076">
      <w:pPr>
        <w:spacing w:line="240" w:lineRule="auto"/>
        <w:jc w:val="both"/>
        <w:rPr>
          <w:rFonts w:ascii="Times New Roman" w:eastAsia="Calibri" w:hAnsi="Times New Roman" w:cs="Times New Roman"/>
          <w:sz w:val="24"/>
          <w:szCs w:val="24"/>
        </w:rPr>
      </w:pPr>
      <w:r w:rsidRPr="005E3076">
        <w:rPr>
          <w:rFonts w:ascii="Times New Roman" w:eastAsia="Calibri" w:hAnsi="Times New Roman" w:cs="Times New Roman"/>
          <w:b/>
          <w:sz w:val="24"/>
          <w:szCs w:val="24"/>
        </w:rPr>
        <w:t>Figure 8</w:t>
      </w:r>
      <w:r w:rsidRPr="005E3076">
        <w:rPr>
          <w:rFonts w:ascii="Times New Roman" w:eastAsia="Calibri" w:hAnsi="Times New Roman" w:cs="Times New Roman"/>
          <w:sz w:val="24"/>
          <w:szCs w:val="24"/>
        </w:rPr>
        <w:t>: Heatmap of plasma samples from 12 cows.  Rows are lipids detected and columns are weeks of lactation with each cow in staggered formation.  Each color square represents the fold change of average absolute concentration of triplicate injections.  Blue is decrease and red is increase in fold change relative to week 1 or 1</w:t>
      </w:r>
      <w:r w:rsidRPr="005E3076">
        <w:rPr>
          <w:rFonts w:ascii="Times New Roman" w:eastAsia="Calibri" w:hAnsi="Times New Roman" w:cs="Times New Roman"/>
          <w:sz w:val="24"/>
          <w:szCs w:val="24"/>
          <w:vertAlign w:val="superscript"/>
        </w:rPr>
        <w:t>st</w:t>
      </w:r>
      <w:r w:rsidRPr="005E3076">
        <w:rPr>
          <w:rFonts w:ascii="Times New Roman" w:eastAsia="Calibri" w:hAnsi="Times New Roman" w:cs="Times New Roman"/>
          <w:sz w:val="24"/>
          <w:szCs w:val="24"/>
        </w:rPr>
        <w:t xml:space="preserve"> week of detection for each cow displayed on a log</w:t>
      </w:r>
      <w:r w:rsidRPr="005E3076">
        <w:rPr>
          <w:rFonts w:ascii="Times New Roman" w:eastAsia="Calibri" w:hAnsi="Times New Roman" w:cs="Times New Roman"/>
          <w:sz w:val="24"/>
          <w:szCs w:val="24"/>
          <w:vertAlign w:val="subscript"/>
        </w:rPr>
        <w:t>3</w:t>
      </w:r>
      <w:r w:rsidRPr="005E3076">
        <w:rPr>
          <w:rFonts w:ascii="Times New Roman" w:eastAsia="Calibri" w:hAnsi="Times New Roman" w:cs="Times New Roman"/>
          <w:sz w:val="24"/>
          <w:szCs w:val="24"/>
        </w:rPr>
        <w:t xml:space="preserve"> scale.  Black is no change and gray is undetected.  Cows #11 and #12 were unavailable for late lactation sampling.</w:t>
      </w:r>
    </w:p>
    <w:p w:rsidR="005E3076" w:rsidRPr="005E3076" w:rsidRDefault="005E3076" w:rsidP="005E3076">
      <w:pPr>
        <w:spacing w:line="480" w:lineRule="auto"/>
        <w:jc w:val="both"/>
        <w:rPr>
          <w:rFonts w:eastAsia="Calibri"/>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sectPr w:rsidR="005E3076" w:rsidRPr="005E3076" w:rsidSect="00080007">
          <w:pgSz w:w="15840" w:h="12240" w:orient="landscape"/>
          <w:pgMar w:top="1440" w:right="1440" w:bottom="1440" w:left="1440" w:header="720" w:footer="720" w:gutter="0"/>
          <w:cols w:space="720"/>
        </w:sectPr>
      </w:pP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lastRenderedPageBreak/>
        <w:t>Extraction Reproducibility of Milk and Plasma Samples</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To confirm that the color changes on the heatmaps (Figures 7 and 8) were not due to differences in extractions</w:t>
      </w:r>
      <w:r w:rsidR="001A60C3">
        <w:rPr>
          <w:rFonts w:ascii="Times New Roman" w:eastAsia="Calibri" w:hAnsi="Times New Roman" w:cs="Times New Roman"/>
          <w:sz w:val="24"/>
          <w:szCs w:val="24"/>
        </w:rPr>
        <w:t>,</w:t>
      </w:r>
      <w:r w:rsidRPr="005E3076">
        <w:rPr>
          <w:rFonts w:ascii="Times New Roman" w:eastAsia="Calibri" w:hAnsi="Times New Roman" w:cs="Times New Roman"/>
          <w:sz w:val="24"/>
          <w:szCs w:val="24"/>
        </w:rPr>
        <w:t xml:space="preserve"> three samples were selected and extracted twice.  The difference in extractions were no more than 30% for all compounds</w:t>
      </w:r>
      <w:r w:rsidR="001A60C3">
        <w:rPr>
          <w:rFonts w:ascii="Times New Roman" w:eastAsia="Calibri" w:hAnsi="Times New Roman" w:cs="Times New Roman"/>
          <w:sz w:val="24"/>
          <w:szCs w:val="24"/>
        </w:rPr>
        <w:t>,</w:t>
      </w:r>
      <w:r w:rsidRPr="005E3076">
        <w:rPr>
          <w:rFonts w:ascii="Times New Roman" w:eastAsia="Calibri" w:hAnsi="Times New Roman" w:cs="Times New Roman"/>
          <w:sz w:val="24"/>
          <w:szCs w:val="24"/>
        </w:rPr>
        <w:t xml:space="preserve"> and because the changes in the heatmaps (Figures 7 and 8) at different weeks of lac</w:t>
      </w:r>
      <w:r w:rsidR="001A60C3">
        <w:rPr>
          <w:rFonts w:ascii="Times New Roman" w:eastAsia="Calibri" w:hAnsi="Times New Roman" w:cs="Times New Roman"/>
          <w:sz w:val="24"/>
          <w:szCs w:val="24"/>
        </w:rPr>
        <w:t>tation (WOL) are</w:t>
      </w:r>
      <w:r w:rsidRPr="005E3076">
        <w:rPr>
          <w:rFonts w:ascii="Times New Roman" w:eastAsia="Calibri" w:hAnsi="Times New Roman" w:cs="Times New Roman"/>
          <w:sz w:val="24"/>
          <w:szCs w:val="24"/>
        </w:rPr>
        <w:t xml:space="preserve"> far greater than 30% the color changes shown are not induced from extraction irreproducibility.  To further prove this the extraction replicates were placed on a heatmap of the same log scale with fold changes relative to the first extraction. The heatmaps (Figures 9 and 10) appear black because the irreproducibility of extractions is not large enough to induce color changes on the chosen log scale.</w:t>
      </w: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Calibri" w:eastAsia="Calibri" w:hAnsi="Calibri" w:cs="Times New Roman"/>
        </w:rPr>
      </w:pPr>
    </w:p>
    <w:p w:rsidR="005E3076" w:rsidRPr="005E3076" w:rsidRDefault="005E3076" w:rsidP="005E3076">
      <w:pPr>
        <w:spacing w:line="480" w:lineRule="auto"/>
        <w:jc w:val="both"/>
        <w:rPr>
          <w:rFonts w:ascii="Times New Roman" w:eastAsia="Calibri" w:hAnsi="Times New Roman" w:cs="Times New Roman"/>
          <w:sz w:val="24"/>
          <w:szCs w:val="24"/>
        </w:rPr>
      </w:pPr>
    </w:p>
    <w:p w:rsidR="005E3076" w:rsidRPr="005E3076" w:rsidRDefault="005E3076" w:rsidP="005E3076">
      <w:pPr>
        <w:spacing w:line="480" w:lineRule="auto"/>
        <w:jc w:val="center"/>
        <w:rPr>
          <w:rFonts w:ascii="Times New Roman" w:eastAsia="Calibri" w:hAnsi="Times New Roman" w:cs="Times New Roman"/>
          <w:sz w:val="24"/>
          <w:szCs w:val="24"/>
        </w:rPr>
      </w:pPr>
    </w:p>
    <w:p w:rsidR="005E3076" w:rsidRPr="005E3076" w:rsidRDefault="005E3076" w:rsidP="005E3076">
      <w:pPr>
        <w:spacing w:line="480" w:lineRule="auto"/>
        <w:jc w:val="center"/>
        <w:rPr>
          <w:rFonts w:ascii="Times New Roman" w:eastAsia="Calibri" w:hAnsi="Times New Roman" w:cs="Times New Roman"/>
          <w:b/>
          <w:sz w:val="24"/>
          <w:szCs w:val="24"/>
        </w:rPr>
      </w:pPr>
      <w:r w:rsidRPr="005E3076">
        <w:rPr>
          <w:rFonts w:ascii="Calibri" w:eastAsia="Calibri" w:hAnsi="Calibri" w:cs="Times New Roman"/>
          <w:noProof/>
        </w:rPr>
        <w:drawing>
          <wp:inline distT="0" distB="0" distL="0" distR="0" wp14:anchorId="1711E330" wp14:editId="24456B6D">
            <wp:extent cx="3286125" cy="57245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6125" cy="5724525"/>
                    </a:xfrm>
                    <a:prstGeom prst="rect">
                      <a:avLst/>
                    </a:prstGeom>
                    <a:noFill/>
                    <a:ln>
                      <a:noFill/>
                    </a:ln>
                  </pic:spPr>
                </pic:pic>
              </a:graphicData>
            </a:graphic>
          </wp:inline>
        </w:drawing>
      </w:r>
    </w:p>
    <w:p w:rsidR="005E3076" w:rsidRPr="005E3076" w:rsidRDefault="005E3076" w:rsidP="005E3076">
      <w:pPr>
        <w:spacing w:line="240" w:lineRule="auto"/>
        <w:jc w:val="both"/>
        <w:rPr>
          <w:rFonts w:ascii="Times New Roman" w:eastAsia="Calibri" w:hAnsi="Times New Roman" w:cs="Times New Roman"/>
          <w:sz w:val="24"/>
          <w:szCs w:val="24"/>
        </w:rPr>
      </w:pPr>
      <w:r w:rsidRPr="005E3076">
        <w:rPr>
          <w:rFonts w:ascii="Times New Roman" w:eastAsia="Calibri" w:hAnsi="Times New Roman" w:cs="Times New Roman"/>
          <w:b/>
          <w:sz w:val="24"/>
          <w:szCs w:val="24"/>
        </w:rPr>
        <w:t>Figure 9</w:t>
      </w:r>
      <w:r w:rsidRPr="005E3076">
        <w:rPr>
          <w:rFonts w:ascii="Times New Roman" w:eastAsia="Calibri" w:hAnsi="Times New Roman" w:cs="Times New Roman"/>
          <w:sz w:val="24"/>
          <w:szCs w:val="24"/>
        </w:rPr>
        <w:t>: Heatmap of duplicate extractions of milk samples.  Rows are lipids detected and columns are extractions with each milk sample in staggered formation.  Each color square represents the fold change of average absolute concentration of triplicate injections.  Blue is decrease and red is increase in fold change relative to extraction 1 for each milk sample displayed on a log</w:t>
      </w:r>
      <w:r w:rsidRPr="005E3076">
        <w:rPr>
          <w:rFonts w:ascii="Times New Roman" w:eastAsia="Calibri" w:hAnsi="Times New Roman" w:cs="Times New Roman"/>
          <w:sz w:val="24"/>
          <w:szCs w:val="24"/>
          <w:vertAlign w:val="subscript"/>
        </w:rPr>
        <w:t>3</w:t>
      </w:r>
      <w:r w:rsidRPr="005E3076">
        <w:rPr>
          <w:rFonts w:ascii="Times New Roman" w:eastAsia="Calibri" w:hAnsi="Times New Roman" w:cs="Times New Roman"/>
          <w:sz w:val="24"/>
          <w:szCs w:val="24"/>
        </w:rPr>
        <w:t xml:space="preserve"> scale.  Black is no change and gray is undetected.  </w:t>
      </w:r>
    </w:p>
    <w:p w:rsidR="005E3076" w:rsidRPr="005E3076" w:rsidRDefault="005E3076" w:rsidP="005E3076">
      <w:pPr>
        <w:spacing w:line="480" w:lineRule="auto"/>
        <w:jc w:val="both"/>
        <w:rPr>
          <w:rFonts w:ascii="Times New Roman" w:eastAsia="Calibri" w:hAnsi="Times New Roman" w:cs="Times New Roman"/>
          <w:sz w:val="24"/>
          <w:szCs w:val="24"/>
        </w:rPr>
      </w:pPr>
    </w:p>
    <w:p w:rsidR="005E3076" w:rsidRPr="005E3076" w:rsidRDefault="005E3076" w:rsidP="005E3076">
      <w:pPr>
        <w:spacing w:line="480" w:lineRule="auto"/>
        <w:jc w:val="both"/>
        <w:rPr>
          <w:rFonts w:ascii="Times New Roman" w:eastAsia="Calibri" w:hAnsi="Times New Roman" w:cs="Times New Roman"/>
          <w:sz w:val="24"/>
          <w:szCs w:val="24"/>
        </w:rPr>
      </w:pPr>
    </w:p>
    <w:p w:rsidR="005E3076" w:rsidRPr="005E3076" w:rsidRDefault="005E3076" w:rsidP="001A60C3">
      <w:pPr>
        <w:spacing w:line="480" w:lineRule="auto"/>
        <w:rPr>
          <w:rFonts w:ascii="Times New Roman" w:eastAsia="Calibri" w:hAnsi="Times New Roman" w:cs="Times New Roman"/>
          <w:sz w:val="24"/>
          <w:szCs w:val="24"/>
        </w:rPr>
      </w:pPr>
    </w:p>
    <w:p w:rsidR="005E3076" w:rsidRPr="005E3076" w:rsidRDefault="005E3076" w:rsidP="005E3076">
      <w:pPr>
        <w:spacing w:line="480" w:lineRule="auto"/>
        <w:jc w:val="center"/>
        <w:rPr>
          <w:rFonts w:ascii="Times New Roman" w:eastAsia="Calibri" w:hAnsi="Times New Roman" w:cs="Times New Roman"/>
          <w:sz w:val="24"/>
          <w:szCs w:val="24"/>
        </w:rPr>
      </w:pPr>
      <w:r w:rsidRPr="005E3076">
        <w:rPr>
          <w:rFonts w:ascii="Calibri" w:eastAsia="Calibri" w:hAnsi="Calibri" w:cs="Times New Roman"/>
          <w:noProof/>
        </w:rPr>
        <w:drawing>
          <wp:inline distT="0" distB="0" distL="0" distR="0" wp14:anchorId="1636F6E9" wp14:editId="55AB18F7">
            <wp:extent cx="3248025" cy="56864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8025" cy="5686425"/>
                    </a:xfrm>
                    <a:prstGeom prst="rect">
                      <a:avLst/>
                    </a:prstGeom>
                    <a:noFill/>
                    <a:ln>
                      <a:noFill/>
                    </a:ln>
                  </pic:spPr>
                </pic:pic>
              </a:graphicData>
            </a:graphic>
          </wp:inline>
        </w:drawing>
      </w:r>
    </w:p>
    <w:p w:rsidR="005E3076" w:rsidRPr="005E3076" w:rsidRDefault="005E3076" w:rsidP="005E3076">
      <w:pPr>
        <w:spacing w:line="240" w:lineRule="auto"/>
        <w:jc w:val="both"/>
        <w:rPr>
          <w:rFonts w:ascii="Times New Roman" w:eastAsia="Calibri" w:hAnsi="Times New Roman" w:cs="Times New Roman"/>
          <w:sz w:val="24"/>
          <w:szCs w:val="24"/>
        </w:rPr>
      </w:pPr>
      <w:r w:rsidRPr="005E3076">
        <w:rPr>
          <w:rFonts w:ascii="Times New Roman" w:eastAsia="Calibri" w:hAnsi="Times New Roman" w:cs="Times New Roman"/>
          <w:b/>
          <w:sz w:val="24"/>
          <w:szCs w:val="24"/>
        </w:rPr>
        <w:t>Figure 10</w:t>
      </w:r>
      <w:r w:rsidRPr="005E3076">
        <w:rPr>
          <w:rFonts w:ascii="Times New Roman" w:eastAsia="Calibri" w:hAnsi="Times New Roman" w:cs="Times New Roman"/>
          <w:sz w:val="24"/>
          <w:szCs w:val="24"/>
        </w:rPr>
        <w:t>: Heatmap of duplicate extractions of plasma samples.  Rows are lipids detected and columns are extractions with each plasma sample in staggered formation.  Each color square represents the fold change of average absolute concentration of triplicate injections.  Blue is decrease and red is increase in fold change relative to extraction 1 for each plasma sample displayed on a log</w:t>
      </w:r>
      <w:r w:rsidRPr="005E3076">
        <w:rPr>
          <w:rFonts w:ascii="Times New Roman" w:eastAsia="Calibri" w:hAnsi="Times New Roman" w:cs="Times New Roman"/>
          <w:sz w:val="24"/>
          <w:szCs w:val="24"/>
          <w:vertAlign w:val="subscript"/>
        </w:rPr>
        <w:t>3</w:t>
      </w:r>
      <w:r w:rsidRPr="005E3076">
        <w:rPr>
          <w:rFonts w:ascii="Times New Roman" w:eastAsia="Calibri" w:hAnsi="Times New Roman" w:cs="Times New Roman"/>
          <w:sz w:val="24"/>
          <w:szCs w:val="24"/>
        </w:rPr>
        <w:t xml:space="preserve"> scale.  Black is no change and gray is undetected.  </w:t>
      </w:r>
    </w:p>
    <w:p w:rsidR="005E3076" w:rsidRPr="005E3076" w:rsidRDefault="005E3076" w:rsidP="005E3076">
      <w:pPr>
        <w:spacing w:line="360" w:lineRule="auto"/>
        <w:jc w:val="both"/>
        <w:rPr>
          <w:rFonts w:ascii="Times New Roman" w:eastAsia="Calibri" w:hAnsi="Times New Roman" w:cs="Times New Roman"/>
          <w:sz w:val="24"/>
          <w:szCs w:val="24"/>
        </w:rPr>
      </w:pPr>
    </w:p>
    <w:p w:rsidR="001A60C3" w:rsidRDefault="001A60C3"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b/>
          <w:i/>
          <w:sz w:val="24"/>
          <w:szCs w:val="24"/>
        </w:rPr>
        <w:lastRenderedPageBreak/>
        <w:t>External Calibration Curve of GPC</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The GPC standard was dissolved in the same sample solvent used for resuspension and dilution of samples.  However, a target compound free matrix is not available such as milk or plasma free of GPC.  Therefore any matrix effects such as ion suppression that exist in samples do not exist when measuring the calibration curve.  This results in an inability to correct for ion suppression and ion transmission losses in real time as the target compound is being measured like the ISTD does. Using the fit to predict concentrations of GPC may explain why GPC does not develop a well-defined trend on the heatmaps (Figures 7 and 8).</w:t>
      </w:r>
    </w:p>
    <w:p w:rsidR="005E3076" w:rsidRPr="005E3076" w:rsidRDefault="005E3076"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t>Internal Standard SRM Determination</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To determine the SRM transitions of the ISTDs a strategic approach was used.  The labeled parent ion was screened at the product ion used for the unlabeled parent ion and all +1 product ions up to a product ion that would result if all of the labels from the parent were included.  Surprisingly, many other product ions were observed in addition to the product ion that results when the position of the labels are in the position stated by the distributor.  However, the strongest signal was the product ion from the parent ion with position of labels as stated by the distributor and was chosen for quantitation</w:t>
      </w:r>
      <w:r w:rsidR="003775EC">
        <w:rPr>
          <w:rFonts w:ascii="Times New Roman" w:eastAsia="Calibri" w:hAnsi="Times New Roman" w:cs="Times New Roman"/>
          <w:sz w:val="24"/>
          <w:szCs w:val="24"/>
        </w:rPr>
        <w:t xml:space="preserve"> (Table 3)</w:t>
      </w:r>
      <w:r w:rsidRPr="005E3076">
        <w:rPr>
          <w:rFonts w:ascii="Times New Roman" w:eastAsia="Calibri" w:hAnsi="Times New Roman" w:cs="Times New Roman"/>
          <w:sz w:val="24"/>
          <w:szCs w:val="24"/>
        </w:rPr>
        <w:t>.  This raises questions about unanticipated internal standard impurities as interferences will not just result from target compound and stated labeled compound but</w:t>
      </w:r>
      <w:r w:rsidR="001A60C3">
        <w:rPr>
          <w:rFonts w:ascii="Times New Roman" w:eastAsia="Calibri" w:hAnsi="Times New Roman" w:cs="Times New Roman"/>
          <w:sz w:val="24"/>
          <w:szCs w:val="24"/>
        </w:rPr>
        <w:t xml:space="preserve"> also</w:t>
      </w:r>
      <w:r w:rsidRPr="005E3076">
        <w:rPr>
          <w:rFonts w:ascii="Times New Roman" w:eastAsia="Calibri" w:hAnsi="Times New Roman" w:cs="Times New Roman"/>
          <w:sz w:val="24"/>
          <w:szCs w:val="24"/>
        </w:rPr>
        <w:t xml:space="preserve"> from other labeled versions.  Only the labeled parent ion was scanned at different product ions to find the SRM transition of the ISTD</w:t>
      </w:r>
      <w:r w:rsidR="001A60C3">
        <w:rPr>
          <w:rFonts w:ascii="Times New Roman" w:eastAsia="Calibri" w:hAnsi="Times New Roman" w:cs="Times New Roman"/>
          <w:sz w:val="24"/>
          <w:szCs w:val="24"/>
        </w:rPr>
        <w:t>,</w:t>
      </w:r>
      <w:r w:rsidRPr="005E3076">
        <w:rPr>
          <w:rFonts w:ascii="Times New Roman" w:eastAsia="Calibri" w:hAnsi="Times New Roman" w:cs="Times New Roman"/>
          <w:sz w:val="24"/>
          <w:szCs w:val="24"/>
        </w:rPr>
        <w:t xml:space="preserve"> but if a scan for other parent ions may result in signal from a less labeled parent ion and then other product ions due to random labeling of the parent ion.  The ISTD stock solution was screened for target compounds and both plasma and milk samples were screened at the ISTD SRM transitions.  Samples and the ISTD stock solution were determined to be free of each other’s compounds</w:t>
      </w:r>
      <w:r w:rsidR="001A60C3">
        <w:rPr>
          <w:rFonts w:ascii="Times New Roman" w:eastAsia="Calibri" w:hAnsi="Times New Roman" w:cs="Times New Roman"/>
          <w:sz w:val="24"/>
          <w:szCs w:val="24"/>
        </w:rPr>
        <w:t>,</w:t>
      </w:r>
      <w:r w:rsidRPr="005E3076">
        <w:rPr>
          <w:rFonts w:ascii="Times New Roman" w:eastAsia="Calibri" w:hAnsi="Times New Roman" w:cs="Times New Roman"/>
          <w:sz w:val="24"/>
          <w:szCs w:val="24"/>
        </w:rPr>
        <w:t xml:space="preserve"> and no correction factors were applied.</w:t>
      </w:r>
    </w:p>
    <w:p w:rsidR="005E3076" w:rsidRPr="005E3076" w:rsidRDefault="005E3076" w:rsidP="005E3076">
      <w:pPr>
        <w:spacing w:line="480" w:lineRule="auto"/>
        <w:jc w:val="both"/>
        <w:rPr>
          <w:rFonts w:ascii="Times New Roman" w:eastAsia="Calibri" w:hAnsi="Times New Roman" w:cs="Times New Roman"/>
          <w:sz w:val="24"/>
          <w:szCs w:val="24"/>
        </w:rPr>
      </w:pPr>
    </w:p>
    <w:p w:rsidR="005E3076" w:rsidRDefault="005E3076" w:rsidP="005E3076">
      <w:pPr>
        <w:spacing w:line="480" w:lineRule="auto"/>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1377"/>
        <w:gridCol w:w="2901"/>
        <w:gridCol w:w="3541"/>
        <w:gridCol w:w="1757"/>
      </w:tblGrid>
      <w:tr w:rsidR="00F215E3" w:rsidRPr="00F215E3" w:rsidTr="00A643B1">
        <w:trPr>
          <w:trHeight w:val="300"/>
        </w:trPr>
        <w:tc>
          <w:tcPr>
            <w:tcW w:w="5000" w:type="pct"/>
            <w:gridSpan w:val="4"/>
            <w:tcBorders>
              <w:top w:val="nil"/>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rPr>
                <w:rFonts w:ascii="Times New Roman" w:eastAsia="Times New Roman" w:hAnsi="Times New Roman" w:cs="Times New Roman"/>
                <w:b/>
                <w:bCs/>
                <w:color w:val="000000"/>
                <w:sz w:val="24"/>
                <w:szCs w:val="24"/>
              </w:rPr>
            </w:pPr>
            <w:r w:rsidRPr="00F215E3">
              <w:rPr>
                <w:rFonts w:ascii="Times New Roman" w:eastAsia="Times New Roman" w:hAnsi="Times New Roman" w:cs="Times New Roman"/>
                <w:b/>
                <w:bCs/>
                <w:color w:val="000000"/>
                <w:sz w:val="24"/>
                <w:szCs w:val="24"/>
              </w:rPr>
              <w:lastRenderedPageBreak/>
              <w:t xml:space="preserve">Table </w:t>
            </w:r>
            <w:r w:rsidR="003775EC" w:rsidRPr="00420CB2">
              <w:rPr>
                <w:rFonts w:ascii="Times New Roman" w:eastAsia="Times New Roman" w:hAnsi="Times New Roman" w:cs="Times New Roman"/>
                <w:b/>
                <w:bCs/>
                <w:color w:val="000000"/>
                <w:sz w:val="24"/>
                <w:szCs w:val="24"/>
              </w:rPr>
              <w:t>3</w:t>
            </w:r>
            <w:r w:rsidRPr="00F215E3">
              <w:rPr>
                <w:rFonts w:ascii="Times New Roman" w:eastAsia="Times New Roman" w:hAnsi="Times New Roman" w:cs="Times New Roman"/>
                <w:b/>
                <w:bCs/>
                <w:color w:val="000000"/>
                <w:sz w:val="24"/>
                <w:szCs w:val="24"/>
              </w:rPr>
              <w:t>: Internal Standard SRM Determination of AcCho-IS as AcCho-d13</w:t>
            </w:r>
          </w:p>
        </w:tc>
      </w:tr>
      <w:tr w:rsidR="00F215E3" w:rsidRPr="00F215E3" w:rsidTr="00A643B1">
        <w:trPr>
          <w:trHeight w:val="300"/>
        </w:trPr>
        <w:tc>
          <w:tcPr>
            <w:tcW w:w="694" w:type="pct"/>
            <w:tcBorders>
              <w:top w:val="single" w:sz="4" w:space="0" w:color="auto"/>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b/>
                <w:bCs/>
                <w:color w:val="000000"/>
                <w:sz w:val="24"/>
                <w:szCs w:val="24"/>
              </w:rPr>
            </w:pPr>
            <w:r w:rsidRPr="00F215E3">
              <w:rPr>
                <w:rFonts w:ascii="Times New Roman" w:eastAsia="Times New Roman" w:hAnsi="Times New Roman" w:cs="Times New Roman"/>
                <w:b/>
                <w:bCs/>
                <w:color w:val="000000"/>
                <w:sz w:val="24"/>
                <w:szCs w:val="24"/>
              </w:rPr>
              <w:t>AcCho-d13</w:t>
            </w:r>
          </w:p>
        </w:tc>
        <w:tc>
          <w:tcPr>
            <w:tcW w:w="1524" w:type="pct"/>
            <w:tcBorders>
              <w:top w:val="single" w:sz="4" w:space="0" w:color="auto"/>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b/>
                <w:bCs/>
                <w:color w:val="000000"/>
                <w:sz w:val="24"/>
                <w:szCs w:val="24"/>
              </w:rPr>
            </w:pPr>
            <w:r w:rsidRPr="00F215E3">
              <w:rPr>
                <w:rFonts w:ascii="Times New Roman" w:eastAsia="Times New Roman" w:hAnsi="Times New Roman" w:cs="Times New Roman"/>
                <w:b/>
                <w:bCs/>
                <w:color w:val="000000"/>
                <w:sz w:val="24"/>
                <w:szCs w:val="24"/>
              </w:rPr>
              <w:t>loss of quaternary amine</w:t>
            </w:r>
          </w:p>
        </w:tc>
        <w:tc>
          <w:tcPr>
            <w:tcW w:w="1857" w:type="pct"/>
            <w:tcBorders>
              <w:top w:val="single" w:sz="4" w:space="0" w:color="auto"/>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b/>
                <w:bCs/>
                <w:color w:val="000000"/>
                <w:sz w:val="24"/>
                <w:szCs w:val="24"/>
              </w:rPr>
            </w:pPr>
          </w:p>
        </w:tc>
        <w:tc>
          <w:tcPr>
            <w:tcW w:w="926" w:type="pct"/>
            <w:tcBorders>
              <w:top w:val="single" w:sz="4" w:space="0" w:color="auto"/>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b/>
                <w:bCs/>
                <w:color w:val="000000"/>
                <w:sz w:val="24"/>
                <w:szCs w:val="24"/>
              </w:rPr>
            </w:pPr>
          </w:p>
        </w:tc>
      </w:tr>
      <w:tr w:rsidR="00F215E3" w:rsidRPr="00F215E3" w:rsidTr="00A643B1">
        <w:trPr>
          <w:trHeight w:val="300"/>
        </w:trPr>
        <w:tc>
          <w:tcPr>
            <w:tcW w:w="694" w:type="pct"/>
            <w:tcBorders>
              <w:top w:val="nil"/>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b/>
                <w:bCs/>
                <w:color w:val="000000"/>
                <w:sz w:val="24"/>
                <w:szCs w:val="24"/>
              </w:rPr>
            </w:pPr>
            <w:r w:rsidRPr="00F215E3">
              <w:rPr>
                <w:rFonts w:ascii="Times New Roman" w:eastAsia="Times New Roman" w:hAnsi="Times New Roman" w:cs="Times New Roman"/>
                <w:b/>
                <w:bCs/>
                <w:color w:val="000000"/>
                <w:sz w:val="24"/>
                <w:szCs w:val="24"/>
              </w:rPr>
              <w:t xml:space="preserve">Parent </w:t>
            </w:r>
            <w:r w:rsidRPr="00F215E3">
              <w:rPr>
                <w:rFonts w:ascii="Times New Roman" w:eastAsia="Times New Roman" w:hAnsi="Times New Roman" w:cs="Times New Roman"/>
                <w:b/>
                <w:bCs/>
                <w:i/>
                <w:iCs/>
                <w:color w:val="000000"/>
                <w:sz w:val="24"/>
                <w:szCs w:val="24"/>
              </w:rPr>
              <w:t>m/z</w:t>
            </w:r>
          </w:p>
        </w:tc>
        <w:tc>
          <w:tcPr>
            <w:tcW w:w="1524" w:type="pct"/>
            <w:tcBorders>
              <w:top w:val="nil"/>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b/>
                <w:bCs/>
                <w:color w:val="000000"/>
                <w:sz w:val="24"/>
                <w:szCs w:val="24"/>
              </w:rPr>
            </w:pPr>
            <w:r w:rsidRPr="00F215E3">
              <w:rPr>
                <w:rFonts w:ascii="Times New Roman" w:eastAsia="Times New Roman" w:hAnsi="Times New Roman" w:cs="Times New Roman"/>
                <w:b/>
                <w:bCs/>
                <w:color w:val="000000"/>
                <w:sz w:val="24"/>
                <w:szCs w:val="24"/>
              </w:rPr>
              <w:t xml:space="preserve">Product </w:t>
            </w:r>
            <w:r w:rsidRPr="00F215E3">
              <w:rPr>
                <w:rFonts w:ascii="Times New Roman" w:eastAsia="Times New Roman" w:hAnsi="Times New Roman" w:cs="Times New Roman"/>
                <w:b/>
                <w:bCs/>
                <w:i/>
                <w:iCs/>
                <w:color w:val="000000"/>
                <w:sz w:val="24"/>
                <w:szCs w:val="24"/>
              </w:rPr>
              <w:t>m/z</w:t>
            </w:r>
          </w:p>
        </w:tc>
        <w:tc>
          <w:tcPr>
            <w:tcW w:w="1857" w:type="pct"/>
            <w:tcBorders>
              <w:top w:val="nil"/>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b/>
                <w:bCs/>
                <w:color w:val="000000"/>
                <w:sz w:val="24"/>
                <w:szCs w:val="24"/>
              </w:rPr>
            </w:pPr>
            <w:r w:rsidRPr="00F215E3">
              <w:rPr>
                <w:rFonts w:ascii="Times New Roman" w:eastAsia="Times New Roman" w:hAnsi="Times New Roman" w:cs="Times New Roman"/>
                <w:b/>
                <w:bCs/>
                <w:color w:val="000000"/>
                <w:sz w:val="24"/>
                <w:szCs w:val="24"/>
              </w:rPr>
              <w:t># of deuteriums in product ion</w:t>
            </w:r>
          </w:p>
        </w:tc>
        <w:tc>
          <w:tcPr>
            <w:tcW w:w="926" w:type="pct"/>
            <w:tcBorders>
              <w:top w:val="nil"/>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b/>
                <w:bCs/>
                <w:color w:val="000000"/>
                <w:sz w:val="24"/>
                <w:szCs w:val="24"/>
              </w:rPr>
            </w:pPr>
            <w:r w:rsidRPr="00F215E3">
              <w:rPr>
                <w:rFonts w:ascii="Times New Roman" w:eastAsia="Times New Roman" w:hAnsi="Times New Roman" w:cs="Times New Roman"/>
                <w:b/>
                <w:bCs/>
                <w:color w:val="000000"/>
                <w:sz w:val="24"/>
                <w:szCs w:val="24"/>
              </w:rPr>
              <w:t>Observed peak</w:t>
            </w:r>
          </w:p>
        </w:tc>
      </w:tr>
      <w:tr w:rsidR="00F215E3" w:rsidRPr="00F215E3" w:rsidTr="00A643B1">
        <w:trPr>
          <w:trHeight w:val="300"/>
        </w:trPr>
        <w:tc>
          <w:tcPr>
            <w:tcW w:w="694" w:type="pct"/>
            <w:tcBorders>
              <w:top w:val="single" w:sz="4" w:space="0" w:color="auto"/>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single" w:sz="4" w:space="0" w:color="auto"/>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87.2</w:t>
            </w:r>
          </w:p>
        </w:tc>
        <w:tc>
          <w:tcPr>
            <w:tcW w:w="1857" w:type="pct"/>
            <w:tcBorders>
              <w:top w:val="single" w:sz="4" w:space="0" w:color="auto"/>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0</w:t>
            </w:r>
          </w:p>
        </w:tc>
        <w:tc>
          <w:tcPr>
            <w:tcW w:w="926" w:type="pct"/>
            <w:tcBorders>
              <w:top w:val="single" w:sz="4" w:space="0" w:color="auto"/>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N</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88.2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N</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89.2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2</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Y</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90.2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3</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Y</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91.2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4</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 xml:space="preserve">Y </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92.2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5</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Y</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93.2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6</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N</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94.2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7</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N</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95.2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8</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N</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96.2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9</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N</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97.2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10</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Y</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98.2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11</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Y</w:t>
            </w:r>
          </w:p>
        </w:tc>
      </w:tr>
      <w:tr w:rsidR="00F215E3" w:rsidRPr="00F215E3" w:rsidTr="00A643B1">
        <w:trPr>
          <w:trHeight w:val="300"/>
        </w:trPr>
        <w:tc>
          <w:tcPr>
            <w:tcW w:w="69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99.2</w:t>
            </w:r>
          </w:p>
        </w:tc>
        <w:tc>
          <w:tcPr>
            <w:tcW w:w="1857"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12</w:t>
            </w:r>
          </w:p>
        </w:tc>
        <w:tc>
          <w:tcPr>
            <w:tcW w:w="926" w:type="pct"/>
            <w:tcBorders>
              <w:top w:val="nil"/>
              <w:left w:val="nil"/>
              <w:bottom w:val="nil"/>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N</w:t>
            </w:r>
          </w:p>
        </w:tc>
      </w:tr>
      <w:tr w:rsidR="00F215E3" w:rsidRPr="00F215E3" w:rsidTr="00A643B1">
        <w:trPr>
          <w:trHeight w:val="300"/>
        </w:trPr>
        <w:tc>
          <w:tcPr>
            <w:tcW w:w="694" w:type="pct"/>
            <w:tcBorders>
              <w:top w:val="nil"/>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159.4</w:t>
            </w:r>
          </w:p>
        </w:tc>
        <w:tc>
          <w:tcPr>
            <w:tcW w:w="1524" w:type="pct"/>
            <w:tcBorders>
              <w:top w:val="nil"/>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100.2</w:t>
            </w:r>
          </w:p>
        </w:tc>
        <w:tc>
          <w:tcPr>
            <w:tcW w:w="1857" w:type="pct"/>
            <w:tcBorders>
              <w:top w:val="nil"/>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13</w:t>
            </w:r>
          </w:p>
        </w:tc>
        <w:tc>
          <w:tcPr>
            <w:tcW w:w="926" w:type="pct"/>
            <w:tcBorders>
              <w:top w:val="nil"/>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jc w:val="center"/>
              <w:rPr>
                <w:rFonts w:ascii="Times New Roman" w:eastAsia="Times New Roman" w:hAnsi="Times New Roman" w:cs="Times New Roman"/>
                <w:color w:val="000000"/>
                <w:sz w:val="24"/>
                <w:szCs w:val="24"/>
              </w:rPr>
            </w:pPr>
            <w:r w:rsidRPr="00F215E3">
              <w:rPr>
                <w:rFonts w:ascii="Times New Roman" w:eastAsia="Times New Roman" w:hAnsi="Times New Roman" w:cs="Times New Roman"/>
                <w:color w:val="000000"/>
                <w:sz w:val="24"/>
                <w:szCs w:val="24"/>
              </w:rPr>
              <w:t>N</w:t>
            </w:r>
          </w:p>
        </w:tc>
      </w:tr>
      <w:tr w:rsidR="00F215E3" w:rsidRPr="00F215E3" w:rsidTr="00A643B1">
        <w:trPr>
          <w:trHeight w:val="300"/>
        </w:trPr>
        <w:tc>
          <w:tcPr>
            <w:tcW w:w="694" w:type="pct"/>
            <w:tcBorders>
              <w:top w:val="single" w:sz="4" w:space="0" w:color="auto"/>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rPr>
                <w:rFonts w:ascii="Times New Roman" w:eastAsia="Times New Roman" w:hAnsi="Times New Roman" w:cs="Times New Roman"/>
                <w:color w:val="000000"/>
                <w:sz w:val="24"/>
                <w:szCs w:val="24"/>
              </w:rPr>
            </w:pPr>
          </w:p>
        </w:tc>
        <w:tc>
          <w:tcPr>
            <w:tcW w:w="1524" w:type="pct"/>
            <w:tcBorders>
              <w:top w:val="single" w:sz="4" w:space="0" w:color="auto"/>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rPr>
                <w:rFonts w:ascii="Times New Roman" w:eastAsia="Times New Roman" w:hAnsi="Times New Roman" w:cs="Times New Roman"/>
                <w:color w:val="000000"/>
                <w:sz w:val="24"/>
                <w:szCs w:val="24"/>
              </w:rPr>
            </w:pPr>
          </w:p>
        </w:tc>
        <w:tc>
          <w:tcPr>
            <w:tcW w:w="1857" w:type="pct"/>
            <w:tcBorders>
              <w:top w:val="single" w:sz="4" w:space="0" w:color="auto"/>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rPr>
                <w:rFonts w:ascii="Times New Roman" w:eastAsia="Times New Roman" w:hAnsi="Times New Roman" w:cs="Times New Roman"/>
                <w:color w:val="000000"/>
                <w:sz w:val="24"/>
                <w:szCs w:val="24"/>
              </w:rPr>
            </w:pPr>
          </w:p>
        </w:tc>
        <w:tc>
          <w:tcPr>
            <w:tcW w:w="926" w:type="pct"/>
            <w:tcBorders>
              <w:top w:val="single" w:sz="4" w:space="0" w:color="auto"/>
              <w:left w:val="nil"/>
              <w:bottom w:val="single" w:sz="4" w:space="0" w:color="auto"/>
              <w:right w:val="nil"/>
            </w:tcBorders>
            <w:shd w:val="clear" w:color="auto" w:fill="auto"/>
            <w:noWrap/>
            <w:vAlign w:val="bottom"/>
            <w:hideMark/>
          </w:tcPr>
          <w:p w:rsidR="00F215E3" w:rsidRPr="00F215E3" w:rsidRDefault="00F215E3" w:rsidP="00F215E3">
            <w:pPr>
              <w:spacing w:after="0" w:line="240" w:lineRule="auto"/>
              <w:rPr>
                <w:rFonts w:ascii="Times New Roman" w:eastAsia="Times New Roman" w:hAnsi="Times New Roman" w:cs="Times New Roman"/>
                <w:color w:val="000000"/>
                <w:sz w:val="24"/>
                <w:szCs w:val="24"/>
              </w:rPr>
            </w:pPr>
          </w:p>
        </w:tc>
      </w:tr>
    </w:tbl>
    <w:p w:rsidR="00857B2E" w:rsidRDefault="00857B2E" w:rsidP="005E3076">
      <w:pPr>
        <w:spacing w:line="480" w:lineRule="auto"/>
        <w:jc w:val="both"/>
        <w:rPr>
          <w:rFonts w:ascii="Times New Roman" w:eastAsia="Calibri" w:hAnsi="Times New Roman" w:cs="Times New Roman"/>
          <w:sz w:val="24"/>
          <w:szCs w:val="24"/>
        </w:rPr>
      </w:pPr>
    </w:p>
    <w:p w:rsidR="00857B2E" w:rsidRDefault="00857B2E" w:rsidP="005E3076">
      <w:pPr>
        <w:spacing w:line="480" w:lineRule="auto"/>
        <w:jc w:val="both"/>
        <w:rPr>
          <w:rFonts w:ascii="Times New Roman" w:eastAsia="Calibri" w:hAnsi="Times New Roman" w:cs="Times New Roman"/>
          <w:sz w:val="24"/>
          <w:szCs w:val="24"/>
        </w:rPr>
      </w:pPr>
    </w:p>
    <w:p w:rsidR="00857B2E" w:rsidRDefault="00857B2E" w:rsidP="005E3076">
      <w:pPr>
        <w:spacing w:line="480" w:lineRule="auto"/>
        <w:jc w:val="both"/>
        <w:rPr>
          <w:rFonts w:ascii="Times New Roman" w:eastAsia="Calibri" w:hAnsi="Times New Roman" w:cs="Times New Roman"/>
          <w:sz w:val="24"/>
          <w:szCs w:val="24"/>
        </w:rPr>
      </w:pPr>
    </w:p>
    <w:p w:rsidR="00857B2E" w:rsidRDefault="00857B2E" w:rsidP="005E3076">
      <w:pPr>
        <w:spacing w:line="480" w:lineRule="auto"/>
        <w:jc w:val="both"/>
        <w:rPr>
          <w:rFonts w:ascii="Times New Roman" w:eastAsia="Calibri" w:hAnsi="Times New Roman" w:cs="Times New Roman"/>
          <w:sz w:val="24"/>
          <w:szCs w:val="24"/>
        </w:rPr>
      </w:pPr>
    </w:p>
    <w:p w:rsidR="00857B2E" w:rsidRDefault="00857B2E" w:rsidP="005E3076">
      <w:pPr>
        <w:spacing w:line="480" w:lineRule="auto"/>
        <w:jc w:val="both"/>
        <w:rPr>
          <w:rFonts w:ascii="Times New Roman" w:eastAsia="Calibri" w:hAnsi="Times New Roman" w:cs="Times New Roman"/>
          <w:sz w:val="24"/>
          <w:szCs w:val="24"/>
        </w:rPr>
      </w:pPr>
    </w:p>
    <w:p w:rsidR="00857B2E" w:rsidRDefault="00857B2E" w:rsidP="005E3076">
      <w:pPr>
        <w:spacing w:line="480" w:lineRule="auto"/>
        <w:jc w:val="both"/>
        <w:rPr>
          <w:rFonts w:ascii="Times New Roman" w:eastAsia="Calibri" w:hAnsi="Times New Roman" w:cs="Times New Roman"/>
          <w:sz w:val="24"/>
          <w:szCs w:val="24"/>
        </w:rPr>
      </w:pPr>
    </w:p>
    <w:p w:rsidR="00857B2E" w:rsidRPr="005E3076" w:rsidRDefault="00857B2E" w:rsidP="005E3076">
      <w:pPr>
        <w:spacing w:line="480" w:lineRule="auto"/>
        <w:jc w:val="both"/>
        <w:rPr>
          <w:rFonts w:ascii="Times New Roman" w:eastAsia="Calibri" w:hAnsi="Times New Roman" w:cs="Times New Roman"/>
          <w:sz w:val="24"/>
          <w:szCs w:val="24"/>
        </w:rPr>
      </w:pPr>
    </w:p>
    <w:p w:rsidR="005E3076" w:rsidRPr="005E3076" w:rsidRDefault="005E3076" w:rsidP="005E3076">
      <w:pPr>
        <w:spacing w:line="480" w:lineRule="auto"/>
        <w:jc w:val="both"/>
        <w:rPr>
          <w:rFonts w:ascii="Times New Roman" w:eastAsia="Calibri" w:hAnsi="Times New Roman" w:cs="Times New Roman"/>
          <w:sz w:val="24"/>
          <w:szCs w:val="24"/>
        </w:rPr>
      </w:pPr>
    </w:p>
    <w:p w:rsidR="005E3076" w:rsidRDefault="005E3076" w:rsidP="005E3076">
      <w:pPr>
        <w:tabs>
          <w:tab w:val="left" w:pos="2962"/>
        </w:tabs>
        <w:spacing w:line="480" w:lineRule="auto"/>
        <w:jc w:val="both"/>
        <w:rPr>
          <w:rFonts w:ascii="Times New Roman" w:eastAsia="Calibri" w:hAnsi="Times New Roman" w:cs="Times New Roman"/>
          <w:sz w:val="24"/>
          <w:szCs w:val="24"/>
        </w:rPr>
      </w:pPr>
    </w:p>
    <w:p w:rsidR="00857B2E" w:rsidRDefault="00857B2E" w:rsidP="00F215E3">
      <w:pPr>
        <w:tabs>
          <w:tab w:val="left" w:pos="2962"/>
        </w:tabs>
        <w:spacing w:line="480" w:lineRule="auto"/>
        <w:ind w:firstLine="720"/>
        <w:jc w:val="both"/>
        <w:rPr>
          <w:rFonts w:ascii="Times New Roman" w:eastAsia="Calibri" w:hAnsi="Times New Roman" w:cs="Times New Roman"/>
          <w:sz w:val="24"/>
          <w:szCs w:val="24"/>
        </w:rPr>
      </w:pPr>
    </w:p>
    <w:p w:rsidR="00F215E3" w:rsidRDefault="00F215E3" w:rsidP="00F215E3">
      <w:pPr>
        <w:tabs>
          <w:tab w:val="left" w:pos="2962"/>
        </w:tabs>
        <w:spacing w:line="480" w:lineRule="auto"/>
        <w:ind w:firstLine="720"/>
        <w:jc w:val="both"/>
        <w:rPr>
          <w:rFonts w:ascii="Times New Roman" w:eastAsia="Calibri" w:hAnsi="Times New Roman" w:cs="Times New Roman"/>
          <w:sz w:val="24"/>
          <w:szCs w:val="24"/>
        </w:rPr>
      </w:pPr>
    </w:p>
    <w:p w:rsidR="00F215E3" w:rsidRDefault="00F215E3" w:rsidP="00F215E3">
      <w:pPr>
        <w:tabs>
          <w:tab w:val="left" w:pos="2962"/>
        </w:tabs>
        <w:spacing w:line="480" w:lineRule="auto"/>
        <w:ind w:firstLine="720"/>
        <w:jc w:val="both"/>
        <w:rPr>
          <w:rFonts w:ascii="Times New Roman" w:eastAsia="Calibri" w:hAnsi="Times New Roman" w:cs="Times New Roman"/>
          <w:sz w:val="24"/>
          <w:szCs w:val="24"/>
        </w:rPr>
      </w:pPr>
    </w:p>
    <w:p w:rsidR="005E3076" w:rsidRPr="005E3076" w:rsidRDefault="00BD58F5" w:rsidP="005E3076">
      <w:pPr>
        <w:tabs>
          <w:tab w:val="left" w:pos="2962"/>
        </w:tabs>
        <w:spacing w:line="240" w:lineRule="auto"/>
        <w:jc w:val="both"/>
        <w:rPr>
          <w:rFonts w:ascii="Times New Roman" w:eastAsia="Calibri" w:hAnsi="Times New Roman" w:cs="Times New Roman"/>
          <w:b/>
          <w:sz w:val="24"/>
          <w:szCs w:val="24"/>
        </w:rPr>
      </w:pPr>
      <w:r>
        <w:rPr>
          <w:noProof/>
        </w:rPr>
        <w:drawing>
          <wp:inline distT="0" distB="0" distL="0" distR="0" wp14:anchorId="60C1F7C3" wp14:editId="0C4AE92E">
            <wp:extent cx="5943600" cy="482092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5E3076" w:rsidRPr="005E3076">
        <w:rPr>
          <w:rFonts w:ascii="Times New Roman" w:eastAsia="Calibri" w:hAnsi="Times New Roman" w:cs="Times New Roman"/>
          <w:b/>
          <w:sz w:val="24"/>
          <w:szCs w:val="24"/>
        </w:rPr>
        <w:t>Figure 11</w:t>
      </w:r>
      <w:r w:rsidR="003440BB">
        <w:rPr>
          <w:rFonts w:ascii="Times New Roman" w:eastAsia="Calibri" w:hAnsi="Times New Roman" w:cs="Times New Roman"/>
          <w:sz w:val="24"/>
          <w:szCs w:val="24"/>
        </w:rPr>
        <w:t>: External standard calibration c</w:t>
      </w:r>
      <w:r w:rsidR="005E3076" w:rsidRPr="005E3076">
        <w:rPr>
          <w:rFonts w:ascii="Times New Roman" w:eastAsia="Calibri" w:hAnsi="Times New Roman" w:cs="Times New Roman"/>
          <w:sz w:val="24"/>
          <w:szCs w:val="24"/>
        </w:rPr>
        <w:t xml:space="preserve">urve of GPC.  </w:t>
      </w:r>
      <w:proofErr w:type="gramStart"/>
      <w:r w:rsidR="005E3076" w:rsidRPr="005E3076">
        <w:rPr>
          <w:rFonts w:ascii="Times New Roman" w:eastAsia="Calibri" w:hAnsi="Times New Roman" w:cs="Times New Roman"/>
          <w:sz w:val="24"/>
          <w:szCs w:val="24"/>
        </w:rPr>
        <w:t>One dilution series and triplicate injections per calibration level.</w:t>
      </w:r>
      <w:proofErr w:type="gramEnd"/>
      <w:r w:rsidR="005E3076" w:rsidRPr="005E3076">
        <w:rPr>
          <w:rFonts w:ascii="Times New Roman" w:eastAsia="Calibri" w:hAnsi="Times New Roman" w:cs="Times New Roman"/>
          <w:sz w:val="24"/>
          <w:szCs w:val="24"/>
        </w:rPr>
        <w:t xml:space="preserve">  </w:t>
      </w:r>
    </w:p>
    <w:p w:rsidR="005E3076" w:rsidRPr="005E3076" w:rsidRDefault="005E3076" w:rsidP="005E3076">
      <w:pPr>
        <w:spacing w:line="480" w:lineRule="auto"/>
        <w:jc w:val="both"/>
        <w:rPr>
          <w:rFonts w:ascii="Times New Roman" w:eastAsia="Calibri" w:hAnsi="Times New Roman" w:cs="Times New Roman"/>
          <w:sz w:val="24"/>
          <w:szCs w:val="24"/>
        </w:rPr>
      </w:pPr>
    </w:p>
    <w:p w:rsidR="005E3076" w:rsidRPr="005E3076" w:rsidRDefault="005E3076" w:rsidP="005E3076">
      <w:pPr>
        <w:spacing w:line="480" w:lineRule="auto"/>
        <w:jc w:val="both"/>
        <w:rPr>
          <w:rFonts w:ascii="Times New Roman" w:eastAsia="Calibri" w:hAnsi="Times New Roman" w:cs="Times New Roman"/>
          <w:sz w:val="24"/>
          <w:szCs w:val="24"/>
        </w:rPr>
      </w:pPr>
    </w:p>
    <w:p w:rsidR="005E3076" w:rsidRPr="005E3076" w:rsidRDefault="005E3076" w:rsidP="005E3076">
      <w:pPr>
        <w:spacing w:line="480" w:lineRule="auto"/>
        <w:jc w:val="both"/>
        <w:rPr>
          <w:rFonts w:ascii="Times New Roman" w:eastAsia="Calibri" w:hAnsi="Times New Roman" w:cs="Times New Roman"/>
          <w:sz w:val="24"/>
          <w:szCs w:val="24"/>
        </w:rPr>
      </w:pPr>
    </w:p>
    <w:p w:rsidR="001A60C3" w:rsidRDefault="001A60C3" w:rsidP="005E3076">
      <w:pPr>
        <w:spacing w:line="480" w:lineRule="auto"/>
        <w:jc w:val="both"/>
        <w:rPr>
          <w:rFonts w:ascii="Times New Roman" w:eastAsia="Calibri" w:hAnsi="Times New Roman" w:cs="Times New Roman"/>
          <w:sz w:val="24"/>
          <w:szCs w:val="24"/>
        </w:rPr>
      </w:pPr>
    </w:p>
    <w:p w:rsidR="005E3076" w:rsidRPr="005E3076" w:rsidRDefault="005E3076" w:rsidP="005E3076">
      <w:pPr>
        <w:spacing w:line="48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lastRenderedPageBreak/>
        <w:t>Calculations</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i/>
          <w:sz w:val="24"/>
          <w:szCs w:val="24"/>
        </w:rPr>
        <w:t>Determination of 5x LOD in Autosampler Vial</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 xml:space="preserve">To determine how much ISTD to add to the ISTD stock solution to result </w:t>
      </w:r>
      <w:r w:rsidR="00673993">
        <w:rPr>
          <w:rFonts w:ascii="Times New Roman" w:eastAsia="Calibri" w:hAnsi="Times New Roman" w:cs="Times New Roman"/>
          <w:sz w:val="24"/>
          <w:szCs w:val="24"/>
        </w:rPr>
        <w:t>in a final concentration at 5x lower limit of linearity (LLOL),</w:t>
      </w:r>
      <w:r w:rsidRPr="005E3076">
        <w:rPr>
          <w:rFonts w:ascii="Times New Roman" w:eastAsia="Calibri" w:hAnsi="Times New Roman" w:cs="Times New Roman"/>
          <w:sz w:val="24"/>
          <w:szCs w:val="24"/>
        </w:rPr>
        <w:t xml:space="preserve"> a retro calculation was done:</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480" w:lineRule="auto"/>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[5xLLOL] x</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Volume of Resuspension (L)</m:t>
              </m:r>
            </m:num>
            <m:den>
              <m:r>
                <w:rPr>
                  <w:rFonts w:ascii="Cambria Math" w:eastAsia="Calibri" w:hAnsi="Cambria Math" w:cs="Times New Roman"/>
                  <w:sz w:val="24"/>
                  <w:szCs w:val="24"/>
                </w:rPr>
                <m:t>Volume of ISTD Stock Added to Sample (L)</m:t>
              </m:r>
            </m:den>
          </m:f>
          <m:r>
            <w:rPr>
              <w:rFonts w:ascii="Cambria Math" w:eastAsia="Calibri" w:hAnsi="Cambria Math" w:cs="Times New Roman"/>
              <w:sz w:val="24"/>
              <w:szCs w:val="24"/>
            </w:rPr>
            <m:t>=[ISTD Stock]</m:t>
          </m:r>
        </m:oMath>
      </m:oMathPara>
    </w:p>
    <w:p w:rsidR="005E3076" w:rsidRPr="005E3076" w:rsidRDefault="005E3076" w:rsidP="005E3076">
      <w:pPr>
        <w:spacing w:line="480" w:lineRule="auto"/>
        <w:jc w:val="both"/>
        <w:rPr>
          <w:rFonts w:ascii="Times New Roman" w:eastAsia="Calibri" w:hAnsi="Times New Roman" w:cs="Times New Roman"/>
          <w:b/>
          <w:i/>
          <w:sz w:val="24"/>
          <w:szCs w:val="24"/>
        </w:rPr>
      </w:pPr>
    </w:p>
    <w:p w:rsidR="005E3076" w:rsidRPr="005E3076" w:rsidRDefault="005E3076" w:rsidP="005E3076">
      <w:pPr>
        <w:spacing w:line="480" w:lineRule="auto"/>
        <w:jc w:val="both"/>
        <w:rPr>
          <w:rFonts w:ascii="Times New Roman" w:eastAsia="Calibri" w:hAnsi="Times New Roman" w:cs="Times New Roman"/>
          <w:i/>
          <w:sz w:val="24"/>
          <w:szCs w:val="24"/>
        </w:rPr>
      </w:pPr>
      <w:r w:rsidRPr="005E3076">
        <w:rPr>
          <w:rFonts w:ascii="Times New Roman" w:eastAsia="Calibri" w:hAnsi="Times New Roman" w:cs="Times New Roman"/>
          <w:i/>
          <w:sz w:val="24"/>
          <w:szCs w:val="24"/>
        </w:rPr>
        <w:t>Figures 7-10</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After applying the formula for absolute quantitation using isotope dilution in methods and materials, the following formula was used to calculate the concentration in milk and plasma samples:</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CB2AB9" w:rsidP="005E3076">
      <w:pPr>
        <w:spacing w:line="360" w:lineRule="auto"/>
        <w:jc w:val="both"/>
        <w:rPr>
          <w:rFonts w:ascii="Times New Roman" w:eastAsiaTheme="minorEastAsia" w:hAnsi="Times New Roman" w:cs="Times New Roman"/>
          <w:sz w:val="24"/>
          <w:szCs w:val="24"/>
        </w:rPr>
      </w:pPr>
      <m:oMathPara>
        <m:oMath>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Target Compound</m:t>
              </m:r>
            </m:e>
          </m:d>
          <m:r>
            <w:rPr>
              <w:rFonts w:ascii="Cambria Math" w:eastAsia="Calibri" w:hAnsi="Cambria Math" w:cs="Times New Roman"/>
              <w:sz w:val="24"/>
              <w:szCs w:val="24"/>
            </w:rPr>
            <m:t>x</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Resuspension Volume (L)</m:t>
              </m:r>
            </m:num>
            <m:den>
              <m:r>
                <w:rPr>
                  <w:rFonts w:ascii="Cambria Math" w:eastAsia="Calibri" w:hAnsi="Cambria Math" w:cs="Times New Roman"/>
                  <w:sz w:val="24"/>
                  <w:szCs w:val="24"/>
                </w:rPr>
                <m:t>Volume of Sample (L)</m:t>
              </m:r>
            </m:den>
          </m:f>
          <m:r>
            <w:rPr>
              <w:rFonts w:ascii="Cambria Math" w:eastAsia="Calibri" w:hAnsi="Cambria Math" w:cs="Times New Roman"/>
              <w:sz w:val="24"/>
              <w:szCs w:val="24"/>
            </w:rPr>
            <m:t>=[Sample]</m:t>
          </m:r>
        </m:oMath>
      </m:oMathPara>
    </w:p>
    <w:p w:rsidR="005E3076" w:rsidRPr="005E3076" w:rsidRDefault="005E3076" w:rsidP="005E3076">
      <w:pPr>
        <w:spacing w:line="360" w:lineRule="auto"/>
        <w:jc w:val="both"/>
        <w:rPr>
          <w:rFonts w:ascii="Times New Roman" w:eastAsiaTheme="minorEastAsia" w:hAnsi="Times New Roman" w:cs="Times New Roman"/>
          <w:sz w:val="24"/>
          <w:szCs w:val="24"/>
        </w:rPr>
      </w:pPr>
    </w:p>
    <w:p w:rsidR="005E3076" w:rsidRPr="005E3076" w:rsidRDefault="005E3076" w:rsidP="005E3076">
      <w:pPr>
        <w:spacing w:line="480" w:lineRule="auto"/>
        <w:jc w:val="both"/>
        <w:rPr>
          <w:rFonts w:ascii="Times New Roman" w:hAnsi="Times New Roman" w:cs="Times New Roman"/>
          <w:sz w:val="24"/>
          <w:szCs w:val="24"/>
        </w:rPr>
      </w:pPr>
      <w:r w:rsidRPr="005E3076">
        <w:rPr>
          <w:rFonts w:ascii="Times New Roman" w:eastAsia="Calibri" w:hAnsi="Times New Roman" w:cs="Times New Roman"/>
          <w:sz w:val="24"/>
          <w:szCs w:val="24"/>
        </w:rPr>
        <w:t>Then the following was applied to calculate fold changes:</w:t>
      </w:r>
    </w:p>
    <w:p w:rsidR="005E3076" w:rsidRPr="005E3076" w:rsidRDefault="005E3076" w:rsidP="005E3076">
      <w:pPr>
        <w:spacing w:line="480" w:lineRule="auto"/>
        <w:jc w:val="both"/>
        <w:rPr>
          <w:rFonts w:ascii="Times New Roman" w:eastAsia="Calibri" w:hAnsi="Times New Roman" w:cs="Times New Roman"/>
          <w:sz w:val="24"/>
          <w:szCs w:val="24"/>
        </w:rPr>
      </w:pPr>
    </w:p>
    <w:p w:rsidR="005E3076" w:rsidRPr="005E3076" w:rsidRDefault="00CB2AB9" w:rsidP="005E3076">
      <w:pPr>
        <w:spacing w:line="480" w:lineRule="auto"/>
        <w:jc w:val="both"/>
        <w:rPr>
          <w:rFonts w:ascii="Times New Roman" w:eastAsia="Calibri" w:hAnsi="Times New Roman" w:cs="Times New Roman"/>
          <w:sz w:val="24"/>
          <w:szCs w:val="24"/>
        </w:rPr>
      </w:pPr>
      <m:oMathPara>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Avg. of Triplicate Injections of a Sample</m:t>
              </m:r>
            </m:num>
            <m:den>
              <m:r>
                <w:rPr>
                  <w:rFonts w:ascii="Cambria Math" w:eastAsia="Calibri" w:hAnsi="Cambria Math" w:cs="Times New Roman"/>
                  <w:sz w:val="24"/>
                  <w:szCs w:val="24"/>
                </w:rPr>
                <m:t>Avg. of Triplicate Injections of Relative Sample</m:t>
              </m:r>
            </m:den>
          </m:f>
          <m:r>
            <w:rPr>
              <w:rFonts w:ascii="Cambria Math" w:eastAsia="Calibri" w:hAnsi="Cambria Math" w:cs="Times New Roman"/>
              <w:sz w:val="24"/>
              <w:szCs w:val="24"/>
            </w:rPr>
            <m:t>=Fold Change</m:t>
          </m:r>
        </m:oMath>
      </m:oMathPara>
    </w:p>
    <w:p w:rsidR="005E3076" w:rsidRPr="005E3076" w:rsidRDefault="005E3076" w:rsidP="005E3076">
      <w:pPr>
        <w:spacing w:line="480" w:lineRule="auto"/>
        <w:jc w:val="both"/>
        <w:rPr>
          <w:rFonts w:ascii="Times New Roman" w:eastAsia="Calibri" w:hAnsi="Times New Roman" w:cs="Times New Roman"/>
          <w:b/>
          <w:i/>
          <w:sz w:val="24"/>
          <w:szCs w:val="24"/>
        </w:rPr>
      </w:pPr>
    </w:p>
    <w:p w:rsidR="005E3076" w:rsidRPr="005E3076" w:rsidRDefault="005E3076" w:rsidP="005E3076">
      <w:pPr>
        <w:spacing w:line="480" w:lineRule="auto"/>
        <w:jc w:val="both"/>
        <w:rPr>
          <w:rFonts w:ascii="Times New Roman" w:eastAsia="Calibri" w:hAnsi="Times New Roman" w:cs="Times New Roman"/>
          <w:b/>
          <w:i/>
          <w:sz w:val="24"/>
          <w:szCs w:val="24"/>
        </w:rPr>
      </w:pPr>
    </w:p>
    <w:p w:rsidR="005E3076" w:rsidRPr="005E3076" w:rsidRDefault="005E3076" w:rsidP="005E3076">
      <w:pPr>
        <w:spacing w:line="480" w:lineRule="auto"/>
        <w:jc w:val="center"/>
        <w:rPr>
          <w:rFonts w:ascii="Times New Roman" w:eastAsia="Calibri" w:hAnsi="Times New Roman" w:cs="Times New Roman"/>
          <w:b/>
          <w:sz w:val="28"/>
          <w:szCs w:val="28"/>
        </w:rPr>
      </w:pPr>
      <w:r w:rsidRPr="005E3076">
        <w:rPr>
          <w:rFonts w:ascii="Times New Roman" w:eastAsia="Calibri" w:hAnsi="Times New Roman" w:cs="Times New Roman"/>
          <w:b/>
          <w:sz w:val="28"/>
          <w:szCs w:val="28"/>
        </w:rPr>
        <w:lastRenderedPageBreak/>
        <w:t>Methods and Materials</w:t>
      </w: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t>General Methods</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 xml:space="preserve">The HPLC-ESI-MS-MS system used for detection of lipids included a Finnigan Surveyor MS Pump Plus, a Finnigan Surveyor Autosampler upgraded to Autosampler </w:t>
      </w:r>
      <w:proofErr w:type="gramStart"/>
      <w:r w:rsidRPr="005E3076">
        <w:rPr>
          <w:rFonts w:ascii="Times New Roman" w:eastAsia="Calibri" w:hAnsi="Times New Roman" w:cs="Times New Roman"/>
          <w:sz w:val="24"/>
          <w:szCs w:val="24"/>
        </w:rPr>
        <w:t>Plus</w:t>
      </w:r>
      <w:proofErr w:type="gramEnd"/>
      <w:r w:rsidRPr="005E3076">
        <w:rPr>
          <w:rFonts w:ascii="Times New Roman" w:eastAsia="Calibri" w:hAnsi="Times New Roman" w:cs="Times New Roman"/>
          <w:sz w:val="24"/>
          <w:szCs w:val="24"/>
        </w:rPr>
        <w:t xml:space="preserve"> Specifications, an Ion Max API Source operating in ESI mode, and a Finnigan TSQ Quantum Discovery MAX.  A Dell Precision 390 was used as the data system.  Xcalibur 2.0.7 was used for data acquisition and data processing.  HPLC separations were achieved using an Ascentis Express HILIC column 150 x 2.1 mm, 2.7 µm particles at 25.0°C column temperature and a 200.0 µL/min flow rate.  </w:t>
      </w:r>
    </w:p>
    <w:p w:rsidR="005E3076" w:rsidRPr="005E3076" w:rsidRDefault="005E3076"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t>Extraction Procedure</w:t>
      </w:r>
    </w:p>
    <w:p w:rsidR="005E3076" w:rsidRPr="005E3076" w:rsidRDefault="005E3076" w:rsidP="005E3076">
      <w:pPr>
        <w:spacing w:line="360" w:lineRule="auto"/>
        <w:jc w:val="both"/>
        <w:rPr>
          <w:rFonts w:ascii="Times New Roman" w:eastAsia="Calibri" w:hAnsi="Times New Roman" w:cs="Times New Roman"/>
          <w:color w:val="4F81BD" w:themeColor="accent1"/>
          <w:sz w:val="24"/>
          <w:szCs w:val="24"/>
        </w:rPr>
      </w:pPr>
      <w:r w:rsidRPr="005E3076">
        <w:rPr>
          <w:rFonts w:ascii="Times New Roman" w:eastAsia="Calibri" w:hAnsi="Times New Roman" w:cs="Times New Roman"/>
          <w:color w:val="000000" w:themeColor="text1"/>
          <w:sz w:val="24"/>
          <w:szCs w:val="24"/>
        </w:rPr>
        <w:t xml:space="preserve">Blood was taken from the </w:t>
      </w:r>
      <w:proofErr w:type="gramStart"/>
      <w:r w:rsidRPr="005E3076">
        <w:rPr>
          <w:rFonts w:ascii="Times New Roman" w:eastAsia="Calibri" w:hAnsi="Times New Roman" w:cs="Times New Roman"/>
          <w:color w:val="000000" w:themeColor="text1"/>
          <w:sz w:val="24"/>
          <w:szCs w:val="24"/>
        </w:rPr>
        <w:t>Coccygeal</w:t>
      </w:r>
      <w:proofErr w:type="gramEnd"/>
      <w:r w:rsidRPr="005E3076">
        <w:rPr>
          <w:rFonts w:ascii="Times New Roman" w:eastAsia="Calibri" w:hAnsi="Times New Roman" w:cs="Times New Roman"/>
          <w:color w:val="000000" w:themeColor="text1"/>
          <w:sz w:val="24"/>
          <w:szCs w:val="24"/>
        </w:rPr>
        <w:t xml:space="preserve"> tail vein of each cow</w:t>
      </w:r>
      <w:r w:rsidR="004043D4">
        <w:rPr>
          <w:rFonts w:ascii="Times New Roman" w:eastAsia="Calibri" w:hAnsi="Times New Roman" w:cs="Times New Roman"/>
          <w:color w:val="000000" w:themeColor="text1"/>
          <w:sz w:val="24"/>
          <w:szCs w:val="24"/>
        </w:rPr>
        <w:t>,</w:t>
      </w:r>
      <w:r w:rsidRPr="005E3076">
        <w:rPr>
          <w:rFonts w:ascii="Times New Roman" w:eastAsia="Calibri" w:hAnsi="Times New Roman" w:cs="Times New Roman"/>
          <w:color w:val="000000" w:themeColor="text1"/>
          <w:sz w:val="24"/>
          <w:szCs w:val="24"/>
        </w:rPr>
        <w:t xml:space="preserve"> and centrifugation was performed to remove the plasma from the blood sample and store at -80˚C until further analysis.  Milk was also stored at -80˚C until further analysis after initial collection from </w:t>
      </w:r>
      <w:r w:rsidR="004043D4">
        <w:rPr>
          <w:rFonts w:ascii="Times New Roman" w:eastAsia="Calibri" w:hAnsi="Times New Roman" w:cs="Times New Roman"/>
          <w:color w:val="000000" w:themeColor="text1"/>
          <w:sz w:val="24"/>
          <w:szCs w:val="24"/>
        </w:rPr>
        <w:t xml:space="preserve">the </w:t>
      </w:r>
      <w:r w:rsidRPr="005E3076">
        <w:rPr>
          <w:rFonts w:ascii="Times New Roman" w:eastAsia="Calibri" w:hAnsi="Times New Roman" w:cs="Times New Roman"/>
          <w:color w:val="000000" w:themeColor="text1"/>
          <w:sz w:val="24"/>
          <w:szCs w:val="24"/>
        </w:rPr>
        <w:t>specimen.  Aliquots of 0.01% relative milk production of AM and PM consecutive milkings were mixed as one sample before the start of milk extractions.  Both plasma and milk sa</w:t>
      </w:r>
      <w:r w:rsidR="004043D4">
        <w:rPr>
          <w:rFonts w:ascii="Times New Roman" w:eastAsia="Calibri" w:hAnsi="Times New Roman" w:cs="Times New Roman"/>
          <w:color w:val="000000" w:themeColor="text1"/>
          <w:sz w:val="24"/>
          <w:szCs w:val="24"/>
        </w:rPr>
        <w:t xml:space="preserve">mples were extracted following an </w:t>
      </w:r>
      <w:r w:rsidRPr="005E3076">
        <w:rPr>
          <w:rFonts w:ascii="Times New Roman" w:eastAsia="Calibri" w:hAnsi="Times New Roman" w:cs="Times New Roman"/>
          <w:color w:val="000000" w:themeColor="text1"/>
          <w:sz w:val="24"/>
          <w:szCs w:val="24"/>
        </w:rPr>
        <w:t xml:space="preserve">extraction procedure developed by </w:t>
      </w:r>
      <w:r w:rsidRPr="005E3076">
        <w:rPr>
          <w:rFonts w:ascii="Times New Roman" w:eastAsia="Calibri" w:hAnsi="Times New Roman" w:cs="Times New Roman"/>
          <w:sz w:val="24"/>
          <w:szCs w:val="24"/>
        </w:rPr>
        <w:t>Zhao and coworkers.</w:t>
      </w:r>
      <w:r w:rsidR="00E35DD4">
        <w:rPr>
          <w:rFonts w:ascii="Times New Roman" w:eastAsia="Calibri" w:hAnsi="Times New Roman" w:cs="Times New Roman"/>
          <w:sz w:val="24"/>
          <w:szCs w:val="24"/>
          <w:vertAlign w:val="superscript"/>
        </w:rPr>
        <w:t>62</w:t>
      </w:r>
      <w:r w:rsidRPr="005E3076">
        <w:rPr>
          <w:rFonts w:ascii="Times New Roman" w:eastAsia="Calibri" w:hAnsi="Times New Roman" w:cs="Times New Roman"/>
          <w:sz w:val="24"/>
          <w:szCs w:val="24"/>
        </w:rPr>
        <w:t xml:space="preserve">  Samples were thawed and remained on ice throughout the extraction procedure.  Briefly, 1 mL of extraction solvent (chloroform, methanol, water 1:2:0.8) was added</w:t>
      </w:r>
      <w:r w:rsidR="004043D4">
        <w:rPr>
          <w:rFonts w:ascii="Times New Roman" w:eastAsia="Calibri" w:hAnsi="Times New Roman" w:cs="Times New Roman"/>
          <w:sz w:val="24"/>
          <w:szCs w:val="24"/>
        </w:rPr>
        <w:t xml:space="preserve"> to</w:t>
      </w:r>
      <w:r w:rsidRPr="005E3076">
        <w:rPr>
          <w:rFonts w:ascii="Times New Roman" w:eastAsia="Calibri" w:hAnsi="Times New Roman" w:cs="Times New Roman"/>
          <w:sz w:val="24"/>
          <w:szCs w:val="24"/>
        </w:rPr>
        <w:t xml:space="preserve"> 200 µL of sample and 40 µL ISTD stock solution in a 1.5 mL eppendorf tube.  The samples were centrifuged at 16,000 rpm for 5 min at 4˚C.  The supernatant was transferred to a glass vial capable of holding 5 mL</w:t>
      </w:r>
      <w:r w:rsidR="004043D4">
        <w:rPr>
          <w:rFonts w:ascii="Times New Roman" w:eastAsia="Calibri" w:hAnsi="Times New Roman" w:cs="Times New Roman"/>
          <w:sz w:val="24"/>
          <w:szCs w:val="24"/>
        </w:rPr>
        <w:t>,</w:t>
      </w:r>
      <w:r w:rsidRPr="005E3076">
        <w:rPr>
          <w:rFonts w:ascii="Times New Roman" w:eastAsia="Calibri" w:hAnsi="Times New Roman" w:cs="Times New Roman"/>
          <w:sz w:val="24"/>
          <w:szCs w:val="24"/>
        </w:rPr>
        <w:t xml:space="preserve"> and the extraction procedure was repeated twice transferring the supernatant to the same glass vial.  The combined extracts were dried under nitrogen while being kept on ice and resuspended with 5 mL of methanol kept on ice.  </w:t>
      </w:r>
      <w:r w:rsidRPr="005E3076">
        <w:rPr>
          <w:rFonts w:ascii="Times New Roman" w:eastAsia="Calibri" w:hAnsi="Times New Roman" w:cs="Times New Roman"/>
          <w:color w:val="000000" w:themeColor="text1"/>
          <w:sz w:val="24"/>
          <w:szCs w:val="24"/>
        </w:rPr>
        <w:t>Then 300 µL of sample was transferred to an autosampler vial for analysis</w:t>
      </w:r>
      <w:r w:rsidRPr="005E3076">
        <w:rPr>
          <w:rFonts w:ascii="Times New Roman" w:eastAsia="Calibri" w:hAnsi="Times New Roman" w:cs="Times New Roman"/>
          <w:color w:val="4F81BD" w:themeColor="accent1"/>
          <w:sz w:val="24"/>
          <w:szCs w:val="24"/>
        </w:rPr>
        <w:t>.</w:t>
      </w:r>
    </w:p>
    <w:p w:rsidR="005E3076" w:rsidRPr="005E3076" w:rsidRDefault="005E3076"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lastRenderedPageBreak/>
        <w:t>Internal Standard Stock Solution</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 xml:space="preserve">Internal standards in the methanol stock solution were prepared at concentrations that would result in a final concentration in </w:t>
      </w:r>
      <w:r w:rsidR="004043D4">
        <w:rPr>
          <w:rFonts w:ascii="Times New Roman" w:eastAsia="Calibri" w:hAnsi="Times New Roman" w:cs="Times New Roman"/>
          <w:sz w:val="24"/>
          <w:szCs w:val="24"/>
        </w:rPr>
        <w:t xml:space="preserve">the </w:t>
      </w:r>
      <w:r w:rsidRPr="005E3076">
        <w:rPr>
          <w:rFonts w:ascii="Times New Roman" w:eastAsia="Calibri" w:hAnsi="Times New Roman" w:cs="Times New Roman"/>
          <w:sz w:val="24"/>
          <w:szCs w:val="24"/>
        </w:rPr>
        <w:t xml:space="preserve">autosampler vial of approximately 5 times greater than </w:t>
      </w:r>
      <w:r w:rsidR="003A1E24">
        <w:rPr>
          <w:rFonts w:ascii="Times New Roman" w:eastAsia="Calibri" w:hAnsi="Times New Roman" w:cs="Times New Roman"/>
          <w:sz w:val="24"/>
          <w:szCs w:val="24"/>
        </w:rPr>
        <w:t>lower limit of linearity</w:t>
      </w:r>
      <w:r w:rsidR="00E35DD4">
        <w:rPr>
          <w:rFonts w:ascii="Times New Roman" w:eastAsia="Calibri" w:hAnsi="Times New Roman" w:cs="Times New Roman"/>
          <w:sz w:val="24"/>
          <w:szCs w:val="24"/>
          <w:vertAlign w:val="superscript"/>
        </w:rPr>
        <w:t>62</w:t>
      </w:r>
      <w:r w:rsidRPr="005E3076">
        <w:rPr>
          <w:rFonts w:ascii="Times New Roman" w:eastAsia="Calibri" w:hAnsi="Times New Roman" w:cs="Times New Roman"/>
          <w:sz w:val="24"/>
          <w:szCs w:val="24"/>
        </w:rPr>
        <w:t xml:space="preserve"> of the target compound to ensure signal greater than 10:1 but not to suppress the target compound signal.</w:t>
      </w:r>
      <w:r w:rsidR="00BB1F74">
        <w:rPr>
          <w:rFonts w:ascii="Times New Roman" w:eastAsia="Calibri" w:hAnsi="Times New Roman" w:cs="Times New Roman"/>
          <w:sz w:val="24"/>
          <w:szCs w:val="24"/>
          <w:vertAlign w:val="superscript"/>
        </w:rPr>
        <w:t>137</w:t>
      </w:r>
      <w:r w:rsidRPr="005E3076">
        <w:rPr>
          <w:rFonts w:ascii="Times New Roman" w:eastAsia="Calibri" w:hAnsi="Times New Roman" w:cs="Times New Roman"/>
          <w:sz w:val="24"/>
          <w:szCs w:val="24"/>
        </w:rPr>
        <w:t xml:space="preserve">  Internal standards are as follows: 1,2 Distearoyl-sn-glycero-3-phosphocholine-N, N, N-trimethyl-d9 (PtCho-IS, Avanti Polar Lipids, 860362), Sphingomyelin-d13-c13 (SM-IS, Ricerca-custom made), Acetylcholine bromide-d13 (AcCho-IS, C/D/N Isotopes INC, D-1780), L-a-Lysophosphatidylcholine-palmitoyl-d3  (LPC-IS, Larodan, 71-2826), Choline chloride-trimethyl-d9 (Cho-IS, Cambridge Isotopes, DLM 549-1), Betaine-d11 (Bet-IS, Cambridge Isotopes, DLM 407), Phosphorylcholine chloride-d9 (PCho-IS, Cambridge Isotopes, DLM-298).  Solids were weighed on weighing paper, transferred to the stock solutions, and the weighing paper was weighed again.  The difference in weights was recorded as the mass transferred to the stock solution.  Liquids were delivered with a calibrated pipet.  The recorded weight on the vial was used when the entire contents were needed and the vial was rinsed 6 times with methanol.  The addition of volumes to the initial volume of stock was accounted for in calculating stock concentration. </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b/>
          <w:i/>
          <w:sz w:val="24"/>
          <w:szCs w:val="24"/>
        </w:rPr>
        <w:t>Chromatographic Details</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Chromatography followed methods developed by Zhao and coworkers with some modifications.</w:t>
      </w:r>
      <w:r w:rsidR="00E35DD4">
        <w:rPr>
          <w:rFonts w:ascii="Times New Roman" w:eastAsia="Calibri" w:hAnsi="Times New Roman" w:cs="Times New Roman"/>
          <w:sz w:val="24"/>
          <w:szCs w:val="24"/>
          <w:vertAlign w:val="superscript"/>
        </w:rPr>
        <w:t>62</w:t>
      </w:r>
      <w:r w:rsidRPr="005E3076">
        <w:rPr>
          <w:rFonts w:ascii="Times New Roman" w:eastAsia="Calibri" w:hAnsi="Times New Roman" w:cs="Times New Roman"/>
          <w:sz w:val="24"/>
          <w:szCs w:val="24"/>
        </w:rPr>
        <w:t xml:space="preserve">  A Finnigan Surveyor MS Pump Plus coupled to a Finnigan Surveyor Autosampler, upgraded to Autosampler Plus specifications, is used to perform high-performance liquid chromatography (HPLC) plumbed with 1/16 OD 0.003 in. </w:t>
      </w:r>
      <w:proofErr w:type="gramStart"/>
      <w:r w:rsidRPr="005E3076">
        <w:rPr>
          <w:rFonts w:ascii="Times New Roman" w:eastAsia="Calibri" w:hAnsi="Times New Roman" w:cs="Times New Roman"/>
          <w:sz w:val="24"/>
          <w:szCs w:val="24"/>
        </w:rPr>
        <w:t>ID polyether ether ketone (PEEK) tubing.</w:t>
      </w:r>
      <w:proofErr w:type="gramEnd"/>
      <w:r w:rsidRPr="005E3076">
        <w:rPr>
          <w:rFonts w:ascii="Times New Roman" w:eastAsia="Calibri" w:hAnsi="Times New Roman" w:cs="Times New Roman"/>
          <w:sz w:val="24"/>
          <w:szCs w:val="24"/>
        </w:rPr>
        <w:t xml:space="preserve">  The autosampler tray temperature is 4°C and full loop injections of 10 µL.  Separation is with an Ascentis Express HILIC column 150 x 2.1 mm, 2.7 µm particles at 25.0°C column temperature and 200.0 µL/min flow rate.  Mobile phases are ACN (solvent A) and 10mM ammonium formate in water buffered to pH 3.0 with formic acid (solvent B).  A 30 min gradient follows: t) 0 min, 8% solvent B; t) 0.1 min, 8% solvent B; t) 10 min, 30% solvent B; t) 15 min, 70% solvent B; t) 18 min, 70% solvent B; t) 18.01 min, 8% solvent B; t) 30 min, 8% </w:t>
      </w:r>
      <w:r w:rsidRPr="005E3076">
        <w:rPr>
          <w:rFonts w:ascii="Times New Roman" w:eastAsia="Calibri" w:hAnsi="Times New Roman" w:cs="Times New Roman"/>
          <w:sz w:val="24"/>
          <w:szCs w:val="24"/>
        </w:rPr>
        <w:lastRenderedPageBreak/>
        <w:t>solvent B.  At the end of analysis the column was flushed with 100% ACN for 30 min prior to storage to prevent an increase in retention times.</w:t>
      </w:r>
    </w:p>
    <w:p w:rsidR="005E3076" w:rsidRPr="005E3076" w:rsidRDefault="005E3076"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t>Mass Spectrometric Detection Parameters</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color w:val="000000" w:themeColor="text1"/>
          <w:sz w:val="24"/>
          <w:szCs w:val="24"/>
        </w:rPr>
        <w:t xml:space="preserve">An Ion Max ion source equipped with </w:t>
      </w:r>
      <w:proofErr w:type="gramStart"/>
      <w:r w:rsidRPr="005E3076">
        <w:rPr>
          <w:rFonts w:ascii="Times New Roman" w:eastAsia="Calibri" w:hAnsi="Times New Roman" w:cs="Times New Roman"/>
          <w:color w:val="000000" w:themeColor="text1"/>
          <w:sz w:val="24"/>
          <w:szCs w:val="24"/>
        </w:rPr>
        <w:t>an electrospray</w:t>
      </w:r>
      <w:proofErr w:type="gramEnd"/>
      <w:r w:rsidRPr="005E3076">
        <w:rPr>
          <w:rFonts w:ascii="Times New Roman" w:eastAsia="Calibri" w:hAnsi="Times New Roman" w:cs="Times New Roman"/>
          <w:color w:val="000000" w:themeColor="text1"/>
          <w:sz w:val="24"/>
          <w:szCs w:val="24"/>
        </w:rPr>
        <w:t xml:space="preserve"> ionization (ESI) probe and plumbed with fused silica tubing 0.10 ID x 0.19 mm OD interfaced a Finnigan TSQ Quantum Discovery MAX.  The polyimide sheath coating of fused silica tubing was removed from the spray tip to prevent elongation due to ACN.  The ion source was set at depth C, front-to-back 1.30, and side-to-side 0. Ion source parameters are </w:t>
      </w:r>
      <w:r w:rsidRPr="005E3076">
        <w:rPr>
          <w:rFonts w:ascii="Times New Roman" w:eastAsia="Calibri" w:hAnsi="Times New Roman" w:cs="Times New Roman"/>
          <w:sz w:val="24"/>
          <w:szCs w:val="24"/>
        </w:rPr>
        <w:t xml:space="preserve">4500 ESI </w:t>
      </w:r>
      <w:r w:rsidRPr="005E3076">
        <w:rPr>
          <w:rFonts w:ascii="Times New Roman" w:eastAsia="Calibri" w:hAnsi="Times New Roman" w:cs="Times New Roman"/>
          <w:color w:val="000000" w:themeColor="text1"/>
          <w:sz w:val="24"/>
          <w:szCs w:val="24"/>
        </w:rPr>
        <w:t xml:space="preserve">spray voltage and 290°C ion transfer capillary temperature.  Nitrogen was used as </w:t>
      </w:r>
      <w:r w:rsidRPr="005E3076">
        <w:rPr>
          <w:rFonts w:ascii="Times New Roman" w:eastAsia="Calibri" w:hAnsi="Times New Roman" w:cs="Times New Roman"/>
          <w:sz w:val="24"/>
          <w:szCs w:val="24"/>
        </w:rPr>
        <w:t xml:space="preserve">sheath, auxillary, and sweep gas </w:t>
      </w:r>
      <w:r w:rsidRPr="005E3076">
        <w:rPr>
          <w:rFonts w:ascii="Times New Roman" w:eastAsia="Calibri" w:hAnsi="Times New Roman" w:cs="Times New Roman"/>
          <w:color w:val="000000" w:themeColor="text1"/>
          <w:sz w:val="24"/>
          <w:szCs w:val="24"/>
        </w:rPr>
        <w:t xml:space="preserve">set at 40, 5, and 1 arbitrary units, respectively, and 100 psi from the source.  Ultra high purity argon was used as collision gas and was set to 1.5 mTorr in the collision cell and 20 psi from the source.  The scan type SRM was used with parameters 0.05 s scan time, 1 </w:t>
      </w:r>
      <w:r w:rsidRPr="005E3076">
        <w:rPr>
          <w:rFonts w:ascii="Times New Roman" w:eastAsia="Calibri" w:hAnsi="Times New Roman" w:cs="Times New Roman"/>
          <w:i/>
          <w:color w:val="000000" w:themeColor="text1"/>
          <w:sz w:val="24"/>
          <w:szCs w:val="24"/>
        </w:rPr>
        <w:t>m/z</w:t>
      </w:r>
      <w:r w:rsidRPr="005E3076">
        <w:rPr>
          <w:rFonts w:ascii="Times New Roman" w:eastAsia="Calibri" w:hAnsi="Times New Roman" w:cs="Times New Roman"/>
          <w:color w:val="000000" w:themeColor="text1"/>
          <w:sz w:val="24"/>
          <w:szCs w:val="24"/>
        </w:rPr>
        <w:t xml:space="preserve"> scan width, and Q1 &amp; Q3 peak width (FWHM) 0.7 Da, 0V skimmer offset voltage, positive polarity, centroid data type, and 1 microscan.  Tuned tube lens voltage was used.  Parent and product masses were rounded to a tenth</w:t>
      </w:r>
      <w:r w:rsidRPr="005E3076">
        <w:rPr>
          <w:rFonts w:ascii="Times New Roman" w:eastAsia="Calibri" w:hAnsi="Times New Roman" w:cs="Times New Roman"/>
          <w:i/>
          <w:color w:val="000000" w:themeColor="text1"/>
          <w:sz w:val="24"/>
          <w:szCs w:val="24"/>
        </w:rPr>
        <w:t xml:space="preserve"> m/z</w:t>
      </w:r>
      <w:r w:rsidRPr="005E3076">
        <w:rPr>
          <w:rFonts w:ascii="Times New Roman" w:eastAsia="Calibri" w:hAnsi="Times New Roman" w:cs="Times New Roman"/>
          <w:color w:val="000000" w:themeColor="text1"/>
          <w:sz w:val="24"/>
          <w:szCs w:val="24"/>
        </w:rPr>
        <w:t xml:space="preserve"> unit, collision energies (CE) to unit, and complete masses and CE are reported by Zhao and coworkers.</w:t>
      </w:r>
      <w:r w:rsidR="00E35DD4">
        <w:rPr>
          <w:rFonts w:ascii="Times New Roman" w:eastAsia="Calibri" w:hAnsi="Times New Roman" w:cs="Times New Roman"/>
          <w:color w:val="000000" w:themeColor="text1"/>
          <w:sz w:val="24"/>
          <w:szCs w:val="24"/>
          <w:vertAlign w:val="superscript"/>
        </w:rPr>
        <w:t>62</w:t>
      </w:r>
      <w:r w:rsidRPr="005E3076">
        <w:rPr>
          <w:rFonts w:ascii="Times New Roman" w:eastAsia="Calibri" w:hAnsi="Times New Roman" w:cs="Times New Roman"/>
          <w:color w:val="000000" w:themeColor="text1"/>
          <w:sz w:val="24"/>
          <w:szCs w:val="24"/>
        </w:rPr>
        <w:t xml:space="preserve"> SRM transitions of internal standards are: PtCho-IS 799.7 to 193, SM-IS 735.6 to 188, AcCho-IS 159.4 to 91.2, LPC-IS 499.3 to 184, Cho-IS 113.2 to 69.1, Bet-IS 129.1 to 66.2, and PCho-IS 193 to 125.1.  Two segments were used to lower duty cycle.  Segment 1: 0-10.8 min; PtCho and SM.  Segment 2: 10.8-30 min; SM, AcCho, LPC, Cho, Bet, GPC, and PCho.  The TSQ was tuned and calibrated every 3 months by direct infusion at low flow of Polytyrosine-1,3,6 tuning and calibration solution provided by Fisher Scientific.  The ion source optimum sheath, auxillary, and sweep gases and optimum X, Y, Z positions were manually determined at method flow rate by infusing a 1:10 dilution of ISTD stock into LC flow at highest percentage of water in method.  All Finnigan instruments were operated using Xcalibur 2.0.7 from a Dell Precision 390.  All power systems were connected to a Toshiba 1600 EP Series UPS (Uninterruptible Power Supply).</w:t>
      </w:r>
    </w:p>
    <w:p w:rsidR="005E3076" w:rsidRPr="005E3076" w:rsidRDefault="005E3076" w:rsidP="005E3076">
      <w:pPr>
        <w:spacing w:line="360" w:lineRule="auto"/>
        <w:jc w:val="both"/>
        <w:rPr>
          <w:rFonts w:ascii="Times New Roman" w:eastAsia="Calibri" w:hAnsi="Times New Roman" w:cs="Times New Roman"/>
          <w:b/>
          <w:sz w:val="24"/>
          <w:szCs w:val="24"/>
        </w:rPr>
      </w:pPr>
    </w:p>
    <w:p w:rsidR="005E3076" w:rsidRPr="005E3076" w:rsidRDefault="005E3076"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lastRenderedPageBreak/>
        <w:t>Data Processing</w:t>
      </w:r>
    </w:p>
    <w:p w:rsidR="005E3076" w:rsidRPr="005E3076" w:rsidRDefault="005E3076" w:rsidP="005E3076">
      <w:pPr>
        <w:spacing w:line="360" w:lineRule="auto"/>
        <w:jc w:val="both"/>
        <w:rPr>
          <w:rFonts w:ascii="Times New Roman" w:eastAsia="Calibri" w:hAnsi="Times New Roman" w:cs="Times New Roman"/>
          <w:color w:val="000000" w:themeColor="text1"/>
          <w:sz w:val="24"/>
          <w:szCs w:val="24"/>
          <w:vertAlign w:val="superscript"/>
        </w:rPr>
      </w:pPr>
      <w:r w:rsidRPr="005E3076">
        <w:rPr>
          <w:rFonts w:ascii="Times New Roman" w:eastAsia="Calibri" w:hAnsi="Times New Roman" w:cs="Times New Roman"/>
          <w:color w:val="000000" w:themeColor="text1"/>
          <w:sz w:val="24"/>
          <w:szCs w:val="24"/>
        </w:rPr>
        <w:t>Electronically stored chromatograms were integrated using Xcalibur 2.0.7 Quan Browser and peak area values were downloaded to Microsoft Excel 2007 to calculate absolute concentrations and fold changes.  Heat maps were generated using Gene Cluster 3.0 and viewed using Java TreeView 1.1.5.</w:t>
      </w:r>
      <w:r w:rsidR="00B408CA">
        <w:rPr>
          <w:rFonts w:ascii="Times New Roman" w:eastAsia="Calibri" w:hAnsi="Times New Roman" w:cs="Times New Roman"/>
          <w:color w:val="000000" w:themeColor="text1"/>
          <w:sz w:val="24"/>
          <w:szCs w:val="24"/>
          <w:vertAlign w:val="superscript"/>
        </w:rPr>
        <w:t>121</w:t>
      </w:r>
    </w:p>
    <w:p w:rsidR="005E3076" w:rsidRPr="005E3076" w:rsidRDefault="005E3076" w:rsidP="005E3076">
      <w:pPr>
        <w:spacing w:line="360" w:lineRule="auto"/>
        <w:jc w:val="both"/>
        <w:rPr>
          <w:rFonts w:ascii="Times New Roman" w:eastAsia="Calibri" w:hAnsi="Times New Roman" w:cs="Times New Roman"/>
          <w:color w:val="000000" w:themeColor="text1"/>
          <w:sz w:val="24"/>
          <w:szCs w:val="24"/>
          <w:vertAlign w:val="superscript"/>
        </w:rPr>
      </w:pP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t>Data Processing for the Calculation of Absolute Quantitation using Isotope Dilution</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The following equation was used:</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CB2AB9" w:rsidP="005E3076">
      <w:pPr>
        <w:spacing w:line="360" w:lineRule="auto"/>
        <w:jc w:val="both"/>
        <w:rPr>
          <w:rFonts w:ascii="Times New Roman" w:eastAsiaTheme="minorEastAsia" w:hAnsi="Times New Roman" w:cs="Times New Roman"/>
          <w:sz w:val="24"/>
          <w:szCs w:val="24"/>
        </w:rPr>
      </w:pPr>
      <m:oMathPara>
        <m:oMathParaPr>
          <m:jc m:val="center"/>
        </m:oMathParaPr>
        <m:oMath>
          <m:f>
            <m:fPr>
              <m:ctrlPr>
                <w:rPr>
                  <w:rFonts w:ascii="Cambria Math" w:eastAsia="Calibri" w:hAnsi="Cambria Math" w:cs="Times New Roman"/>
                  <w:i/>
                  <w:sz w:val="24"/>
                  <w:szCs w:val="24"/>
                </w:rPr>
              </m:ctrlPr>
            </m:fPr>
            <m:num>
              <m:r>
                <w:rPr>
                  <w:rFonts w:ascii="Cambria Math" w:eastAsia="Calibri" w:hAnsi="Cambria Math" w:cs="Times New Roman"/>
                  <w:sz w:val="24"/>
                  <w:szCs w:val="24"/>
                </w:rPr>
                <m:t>Area of Target Compound</m:t>
              </m:r>
              <m:r>
                <m:rPr>
                  <m:sty m:val="p"/>
                </m:rPr>
                <w:rPr>
                  <w:rFonts w:ascii="Cambria Math" w:eastAsia="Calibri" w:hAnsi="Cambria Math" w:cs="Times New Roman"/>
                  <w:sz w:val="24"/>
                  <w:szCs w:val="24"/>
                </w:rPr>
                <m:t xml:space="preserve">      </m:t>
              </m:r>
            </m:num>
            <m:den>
              <m:r>
                <w:rPr>
                  <w:rFonts w:ascii="Cambria Math" w:eastAsia="Calibri" w:hAnsi="Cambria Math" w:cs="Times New Roman"/>
                  <w:sz w:val="24"/>
                  <w:szCs w:val="24"/>
                </w:rPr>
                <m:t>Area of ISTD</m:t>
              </m:r>
            </m:den>
          </m:f>
          <m:r>
            <w:rPr>
              <w:rFonts w:ascii="Cambria Math" w:eastAsia="Calibri" w:hAnsi="Cambria Math" w:cs="Times New Roman"/>
              <w:sz w:val="24"/>
              <w:szCs w:val="24"/>
            </w:rPr>
            <m:t xml:space="preserve">χ </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ISTD</m:t>
              </m:r>
            </m:e>
          </m:d>
          <m:r>
            <w:rPr>
              <w:rFonts w:ascii="Cambria Math" w:eastAsia="Calibri" w:hAnsi="Cambria Math" w:cs="Times New Roman"/>
              <w:sz w:val="24"/>
              <w:szCs w:val="24"/>
            </w:rPr>
            <m:t>=</m:t>
          </m:r>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Target Compound</m:t>
              </m:r>
            </m:e>
          </m:d>
        </m:oMath>
      </m:oMathPara>
    </w:p>
    <w:p w:rsidR="005E3076" w:rsidRPr="005E3076" w:rsidRDefault="005E3076" w:rsidP="005E3076">
      <w:pPr>
        <w:spacing w:line="360" w:lineRule="auto"/>
        <w:jc w:val="both"/>
        <w:rPr>
          <w:rFonts w:ascii="Times New Roman"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 xml:space="preserve">The ratio of </w:t>
      </w:r>
      <w:r w:rsidRPr="005E3076">
        <w:rPr>
          <w:rFonts w:ascii="Times New Roman" w:eastAsia="Calibri" w:hAnsi="Times New Roman" w:cs="Times New Roman"/>
          <w:i/>
          <w:sz w:val="24"/>
          <w:szCs w:val="24"/>
        </w:rPr>
        <w:t>Area of Target Compound</w:t>
      </w:r>
      <w:r w:rsidRPr="005E3076">
        <w:rPr>
          <w:rFonts w:ascii="Times New Roman" w:eastAsia="Calibri" w:hAnsi="Times New Roman" w:cs="Times New Roman"/>
          <w:sz w:val="24"/>
          <w:szCs w:val="24"/>
        </w:rPr>
        <w:t xml:space="preserve"> and </w:t>
      </w:r>
      <w:r w:rsidRPr="005E3076">
        <w:rPr>
          <w:rFonts w:ascii="Times New Roman" w:eastAsia="Calibri" w:hAnsi="Times New Roman" w:cs="Times New Roman"/>
          <w:i/>
          <w:sz w:val="24"/>
          <w:szCs w:val="24"/>
        </w:rPr>
        <w:t>Area of ISTD</w:t>
      </w:r>
      <w:r w:rsidRPr="005E3076">
        <w:rPr>
          <w:rFonts w:ascii="Times New Roman" w:eastAsia="Calibri" w:hAnsi="Times New Roman" w:cs="Times New Roman"/>
          <w:sz w:val="24"/>
          <w:szCs w:val="24"/>
        </w:rPr>
        <w:t xml:space="preserve"> and the known  [</w:t>
      </w:r>
      <w:r w:rsidRPr="005E3076">
        <w:rPr>
          <w:rFonts w:ascii="Times New Roman" w:eastAsia="Calibri" w:hAnsi="Times New Roman" w:cs="Times New Roman"/>
          <w:i/>
          <w:sz w:val="24"/>
          <w:szCs w:val="24"/>
        </w:rPr>
        <w:t>ISTD</w:t>
      </w:r>
      <w:r w:rsidRPr="005E3076">
        <w:rPr>
          <w:rFonts w:ascii="Times New Roman" w:eastAsia="Calibri" w:hAnsi="Times New Roman" w:cs="Times New Roman"/>
          <w:sz w:val="24"/>
          <w:szCs w:val="24"/>
        </w:rPr>
        <w:t>] was used to calculate the [</w:t>
      </w:r>
      <w:r w:rsidRPr="005E3076">
        <w:rPr>
          <w:rFonts w:ascii="Times New Roman" w:eastAsia="Calibri" w:hAnsi="Times New Roman" w:cs="Times New Roman"/>
          <w:i/>
          <w:sz w:val="24"/>
          <w:szCs w:val="24"/>
        </w:rPr>
        <w:t>Target Compound</w:t>
      </w:r>
      <w:r w:rsidRPr="005E3076">
        <w:rPr>
          <w:rFonts w:ascii="Times New Roman" w:eastAsia="Calibri" w:hAnsi="Times New Roman" w:cs="Times New Roman"/>
          <w:sz w:val="24"/>
          <w:szCs w:val="24"/>
        </w:rPr>
        <w:t xml:space="preserve">].  The purity of ISTDs </w:t>
      </w:r>
      <w:proofErr w:type="gramStart"/>
      <w:r w:rsidRPr="005E3076">
        <w:rPr>
          <w:rFonts w:ascii="Times New Roman" w:eastAsia="Calibri" w:hAnsi="Times New Roman" w:cs="Times New Roman"/>
          <w:sz w:val="24"/>
          <w:szCs w:val="24"/>
        </w:rPr>
        <w:t>are</w:t>
      </w:r>
      <w:proofErr w:type="gramEnd"/>
      <w:r w:rsidRPr="005E3076">
        <w:rPr>
          <w:rFonts w:ascii="Times New Roman" w:eastAsia="Calibri" w:hAnsi="Times New Roman" w:cs="Times New Roman"/>
          <w:sz w:val="24"/>
          <w:szCs w:val="24"/>
        </w:rPr>
        <w:t xml:space="preserve"> greater than 99% therefore no corrections for target compound introduced by ISTD addition are applied.</w:t>
      </w:r>
    </w:p>
    <w:p w:rsidR="005E3076" w:rsidRPr="005E3076" w:rsidRDefault="005E3076"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b/>
          <w:i/>
          <w:sz w:val="24"/>
          <w:szCs w:val="24"/>
        </w:rPr>
        <w:t>Data Processing for the Calculation of Absolute Quantitation using External Standard</w:t>
      </w: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A calibration curve was used to calculate the absolute quantitation of GPC (+99% Bachem) due to the lack of commercial availability of an isotopic labeled ISTD.</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 xml:space="preserve">Serial dilutions were made of GPC standard.  30 mg of GPC was weighed on weighing paper then a 10 mL volumetric flask with a glass funnel was zeroed.  The GPC was then transferred into the glass funnel and the actual weight GPC transferred was recorded.  Methanol was used to wash the GPC down and for dilution.  Then half log dilutions were performed using a pipette to transfer 790 µL x 2 from the stock to a 5 mL volumetric flask then to another 5 mL volumetric </w:t>
      </w:r>
      <w:r w:rsidRPr="005E3076">
        <w:rPr>
          <w:rFonts w:ascii="Times New Roman" w:eastAsia="Calibri" w:hAnsi="Times New Roman" w:cs="Times New Roman"/>
          <w:sz w:val="24"/>
          <w:szCs w:val="24"/>
        </w:rPr>
        <w:lastRenderedPageBreak/>
        <w:t>flask and so on until enough dilutions were obtained to produce a calibration curve where all measured values could be interpolated.  The sampling order for chromatographic injections was from lowest concentration to highest to prevent erroneous carryover.  One dilution series but each sample was injected in triplicate.</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The calibration curve was graphed on a log</w:t>
      </w:r>
      <w:r w:rsidRPr="005E3076">
        <w:rPr>
          <w:rFonts w:ascii="Times New Roman" w:eastAsia="Calibri" w:hAnsi="Times New Roman" w:cs="Times New Roman"/>
          <w:sz w:val="24"/>
          <w:szCs w:val="24"/>
          <w:vertAlign w:val="subscript"/>
        </w:rPr>
        <w:t>10</w:t>
      </w:r>
      <w:r w:rsidRPr="005E3076">
        <w:rPr>
          <w:rFonts w:ascii="Times New Roman" w:eastAsia="Calibri" w:hAnsi="Times New Roman" w:cs="Times New Roman"/>
          <w:sz w:val="24"/>
          <w:szCs w:val="24"/>
        </w:rPr>
        <w:t xml:space="preserve"> scale to display calibration levels equidistance apart.  A linear equation was obtained using least-squares linear regression of the data:</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center"/>
        <w:rPr>
          <w:rFonts w:ascii="Times New Roman" w:eastAsia="Calibri" w:hAnsi="Times New Roman" w:cs="Times New Roman"/>
          <w:i/>
          <w:sz w:val="24"/>
          <w:szCs w:val="24"/>
        </w:rPr>
      </w:pPr>
      <w:r w:rsidRPr="005E3076">
        <w:rPr>
          <w:rFonts w:ascii="Times New Roman" w:eastAsia="Calibri" w:hAnsi="Times New Roman" w:cs="Times New Roman"/>
          <w:i/>
          <w:sz w:val="24"/>
          <w:szCs w:val="24"/>
        </w:rPr>
        <w:t xml:space="preserve">Area of GPC = m </w:t>
      </w:r>
      <w:r w:rsidRPr="005E3076">
        <w:rPr>
          <w:rFonts w:ascii="Times New Roman" w:eastAsia="Calibri" w:hAnsi="Times New Roman" w:cs="Times New Roman"/>
          <w:sz w:val="24"/>
          <w:szCs w:val="24"/>
        </w:rPr>
        <w:t>[</w:t>
      </w:r>
      <w:r w:rsidRPr="005E3076">
        <w:rPr>
          <w:rFonts w:ascii="Times New Roman" w:eastAsia="Calibri" w:hAnsi="Times New Roman" w:cs="Times New Roman"/>
          <w:i/>
          <w:sz w:val="24"/>
          <w:szCs w:val="24"/>
        </w:rPr>
        <w:t>GPC</w:t>
      </w:r>
      <w:r w:rsidRPr="005E3076">
        <w:rPr>
          <w:rFonts w:ascii="Times New Roman" w:eastAsia="Calibri" w:hAnsi="Times New Roman" w:cs="Times New Roman"/>
          <w:sz w:val="24"/>
          <w:szCs w:val="24"/>
        </w:rPr>
        <w:t>]</w:t>
      </w:r>
      <w:r w:rsidRPr="005E3076">
        <w:rPr>
          <w:rFonts w:ascii="Times New Roman" w:eastAsia="Calibri" w:hAnsi="Times New Roman" w:cs="Times New Roman"/>
          <w:i/>
          <w:sz w:val="24"/>
          <w:szCs w:val="24"/>
        </w:rPr>
        <w:t xml:space="preserve"> + b</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The [</w:t>
      </w:r>
      <w:r w:rsidRPr="005E3076">
        <w:rPr>
          <w:rFonts w:ascii="Times New Roman" w:eastAsia="Calibri" w:hAnsi="Times New Roman" w:cs="Times New Roman"/>
          <w:i/>
          <w:sz w:val="24"/>
          <w:szCs w:val="24"/>
        </w:rPr>
        <w:t>GPC</w:t>
      </w:r>
      <w:r w:rsidRPr="005E3076">
        <w:rPr>
          <w:rFonts w:ascii="Times New Roman" w:eastAsia="Calibri" w:hAnsi="Times New Roman" w:cs="Times New Roman"/>
          <w:sz w:val="24"/>
          <w:szCs w:val="24"/>
        </w:rPr>
        <w:t xml:space="preserve">] in samples can be determined as </w:t>
      </w:r>
      <w:r w:rsidRPr="005E3076">
        <w:rPr>
          <w:rFonts w:ascii="Times New Roman" w:eastAsia="Calibri" w:hAnsi="Times New Roman" w:cs="Times New Roman"/>
          <w:i/>
          <w:sz w:val="24"/>
          <w:szCs w:val="24"/>
        </w:rPr>
        <w:t xml:space="preserve">Area of GPC </w:t>
      </w:r>
      <w:r w:rsidRPr="005E3076">
        <w:rPr>
          <w:rFonts w:ascii="Times New Roman" w:eastAsia="Calibri" w:hAnsi="Times New Roman" w:cs="Times New Roman"/>
          <w:sz w:val="24"/>
          <w:szCs w:val="24"/>
        </w:rPr>
        <w:t>is known.</w:t>
      </w:r>
    </w:p>
    <w:p w:rsidR="005E3076" w:rsidRPr="005E3076" w:rsidRDefault="005E3076" w:rsidP="005E3076">
      <w:pPr>
        <w:spacing w:line="360" w:lineRule="auto"/>
        <w:jc w:val="both"/>
        <w:rPr>
          <w:rFonts w:ascii="Times New Roman" w:eastAsia="Calibri" w:hAnsi="Times New Roman" w:cs="Times New Roman"/>
          <w:b/>
          <w:i/>
          <w:sz w:val="24"/>
          <w:szCs w:val="24"/>
        </w:rPr>
      </w:pP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b/>
          <w:i/>
          <w:sz w:val="24"/>
          <w:szCs w:val="24"/>
        </w:rPr>
        <w:t>Calibration of Pipets</w:t>
      </w:r>
    </w:p>
    <w:p w:rsidR="005E3076" w:rsidRPr="005E3076" w:rsidRDefault="005E3076" w:rsidP="005E3076">
      <w:pPr>
        <w:spacing w:line="360" w:lineRule="auto"/>
        <w:jc w:val="both"/>
        <w:rPr>
          <w:rFonts w:ascii="Times New Roman" w:eastAsia="Calibri" w:hAnsi="Times New Roman" w:cs="Times New Roman"/>
          <w:b/>
          <w:i/>
          <w:sz w:val="24"/>
          <w:szCs w:val="24"/>
        </w:rPr>
      </w:pPr>
      <w:r w:rsidRPr="005E3076">
        <w:rPr>
          <w:rFonts w:ascii="Times New Roman" w:eastAsia="Calibri" w:hAnsi="Times New Roman" w:cs="Times New Roman"/>
          <w:sz w:val="24"/>
          <w:szCs w:val="24"/>
        </w:rPr>
        <w:t>Pipets used in analysis should be calibrated with the solvent that they will be dispensing.  A calibration solvent that is similar in viscosity and volatility can be used.  Viscosity accounts for solvent remaining in the tip and volatility accounts for evaporation.  Water is a suitable substitute here as milk and plasma is mostly water and any viscosity differences are negated by prewetting the tip.</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lastRenderedPageBreak/>
        <w:t>The 5 mL pipet was calibrated using thermally equilibrated water.  Density was determined using a 10 mL volumetric flask.  Mass loss to evaporation was neglected because water was used as a solvent.  Then ten 5 mL aliquots were dispensed in a beaker</w:t>
      </w:r>
      <w:r w:rsidR="004043D4">
        <w:rPr>
          <w:rFonts w:ascii="Times New Roman" w:eastAsia="Calibri" w:hAnsi="Times New Roman" w:cs="Times New Roman"/>
          <w:sz w:val="24"/>
          <w:szCs w:val="24"/>
        </w:rPr>
        <w:t>,</w:t>
      </w:r>
      <w:r w:rsidRPr="005E3076">
        <w:rPr>
          <w:rFonts w:ascii="Times New Roman" w:eastAsia="Calibri" w:hAnsi="Times New Roman" w:cs="Times New Roman"/>
          <w:sz w:val="24"/>
          <w:szCs w:val="24"/>
        </w:rPr>
        <w:t xml:space="preserve"> and the weight was measured.  The average weight of water delivered in one aliquot was used with density to get the average volume delivered:</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CB2AB9" w:rsidP="005E3076">
      <w:pPr>
        <w:spacing w:line="360" w:lineRule="auto"/>
        <w:jc w:val="both"/>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 xml:space="preserve">Average Weight of Water </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g</m:t>
                  </m:r>
                </m:e>
              </m:d>
            </m:num>
            <m:den>
              <m:r>
                <w:rPr>
                  <w:rFonts w:ascii="Cambria Math" w:eastAsiaTheme="minorEastAsia" w:hAnsi="Cambria Math" w:cs="Times New Roman"/>
                  <w:sz w:val="24"/>
                  <w:szCs w:val="24"/>
                </w:rPr>
                <m:t>Al</m:t>
              </m:r>
              <m:r>
                <w:rPr>
                  <w:rFonts w:ascii="Cambria Math" w:eastAsiaTheme="minorEastAsia" w:hAnsi="Cambria Math" w:cs="Times New Roman"/>
                  <w:sz w:val="24"/>
                  <w:szCs w:val="24"/>
                </w:rPr>
                <m:t>iquot</m:t>
              </m:r>
            </m:den>
          </m:f>
          <m:r>
            <w:rPr>
              <w:rFonts w:ascii="Cambria Math" w:eastAsiaTheme="minorEastAsia" w:hAnsi="Cambria Math" w:cs="Times New Roman"/>
              <w:sz w:val="24"/>
              <w:szCs w:val="24"/>
            </w:rPr>
            <m:t>χ Density (mL/g)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Average Volume</m:t>
              </m:r>
            </m:num>
            <m:den>
              <m:r>
                <w:rPr>
                  <w:rFonts w:ascii="Cambria Math" w:eastAsiaTheme="minorEastAsia" w:hAnsi="Cambria Math" w:cs="Times New Roman"/>
                  <w:sz w:val="24"/>
                  <w:szCs w:val="24"/>
                </w:rPr>
                <m:t>Aliquot</m:t>
              </m:r>
            </m:den>
          </m:f>
        </m:oMath>
      </m:oMathPara>
    </w:p>
    <w:p w:rsidR="005E3076" w:rsidRPr="005E3076" w:rsidRDefault="005E3076" w:rsidP="005E3076">
      <w:pPr>
        <w:spacing w:line="360" w:lineRule="auto"/>
        <w:jc w:val="both"/>
        <w:rPr>
          <w:rFonts w:ascii="Times New Roman"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r w:rsidRPr="005E3076">
        <w:rPr>
          <w:rFonts w:ascii="Times New Roman" w:eastAsia="Calibri" w:hAnsi="Times New Roman" w:cs="Times New Roman"/>
          <w:sz w:val="24"/>
          <w:szCs w:val="24"/>
        </w:rPr>
        <w:t xml:space="preserve">Rather than try to perfectly calibrate the pipet to 5 mL, 5.106 mL was used in the calculations to determine the final diluted concentration of internal standards.  The other pipets used to aliquot sample and add internal standard in this study were new out of the box and certified to deliver nominal values within error.  </w:t>
      </w: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sz w:val="24"/>
          <w:szCs w:val="24"/>
        </w:rPr>
      </w:pPr>
    </w:p>
    <w:p w:rsidR="005E3076" w:rsidRPr="005E3076" w:rsidRDefault="005E3076" w:rsidP="005E3076">
      <w:pPr>
        <w:spacing w:line="360" w:lineRule="auto"/>
        <w:jc w:val="both"/>
        <w:rPr>
          <w:rFonts w:ascii="Times New Roman" w:eastAsia="Calibri" w:hAnsi="Times New Roman" w:cs="Times New Roman"/>
          <w:i/>
          <w:sz w:val="24"/>
          <w:szCs w:val="24"/>
        </w:rPr>
      </w:pPr>
    </w:p>
    <w:p w:rsidR="005E3076" w:rsidRPr="005E3076" w:rsidRDefault="005E3076" w:rsidP="005E3076">
      <w:pPr>
        <w:spacing w:line="360" w:lineRule="auto"/>
        <w:jc w:val="both"/>
        <w:rPr>
          <w:rFonts w:ascii="Times New Roman" w:eastAsia="Calibri" w:hAnsi="Times New Roman" w:cs="Times New Roman"/>
          <w:b/>
          <w:sz w:val="24"/>
          <w:szCs w:val="24"/>
        </w:rPr>
      </w:pPr>
    </w:p>
    <w:p w:rsidR="005E3076" w:rsidRPr="005E3076" w:rsidRDefault="005E3076" w:rsidP="005E3076">
      <w:pPr>
        <w:spacing w:line="360" w:lineRule="auto"/>
        <w:jc w:val="both"/>
        <w:rPr>
          <w:rFonts w:ascii="Times New Roman" w:eastAsia="Calibri" w:hAnsi="Times New Roman" w:cs="Times New Roman"/>
          <w:b/>
          <w:sz w:val="24"/>
          <w:szCs w:val="24"/>
        </w:rPr>
      </w:pPr>
    </w:p>
    <w:p w:rsidR="005E3076" w:rsidRDefault="005E3076" w:rsidP="005E3076">
      <w:pPr>
        <w:spacing w:line="360" w:lineRule="auto"/>
        <w:jc w:val="both"/>
        <w:rPr>
          <w:rFonts w:ascii="Times New Roman" w:eastAsia="Calibri" w:hAnsi="Times New Roman" w:cs="Times New Roman"/>
          <w:b/>
          <w:sz w:val="24"/>
          <w:szCs w:val="24"/>
        </w:rPr>
      </w:pPr>
    </w:p>
    <w:p w:rsidR="00781A36" w:rsidRDefault="00781A36" w:rsidP="00781A36">
      <w:pPr>
        <w:jc w:val="center"/>
        <w:rPr>
          <w:rFonts w:ascii="Times New Roman" w:hAnsi="Times New Roman" w:cs="Times New Roman"/>
          <w:sz w:val="28"/>
          <w:szCs w:val="28"/>
        </w:rPr>
      </w:pPr>
      <w:r>
        <w:rPr>
          <w:rFonts w:ascii="Times New Roman" w:hAnsi="Times New Roman" w:cs="Times New Roman"/>
          <w:b/>
          <w:sz w:val="28"/>
          <w:szCs w:val="28"/>
        </w:rPr>
        <w:lastRenderedPageBreak/>
        <w:t>Conclusion</w:t>
      </w:r>
    </w:p>
    <w:p w:rsidR="00781A36" w:rsidRDefault="00781A36" w:rsidP="00781A36">
      <w:pPr>
        <w:spacing w:line="360" w:lineRule="auto"/>
        <w:jc w:val="both"/>
        <w:rPr>
          <w:rFonts w:ascii="Times New Roman" w:hAnsi="Times New Roman" w:cs="Times New Roman"/>
          <w:sz w:val="24"/>
          <w:szCs w:val="24"/>
        </w:rPr>
      </w:pPr>
      <w:r>
        <w:rPr>
          <w:rFonts w:ascii="Times New Roman" w:hAnsi="Times New Roman" w:cs="Times New Roman"/>
          <w:sz w:val="24"/>
          <w:szCs w:val="24"/>
        </w:rPr>
        <w:t>The choice of analytical technique for quantitation and the experimental design are both strategic approaches that determine the success or failure or an experiment.  The capability of the TSQ to perform SRM scan mode in individual time segments to lower duty cycle allows for reliable and reproducible quantitation.  Achieving separation using liquid chromatography before the introduction of compounds into the ESI source prevents ion suppression and provides retention times for compounds.  The retention time is used to confirm the identity of the compound but also allows for time segment</w:t>
      </w:r>
      <w:r w:rsidR="00073DA4">
        <w:rPr>
          <w:rFonts w:ascii="Times New Roman" w:hAnsi="Times New Roman" w:cs="Times New Roman"/>
          <w:sz w:val="24"/>
          <w:szCs w:val="24"/>
        </w:rPr>
        <w:t xml:space="preserve">ation of MS acquisition.  </w:t>
      </w:r>
      <w:r>
        <w:rPr>
          <w:rFonts w:ascii="Times New Roman" w:hAnsi="Times New Roman" w:cs="Times New Roman"/>
          <w:sz w:val="24"/>
          <w:szCs w:val="24"/>
        </w:rPr>
        <w:t>The experimental design of both studies was based mostly on previous findings which are critical for informed decisions to the success of the experiment and some guesswork which is needed to explore new frontiers in science.  In addition, both can have individual compounds placed in respective pathways</w:t>
      </w:r>
      <w:r w:rsidR="004043D4">
        <w:rPr>
          <w:rFonts w:ascii="Times New Roman" w:hAnsi="Times New Roman" w:cs="Times New Roman"/>
          <w:sz w:val="24"/>
          <w:szCs w:val="24"/>
        </w:rPr>
        <w:t>,</w:t>
      </w:r>
      <w:r>
        <w:rPr>
          <w:rFonts w:ascii="Times New Roman" w:hAnsi="Times New Roman" w:cs="Times New Roman"/>
          <w:sz w:val="24"/>
          <w:szCs w:val="24"/>
        </w:rPr>
        <w:t xml:space="preserve"> and data interpretation can be made on how the imposed condition changed the biological system with respect to the control.</w:t>
      </w:r>
    </w:p>
    <w:p w:rsidR="00781A36" w:rsidRPr="003D207D" w:rsidRDefault="00781A36" w:rsidP="00781A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1 studied metabolomics of </w:t>
      </w:r>
      <w:r w:rsidR="003D207D" w:rsidRPr="003D207D">
        <w:rPr>
          <w:rFonts w:ascii="Times New Roman" w:hAnsi="Times New Roman" w:cs="Times New Roman"/>
          <w:i/>
          <w:sz w:val="24"/>
          <w:szCs w:val="24"/>
        </w:rPr>
        <w:t>Rosebacter</w:t>
      </w:r>
      <w:r w:rsidR="004043D4">
        <w:rPr>
          <w:rFonts w:ascii="Times New Roman" w:hAnsi="Times New Roman" w:cs="Times New Roman"/>
          <w:sz w:val="24"/>
          <w:szCs w:val="24"/>
        </w:rPr>
        <w:t>,</w:t>
      </w:r>
      <w:r w:rsidR="004B2447">
        <w:rPr>
          <w:rFonts w:ascii="Times New Roman" w:hAnsi="Times New Roman" w:cs="Times New Roman"/>
          <w:sz w:val="24"/>
          <w:szCs w:val="24"/>
        </w:rPr>
        <w:t xml:space="preserve"> </w:t>
      </w:r>
      <w:r>
        <w:rPr>
          <w:rFonts w:ascii="Times New Roman" w:hAnsi="Times New Roman" w:cs="Times New Roman"/>
          <w:sz w:val="24"/>
          <w:szCs w:val="24"/>
        </w:rPr>
        <w:t>and the time points are on the minute scale.  The ability to quickly quench the metabolism is most important when the next time point is a small addition in time and changes in the system are rapid.  The early time points of 0 and 5 minutes were the most difficult.  Each time point collection was clocked at ~2 minutes to finish with the division of labor amongst myself and my collaborator.  This means the sample collected first is ~2 minutes different in time than the sample collected last even though both are represented as the same time in analysis.  The upside of working with bacteria and time points on the minute scale is that the time point of zero is controlled and all s</w:t>
      </w:r>
      <w:r w:rsidR="003D207D">
        <w:rPr>
          <w:rFonts w:ascii="Times New Roman" w:hAnsi="Times New Roman" w:cs="Times New Roman"/>
          <w:sz w:val="24"/>
          <w:szCs w:val="24"/>
        </w:rPr>
        <w:t xml:space="preserve">amples are collected in one day.  The absolute concentration of glutamate </w:t>
      </w:r>
      <w:r w:rsidR="004B2447">
        <w:rPr>
          <w:rFonts w:ascii="Times New Roman" w:hAnsi="Times New Roman" w:cs="Times New Roman"/>
          <w:sz w:val="24"/>
          <w:szCs w:val="24"/>
        </w:rPr>
        <w:t xml:space="preserve">and glutamine was not previously known </w:t>
      </w:r>
      <w:r w:rsidR="003D207D">
        <w:rPr>
          <w:rFonts w:ascii="Times New Roman" w:hAnsi="Times New Roman" w:cs="Times New Roman"/>
          <w:sz w:val="24"/>
          <w:szCs w:val="24"/>
        </w:rPr>
        <w:t xml:space="preserve">for </w:t>
      </w:r>
      <w:r w:rsidR="003D207D" w:rsidRPr="003D207D">
        <w:rPr>
          <w:rFonts w:ascii="Times New Roman" w:hAnsi="Times New Roman" w:cs="Times New Roman"/>
          <w:i/>
          <w:sz w:val="24"/>
          <w:szCs w:val="24"/>
        </w:rPr>
        <w:t>Roseobacter</w:t>
      </w:r>
      <w:r w:rsidR="003D207D">
        <w:rPr>
          <w:rFonts w:ascii="Times New Roman" w:hAnsi="Times New Roman" w:cs="Times New Roman"/>
          <w:sz w:val="24"/>
          <w:szCs w:val="24"/>
        </w:rPr>
        <w:t>.</w:t>
      </w:r>
    </w:p>
    <w:p w:rsidR="00781A36" w:rsidRPr="00781A36" w:rsidRDefault="00781A36" w:rsidP="00781A36">
      <w:pPr>
        <w:spacing w:line="360" w:lineRule="auto"/>
        <w:jc w:val="both"/>
        <w:rPr>
          <w:rFonts w:ascii="Times New Roman" w:hAnsi="Times New Roman" w:cs="Times New Roman"/>
          <w:sz w:val="24"/>
          <w:szCs w:val="24"/>
        </w:rPr>
      </w:pPr>
      <w:r>
        <w:rPr>
          <w:rFonts w:ascii="Times New Roman" w:hAnsi="Times New Roman" w:cs="Times New Roman"/>
          <w:sz w:val="24"/>
          <w:szCs w:val="24"/>
        </w:rPr>
        <w:t>Chapter 2 studied lipidomics</w:t>
      </w:r>
      <w:r w:rsidR="004B2447">
        <w:rPr>
          <w:rFonts w:ascii="Times New Roman" w:hAnsi="Times New Roman" w:cs="Times New Roman"/>
          <w:sz w:val="24"/>
          <w:szCs w:val="24"/>
        </w:rPr>
        <w:t xml:space="preserve"> </w:t>
      </w:r>
      <w:r w:rsidR="003D207D">
        <w:rPr>
          <w:rFonts w:ascii="Times New Roman" w:hAnsi="Times New Roman" w:cs="Times New Roman"/>
          <w:sz w:val="24"/>
          <w:szCs w:val="24"/>
        </w:rPr>
        <w:t xml:space="preserve">of </w:t>
      </w:r>
      <w:r w:rsidR="00073DA4">
        <w:rPr>
          <w:rFonts w:ascii="Times New Roman" w:hAnsi="Times New Roman" w:cs="Times New Roman"/>
          <w:sz w:val="24"/>
          <w:szCs w:val="24"/>
        </w:rPr>
        <w:t>Holstein cows</w:t>
      </w:r>
      <w:r w:rsidR="003D207D">
        <w:rPr>
          <w:rFonts w:ascii="Times New Roman" w:hAnsi="Times New Roman" w:cs="Times New Roman"/>
          <w:sz w:val="24"/>
          <w:szCs w:val="24"/>
        </w:rPr>
        <w:t xml:space="preserve">, </w:t>
      </w:r>
      <w:r>
        <w:rPr>
          <w:rFonts w:ascii="Times New Roman" w:hAnsi="Times New Roman" w:cs="Times New Roman"/>
          <w:sz w:val="24"/>
          <w:szCs w:val="24"/>
        </w:rPr>
        <w:t xml:space="preserve">and the time points are on the week scale.  Quenching the metabolism is within the hour because milk and </w:t>
      </w:r>
      <w:r w:rsidR="004B2447">
        <w:rPr>
          <w:rFonts w:ascii="Times New Roman" w:hAnsi="Times New Roman" w:cs="Times New Roman"/>
          <w:sz w:val="24"/>
          <w:szCs w:val="24"/>
        </w:rPr>
        <w:t>plasma</w:t>
      </w:r>
      <w:r>
        <w:rPr>
          <w:rFonts w:ascii="Times New Roman" w:hAnsi="Times New Roman" w:cs="Times New Roman"/>
          <w:sz w:val="24"/>
          <w:szCs w:val="24"/>
        </w:rPr>
        <w:t xml:space="preserve"> samples need to be taken from twelve Holstein cows.  Since the time scale is on the order of weeks a relaxed collection during one hour does not introduce significant error.  However, the samples are collected over months and the time point of zero is determined by Mother Nature. This results in multiple individual LC/MS/MS analysis to be performed and the risk of losing a subject to death or a technicality is present.</w:t>
      </w:r>
      <w:r w:rsidR="003D207D">
        <w:rPr>
          <w:rFonts w:ascii="Times New Roman" w:hAnsi="Times New Roman" w:cs="Times New Roman"/>
          <w:sz w:val="24"/>
          <w:szCs w:val="24"/>
        </w:rPr>
        <w:t xml:space="preserve">  </w:t>
      </w:r>
      <w:r w:rsidR="004B2447">
        <w:rPr>
          <w:rFonts w:ascii="Times New Roman" w:hAnsi="Times New Roman" w:cs="Times New Roman"/>
          <w:sz w:val="24"/>
          <w:szCs w:val="24"/>
        </w:rPr>
        <w:t>Change</w:t>
      </w:r>
      <w:r w:rsidR="003D207D">
        <w:rPr>
          <w:rFonts w:ascii="Times New Roman" w:hAnsi="Times New Roman" w:cs="Times New Roman"/>
          <w:sz w:val="24"/>
          <w:szCs w:val="24"/>
        </w:rPr>
        <w:t xml:space="preserve"> in </w:t>
      </w:r>
      <w:r w:rsidR="004B2447">
        <w:rPr>
          <w:rFonts w:ascii="Times New Roman" w:hAnsi="Times New Roman" w:cs="Times New Roman"/>
          <w:sz w:val="24"/>
          <w:szCs w:val="24"/>
        </w:rPr>
        <w:t xml:space="preserve">absolute lipid concentrations in milk and plasma over </w:t>
      </w:r>
      <w:r w:rsidR="00073DA4">
        <w:rPr>
          <w:rFonts w:ascii="Times New Roman" w:hAnsi="Times New Roman" w:cs="Times New Roman"/>
          <w:sz w:val="24"/>
          <w:szCs w:val="24"/>
        </w:rPr>
        <w:t>weeks of lactation is now known for Holstein cows.</w:t>
      </w:r>
    </w:p>
    <w:p w:rsidR="00913B58" w:rsidRPr="005877E9" w:rsidRDefault="00B52A5F" w:rsidP="00913B58">
      <w:pPr>
        <w:spacing w:after="0" w:line="240" w:lineRule="auto"/>
        <w:ind w:left="720" w:hanging="720"/>
        <w:jc w:val="center"/>
        <w:rPr>
          <w:rFonts w:ascii="Times New Roman" w:hAnsi="Times New Roman" w:cs="Times New Roman"/>
          <w:b/>
          <w:color w:val="000000" w:themeColor="text1"/>
          <w:sz w:val="28"/>
          <w:szCs w:val="28"/>
        </w:rPr>
      </w:pPr>
      <w:bookmarkStart w:id="1" w:name="_ENREF_30"/>
      <w:r>
        <w:rPr>
          <w:rFonts w:ascii="Times New Roman" w:hAnsi="Times New Roman" w:cs="Times New Roman"/>
          <w:b/>
          <w:color w:val="000000" w:themeColor="text1"/>
          <w:sz w:val="28"/>
          <w:szCs w:val="28"/>
        </w:rPr>
        <w:lastRenderedPageBreak/>
        <w:t xml:space="preserve">List of </w:t>
      </w:r>
      <w:r w:rsidR="00913B58">
        <w:rPr>
          <w:rFonts w:ascii="Times New Roman" w:hAnsi="Times New Roman" w:cs="Times New Roman"/>
          <w:b/>
          <w:color w:val="000000" w:themeColor="text1"/>
          <w:sz w:val="28"/>
          <w:szCs w:val="28"/>
        </w:rPr>
        <w:t>References</w:t>
      </w: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781A36" w:rsidRDefault="00781A36"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9A595F">
        <w:rPr>
          <w:rFonts w:ascii="Times New Roman" w:hAnsi="Times New Roman" w:cs="Times New Roman"/>
          <w:color w:val="000000" w:themeColor="text1"/>
          <w:sz w:val="24"/>
          <w:szCs w:val="24"/>
        </w:rPr>
        <w:lastRenderedPageBreak/>
        <w:t>1.</w:t>
      </w:r>
      <w:r>
        <w:rPr>
          <w:rFonts w:ascii="Times New Roman" w:hAnsi="Times New Roman" w:cs="Times New Roman"/>
          <w:color w:val="000000" w:themeColor="text1"/>
          <w:sz w:val="24"/>
          <w:szCs w:val="24"/>
        </w:rPr>
        <w:tab/>
      </w:r>
      <w:r w:rsidRPr="009A595F">
        <w:rPr>
          <w:rFonts w:ascii="Times New Roman" w:hAnsi="Times New Roman" w:cs="Times New Roman"/>
          <w:color w:val="000000" w:themeColor="text1"/>
          <w:sz w:val="24"/>
          <w:szCs w:val="24"/>
        </w:rPr>
        <w:t>Suttle, C. A. (</w:t>
      </w:r>
      <w:r w:rsidRPr="009A595F">
        <w:rPr>
          <w:rFonts w:ascii="Times New Roman" w:hAnsi="Times New Roman" w:cs="Times New Roman"/>
          <w:b/>
          <w:color w:val="000000" w:themeColor="text1"/>
          <w:sz w:val="24"/>
          <w:szCs w:val="24"/>
        </w:rPr>
        <w:t>2007</w:t>
      </w:r>
      <w:r w:rsidRPr="009A595F">
        <w:rPr>
          <w:rFonts w:ascii="Times New Roman" w:hAnsi="Times New Roman" w:cs="Times New Roman"/>
          <w:color w:val="000000" w:themeColor="text1"/>
          <w:sz w:val="24"/>
          <w:szCs w:val="24"/>
        </w:rPr>
        <w:t xml:space="preserve">) Marine viruses - major players in the global ecosystem, </w:t>
      </w:r>
      <w:r w:rsidRPr="009A595F">
        <w:rPr>
          <w:rFonts w:ascii="Times New Roman" w:hAnsi="Times New Roman" w:cs="Times New Roman"/>
          <w:i/>
          <w:color w:val="000000" w:themeColor="text1"/>
          <w:sz w:val="24"/>
          <w:szCs w:val="24"/>
        </w:rPr>
        <w:t>Nat Rev Micro 5</w:t>
      </w:r>
      <w:r w:rsidRPr="009A595F">
        <w:rPr>
          <w:rFonts w:ascii="Times New Roman" w:hAnsi="Times New Roman" w:cs="Times New Roman"/>
          <w:color w:val="000000" w:themeColor="text1"/>
          <w:sz w:val="24"/>
          <w:szCs w:val="24"/>
        </w:rPr>
        <w:t>, 801-812.</w:t>
      </w:r>
    </w:p>
    <w:p w:rsidR="00913B58" w:rsidRPr="008608D3"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2.</w:t>
      </w:r>
      <w:r w:rsidRPr="00DD52BF">
        <w:rPr>
          <w:rFonts w:ascii="Times New Roman" w:eastAsia="Calibri" w:hAnsi="Times New Roman" w:cs="Times New Roman"/>
          <w:bCs/>
          <w:noProof/>
          <w:sz w:val="24"/>
          <w:szCs w:val="24"/>
        </w:rPr>
        <w:tab/>
        <w:t>Weinbauer, M., Chen, F., and Wilhelm, S. (</w:t>
      </w:r>
      <w:r w:rsidRPr="00DD52BF">
        <w:rPr>
          <w:rFonts w:ascii="Times New Roman" w:eastAsia="Calibri" w:hAnsi="Times New Roman" w:cs="Times New Roman"/>
          <w:b/>
          <w:bCs/>
          <w:noProof/>
          <w:sz w:val="24"/>
          <w:szCs w:val="24"/>
        </w:rPr>
        <w:t>2011</w:t>
      </w:r>
      <w:r w:rsidRPr="00DD52BF">
        <w:rPr>
          <w:rFonts w:ascii="Times New Roman" w:eastAsia="Calibri" w:hAnsi="Times New Roman" w:cs="Times New Roman"/>
          <w:bCs/>
          <w:noProof/>
          <w:sz w:val="24"/>
          <w:szCs w:val="24"/>
        </w:rPr>
        <w:t xml:space="preserve">) Microbial Carbon Pump in the Ocean Virus-Mediated Redistribution and Partitioning of Carbon in the Global Oceans In N. Jiao, F. Azam &amp; S. Sanders (Eds.)  </w:t>
      </w:r>
    </w:p>
    <w:p w:rsidR="00913B58" w:rsidRPr="00DD52BF" w:rsidRDefault="00913B58" w:rsidP="00913B58">
      <w:pPr>
        <w:spacing w:line="240" w:lineRule="auto"/>
        <w:ind w:left="720" w:hanging="720"/>
        <w:jc w:val="both"/>
        <w:rPr>
          <w:rFonts w:ascii="Times New Roman" w:eastAsia="Times New Roman" w:hAnsi="Times New Roman" w:cs="Times New Roman"/>
          <w:noProof/>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3.</w:t>
      </w:r>
      <w:r w:rsidRPr="00DD52BF">
        <w:rPr>
          <w:rFonts w:ascii="Times New Roman" w:eastAsia="Calibri" w:hAnsi="Times New Roman" w:cs="Times New Roman"/>
          <w:bCs/>
          <w:noProof/>
          <w:sz w:val="24"/>
          <w:szCs w:val="24"/>
        </w:rPr>
        <w:tab/>
        <w:t>Middelboe, M., and Jorgensen, N. O. G. (</w:t>
      </w:r>
      <w:r w:rsidRPr="00DD52BF">
        <w:rPr>
          <w:rFonts w:ascii="Times New Roman" w:eastAsia="Calibri" w:hAnsi="Times New Roman" w:cs="Times New Roman"/>
          <w:b/>
          <w:bCs/>
          <w:noProof/>
          <w:sz w:val="24"/>
          <w:szCs w:val="24"/>
        </w:rPr>
        <w:t>2006</w:t>
      </w:r>
      <w:r w:rsidRPr="00DD52BF">
        <w:rPr>
          <w:rFonts w:ascii="Times New Roman" w:eastAsia="Calibri" w:hAnsi="Times New Roman" w:cs="Times New Roman"/>
          <w:bCs/>
          <w:noProof/>
          <w:sz w:val="24"/>
          <w:szCs w:val="24"/>
        </w:rPr>
        <w:t xml:space="preserve">) Viral lysis of bacteria: an important source of dissolved amino acids and cell wall compounds, </w:t>
      </w:r>
      <w:r w:rsidRPr="00DD52BF">
        <w:rPr>
          <w:rFonts w:ascii="Times New Roman" w:eastAsia="Calibri" w:hAnsi="Times New Roman" w:cs="Times New Roman"/>
          <w:bCs/>
          <w:i/>
          <w:noProof/>
          <w:sz w:val="24"/>
          <w:szCs w:val="24"/>
        </w:rPr>
        <w:t>Journal of the Marine Biological Association of the United Kingdom 86</w:t>
      </w:r>
      <w:r w:rsidRPr="00DD52BF">
        <w:rPr>
          <w:rFonts w:ascii="Times New Roman" w:eastAsia="Calibri" w:hAnsi="Times New Roman" w:cs="Times New Roman"/>
          <w:bCs/>
          <w:noProof/>
          <w:sz w:val="24"/>
          <w:szCs w:val="24"/>
        </w:rPr>
        <w:t xml:space="preserve">(3), 605-612. </w:t>
      </w: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p>
    <w:p w:rsidR="00913B58"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4.</w:t>
      </w:r>
      <w:r w:rsidRPr="00DD52BF">
        <w:rPr>
          <w:rFonts w:ascii="Times New Roman" w:eastAsia="Calibri" w:hAnsi="Times New Roman" w:cs="Times New Roman"/>
          <w:bCs/>
          <w:noProof/>
          <w:sz w:val="24"/>
          <w:szCs w:val="24"/>
        </w:rPr>
        <w:tab/>
        <w:t>Middelboe, M., and Lyck, P. G. (</w:t>
      </w:r>
      <w:r w:rsidRPr="00DD52BF">
        <w:rPr>
          <w:rFonts w:ascii="Times New Roman" w:eastAsia="Calibri" w:hAnsi="Times New Roman" w:cs="Times New Roman"/>
          <w:b/>
          <w:bCs/>
          <w:noProof/>
          <w:sz w:val="24"/>
          <w:szCs w:val="24"/>
        </w:rPr>
        <w:t>2002</w:t>
      </w:r>
      <w:r w:rsidRPr="00DD52BF">
        <w:rPr>
          <w:rFonts w:ascii="Times New Roman" w:eastAsia="Calibri" w:hAnsi="Times New Roman" w:cs="Times New Roman"/>
          <w:bCs/>
          <w:noProof/>
          <w:sz w:val="24"/>
          <w:szCs w:val="24"/>
        </w:rPr>
        <w:t xml:space="preserve">) Regeneration of dissolved organic matter by viral lysis in marine microbial communities, </w:t>
      </w:r>
      <w:r w:rsidRPr="00DD52BF">
        <w:rPr>
          <w:rFonts w:ascii="Times New Roman" w:eastAsia="Calibri" w:hAnsi="Times New Roman" w:cs="Times New Roman"/>
          <w:bCs/>
          <w:i/>
          <w:noProof/>
          <w:sz w:val="24"/>
          <w:szCs w:val="24"/>
        </w:rPr>
        <w:t>Aquatic Microbial Ecology 27</w:t>
      </w:r>
      <w:r w:rsidRPr="00DD52BF">
        <w:rPr>
          <w:rFonts w:ascii="Times New Roman" w:eastAsia="Calibri" w:hAnsi="Times New Roman" w:cs="Times New Roman"/>
          <w:bCs/>
          <w:noProof/>
          <w:sz w:val="24"/>
          <w:szCs w:val="24"/>
        </w:rPr>
        <w:t xml:space="preserve">(2), 187-194. </w:t>
      </w:r>
    </w:p>
    <w:p w:rsidR="00913B58" w:rsidRPr="008608D3" w:rsidRDefault="00913B58" w:rsidP="00913B58">
      <w:pPr>
        <w:spacing w:after="0" w:line="240" w:lineRule="auto"/>
        <w:ind w:left="720" w:hanging="720"/>
        <w:jc w:val="both"/>
        <w:rPr>
          <w:rFonts w:ascii="Times New Roman" w:eastAsia="Calibri" w:hAnsi="Times New Roman" w:cs="Times New Roman"/>
          <w:bCs/>
          <w:noProof/>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2" w:name="_ENREF_37"/>
      <w:r w:rsidRPr="00DD52BF">
        <w:rPr>
          <w:rFonts w:ascii="Times New Roman" w:eastAsia="Calibri" w:hAnsi="Times New Roman" w:cs="Times New Roman"/>
          <w:bCs/>
          <w:noProof/>
          <w:sz w:val="24"/>
          <w:szCs w:val="24"/>
        </w:rPr>
        <w:t>5.</w:t>
      </w:r>
      <w:r w:rsidRPr="00DD52BF">
        <w:rPr>
          <w:rFonts w:ascii="Times New Roman" w:eastAsia="Calibri" w:hAnsi="Times New Roman" w:cs="Times New Roman"/>
          <w:bCs/>
          <w:noProof/>
          <w:sz w:val="24"/>
          <w:szCs w:val="24"/>
        </w:rPr>
        <w:tab/>
        <w:t>Riemann, L., and Middelboe, M. (</w:t>
      </w:r>
      <w:r w:rsidRPr="00DD52BF">
        <w:rPr>
          <w:rFonts w:ascii="Times New Roman" w:eastAsia="Calibri" w:hAnsi="Times New Roman" w:cs="Times New Roman"/>
          <w:b/>
          <w:bCs/>
          <w:noProof/>
          <w:sz w:val="24"/>
          <w:szCs w:val="24"/>
        </w:rPr>
        <w:t>2002</w:t>
      </w:r>
      <w:r w:rsidRPr="00DD52BF">
        <w:rPr>
          <w:rFonts w:ascii="Times New Roman" w:eastAsia="Calibri" w:hAnsi="Times New Roman" w:cs="Times New Roman"/>
          <w:bCs/>
          <w:noProof/>
          <w:sz w:val="24"/>
          <w:szCs w:val="24"/>
        </w:rPr>
        <w:t xml:space="preserve">) Viral lysis of marine bacterioplankton: Implications for organic matter cycling and bacterial clonal composition, </w:t>
      </w:r>
      <w:r w:rsidRPr="00DD52BF">
        <w:rPr>
          <w:rFonts w:ascii="Times New Roman" w:eastAsia="Calibri" w:hAnsi="Times New Roman" w:cs="Times New Roman"/>
          <w:bCs/>
          <w:i/>
          <w:noProof/>
          <w:sz w:val="24"/>
          <w:szCs w:val="24"/>
        </w:rPr>
        <w:t>Ophelia 56(2)</w:t>
      </w:r>
      <w:r w:rsidRPr="00DD52BF">
        <w:rPr>
          <w:rFonts w:ascii="Times New Roman" w:eastAsia="Calibri" w:hAnsi="Times New Roman" w:cs="Times New Roman"/>
          <w:bCs/>
          <w:noProof/>
          <w:sz w:val="24"/>
          <w:szCs w:val="24"/>
        </w:rPr>
        <w:t xml:space="preserve">, 57-68. </w:t>
      </w:r>
      <w:bookmarkEnd w:id="2"/>
    </w:p>
    <w:p w:rsidR="00913B58" w:rsidRPr="00DD52BF" w:rsidRDefault="00913B58" w:rsidP="00913B58">
      <w:pPr>
        <w:spacing w:line="240" w:lineRule="auto"/>
        <w:ind w:left="720" w:hanging="720"/>
        <w:jc w:val="both"/>
        <w:rPr>
          <w:rFonts w:ascii="Times New Roman" w:eastAsia="Times New Roman" w:hAnsi="Times New Roman" w:cs="Times New Roman"/>
          <w:noProof/>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6.</w:t>
      </w:r>
      <w:r w:rsidRPr="00DD52BF">
        <w:rPr>
          <w:rFonts w:ascii="Times New Roman" w:eastAsia="Calibri" w:hAnsi="Times New Roman" w:cs="Times New Roman"/>
          <w:bCs/>
          <w:noProof/>
          <w:sz w:val="24"/>
          <w:szCs w:val="24"/>
        </w:rPr>
        <w:tab/>
        <w:t>Brussaard, C. P. D., Timmermans, K. R., Uitz, J., and Veldhuis, M. J. W. (</w:t>
      </w:r>
      <w:r w:rsidRPr="00DD52BF">
        <w:rPr>
          <w:rFonts w:ascii="Times New Roman" w:eastAsia="Calibri" w:hAnsi="Times New Roman" w:cs="Times New Roman"/>
          <w:b/>
          <w:bCs/>
          <w:noProof/>
          <w:sz w:val="24"/>
          <w:szCs w:val="24"/>
        </w:rPr>
        <w:t>2008</w:t>
      </w:r>
      <w:r w:rsidRPr="00DD52BF">
        <w:rPr>
          <w:rFonts w:ascii="Times New Roman" w:eastAsia="Calibri" w:hAnsi="Times New Roman" w:cs="Times New Roman"/>
          <w:bCs/>
          <w:noProof/>
          <w:sz w:val="24"/>
          <w:szCs w:val="24"/>
        </w:rPr>
        <w:t xml:space="preserve">) Virioplankton dynamics and virally induced phytoplankton lysis versus microzooplankton grazing southeast of the Kerguelen (Southern Ocean), </w:t>
      </w:r>
      <w:r w:rsidRPr="00DD52BF">
        <w:rPr>
          <w:rFonts w:ascii="Times New Roman" w:eastAsia="Calibri" w:hAnsi="Times New Roman" w:cs="Times New Roman"/>
          <w:bCs/>
          <w:i/>
          <w:noProof/>
          <w:sz w:val="24"/>
          <w:szCs w:val="24"/>
        </w:rPr>
        <w:t>Deep-Sea Research Part Ii-Topical Studies in Oceanography 55</w:t>
      </w:r>
      <w:r w:rsidRPr="00DD52BF">
        <w:rPr>
          <w:rFonts w:ascii="Times New Roman" w:eastAsia="Calibri" w:hAnsi="Times New Roman" w:cs="Times New Roman"/>
          <w:bCs/>
          <w:noProof/>
          <w:sz w:val="24"/>
          <w:szCs w:val="24"/>
        </w:rPr>
        <w:t xml:space="preserve">(5-7), 752-765. </w:t>
      </w: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p>
    <w:p w:rsidR="00913B58"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3" w:name="_ENREF_8"/>
      <w:r w:rsidRPr="00DD52BF">
        <w:rPr>
          <w:rFonts w:ascii="Times New Roman" w:eastAsia="Calibri" w:hAnsi="Times New Roman" w:cs="Times New Roman"/>
          <w:bCs/>
          <w:noProof/>
          <w:sz w:val="24"/>
          <w:szCs w:val="24"/>
        </w:rPr>
        <w:t xml:space="preserve">7. </w:t>
      </w:r>
      <w:r w:rsidRPr="00DD52BF">
        <w:rPr>
          <w:rFonts w:ascii="Times New Roman" w:eastAsia="Calibri" w:hAnsi="Times New Roman" w:cs="Times New Roman"/>
          <w:bCs/>
          <w:noProof/>
          <w:sz w:val="24"/>
          <w:szCs w:val="24"/>
        </w:rPr>
        <w:tab/>
        <w:t>Brussaard, C. P. D., Wilhelm, S. W., Thingstad, F., Weinbauer, M. G., Bratbak, G., Heldal, M., and Wommack, K. E. (</w:t>
      </w:r>
      <w:r w:rsidRPr="00DD52BF">
        <w:rPr>
          <w:rFonts w:ascii="Times New Roman" w:eastAsia="Calibri" w:hAnsi="Times New Roman" w:cs="Times New Roman"/>
          <w:b/>
          <w:bCs/>
          <w:noProof/>
          <w:sz w:val="24"/>
          <w:szCs w:val="24"/>
        </w:rPr>
        <w:t>2008</w:t>
      </w:r>
      <w:r w:rsidRPr="00DD52BF">
        <w:rPr>
          <w:rFonts w:ascii="Times New Roman" w:eastAsia="Calibri" w:hAnsi="Times New Roman" w:cs="Times New Roman"/>
          <w:bCs/>
          <w:noProof/>
          <w:sz w:val="24"/>
          <w:szCs w:val="24"/>
        </w:rPr>
        <w:t xml:space="preserve">) Global-scale processes with a nanoscale drive: the role of marine viruses, </w:t>
      </w:r>
      <w:r w:rsidRPr="00DD52BF">
        <w:rPr>
          <w:rFonts w:ascii="Times New Roman" w:eastAsia="Calibri" w:hAnsi="Times New Roman" w:cs="Times New Roman"/>
          <w:bCs/>
          <w:i/>
          <w:noProof/>
          <w:sz w:val="24"/>
          <w:szCs w:val="24"/>
        </w:rPr>
        <w:t>ISME J 2</w:t>
      </w:r>
      <w:r w:rsidRPr="00DD52BF">
        <w:rPr>
          <w:rFonts w:ascii="Times New Roman" w:eastAsia="Calibri" w:hAnsi="Times New Roman" w:cs="Times New Roman"/>
          <w:bCs/>
          <w:noProof/>
          <w:sz w:val="24"/>
          <w:szCs w:val="24"/>
        </w:rPr>
        <w:t xml:space="preserve">(6), 575-578. </w:t>
      </w:r>
      <w:bookmarkEnd w:id="3"/>
    </w:p>
    <w:p w:rsidR="00913B58" w:rsidRPr="00E66B3A" w:rsidRDefault="00913B58" w:rsidP="00913B58">
      <w:pPr>
        <w:spacing w:after="0" w:line="240" w:lineRule="auto"/>
        <w:ind w:left="720" w:hanging="720"/>
        <w:jc w:val="both"/>
        <w:rPr>
          <w:rFonts w:ascii="Times New Roman" w:eastAsia="Calibri" w:hAnsi="Times New Roman" w:cs="Times New Roman"/>
          <w:bCs/>
          <w:noProof/>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4" w:name="_ENREF_34"/>
      <w:r w:rsidRPr="00DD52BF">
        <w:rPr>
          <w:rFonts w:ascii="Times New Roman" w:eastAsia="Calibri" w:hAnsi="Times New Roman" w:cs="Times New Roman"/>
          <w:bCs/>
          <w:noProof/>
          <w:sz w:val="24"/>
          <w:szCs w:val="24"/>
        </w:rPr>
        <w:t>8.</w:t>
      </w:r>
      <w:r w:rsidRPr="00DD52BF">
        <w:rPr>
          <w:rFonts w:ascii="Times New Roman" w:eastAsia="Calibri" w:hAnsi="Times New Roman" w:cs="Times New Roman"/>
          <w:bCs/>
          <w:noProof/>
          <w:sz w:val="24"/>
          <w:szCs w:val="24"/>
        </w:rPr>
        <w:tab/>
        <w:t>Poorvin, L., Rinta-Kanto, J. M., Hutchins, D. A., and Wilhelm, S. W. (</w:t>
      </w:r>
      <w:r w:rsidRPr="00DD52BF">
        <w:rPr>
          <w:rFonts w:ascii="Times New Roman" w:eastAsia="Calibri" w:hAnsi="Times New Roman" w:cs="Times New Roman"/>
          <w:b/>
          <w:bCs/>
          <w:noProof/>
          <w:sz w:val="24"/>
          <w:szCs w:val="24"/>
        </w:rPr>
        <w:t>2004</w:t>
      </w:r>
      <w:r w:rsidRPr="00DD52BF">
        <w:rPr>
          <w:rFonts w:ascii="Times New Roman" w:eastAsia="Calibri" w:hAnsi="Times New Roman" w:cs="Times New Roman"/>
          <w:bCs/>
          <w:noProof/>
          <w:sz w:val="24"/>
          <w:szCs w:val="24"/>
        </w:rPr>
        <w:t xml:space="preserve">) Viral Release of Iron and Its Bioavailability to Marine Plankton, </w:t>
      </w:r>
      <w:r w:rsidRPr="00DD52BF">
        <w:rPr>
          <w:rFonts w:ascii="Times New Roman" w:eastAsia="Calibri" w:hAnsi="Times New Roman" w:cs="Times New Roman"/>
          <w:bCs/>
          <w:i/>
          <w:noProof/>
          <w:sz w:val="24"/>
          <w:szCs w:val="24"/>
        </w:rPr>
        <w:t>Limnology and Oceanography 49</w:t>
      </w:r>
      <w:r w:rsidRPr="00DD52BF">
        <w:rPr>
          <w:rFonts w:ascii="Times New Roman" w:eastAsia="Calibri" w:hAnsi="Times New Roman" w:cs="Times New Roman"/>
          <w:bCs/>
          <w:noProof/>
          <w:sz w:val="24"/>
          <w:szCs w:val="24"/>
        </w:rPr>
        <w:t xml:space="preserve">(5), 1734-1741. </w:t>
      </w:r>
      <w:bookmarkEnd w:id="4"/>
    </w:p>
    <w:p w:rsidR="00913B58" w:rsidRPr="006F0459"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5" w:name="_ENREF_42"/>
      <w:r w:rsidRPr="00DD52BF">
        <w:rPr>
          <w:rFonts w:ascii="Times New Roman" w:eastAsia="Calibri" w:hAnsi="Times New Roman" w:cs="Times New Roman"/>
          <w:bCs/>
          <w:noProof/>
          <w:sz w:val="24"/>
          <w:szCs w:val="24"/>
        </w:rPr>
        <w:t>9.</w:t>
      </w:r>
      <w:r w:rsidRPr="00DD52BF">
        <w:rPr>
          <w:rFonts w:ascii="Times New Roman" w:eastAsia="Calibri" w:hAnsi="Times New Roman" w:cs="Times New Roman"/>
          <w:bCs/>
          <w:noProof/>
          <w:sz w:val="24"/>
          <w:szCs w:val="24"/>
        </w:rPr>
        <w:tab/>
        <w:t>Suttle, C. A. (</w:t>
      </w:r>
      <w:r w:rsidRPr="00DD52BF">
        <w:rPr>
          <w:rFonts w:ascii="Times New Roman" w:eastAsia="Calibri" w:hAnsi="Times New Roman" w:cs="Times New Roman"/>
          <w:b/>
          <w:bCs/>
          <w:noProof/>
          <w:sz w:val="24"/>
          <w:szCs w:val="24"/>
        </w:rPr>
        <w:t>2005</w:t>
      </w:r>
      <w:r w:rsidRPr="00DD52BF">
        <w:rPr>
          <w:rFonts w:ascii="Times New Roman" w:eastAsia="Calibri" w:hAnsi="Times New Roman" w:cs="Times New Roman"/>
          <w:bCs/>
          <w:noProof/>
          <w:sz w:val="24"/>
          <w:szCs w:val="24"/>
        </w:rPr>
        <w:t xml:space="preserve">) Viruses in the sea, </w:t>
      </w:r>
      <w:r w:rsidRPr="00DD52BF">
        <w:rPr>
          <w:rFonts w:ascii="Times New Roman" w:eastAsia="Calibri" w:hAnsi="Times New Roman" w:cs="Times New Roman"/>
          <w:bCs/>
          <w:i/>
          <w:noProof/>
          <w:sz w:val="24"/>
          <w:szCs w:val="24"/>
        </w:rPr>
        <w:t>Nature 437(7057)</w:t>
      </w:r>
      <w:r w:rsidRPr="00DD52BF">
        <w:rPr>
          <w:rFonts w:ascii="Times New Roman" w:eastAsia="Calibri" w:hAnsi="Times New Roman" w:cs="Times New Roman"/>
          <w:bCs/>
          <w:noProof/>
          <w:sz w:val="24"/>
          <w:szCs w:val="24"/>
        </w:rPr>
        <w:t xml:space="preserve">, 356-361. </w:t>
      </w:r>
      <w:bookmarkEnd w:id="5"/>
    </w:p>
    <w:p w:rsidR="00913B58" w:rsidRPr="00C37585"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6" w:name="_ENREF_51"/>
      <w:r w:rsidRPr="00DD52BF">
        <w:rPr>
          <w:rFonts w:ascii="Times New Roman" w:eastAsia="Calibri" w:hAnsi="Times New Roman" w:cs="Times New Roman"/>
          <w:bCs/>
          <w:noProof/>
          <w:sz w:val="24"/>
          <w:szCs w:val="24"/>
        </w:rPr>
        <w:t>10.</w:t>
      </w:r>
      <w:r w:rsidRPr="00DD52BF">
        <w:rPr>
          <w:rFonts w:ascii="Times New Roman" w:eastAsia="Calibri" w:hAnsi="Times New Roman" w:cs="Times New Roman"/>
          <w:bCs/>
          <w:noProof/>
          <w:sz w:val="24"/>
          <w:szCs w:val="24"/>
        </w:rPr>
        <w:tab/>
        <w:t>Wilhelm, S. W., and Suttle, C. A. (</w:t>
      </w:r>
      <w:r w:rsidRPr="00DD52BF">
        <w:rPr>
          <w:rFonts w:ascii="Times New Roman" w:eastAsia="Calibri" w:hAnsi="Times New Roman" w:cs="Times New Roman"/>
          <w:b/>
          <w:bCs/>
          <w:noProof/>
          <w:sz w:val="24"/>
          <w:szCs w:val="24"/>
        </w:rPr>
        <w:t>1999</w:t>
      </w:r>
      <w:r w:rsidRPr="00DD52BF">
        <w:rPr>
          <w:rFonts w:ascii="Times New Roman" w:eastAsia="Calibri" w:hAnsi="Times New Roman" w:cs="Times New Roman"/>
          <w:bCs/>
          <w:noProof/>
          <w:sz w:val="24"/>
          <w:szCs w:val="24"/>
        </w:rPr>
        <w:t xml:space="preserve">) Viruses and Nutrient Cycles in the Sea - Viruses play critical roles in the structure and function of aquatic food webs, </w:t>
      </w:r>
      <w:r w:rsidRPr="00DD52BF">
        <w:rPr>
          <w:rFonts w:ascii="Times New Roman" w:eastAsia="Calibri" w:hAnsi="Times New Roman" w:cs="Times New Roman"/>
          <w:bCs/>
          <w:i/>
          <w:noProof/>
          <w:sz w:val="24"/>
          <w:szCs w:val="24"/>
        </w:rPr>
        <w:t>BioScience 49(10)</w:t>
      </w:r>
      <w:r w:rsidRPr="00DD52BF">
        <w:rPr>
          <w:rFonts w:ascii="Times New Roman" w:eastAsia="Calibri" w:hAnsi="Times New Roman" w:cs="Times New Roman"/>
          <w:bCs/>
          <w:noProof/>
          <w:sz w:val="24"/>
          <w:szCs w:val="24"/>
        </w:rPr>
        <w:t xml:space="preserve">, 781-788. </w:t>
      </w:r>
      <w:bookmarkEnd w:id="6"/>
    </w:p>
    <w:p w:rsidR="00913B58" w:rsidRPr="00C37585"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7" w:name="_ENREF_21"/>
      <w:r w:rsidRPr="00DD52BF">
        <w:rPr>
          <w:rFonts w:ascii="Times New Roman" w:eastAsia="Calibri" w:hAnsi="Times New Roman" w:cs="Times New Roman"/>
          <w:bCs/>
          <w:noProof/>
          <w:sz w:val="24"/>
          <w:szCs w:val="24"/>
        </w:rPr>
        <w:t>11.</w:t>
      </w:r>
      <w:r w:rsidRPr="00DD52BF">
        <w:rPr>
          <w:rFonts w:ascii="Times New Roman" w:eastAsia="Calibri" w:hAnsi="Times New Roman" w:cs="Times New Roman"/>
          <w:bCs/>
          <w:noProof/>
          <w:sz w:val="24"/>
          <w:szCs w:val="24"/>
        </w:rPr>
        <w:tab/>
        <w:t>Jiang, S.C., and Paul, J.H. (</w:t>
      </w:r>
      <w:r w:rsidRPr="00DD52BF">
        <w:rPr>
          <w:rFonts w:ascii="Times New Roman" w:eastAsia="Calibri" w:hAnsi="Times New Roman" w:cs="Times New Roman"/>
          <w:b/>
          <w:bCs/>
          <w:noProof/>
          <w:sz w:val="24"/>
          <w:szCs w:val="24"/>
        </w:rPr>
        <w:t>1998</w:t>
      </w:r>
      <w:r w:rsidRPr="00DD52BF">
        <w:rPr>
          <w:rFonts w:ascii="Times New Roman" w:eastAsia="Calibri" w:hAnsi="Times New Roman" w:cs="Times New Roman"/>
          <w:bCs/>
          <w:noProof/>
          <w:sz w:val="24"/>
          <w:szCs w:val="24"/>
        </w:rPr>
        <w:t xml:space="preserve">) Significance of lysogeny in the marine environment: studies with isolates and a model of lysogenic phage production, </w:t>
      </w:r>
      <w:r w:rsidRPr="00DD52BF">
        <w:rPr>
          <w:rFonts w:ascii="Times New Roman" w:eastAsia="Calibri" w:hAnsi="Times New Roman" w:cs="Times New Roman"/>
          <w:bCs/>
          <w:i/>
          <w:noProof/>
          <w:sz w:val="24"/>
          <w:szCs w:val="24"/>
        </w:rPr>
        <w:t>Microbial ecology 35</w:t>
      </w:r>
      <w:r w:rsidRPr="00DD52BF">
        <w:rPr>
          <w:rFonts w:ascii="Times New Roman" w:eastAsia="Calibri" w:hAnsi="Times New Roman" w:cs="Times New Roman"/>
          <w:bCs/>
          <w:noProof/>
          <w:sz w:val="24"/>
          <w:szCs w:val="24"/>
        </w:rPr>
        <w:t xml:space="preserve">(3), 235-243. </w:t>
      </w:r>
      <w:bookmarkEnd w:id="7"/>
    </w:p>
    <w:p w:rsidR="00913B58" w:rsidRPr="00C37585"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8" w:name="_ENREF_50"/>
      <w:r w:rsidRPr="00DD52BF">
        <w:rPr>
          <w:rFonts w:ascii="Times New Roman" w:eastAsia="Calibri" w:hAnsi="Times New Roman" w:cs="Times New Roman"/>
          <w:bCs/>
          <w:noProof/>
          <w:sz w:val="24"/>
          <w:szCs w:val="24"/>
        </w:rPr>
        <w:t>12.</w:t>
      </w:r>
      <w:r w:rsidRPr="00DD52BF">
        <w:rPr>
          <w:rFonts w:ascii="Times New Roman" w:eastAsia="Calibri" w:hAnsi="Times New Roman" w:cs="Times New Roman"/>
          <w:bCs/>
          <w:noProof/>
          <w:sz w:val="24"/>
          <w:szCs w:val="24"/>
        </w:rPr>
        <w:tab/>
        <w:t>Weinbauer, M. G. (</w:t>
      </w:r>
      <w:r w:rsidRPr="00DD52BF">
        <w:rPr>
          <w:rFonts w:ascii="Times New Roman" w:eastAsia="Calibri" w:hAnsi="Times New Roman" w:cs="Times New Roman"/>
          <w:b/>
          <w:bCs/>
          <w:noProof/>
          <w:sz w:val="24"/>
          <w:szCs w:val="24"/>
        </w:rPr>
        <w:t>2004</w:t>
      </w:r>
      <w:r w:rsidRPr="00DD52BF">
        <w:rPr>
          <w:rFonts w:ascii="Times New Roman" w:eastAsia="Calibri" w:hAnsi="Times New Roman" w:cs="Times New Roman"/>
          <w:bCs/>
          <w:noProof/>
          <w:sz w:val="24"/>
          <w:szCs w:val="24"/>
        </w:rPr>
        <w:t xml:space="preserve">) Ecology of prokaryotic viruses, </w:t>
      </w:r>
      <w:r w:rsidRPr="00DD52BF">
        <w:rPr>
          <w:rFonts w:ascii="Times New Roman" w:eastAsia="Calibri" w:hAnsi="Times New Roman" w:cs="Times New Roman"/>
          <w:bCs/>
          <w:i/>
          <w:noProof/>
          <w:sz w:val="24"/>
          <w:szCs w:val="24"/>
        </w:rPr>
        <w:t>FEMS Microbiology Reviews 28(2)</w:t>
      </w:r>
      <w:r w:rsidRPr="00DD52BF">
        <w:rPr>
          <w:rFonts w:ascii="Times New Roman" w:eastAsia="Calibri" w:hAnsi="Times New Roman" w:cs="Times New Roman"/>
          <w:bCs/>
          <w:noProof/>
          <w:sz w:val="24"/>
          <w:szCs w:val="24"/>
        </w:rPr>
        <w:t xml:space="preserve">, 127-181. </w:t>
      </w:r>
      <w:bookmarkEnd w:id="8"/>
    </w:p>
    <w:p w:rsidR="00913B58" w:rsidRPr="00C37585"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9" w:name="_ENREF_9"/>
      <w:r w:rsidRPr="00DD52BF">
        <w:rPr>
          <w:rFonts w:ascii="Times New Roman" w:eastAsia="Calibri" w:hAnsi="Times New Roman" w:cs="Times New Roman"/>
          <w:bCs/>
          <w:noProof/>
          <w:sz w:val="24"/>
          <w:szCs w:val="24"/>
        </w:rPr>
        <w:lastRenderedPageBreak/>
        <w:t>13.</w:t>
      </w:r>
      <w:r w:rsidRPr="00DD52BF">
        <w:rPr>
          <w:rFonts w:ascii="Times New Roman" w:eastAsia="Calibri" w:hAnsi="Times New Roman" w:cs="Times New Roman"/>
          <w:bCs/>
          <w:noProof/>
          <w:sz w:val="24"/>
          <w:szCs w:val="24"/>
        </w:rPr>
        <w:tab/>
        <w:t>Buchan, A., Gonzalez, J. M., and Moran, M. A. (</w:t>
      </w:r>
      <w:r w:rsidRPr="00DD52BF">
        <w:rPr>
          <w:rFonts w:ascii="Times New Roman" w:eastAsia="Calibri" w:hAnsi="Times New Roman" w:cs="Times New Roman"/>
          <w:b/>
          <w:bCs/>
          <w:noProof/>
          <w:sz w:val="24"/>
          <w:szCs w:val="24"/>
        </w:rPr>
        <w:t>2005</w:t>
      </w:r>
      <w:r w:rsidRPr="00DD52BF">
        <w:rPr>
          <w:rFonts w:ascii="Times New Roman" w:eastAsia="Calibri" w:hAnsi="Times New Roman" w:cs="Times New Roman"/>
          <w:bCs/>
          <w:noProof/>
          <w:sz w:val="24"/>
          <w:szCs w:val="24"/>
        </w:rPr>
        <w:t xml:space="preserve">) Overview of the marine Roseobacter lineage, </w:t>
      </w:r>
      <w:r w:rsidRPr="00DD52BF">
        <w:rPr>
          <w:rFonts w:ascii="Times New Roman" w:eastAsia="Calibri" w:hAnsi="Times New Roman" w:cs="Times New Roman"/>
          <w:bCs/>
          <w:i/>
          <w:noProof/>
          <w:sz w:val="24"/>
          <w:szCs w:val="24"/>
        </w:rPr>
        <w:t>Applied and Environmental Microbiology 71</w:t>
      </w:r>
      <w:r w:rsidRPr="00DD52BF">
        <w:rPr>
          <w:rFonts w:ascii="Times New Roman" w:eastAsia="Calibri" w:hAnsi="Times New Roman" w:cs="Times New Roman"/>
          <w:bCs/>
          <w:noProof/>
          <w:sz w:val="24"/>
          <w:szCs w:val="24"/>
        </w:rPr>
        <w:t xml:space="preserve">(10), 5665-5677. </w:t>
      </w:r>
      <w:bookmarkEnd w:id="9"/>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10" w:name="_ENREF_10"/>
      <w:r w:rsidRPr="00DD52BF">
        <w:rPr>
          <w:rFonts w:ascii="Times New Roman" w:eastAsia="Calibri" w:hAnsi="Times New Roman" w:cs="Times New Roman"/>
          <w:bCs/>
          <w:noProof/>
          <w:sz w:val="24"/>
          <w:szCs w:val="24"/>
        </w:rPr>
        <w:t>14.</w:t>
      </w:r>
      <w:r w:rsidRPr="00DD52BF">
        <w:rPr>
          <w:rFonts w:ascii="Times New Roman" w:eastAsia="Calibri" w:hAnsi="Times New Roman" w:cs="Times New Roman"/>
          <w:bCs/>
          <w:noProof/>
          <w:sz w:val="24"/>
          <w:szCs w:val="24"/>
        </w:rPr>
        <w:tab/>
        <w:t>Buchan, A., Hadden, M., and Suzuki, M. T. (</w:t>
      </w:r>
      <w:r w:rsidRPr="00DD52BF">
        <w:rPr>
          <w:rFonts w:ascii="Times New Roman" w:eastAsia="Calibri" w:hAnsi="Times New Roman" w:cs="Times New Roman"/>
          <w:b/>
          <w:bCs/>
          <w:noProof/>
          <w:sz w:val="24"/>
          <w:szCs w:val="24"/>
        </w:rPr>
        <w:t>2009</w:t>
      </w:r>
      <w:r w:rsidRPr="00DD52BF">
        <w:rPr>
          <w:rFonts w:ascii="Times New Roman" w:eastAsia="Calibri" w:hAnsi="Times New Roman" w:cs="Times New Roman"/>
          <w:bCs/>
          <w:noProof/>
          <w:sz w:val="24"/>
          <w:szCs w:val="24"/>
        </w:rPr>
        <w:t xml:space="preserve">) Development and Application of Quantitative-PCR Tools for Subgroups of the Roseobacter Clade, </w:t>
      </w:r>
      <w:r w:rsidRPr="00DD52BF">
        <w:rPr>
          <w:rFonts w:ascii="Times New Roman" w:eastAsia="Calibri" w:hAnsi="Times New Roman" w:cs="Times New Roman"/>
          <w:bCs/>
          <w:i/>
          <w:noProof/>
          <w:sz w:val="24"/>
          <w:szCs w:val="24"/>
        </w:rPr>
        <w:t>Applied and Environmental Microbiology 75</w:t>
      </w:r>
      <w:r w:rsidRPr="00DD52BF">
        <w:rPr>
          <w:rFonts w:ascii="Times New Roman" w:eastAsia="Calibri" w:hAnsi="Times New Roman" w:cs="Times New Roman"/>
          <w:bCs/>
          <w:noProof/>
          <w:sz w:val="24"/>
          <w:szCs w:val="24"/>
        </w:rPr>
        <w:t xml:space="preserve">(23), 7542-7547. </w:t>
      </w:r>
      <w:bookmarkEnd w:id="10"/>
    </w:p>
    <w:p w:rsidR="00913B58"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color w:val="000000" w:themeColor="text1"/>
          <w:sz w:val="24"/>
          <w:szCs w:val="24"/>
        </w:rPr>
        <w:t>15.</w:t>
      </w:r>
      <w:r w:rsidRPr="00DD52BF">
        <w:rPr>
          <w:rFonts w:ascii="Times New Roman" w:hAnsi="Times New Roman" w:cs="Times New Roman"/>
          <w:color w:val="000000" w:themeColor="text1"/>
          <w:sz w:val="24"/>
          <w:szCs w:val="24"/>
        </w:rPr>
        <w:tab/>
        <w:t>Gonzalez, J., and Moran, M. (</w:t>
      </w:r>
      <w:r w:rsidRPr="00DD52BF">
        <w:rPr>
          <w:rFonts w:ascii="Times New Roman" w:hAnsi="Times New Roman" w:cs="Times New Roman"/>
          <w:b/>
          <w:color w:val="000000" w:themeColor="text1"/>
          <w:sz w:val="24"/>
          <w:szCs w:val="24"/>
        </w:rPr>
        <w:t>1997</w:t>
      </w:r>
      <w:r w:rsidRPr="00DD52BF">
        <w:rPr>
          <w:rFonts w:ascii="Times New Roman" w:hAnsi="Times New Roman" w:cs="Times New Roman"/>
          <w:color w:val="000000" w:themeColor="text1"/>
          <w:sz w:val="24"/>
          <w:szCs w:val="24"/>
        </w:rPr>
        <w:t xml:space="preserve">) Numerical dominance of a group of marine bacteria in the alpha-subclass of the class Proteobacteria in coastal seawater, </w:t>
      </w:r>
      <w:r w:rsidRPr="00DD52BF">
        <w:rPr>
          <w:rFonts w:ascii="Times New Roman" w:hAnsi="Times New Roman" w:cs="Times New Roman"/>
          <w:i/>
          <w:color w:val="000000" w:themeColor="text1"/>
          <w:sz w:val="24"/>
          <w:szCs w:val="24"/>
        </w:rPr>
        <w:t>Applied and Environmental Microbiology  63</w:t>
      </w:r>
      <w:r w:rsidRPr="00DD52BF">
        <w:rPr>
          <w:rFonts w:ascii="Times New Roman" w:hAnsi="Times New Roman" w:cs="Times New Roman"/>
          <w:color w:val="000000" w:themeColor="text1"/>
          <w:sz w:val="24"/>
          <w:szCs w:val="24"/>
        </w:rPr>
        <w:t>, 4237-4242.</w:t>
      </w:r>
    </w:p>
    <w:p w:rsidR="00913B58"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16.</w:t>
      </w:r>
      <w:r w:rsidRPr="00DD52BF">
        <w:rPr>
          <w:rFonts w:ascii="Times New Roman" w:eastAsia="Calibri" w:hAnsi="Times New Roman" w:cs="Times New Roman"/>
          <w:bCs/>
          <w:noProof/>
          <w:sz w:val="24"/>
          <w:szCs w:val="24"/>
        </w:rPr>
        <w:tab/>
        <w:t>Suzuki, M. T., Beja, O., Taylor, L. T., and DeLong, E. F. (</w:t>
      </w:r>
      <w:r w:rsidRPr="00DD52BF">
        <w:rPr>
          <w:rFonts w:ascii="Times New Roman" w:eastAsia="Calibri" w:hAnsi="Times New Roman" w:cs="Times New Roman"/>
          <w:b/>
          <w:bCs/>
          <w:noProof/>
          <w:sz w:val="24"/>
          <w:szCs w:val="24"/>
        </w:rPr>
        <w:t>2001</w:t>
      </w:r>
      <w:r w:rsidRPr="00DD52BF">
        <w:rPr>
          <w:rFonts w:ascii="Times New Roman" w:eastAsia="Calibri" w:hAnsi="Times New Roman" w:cs="Times New Roman"/>
          <w:bCs/>
          <w:noProof/>
          <w:sz w:val="24"/>
          <w:szCs w:val="24"/>
        </w:rPr>
        <w:t xml:space="preserve">) Phylogenetic analysis of ribosomal RNA operons from uncultivated coastal marine bacterioplankton, </w:t>
      </w:r>
      <w:r w:rsidRPr="00DD52BF">
        <w:rPr>
          <w:rFonts w:ascii="Times New Roman" w:eastAsia="Calibri" w:hAnsi="Times New Roman" w:cs="Times New Roman"/>
          <w:bCs/>
          <w:i/>
          <w:noProof/>
          <w:sz w:val="24"/>
          <w:szCs w:val="24"/>
        </w:rPr>
        <w:t>Environmental Microbiology 3(5)</w:t>
      </w:r>
      <w:r w:rsidRPr="00DD52BF">
        <w:rPr>
          <w:rFonts w:ascii="Times New Roman" w:eastAsia="Calibri" w:hAnsi="Times New Roman" w:cs="Times New Roman"/>
          <w:bCs/>
          <w:noProof/>
          <w:sz w:val="24"/>
          <w:szCs w:val="24"/>
        </w:rPr>
        <w:t xml:space="preserve">, 323-331. </w:t>
      </w:r>
    </w:p>
    <w:p w:rsidR="00913B58"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17.</w:t>
      </w:r>
      <w:r w:rsidRPr="00DD52BF">
        <w:rPr>
          <w:rFonts w:ascii="Times New Roman" w:hAnsi="Times New Roman" w:cs="Times New Roman"/>
          <w:color w:val="000000" w:themeColor="text1"/>
          <w:sz w:val="24"/>
          <w:szCs w:val="24"/>
        </w:rPr>
        <w:tab/>
        <w:t>Suzuki, M. T., Preston, C. M., Chavez, F. P., and DeLong, E. F. (</w:t>
      </w:r>
      <w:r w:rsidRPr="00DD52BF">
        <w:rPr>
          <w:rFonts w:ascii="Times New Roman" w:hAnsi="Times New Roman" w:cs="Times New Roman"/>
          <w:b/>
          <w:color w:val="000000" w:themeColor="text1"/>
          <w:sz w:val="24"/>
          <w:szCs w:val="24"/>
        </w:rPr>
        <w:t>2001</w:t>
      </w:r>
      <w:r w:rsidRPr="00DD52BF">
        <w:rPr>
          <w:rFonts w:ascii="Times New Roman" w:hAnsi="Times New Roman" w:cs="Times New Roman"/>
          <w:color w:val="000000" w:themeColor="text1"/>
          <w:sz w:val="24"/>
          <w:szCs w:val="24"/>
        </w:rPr>
        <w:t xml:space="preserve">) Quantitative mapping of bacterioplankton populations in seawater: field tests across an upwelling plume in Monterey Bay, </w:t>
      </w:r>
      <w:r w:rsidRPr="00DD52BF">
        <w:rPr>
          <w:rFonts w:ascii="Times New Roman" w:hAnsi="Times New Roman" w:cs="Times New Roman"/>
          <w:i/>
          <w:color w:val="000000" w:themeColor="text1"/>
          <w:sz w:val="24"/>
          <w:szCs w:val="24"/>
        </w:rPr>
        <w:t>Aquatic Microbial Ecology 24</w:t>
      </w:r>
      <w:r w:rsidRPr="00DD52BF">
        <w:rPr>
          <w:rFonts w:ascii="Times New Roman" w:hAnsi="Times New Roman" w:cs="Times New Roman"/>
          <w:color w:val="000000" w:themeColor="text1"/>
          <w:sz w:val="24"/>
          <w:szCs w:val="24"/>
        </w:rPr>
        <w:t>, 117-127.</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18.</w:t>
      </w:r>
      <w:r w:rsidRPr="00DD52BF">
        <w:rPr>
          <w:rFonts w:ascii="Times New Roman" w:eastAsia="Calibri" w:hAnsi="Times New Roman" w:cs="Times New Roman"/>
          <w:bCs/>
          <w:noProof/>
          <w:sz w:val="24"/>
          <w:szCs w:val="24"/>
        </w:rPr>
        <w:tab/>
        <w:t>Breitbart, M. (</w:t>
      </w:r>
      <w:r w:rsidRPr="00DD52BF">
        <w:rPr>
          <w:rFonts w:ascii="Times New Roman" w:eastAsia="Calibri" w:hAnsi="Times New Roman" w:cs="Times New Roman"/>
          <w:b/>
          <w:bCs/>
          <w:noProof/>
          <w:sz w:val="24"/>
          <w:szCs w:val="24"/>
        </w:rPr>
        <w:t>2012</w:t>
      </w:r>
      <w:r w:rsidRPr="00DD52BF">
        <w:rPr>
          <w:rFonts w:ascii="Times New Roman" w:eastAsia="Calibri" w:hAnsi="Times New Roman" w:cs="Times New Roman"/>
          <w:bCs/>
          <w:noProof/>
          <w:sz w:val="24"/>
          <w:szCs w:val="24"/>
        </w:rPr>
        <w:t xml:space="preserve">) Marine Viruses: Truth or Dare, </w:t>
      </w:r>
      <w:r w:rsidRPr="00DD52BF">
        <w:rPr>
          <w:rFonts w:ascii="Times New Roman" w:eastAsia="Calibri" w:hAnsi="Times New Roman" w:cs="Times New Roman"/>
          <w:bCs/>
          <w:i/>
          <w:noProof/>
          <w:sz w:val="24"/>
          <w:szCs w:val="24"/>
        </w:rPr>
        <w:t>Annual Review of Marine Science 4</w:t>
      </w:r>
      <w:r w:rsidRPr="00DD52BF">
        <w:rPr>
          <w:rFonts w:ascii="Times New Roman" w:eastAsia="Calibri" w:hAnsi="Times New Roman" w:cs="Times New Roman"/>
          <w:bCs/>
          <w:noProof/>
          <w:sz w:val="24"/>
          <w:szCs w:val="24"/>
        </w:rPr>
        <w:t xml:space="preserve">(1), 425-448. </w:t>
      </w:r>
    </w:p>
    <w:p w:rsidR="00913B58"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19.</w:t>
      </w:r>
      <w:r w:rsidRPr="00DD52BF">
        <w:rPr>
          <w:rFonts w:ascii="Times New Roman" w:eastAsia="Calibri" w:hAnsi="Times New Roman" w:cs="Times New Roman"/>
          <w:bCs/>
          <w:noProof/>
          <w:sz w:val="24"/>
          <w:szCs w:val="24"/>
        </w:rPr>
        <w:tab/>
        <w:t>Kujawinski, E. B. (</w:t>
      </w:r>
      <w:r w:rsidRPr="00DD52BF">
        <w:rPr>
          <w:rFonts w:ascii="Times New Roman" w:eastAsia="Calibri" w:hAnsi="Times New Roman" w:cs="Times New Roman"/>
          <w:b/>
          <w:bCs/>
          <w:noProof/>
          <w:sz w:val="24"/>
          <w:szCs w:val="24"/>
        </w:rPr>
        <w:t>2011</w:t>
      </w:r>
      <w:r w:rsidRPr="00DD52BF">
        <w:rPr>
          <w:rFonts w:ascii="Times New Roman" w:eastAsia="Calibri" w:hAnsi="Times New Roman" w:cs="Times New Roman"/>
          <w:bCs/>
          <w:noProof/>
          <w:sz w:val="24"/>
          <w:szCs w:val="24"/>
        </w:rPr>
        <w:t xml:space="preserve">) The Impact of Microbial Metabolism on Marine Dissolved Organic Matter In C. A. G. S. J. Carlson (Ed.), </w:t>
      </w:r>
      <w:r w:rsidRPr="00DD52BF">
        <w:rPr>
          <w:rFonts w:ascii="Times New Roman" w:eastAsia="Calibri" w:hAnsi="Times New Roman" w:cs="Times New Roman"/>
          <w:bCs/>
          <w:i/>
          <w:noProof/>
          <w:sz w:val="24"/>
          <w:szCs w:val="24"/>
        </w:rPr>
        <w:t>Annual Review of Marine Science 3</w:t>
      </w:r>
      <w:r w:rsidRPr="00DD52BF">
        <w:rPr>
          <w:rFonts w:ascii="Times New Roman" w:eastAsia="Calibri" w:hAnsi="Times New Roman" w:cs="Times New Roman"/>
          <w:bCs/>
          <w:noProof/>
          <w:sz w:val="24"/>
          <w:szCs w:val="24"/>
        </w:rPr>
        <w:t>, 567-599.</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contextualSpacing/>
        <w:jc w:val="both"/>
        <w:rPr>
          <w:rFonts w:ascii="Times New Roman" w:eastAsia="Times New Roman" w:hAnsi="Times New Roman" w:cs="Times New Roman"/>
          <w:noProof/>
          <w:sz w:val="24"/>
          <w:szCs w:val="24"/>
        </w:rPr>
      </w:pPr>
      <w:r w:rsidRPr="00DD52BF">
        <w:rPr>
          <w:rFonts w:ascii="Times New Roman" w:eastAsia="Times New Roman" w:hAnsi="Times New Roman" w:cs="Times New Roman"/>
          <w:noProof/>
          <w:sz w:val="24"/>
          <w:szCs w:val="24"/>
        </w:rPr>
        <w:t>20.</w:t>
      </w:r>
      <w:r w:rsidRPr="00DD52BF">
        <w:rPr>
          <w:rFonts w:ascii="Times New Roman" w:eastAsia="Times New Roman" w:hAnsi="Times New Roman" w:cs="Times New Roman"/>
          <w:noProof/>
          <w:sz w:val="24"/>
          <w:szCs w:val="24"/>
        </w:rPr>
        <w:tab/>
        <w:t>Bajad, S. U., Lu, W. Y., Kimball, E. H., Yuan, J., Peterson, C., and Rabinowitz, J. D. (</w:t>
      </w:r>
      <w:r w:rsidRPr="00DD52BF">
        <w:rPr>
          <w:rFonts w:ascii="Times New Roman" w:eastAsia="Times New Roman" w:hAnsi="Times New Roman" w:cs="Times New Roman"/>
          <w:b/>
          <w:noProof/>
          <w:sz w:val="24"/>
          <w:szCs w:val="24"/>
        </w:rPr>
        <w:t>2006</w:t>
      </w:r>
      <w:r w:rsidRPr="00DD52BF">
        <w:rPr>
          <w:rFonts w:ascii="Times New Roman" w:eastAsia="Times New Roman" w:hAnsi="Times New Roman" w:cs="Times New Roman"/>
          <w:noProof/>
          <w:sz w:val="24"/>
          <w:szCs w:val="24"/>
        </w:rPr>
        <w:t>)</w:t>
      </w:r>
      <w:r w:rsidRPr="00DD52BF">
        <w:rPr>
          <w:rFonts w:ascii="Times New Roman" w:hAnsi="Times New Roman" w:cs="Times New Roman"/>
          <w:sz w:val="24"/>
          <w:szCs w:val="24"/>
        </w:rPr>
        <w:t xml:space="preserve"> </w:t>
      </w:r>
      <w:hyperlink r:id="rId19" w:history="1">
        <w:r w:rsidRPr="00DD52BF">
          <w:rPr>
            <w:rFonts w:ascii="Times New Roman" w:eastAsia="Times New Roman" w:hAnsi="Times New Roman" w:cs="Times New Roman"/>
            <w:color w:val="000000" w:themeColor="text1"/>
            <w:sz w:val="24"/>
            <w:szCs w:val="24"/>
          </w:rPr>
          <w:t xml:space="preserve">Separation and quantitation of water soluble cellular metabolites by hydrophilic interaction chromatography-tandem mass spectrometry, </w:t>
        </w:r>
      </w:hyperlink>
      <w:r w:rsidRPr="00DD52BF">
        <w:rPr>
          <w:rFonts w:ascii="Times New Roman" w:eastAsia="Times New Roman" w:hAnsi="Times New Roman" w:cs="Times New Roman"/>
          <w:i/>
          <w:noProof/>
          <w:sz w:val="24"/>
          <w:szCs w:val="24"/>
        </w:rPr>
        <w:t>Journal of Chromatography A</w:t>
      </w:r>
      <w:r w:rsidRPr="00DD52BF">
        <w:rPr>
          <w:rFonts w:ascii="Times New Roman" w:eastAsia="Times New Roman" w:hAnsi="Times New Roman" w:cs="Times New Roman"/>
          <w:noProof/>
          <w:sz w:val="24"/>
          <w:szCs w:val="24"/>
        </w:rPr>
        <w:t xml:space="preserve"> </w:t>
      </w:r>
      <w:r w:rsidRPr="00DD52BF">
        <w:rPr>
          <w:rFonts w:ascii="Times New Roman" w:eastAsia="Times New Roman" w:hAnsi="Times New Roman" w:cs="Times New Roman"/>
          <w:i/>
          <w:noProof/>
          <w:sz w:val="24"/>
          <w:szCs w:val="24"/>
        </w:rPr>
        <w:t>1125</w:t>
      </w:r>
      <w:r w:rsidRPr="00DD52BF">
        <w:rPr>
          <w:rFonts w:ascii="Times New Roman" w:eastAsia="Times New Roman" w:hAnsi="Times New Roman" w:cs="Times New Roman"/>
          <w:noProof/>
          <w:sz w:val="24"/>
          <w:szCs w:val="24"/>
        </w:rPr>
        <w:t xml:space="preserve">, 76. </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11" w:name="_ENREF_36"/>
      <w:r w:rsidRPr="00DD52BF">
        <w:rPr>
          <w:rFonts w:ascii="Times New Roman" w:eastAsia="Calibri" w:hAnsi="Times New Roman" w:cs="Times New Roman"/>
          <w:bCs/>
          <w:noProof/>
          <w:sz w:val="24"/>
          <w:szCs w:val="24"/>
        </w:rPr>
        <w:t>21.</w:t>
      </w:r>
      <w:r w:rsidRPr="00DD52BF">
        <w:rPr>
          <w:rFonts w:ascii="Times New Roman" w:eastAsia="Calibri" w:hAnsi="Times New Roman" w:cs="Times New Roman"/>
          <w:bCs/>
          <w:noProof/>
          <w:sz w:val="24"/>
          <w:szCs w:val="24"/>
        </w:rPr>
        <w:tab/>
        <w:t>Rabinowitz, J. D., and Kimball, E. (</w:t>
      </w:r>
      <w:r w:rsidRPr="00DD52BF">
        <w:rPr>
          <w:rFonts w:ascii="Times New Roman" w:eastAsia="Calibri" w:hAnsi="Times New Roman" w:cs="Times New Roman"/>
          <w:b/>
          <w:bCs/>
          <w:noProof/>
          <w:sz w:val="24"/>
          <w:szCs w:val="24"/>
        </w:rPr>
        <w:t>2007</w:t>
      </w:r>
      <w:r w:rsidRPr="00DD52BF">
        <w:rPr>
          <w:rFonts w:ascii="Times New Roman" w:eastAsia="Calibri" w:hAnsi="Times New Roman" w:cs="Times New Roman"/>
          <w:bCs/>
          <w:noProof/>
          <w:sz w:val="24"/>
          <w:szCs w:val="24"/>
        </w:rPr>
        <w:t xml:space="preserve">) Acidic acetonitrile for cellular metabolome extraction from Escherichia coli, </w:t>
      </w:r>
      <w:r w:rsidRPr="00DD52BF">
        <w:rPr>
          <w:rFonts w:ascii="Times New Roman" w:eastAsia="Calibri" w:hAnsi="Times New Roman" w:cs="Times New Roman"/>
          <w:bCs/>
          <w:i/>
          <w:noProof/>
          <w:sz w:val="24"/>
          <w:szCs w:val="24"/>
        </w:rPr>
        <w:t>Analytical Chemistry 79(16)</w:t>
      </w:r>
      <w:r w:rsidRPr="00DD52BF">
        <w:rPr>
          <w:rFonts w:ascii="Times New Roman" w:eastAsia="Calibri" w:hAnsi="Times New Roman" w:cs="Times New Roman"/>
          <w:bCs/>
          <w:noProof/>
          <w:sz w:val="24"/>
          <w:szCs w:val="24"/>
        </w:rPr>
        <w:t xml:space="preserve">, 6167-6173. </w:t>
      </w:r>
      <w:bookmarkEnd w:id="11"/>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tabs>
          <w:tab w:val="left" w:pos="360"/>
        </w:tabs>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22.</w:t>
      </w:r>
      <w:r w:rsidRPr="00DD52BF">
        <w:rPr>
          <w:rFonts w:ascii="Times New Roman" w:hAnsi="Times New Roman" w:cs="Times New Roman"/>
          <w:color w:val="000000" w:themeColor="text1"/>
          <w:sz w:val="24"/>
          <w:szCs w:val="24"/>
        </w:rPr>
        <w:tab/>
      </w:r>
      <w:r w:rsidRPr="00DD52BF">
        <w:rPr>
          <w:rFonts w:ascii="Times New Roman" w:hAnsi="Times New Roman" w:cs="Times New Roman"/>
          <w:color w:val="000000" w:themeColor="text1"/>
          <w:sz w:val="24"/>
          <w:szCs w:val="24"/>
        </w:rPr>
        <w:tab/>
        <w:t>Giovannoni, S. J., and Rappe, M. (</w:t>
      </w:r>
      <w:r w:rsidRPr="00DD52BF">
        <w:rPr>
          <w:rFonts w:ascii="Times New Roman" w:hAnsi="Times New Roman" w:cs="Times New Roman"/>
          <w:b/>
          <w:color w:val="000000" w:themeColor="text1"/>
          <w:sz w:val="24"/>
          <w:szCs w:val="24"/>
        </w:rPr>
        <w:t>2000</w:t>
      </w:r>
      <w:r w:rsidRPr="00DD52BF">
        <w:rPr>
          <w:rFonts w:ascii="Times New Roman" w:hAnsi="Times New Roman" w:cs="Times New Roman"/>
          <w:color w:val="000000" w:themeColor="text1"/>
          <w:sz w:val="24"/>
          <w:szCs w:val="24"/>
        </w:rPr>
        <w:t xml:space="preserve">) Evolution, Diversity, and Molecular Ecology of Marine Prokaryotes, in Microbial Ecology of the Oceans, Kirchman, D. L (ed.), </w:t>
      </w:r>
      <w:r w:rsidRPr="00DD52BF">
        <w:rPr>
          <w:rFonts w:ascii="Times New Roman" w:hAnsi="Times New Roman" w:cs="Times New Roman"/>
          <w:i/>
          <w:color w:val="000000" w:themeColor="text1"/>
          <w:sz w:val="24"/>
          <w:szCs w:val="24"/>
        </w:rPr>
        <w:t>John Wiley &amp; Sons</w:t>
      </w:r>
      <w:r w:rsidRPr="00DD52BF">
        <w:rPr>
          <w:rFonts w:ascii="Times New Roman" w:hAnsi="Times New Roman" w:cs="Times New Roman"/>
          <w:color w:val="000000" w:themeColor="text1"/>
          <w:sz w:val="24"/>
          <w:szCs w:val="24"/>
        </w:rPr>
        <w:t>, 47-84.</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23.</w:t>
      </w:r>
      <w:r w:rsidRPr="00DD52BF">
        <w:rPr>
          <w:rFonts w:ascii="Times New Roman" w:hAnsi="Times New Roman" w:cs="Times New Roman"/>
          <w:color w:val="000000" w:themeColor="text1"/>
          <w:sz w:val="24"/>
          <w:szCs w:val="24"/>
        </w:rPr>
        <w:tab/>
        <w:t>Suzuki, M. T., and DeLong, E. F. (</w:t>
      </w:r>
      <w:r w:rsidRPr="00DD52BF">
        <w:rPr>
          <w:rFonts w:ascii="Times New Roman" w:hAnsi="Times New Roman" w:cs="Times New Roman"/>
          <w:b/>
          <w:color w:val="000000" w:themeColor="text1"/>
          <w:sz w:val="24"/>
          <w:szCs w:val="24"/>
        </w:rPr>
        <w:t>2001</w:t>
      </w:r>
      <w:r w:rsidRPr="00DD52BF">
        <w:rPr>
          <w:rFonts w:ascii="Times New Roman" w:hAnsi="Times New Roman" w:cs="Times New Roman"/>
          <w:color w:val="000000" w:themeColor="text1"/>
          <w:sz w:val="24"/>
          <w:szCs w:val="24"/>
        </w:rPr>
        <w:t xml:space="preserve">) Marine prokaryotic diversity, in Biodiversity of Microbial Life: Foundation of Earth's Biosphere, Staley, J. T., and Reysenbach, A. L. (ed.), </w:t>
      </w:r>
      <w:r w:rsidRPr="00DD52BF">
        <w:rPr>
          <w:rFonts w:ascii="Times New Roman" w:hAnsi="Times New Roman" w:cs="Times New Roman"/>
          <w:i/>
          <w:color w:val="000000" w:themeColor="text1"/>
          <w:sz w:val="24"/>
          <w:szCs w:val="24"/>
        </w:rPr>
        <w:t>Wiley</w:t>
      </w:r>
      <w:r w:rsidRPr="00DD52BF">
        <w:rPr>
          <w:rFonts w:ascii="Times New Roman" w:hAnsi="Times New Roman" w:cs="Times New Roman"/>
          <w:color w:val="000000" w:themeColor="text1"/>
          <w:sz w:val="24"/>
          <w:szCs w:val="24"/>
        </w:rPr>
        <w:t>.</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24.</w:t>
      </w:r>
      <w:r w:rsidRPr="00DD52BF">
        <w:rPr>
          <w:rFonts w:ascii="Times New Roman" w:hAnsi="Times New Roman" w:cs="Times New Roman"/>
          <w:color w:val="000000" w:themeColor="text1"/>
          <w:sz w:val="24"/>
          <w:szCs w:val="24"/>
        </w:rPr>
        <w:tab/>
        <w:t>Selje, N., Simon, M., and Brinkhoff, T. (</w:t>
      </w:r>
      <w:r w:rsidRPr="00DD52BF">
        <w:rPr>
          <w:rFonts w:ascii="Times New Roman" w:hAnsi="Times New Roman" w:cs="Times New Roman"/>
          <w:b/>
          <w:color w:val="000000" w:themeColor="text1"/>
          <w:sz w:val="24"/>
          <w:szCs w:val="24"/>
        </w:rPr>
        <w:t>2004</w:t>
      </w:r>
      <w:r w:rsidRPr="00DD52BF">
        <w:rPr>
          <w:rFonts w:ascii="Times New Roman" w:hAnsi="Times New Roman" w:cs="Times New Roman"/>
          <w:color w:val="000000" w:themeColor="text1"/>
          <w:sz w:val="24"/>
          <w:szCs w:val="24"/>
        </w:rPr>
        <w:t xml:space="preserve">) A newly discovered </w:t>
      </w:r>
      <w:r w:rsidRPr="00DD52BF">
        <w:rPr>
          <w:rFonts w:ascii="Times New Roman" w:hAnsi="Times New Roman" w:cs="Times New Roman"/>
          <w:i/>
          <w:color w:val="000000" w:themeColor="text1"/>
          <w:sz w:val="24"/>
          <w:szCs w:val="24"/>
        </w:rPr>
        <w:t>Roseobacter</w:t>
      </w:r>
      <w:r w:rsidRPr="00DD52BF">
        <w:rPr>
          <w:rFonts w:ascii="Times New Roman" w:hAnsi="Times New Roman" w:cs="Times New Roman"/>
          <w:color w:val="000000" w:themeColor="text1"/>
          <w:sz w:val="24"/>
          <w:szCs w:val="24"/>
        </w:rPr>
        <w:t xml:space="preserve"> cluster in temperate and polar oceans, </w:t>
      </w:r>
      <w:r w:rsidRPr="00DD52BF">
        <w:rPr>
          <w:rFonts w:ascii="Times New Roman" w:hAnsi="Times New Roman" w:cs="Times New Roman"/>
          <w:i/>
          <w:color w:val="000000" w:themeColor="text1"/>
          <w:sz w:val="24"/>
          <w:szCs w:val="24"/>
        </w:rPr>
        <w:t>Nature 427</w:t>
      </w:r>
      <w:r w:rsidRPr="00DD52BF">
        <w:rPr>
          <w:rFonts w:ascii="Times New Roman" w:hAnsi="Times New Roman" w:cs="Times New Roman"/>
          <w:color w:val="000000" w:themeColor="text1"/>
          <w:sz w:val="24"/>
          <w:szCs w:val="24"/>
        </w:rPr>
        <w:t>, 445-448.</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color w:val="000000" w:themeColor="text1"/>
          <w:sz w:val="24"/>
          <w:szCs w:val="24"/>
        </w:rPr>
        <w:lastRenderedPageBreak/>
        <w:t>25.</w:t>
      </w:r>
      <w:r w:rsidRPr="00DD52BF">
        <w:rPr>
          <w:rFonts w:ascii="Times New Roman" w:hAnsi="Times New Roman" w:cs="Times New Roman"/>
          <w:color w:val="000000" w:themeColor="text1"/>
          <w:sz w:val="24"/>
          <w:szCs w:val="24"/>
        </w:rPr>
        <w:tab/>
        <w:t>Alonso-Saez, L., and Gasol, J. M. (</w:t>
      </w:r>
      <w:r w:rsidRPr="00DD52BF">
        <w:rPr>
          <w:rFonts w:ascii="Times New Roman" w:hAnsi="Times New Roman" w:cs="Times New Roman"/>
          <w:b/>
          <w:color w:val="000000" w:themeColor="text1"/>
          <w:sz w:val="24"/>
          <w:szCs w:val="24"/>
        </w:rPr>
        <w:t>2007</w:t>
      </w:r>
      <w:r w:rsidRPr="00DD52BF">
        <w:rPr>
          <w:rFonts w:ascii="Times New Roman" w:hAnsi="Times New Roman" w:cs="Times New Roman"/>
          <w:color w:val="000000" w:themeColor="text1"/>
          <w:sz w:val="24"/>
          <w:szCs w:val="24"/>
        </w:rPr>
        <w:t xml:space="preserve">) Seasonal variations in the contributions of different bacterial groups to the uptake of low-molecular-weight compounds in Northwestern Mediterranean coastal waters, </w:t>
      </w:r>
      <w:r w:rsidRPr="00DD52BF">
        <w:rPr>
          <w:rFonts w:ascii="Times New Roman" w:hAnsi="Times New Roman" w:cs="Times New Roman"/>
          <w:i/>
          <w:color w:val="000000" w:themeColor="text1"/>
          <w:sz w:val="24"/>
          <w:szCs w:val="24"/>
        </w:rPr>
        <w:t>Applied and Environmental Microbiology 73</w:t>
      </w:r>
      <w:r w:rsidRPr="00DD52BF">
        <w:rPr>
          <w:rFonts w:ascii="Times New Roman" w:hAnsi="Times New Roman" w:cs="Times New Roman"/>
          <w:color w:val="000000" w:themeColor="text1"/>
          <w:sz w:val="24"/>
          <w:szCs w:val="24"/>
        </w:rPr>
        <w:t>, 3528-3535</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26.</w:t>
      </w:r>
      <w:r w:rsidRPr="00DD52BF">
        <w:rPr>
          <w:rFonts w:ascii="Times New Roman" w:hAnsi="Times New Roman" w:cs="Times New Roman"/>
          <w:color w:val="000000" w:themeColor="text1"/>
          <w:sz w:val="24"/>
          <w:szCs w:val="24"/>
        </w:rPr>
        <w:tab/>
        <w:t>Malmstrom, R. R., Straza, T. R. A., Cottrell, M. T., and Kirchman, D. L. (</w:t>
      </w:r>
      <w:r w:rsidRPr="00DD52BF">
        <w:rPr>
          <w:rFonts w:ascii="Times New Roman" w:hAnsi="Times New Roman" w:cs="Times New Roman"/>
          <w:b/>
          <w:color w:val="000000" w:themeColor="text1"/>
          <w:sz w:val="24"/>
          <w:szCs w:val="24"/>
        </w:rPr>
        <w:t>2007</w:t>
      </w:r>
      <w:r w:rsidRPr="00DD52BF">
        <w:rPr>
          <w:rFonts w:ascii="Times New Roman" w:hAnsi="Times New Roman" w:cs="Times New Roman"/>
          <w:color w:val="000000" w:themeColor="text1"/>
          <w:sz w:val="24"/>
          <w:szCs w:val="24"/>
        </w:rPr>
        <w:t xml:space="preserve">) Diversity, abundance, and biomass production of bacterial groups in the western Arctic Ocean, </w:t>
      </w:r>
      <w:r w:rsidRPr="00DD52BF">
        <w:rPr>
          <w:rFonts w:ascii="Times New Roman" w:hAnsi="Times New Roman" w:cs="Times New Roman"/>
          <w:i/>
          <w:color w:val="000000" w:themeColor="text1"/>
          <w:sz w:val="24"/>
          <w:szCs w:val="24"/>
        </w:rPr>
        <w:t>Aquatic Microbial Ecology 47</w:t>
      </w:r>
      <w:r w:rsidRPr="00DD52BF">
        <w:rPr>
          <w:rFonts w:ascii="Times New Roman" w:hAnsi="Times New Roman" w:cs="Times New Roman"/>
          <w:color w:val="000000" w:themeColor="text1"/>
          <w:sz w:val="24"/>
          <w:szCs w:val="24"/>
        </w:rPr>
        <w:t>, 45-55.</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27.</w:t>
      </w:r>
      <w:r w:rsidRPr="00DD52BF">
        <w:rPr>
          <w:rFonts w:ascii="Times New Roman" w:hAnsi="Times New Roman" w:cs="Times New Roman"/>
          <w:color w:val="000000" w:themeColor="text1"/>
          <w:sz w:val="24"/>
          <w:szCs w:val="24"/>
        </w:rPr>
        <w:tab/>
        <w:t>Taniguchi, A., and Hamasaki, K. (</w:t>
      </w:r>
      <w:r w:rsidRPr="00DD52BF">
        <w:rPr>
          <w:rFonts w:ascii="Times New Roman" w:hAnsi="Times New Roman" w:cs="Times New Roman"/>
          <w:b/>
          <w:color w:val="000000" w:themeColor="text1"/>
          <w:sz w:val="24"/>
          <w:szCs w:val="24"/>
        </w:rPr>
        <w:t>2008</w:t>
      </w:r>
      <w:r w:rsidRPr="00DD52BF">
        <w:rPr>
          <w:rFonts w:ascii="Times New Roman" w:hAnsi="Times New Roman" w:cs="Times New Roman"/>
          <w:color w:val="000000" w:themeColor="text1"/>
          <w:sz w:val="24"/>
          <w:szCs w:val="24"/>
        </w:rPr>
        <w:t xml:space="preserve">) Community structures of actively growing bacteria shift along a north-south transect in the western North Pacific, </w:t>
      </w:r>
      <w:r w:rsidRPr="00DD52BF">
        <w:rPr>
          <w:rFonts w:ascii="Times New Roman" w:hAnsi="Times New Roman" w:cs="Times New Roman"/>
          <w:i/>
          <w:color w:val="000000" w:themeColor="text1"/>
          <w:sz w:val="24"/>
          <w:szCs w:val="24"/>
        </w:rPr>
        <w:t>Environmental Microbiology 10</w:t>
      </w:r>
      <w:r w:rsidRPr="00DD52BF">
        <w:rPr>
          <w:rFonts w:ascii="Times New Roman" w:hAnsi="Times New Roman" w:cs="Times New Roman"/>
          <w:color w:val="000000" w:themeColor="text1"/>
          <w:sz w:val="24"/>
          <w:szCs w:val="24"/>
        </w:rPr>
        <w:t xml:space="preserve">, </w:t>
      </w:r>
      <w:proofErr w:type="gramStart"/>
      <w:r w:rsidRPr="00DD52BF">
        <w:rPr>
          <w:rFonts w:ascii="Times New Roman" w:hAnsi="Times New Roman" w:cs="Times New Roman"/>
          <w:color w:val="000000" w:themeColor="text1"/>
          <w:sz w:val="24"/>
          <w:szCs w:val="24"/>
        </w:rPr>
        <w:t>1007</w:t>
      </w:r>
      <w:proofErr w:type="gramEnd"/>
      <w:r w:rsidRPr="00DD52BF">
        <w:rPr>
          <w:rFonts w:ascii="Times New Roman" w:hAnsi="Times New Roman" w:cs="Times New Roman"/>
          <w:color w:val="000000" w:themeColor="text1"/>
          <w:sz w:val="24"/>
          <w:szCs w:val="24"/>
        </w:rPr>
        <w:t>-1017.</w:t>
      </w:r>
    </w:p>
    <w:p w:rsidR="00913B58"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28.</w:t>
      </w:r>
      <w:r w:rsidRPr="00DD52BF">
        <w:rPr>
          <w:rFonts w:ascii="Times New Roman" w:hAnsi="Times New Roman" w:cs="Times New Roman"/>
          <w:color w:val="000000" w:themeColor="text1"/>
          <w:sz w:val="24"/>
          <w:szCs w:val="24"/>
        </w:rPr>
        <w:tab/>
        <w:t xml:space="preserve">Vila-Costa, M., Simo, R., </w:t>
      </w:r>
      <w:r w:rsidRPr="00DD52BF">
        <w:rPr>
          <w:rFonts w:ascii="Times New Roman" w:hAnsi="Times New Roman" w:cs="Times New Roman"/>
          <w:bCs/>
          <w:color w:val="000000" w:themeColor="text1"/>
          <w:sz w:val="24"/>
          <w:szCs w:val="24"/>
        </w:rPr>
        <w:t>Alonso-Saez, L.</w:t>
      </w:r>
      <w:r w:rsidRPr="00DD52BF">
        <w:rPr>
          <w:rFonts w:ascii="Times New Roman" w:hAnsi="Times New Roman" w:cs="Times New Roman"/>
          <w:color w:val="000000" w:themeColor="text1"/>
          <w:sz w:val="24"/>
          <w:szCs w:val="24"/>
        </w:rPr>
        <w:t>, Pedros-Alio, C. (</w:t>
      </w:r>
      <w:r w:rsidRPr="00DD52BF">
        <w:rPr>
          <w:rFonts w:ascii="Times New Roman" w:hAnsi="Times New Roman" w:cs="Times New Roman"/>
          <w:b/>
          <w:color w:val="000000" w:themeColor="text1"/>
          <w:sz w:val="24"/>
          <w:szCs w:val="24"/>
        </w:rPr>
        <w:t>2008</w:t>
      </w:r>
      <w:r w:rsidRPr="00DD52BF">
        <w:rPr>
          <w:rFonts w:ascii="Times New Roman" w:hAnsi="Times New Roman" w:cs="Times New Roman"/>
          <w:color w:val="000000" w:themeColor="text1"/>
          <w:sz w:val="24"/>
          <w:szCs w:val="24"/>
        </w:rPr>
        <w:t xml:space="preserve">) Number and phylogenetic affiliation of bacteria assimilating dimethylsulfoniopropionate and leucine in the ice-covered coastal Arctic Ocean, </w:t>
      </w:r>
      <w:r w:rsidRPr="00DD52BF">
        <w:rPr>
          <w:rFonts w:ascii="Times New Roman" w:hAnsi="Times New Roman" w:cs="Times New Roman"/>
          <w:i/>
          <w:color w:val="000000" w:themeColor="text1"/>
          <w:sz w:val="24"/>
          <w:szCs w:val="24"/>
        </w:rPr>
        <w:t>Journal of Marine Systems 74</w:t>
      </w:r>
      <w:r w:rsidRPr="00DD52BF">
        <w:rPr>
          <w:rFonts w:ascii="Times New Roman" w:hAnsi="Times New Roman" w:cs="Times New Roman"/>
          <w:color w:val="000000" w:themeColor="text1"/>
          <w:sz w:val="24"/>
          <w:szCs w:val="24"/>
        </w:rPr>
        <w:t>, 957-963.</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29.</w:t>
      </w:r>
      <w:r w:rsidRPr="00DD52BF">
        <w:rPr>
          <w:rFonts w:ascii="Times New Roman" w:hAnsi="Times New Roman" w:cs="Times New Roman"/>
          <w:color w:val="000000" w:themeColor="text1"/>
          <w:sz w:val="24"/>
          <w:szCs w:val="24"/>
        </w:rPr>
        <w:tab/>
        <w:t>Buchan, A., Collier, L. S., Neidle, E. L., and Moran, M. A. (</w:t>
      </w:r>
      <w:r w:rsidRPr="00DD52BF">
        <w:rPr>
          <w:rFonts w:ascii="Times New Roman" w:hAnsi="Times New Roman" w:cs="Times New Roman"/>
          <w:b/>
          <w:color w:val="000000" w:themeColor="text1"/>
          <w:sz w:val="24"/>
          <w:szCs w:val="24"/>
        </w:rPr>
        <w:t>2000</w:t>
      </w:r>
      <w:r w:rsidRPr="00DD52BF">
        <w:rPr>
          <w:rFonts w:ascii="Times New Roman" w:hAnsi="Times New Roman" w:cs="Times New Roman"/>
          <w:color w:val="000000" w:themeColor="text1"/>
          <w:sz w:val="24"/>
          <w:szCs w:val="24"/>
        </w:rPr>
        <w:t xml:space="preserve">) Key aromatic-ring-cleaving enzyme, protocatechuate 3,4-dioxygenase, in the ecologically important marine </w:t>
      </w:r>
      <w:r w:rsidRPr="00DD52BF">
        <w:rPr>
          <w:rFonts w:ascii="Times New Roman" w:hAnsi="Times New Roman" w:cs="Times New Roman"/>
          <w:i/>
          <w:color w:val="000000" w:themeColor="text1"/>
          <w:sz w:val="24"/>
          <w:szCs w:val="24"/>
        </w:rPr>
        <w:t xml:space="preserve">Roseobacter </w:t>
      </w:r>
      <w:r w:rsidRPr="00DD52BF">
        <w:rPr>
          <w:rFonts w:ascii="Times New Roman" w:hAnsi="Times New Roman" w:cs="Times New Roman"/>
          <w:color w:val="000000" w:themeColor="text1"/>
          <w:sz w:val="24"/>
          <w:szCs w:val="24"/>
        </w:rPr>
        <w:t xml:space="preserve">lineage, </w:t>
      </w:r>
      <w:r w:rsidRPr="00DD52BF">
        <w:rPr>
          <w:rFonts w:ascii="Times New Roman" w:hAnsi="Times New Roman" w:cs="Times New Roman"/>
          <w:i/>
          <w:color w:val="000000" w:themeColor="text1"/>
          <w:sz w:val="24"/>
          <w:szCs w:val="24"/>
        </w:rPr>
        <w:t>Applied and Environmental Microbiology 66</w:t>
      </w:r>
      <w:r w:rsidRPr="00DD52BF">
        <w:rPr>
          <w:rFonts w:ascii="Times New Roman" w:hAnsi="Times New Roman" w:cs="Times New Roman"/>
          <w:color w:val="000000" w:themeColor="text1"/>
          <w:sz w:val="24"/>
          <w:szCs w:val="24"/>
        </w:rPr>
        <w:t>, 4662-4672.</w:t>
      </w:r>
    </w:p>
    <w:p w:rsidR="00913B58"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30.</w:t>
      </w:r>
      <w:r w:rsidRPr="00DD52BF">
        <w:rPr>
          <w:rFonts w:ascii="Times New Roman" w:hAnsi="Times New Roman" w:cs="Times New Roman"/>
          <w:color w:val="000000" w:themeColor="text1"/>
          <w:sz w:val="24"/>
          <w:szCs w:val="24"/>
        </w:rPr>
        <w:tab/>
        <w:t>Buchan, A., Neidle, E. L., and Moran, M. A. (</w:t>
      </w:r>
      <w:r w:rsidRPr="00DD52BF">
        <w:rPr>
          <w:rFonts w:ascii="Times New Roman" w:hAnsi="Times New Roman" w:cs="Times New Roman"/>
          <w:b/>
          <w:color w:val="000000" w:themeColor="text1"/>
          <w:sz w:val="24"/>
          <w:szCs w:val="24"/>
        </w:rPr>
        <w:t>2004</w:t>
      </w:r>
      <w:r w:rsidRPr="00DD52BF">
        <w:rPr>
          <w:rFonts w:ascii="Times New Roman" w:hAnsi="Times New Roman" w:cs="Times New Roman"/>
          <w:color w:val="000000" w:themeColor="text1"/>
          <w:sz w:val="24"/>
          <w:szCs w:val="24"/>
        </w:rPr>
        <w:t xml:space="preserve">) Diverse organization of genes of the beta-ketoadipate pathway in members of the marine </w:t>
      </w:r>
      <w:r w:rsidRPr="00DD52BF">
        <w:rPr>
          <w:rFonts w:ascii="Times New Roman" w:hAnsi="Times New Roman" w:cs="Times New Roman"/>
          <w:i/>
          <w:color w:val="000000" w:themeColor="text1"/>
          <w:sz w:val="24"/>
          <w:szCs w:val="24"/>
        </w:rPr>
        <w:t>Roseobacter</w:t>
      </w:r>
      <w:r w:rsidRPr="00DD52BF">
        <w:rPr>
          <w:rFonts w:ascii="Times New Roman" w:hAnsi="Times New Roman" w:cs="Times New Roman"/>
          <w:color w:val="000000" w:themeColor="text1"/>
          <w:sz w:val="24"/>
          <w:szCs w:val="24"/>
        </w:rPr>
        <w:t xml:space="preserve"> lineage, </w:t>
      </w:r>
      <w:r w:rsidRPr="00DD52BF">
        <w:rPr>
          <w:rFonts w:ascii="Times New Roman" w:hAnsi="Times New Roman" w:cs="Times New Roman"/>
          <w:i/>
          <w:color w:val="000000" w:themeColor="text1"/>
          <w:sz w:val="24"/>
          <w:szCs w:val="24"/>
        </w:rPr>
        <w:t>Applied and Environmental Microbiology 70</w:t>
      </w:r>
      <w:r w:rsidRPr="00DD52BF">
        <w:rPr>
          <w:rFonts w:ascii="Times New Roman" w:hAnsi="Times New Roman" w:cs="Times New Roman"/>
          <w:color w:val="000000" w:themeColor="text1"/>
          <w:sz w:val="24"/>
          <w:szCs w:val="24"/>
        </w:rPr>
        <w:t>, 1658-1668.</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tabs>
          <w:tab w:val="left" w:pos="360"/>
        </w:tabs>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31.</w:t>
      </w:r>
      <w:r w:rsidRPr="00DD52BF">
        <w:rPr>
          <w:rFonts w:ascii="Times New Roman" w:hAnsi="Times New Roman" w:cs="Times New Roman"/>
          <w:color w:val="000000" w:themeColor="text1"/>
          <w:sz w:val="24"/>
          <w:szCs w:val="24"/>
        </w:rPr>
        <w:tab/>
      </w:r>
      <w:r w:rsidRPr="00DD52BF">
        <w:rPr>
          <w:rFonts w:ascii="Times New Roman" w:hAnsi="Times New Roman" w:cs="Times New Roman"/>
          <w:color w:val="000000" w:themeColor="text1"/>
          <w:sz w:val="24"/>
          <w:szCs w:val="24"/>
        </w:rPr>
        <w:tab/>
        <w:t>Gonzalez, J. M., Mayer, F., Moran, M. A., Hodson, R. E., and Whitman, W. B. (</w:t>
      </w:r>
      <w:r w:rsidRPr="00DD52BF">
        <w:rPr>
          <w:rFonts w:ascii="Times New Roman" w:hAnsi="Times New Roman" w:cs="Times New Roman"/>
          <w:b/>
          <w:color w:val="000000" w:themeColor="text1"/>
          <w:sz w:val="24"/>
          <w:szCs w:val="24"/>
        </w:rPr>
        <w:t>1997</w:t>
      </w:r>
      <w:r w:rsidRPr="00DD52BF">
        <w:rPr>
          <w:rFonts w:ascii="Times New Roman" w:hAnsi="Times New Roman" w:cs="Times New Roman"/>
          <w:color w:val="000000" w:themeColor="text1"/>
          <w:sz w:val="24"/>
          <w:szCs w:val="24"/>
        </w:rPr>
        <w:t xml:space="preserve">) </w:t>
      </w:r>
      <w:r w:rsidRPr="00DD52BF">
        <w:rPr>
          <w:rFonts w:ascii="Times New Roman" w:hAnsi="Times New Roman" w:cs="Times New Roman"/>
          <w:i/>
          <w:color w:val="000000" w:themeColor="text1"/>
          <w:sz w:val="24"/>
          <w:szCs w:val="24"/>
        </w:rPr>
        <w:t>Sagittula stellata</w:t>
      </w:r>
      <w:r w:rsidRPr="00DD52BF">
        <w:rPr>
          <w:rFonts w:ascii="Times New Roman" w:hAnsi="Times New Roman" w:cs="Times New Roman"/>
          <w:color w:val="000000" w:themeColor="text1"/>
          <w:sz w:val="24"/>
          <w:szCs w:val="24"/>
        </w:rPr>
        <w:t xml:space="preserve"> gen. </w:t>
      </w:r>
      <w:proofErr w:type="gramStart"/>
      <w:r w:rsidRPr="00DD52BF">
        <w:rPr>
          <w:rFonts w:ascii="Times New Roman" w:hAnsi="Times New Roman" w:cs="Times New Roman"/>
          <w:color w:val="000000" w:themeColor="text1"/>
          <w:sz w:val="24"/>
          <w:szCs w:val="24"/>
        </w:rPr>
        <w:t>nov</w:t>
      </w:r>
      <w:proofErr w:type="gramEnd"/>
      <w:r w:rsidRPr="00DD52BF">
        <w:rPr>
          <w:rFonts w:ascii="Times New Roman" w:hAnsi="Times New Roman" w:cs="Times New Roman"/>
          <w:color w:val="000000" w:themeColor="text1"/>
          <w:sz w:val="24"/>
          <w:szCs w:val="24"/>
        </w:rPr>
        <w:t xml:space="preserve">, sp. nov, a lignin-transforming bacterium from a coastal environment, </w:t>
      </w:r>
      <w:r w:rsidRPr="00DD52BF">
        <w:rPr>
          <w:rFonts w:ascii="Times New Roman" w:hAnsi="Times New Roman" w:cs="Times New Roman"/>
          <w:i/>
          <w:color w:val="000000" w:themeColor="text1"/>
          <w:sz w:val="24"/>
          <w:szCs w:val="24"/>
        </w:rPr>
        <w:t>International Journal of Systematic Bacteriology 47</w:t>
      </w:r>
      <w:r w:rsidRPr="00DD52BF">
        <w:rPr>
          <w:rFonts w:ascii="Times New Roman" w:hAnsi="Times New Roman" w:cs="Times New Roman"/>
          <w:color w:val="000000" w:themeColor="text1"/>
          <w:sz w:val="24"/>
          <w:szCs w:val="24"/>
        </w:rPr>
        <w:t>, 773-780.</w:t>
      </w:r>
    </w:p>
    <w:p w:rsidR="00913B58" w:rsidRPr="00DD52BF" w:rsidRDefault="00913B58" w:rsidP="00913B58">
      <w:pPr>
        <w:tabs>
          <w:tab w:val="left" w:pos="360"/>
        </w:tabs>
        <w:spacing w:after="0" w:line="240" w:lineRule="auto"/>
        <w:ind w:left="360" w:hanging="360"/>
        <w:jc w:val="both"/>
        <w:rPr>
          <w:rFonts w:ascii="Times New Roman" w:hAnsi="Times New Roman" w:cs="Times New Roman"/>
          <w:color w:val="000000" w:themeColor="text1"/>
          <w:sz w:val="24"/>
          <w:szCs w:val="24"/>
        </w:rPr>
      </w:pPr>
    </w:p>
    <w:p w:rsidR="00913B58" w:rsidRPr="00DD52BF" w:rsidRDefault="00913B58" w:rsidP="00913B58">
      <w:pPr>
        <w:tabs>
          <w:tab w:val="left" w:pos="360"/>
        </w:tabs>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32.</w:t>
      </w:r>
      <w:r w:rsidRPr="00DD52BF">
        <w:rPr>
          <w:rFonts w:ascii="Times New Roman" w:hAnsi="Times New Roman" w:cs="Times New Roman"/>
          <w:color w:val="000000" w:themeColor="text1"/>
          <w:sz w:val="24"/>
          <w:szCs w:val="24"/>
        </w:rPr>
        <w:tab/>
      </w:r>
      <w:r w:rsidRPr="00DD52BF">
        <w:rPr>
          <w:rFonts w:ascii="Times New Roman" w:hAnsi="Times New Roman" w:cs="Times New Roman"/>
          <w:color w:val="000000" w:themeColor="text1"/>
          <w:sz w:val="24"/>
          <w:szCs w:val="24"/>
        </w:rPr>
        <w:tab/>
        <w:t>Gonzalez, J. M., Simo, R., Massana, R., Covert, J. S., Casamayor, E. O., Pedros-Alio, C., and Moran, M. A. (</w:t>
      </w:r>
      <w:r w:rsidRPr="00DD52BF">
        <w:rPr>
          <w:rFonts w:ascii="Times New Roman" w:hAnsi="Times New Roman" w:cs="Times New Roman"/>
          <w:b/>
          <w:color w:val="000000" w:themeColor="text1"/>
          <w:sz w:val="24"/>
          <w:szCs w:val="24"/>
        </w:rPr>
        <w:t>2000</w:t>
      </w:r>
      <w:r w:rsidRPr="00DD52BF">
        <w:rPr>
          <w:rFonts w:ascii="Times New Roman" w:hAnsi="Times New Roman" w:cs="Times New Roman"/>
          <w:color w:val="000000" w:themeColor="text1"/>
          <w:sz w:val="24"/>
          <w:szCs w:val="24"/>
        </w:rPr>
        <w:t xml:space="preserve">) Bacterial community structure associated with a dimethylsulfoniopropionate-producing North Atlantic algal bloom, </w:t>
      </w:r>
      <w:r w:rsidRPr="00DD52BF">
        <w:rPr>
          <w:rFonts w:ascii="Times New Roman" w:hAnsi="Times New Roman" w:cs="Times New Roman"/>
          <w:i/>
          <w:color w:val="000000" w:themeColor="text1"/>
          <w:sz w:val="24"/>
          <w:szCs w:val="24"/>
        </w:rPr>
        <w:t>Applied and Environmental Microbiology 66</w:t>
      </w:r>
      <w:r w:rsidRPr="00DD52BF">
        <w:rPr>
          <w:rFonts w:ascii="Times New Roman" w:hAnsi="Times New Roman" w:cs="Times New Roman"/>
          <w:color w:val="000000" w:themeColor="text1"/>
          <w:sz w:val="24"/>
          <w:szCs w:val="24"/>
        </w:rPr>
        <w:t>, 4237-4246.</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33.</w:t>
      </w:r>
      <w:r w:rsidRPr="00DD52BF">
        <w:rPr>
          <w:rFonts w:ascii="Times New Roman" w:hAnsi="Times New Roman" w:cs="Times New Roman"/>
          <w:color w:val="000000" w:themeColor="text1"/>
          <w:sz w:val="24"/>
          <w:szCs w:val="24"/>
        </w:rPr>
        <w:tab/>
        <w:t>Mou, X., Hodson, R. E., and Moran, M. A. (</w:t>
      </w:r>
      <w:r w:rsidRPr="00DD52BF">
        <w:rPr>
          <w:rFonts w:ascii="Times New Roman" w:hAnsi="Times New Roman" w:cs="Times New Roman"/>
          <w:b/>
          <w:color w:val="000000" w:themeColor="text1"/>
          <w:sz w:val="24"/>
          <w:szCs w:val="24"/>
        </w:rPr>
        <w:t>2007</w:t>
      </w:r>
      <w:r w:rsidRPr="00DD52BF">
        <w:rPr>
          <w:rFonts w:ascii="Times New Roman" w:hAnsi="Times New Roman" w:cs="Times New Roman"/>
          <w:color w:val="000000" w:themeColor="text1"/>
          <w:sz w:val="24"/>
          <w:szCs w:val="24"/>
        </w:rPr>
        <w:t xml:space="preserve">) Bacterioplankton assemblages transforming dissolved organic compounds in coastal seawater, </w:t>
      </w:r>
      <w:r w:rsidRPr="00DD52BF">
        <w:rPr>
          <w:rFonts w:ascii="Times New Roman" w:hAnsi="Times New Roman" w:cs="Times New Roman"/>
          <w:i/>
          <w:color w:val="000000" w:themeColor="text1"/>
          <w:sz w:val="24"/>
          <w:szCs w:val="24"/>
        </w:rPr>
        <w:t>Environmental Microbiology 9</w:t>
      </w:r>
      <w:r w:rsidRPr="00DD52BF">
        <w:rPr>
          <w:rFonts w:ascii="Times New Roman" w:hAnsi="Times New Roman" w:cs="Times New Roman"/>
          <w:color w:val="000000" w:themeColor="text1"/>
          <w:sz w:val="24"/>
          <w:szCs w:val="24"/>
        </w:rPr>
        <w:t>, 2025-2037.</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tabs>
          <w:tab w:val="left" w:pos="360"/>
        </w:tabs>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34.</w:t>
      </w:r>
      <w:r w:rsidRPr="00DD52BF">
        <w:rPr>
          <w:rFonts w:ascii="Times New Roman" w:hAnsi="Times New Roman" w:cs="Times New Roman"/>
          <w:color w:val="000000" w:themeColor="text1"/>
          <w:sz w:val="24"/>
          <w:szCs w:val="24"/>
        </w:rPr>
        <w:tab/>
      </w:r>
      <w:r w:rsidRPr="00DD52BF">
        <w:rPr>
          <w:rFonts w:ascii="Times New Roman" w:hAnsi="Times New Roman" w:cs="Times New Roman"/>
          <w:color w:val="000000" w:themeColor="text1"/>
          <w:sz w:val="24"/>
          <w:szCs w:val="24"/>
        </w:rPr>
        <w:tab/>
        <w:t>Charlson, R. J., Lovelock, J. E., Andreae, M. O., and Warren, S. G. (</w:t>
      </w:r>
      <w:r w:rsidRPr="00DD52BF">
        <w:rPr>
          <w:rFonts w:ascii="Times New Roman" w:hAnsi="Times New Roman" w:cs="Times New Roman"/>
          <w:b/>
          <w:color w:val="000000" w:themeColor="text1"/>
          <w:sz w:val="24"/>
          <w:szCs w:val="24"/>
        </w:rPr>
        <w:t>1987</w:t>
      </w:r>
      <w:r w:rsidRPr="00DD52BF">
        <w:rPr>
          <w:rFonts w:ascii="Times New Roman" w:hAnsi="Times New Roman" w:cs="Times New Roman"/>
          <w:color w:val="000000" w:themeColor="text1"/>
          <w:sz w:val="24"/>
          <w:szCs w:val="24"/>
        </w:rPr>
        <w:t xml:space="preserve">) Oceanic phytoplankton, atmospheric sulfur, cloud albedo and climate, </w:t>
      </w:r>
      <w:r w:rsidRPr="00DD52BF">
        <w:rPr>
          <w:rFonts w:ascii="Times New Roman" w:hAnsi="Times New Roman" w:cs="Times New Roman"/>
          <w:i/>
          <w:color w:val="000000" w:themeColor="text1"/>
          <w:sz w:val="24"/>
          <w:szCs w:val="24"/>
        </w:rPr>
        <w:t>Nature 326</w:t>
      </w:r>
      <w:r w:rsidRPr="00DD52BF">
        <w:rPr>
          <w:rFonts w:ascii="Times New Roman" w:hAnsi="Times New Roman" w:cs="Times New Roman"/>
          <w:color w:val="000000" w:themeColor="text1"/>
          <w:sz w:val="24"/>
          <w:szCs w:val="24"/>
        </w:rPr>
        <w:t>, 655-661.</w:t>
      </w:r>
    </w:p>
    <w:p w:rsidR="00913B58"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35.</w:t>
      </w:r>
      <w:r w:rsidRPr="00DD52BF">
        <w:rPr>
          <w:rFonts w:ascii="Times New Roman" w:hAnsi="Times New Roman" w:cs="Times New Roman"/>
          <w:color w:val="000000" w:themeColor="text1"/>
          <w:sz w:val="24"/>
          <w:szCs w:val="24"/>
        </w:rPr>
        <w:tab/>
        <w:t>Zhang, Y., and Jiao, N. (</w:t>
      </w:r>
      <w:r w:rsidRPr="00DD52BF">
        <w:rPr>
          <w:rFonts w:ascii="Times New Roman" w:hAnsi="Times New Roman" w:cs="Times New Roman"/>
          <w:b/>
          <w:color w:val="000000" w:themeColor="text1"/>
          <w:sz w:val="24"/>
          <w:szCs w:val="24"/>
        </w:rPr>
        <w:t>2009</w:t>
      </w:r>
      <w:r w:rsidRPr="00DD52BF">
        <w:rPr>
          <w:rFonts w:ascii="Times New Roman" w:hAnsi="Times New Roman" w:cs="Times New Roman"/>
          <w:color w:val="000000" w:themeColor="text1"/>
          <w:sz w:val="24"/>
          <w:szCs w:val="24"/>
        </w:rPr>
        <w:t>) Roseophage RDJL</w:t>
      </w:r>
      <w:r w:rsidRPr="00DD52BF">
        <w:rPr>
          <w:rFonts w:ascii="Times New Roman" w:eastAsia="Times New Roman" w:hAnsi="Times New Roman" w:cs="Times New Roman"/>
          <w:bCs/>
          <w:color w:val="000000" w:themeColor="text1"/>
          <w:kern w:val="36"/>
          <w:sz w:val="24"/>
          <w:szCs w:val="24"/>
        </w:rPr>
        <w:t>Φ</w:t>
      </w:r>
      <w:r w:rsidRPr="00DD52BF">
        <w:rPr>
          <w:rFonts w:ascii="Times New Roman" w:hAnsi="Times New Roman" w:cs="Times New Roman"/>
          <w:color w:val="000000" w:themeColor="text1"/>
          <w:sz w:val="24"/>
          <w:szCs w:val="24"/>
        </w:rPr>
        <w:t xml:space="preserve">1, Infecting the Aerobic Anoxygenic Phototrophic Bacterium Roseobacter denitrificans OCh114, </w:t>
      </w:r>
      <w:r w:rsidRPr="00DD52BF">
        <w:rPr>
          <w:rFonts w:ascii="Times New Roman" w:hAnsi="Times New Roman" w:cs="Times New Roman"/>
          <w:i/>
          <w:color w:val="000000" w:themeColor="text1"/>
          <w:sz w:val="24"/>
          <w:szCs w:val="24"/>
        </w:rPr>
        <w:t xml:space="preserve">Appl. Environ. </w:t>
      </w:r>
      <w:proofErr w:type="gramStart"/>
      <w:r w:rsidRPr="00DD52BF">
        <w:rPr>
          <w:rFonts w:ascii="Times New Roman" w:hAnsi="Times New Roman" w:cs="Times New Roman"/>
          <w:i/>
          <w:color w:val="000000" w:themeColor="text1"/>
          <w:sz w:val="24"/>
          <w:szCs w:val="24"/>
        </w:rPr>
        <w:t>Microbiol.</w:t>
      </w:r>
      <w:proofErr w:type="gramEnd"/>
      <w:r w:rsidRPr="00DD52BF">
        <w:rPr>
          <w:rFonts w:ascii="Times New Roman" w:hAnsi="Times New Roman" w:cs="Times New Roman"/>
          <w:i/>
          <w:color w:val="000000" w:themeColor="text1"/>
          <w:sz w:val="24"/>
          <w:szCs w:val="24"/>
        </w:rPr>
        <w:t xml:space="preserve"> 75</w:t>
      </w:r>
      <w:r w:rsidRPr="00DD52BF">
        <w:rPr>
          <w:rFonts w:ascii="Times New Roman" w:hAnsi="Times New Roman" w:cs="Times New Roman"/>
          <w:color w:val="000000" w:themeColor="text1"/>
          <w:sz w:val="24"/>
          <w:szCs w:val="24"/>
        </w:rPr>
        <w:t>, 1745-1749.</w:t>
      </w:r>
    </w:p>
    <w:p w:rsidR="00913B58" w:rsidRPr="00DD52BF" w:rsidRDefault="00913B58" w:rsidP="00913B58">
      <w:pPr>
        <w:spacing w:after="0" w:line="240" w:lineRule="auto"/>
        <w:ind w:left="360" w:hanging="360"/>
        <w:jc w:val="both"/>
        <w:rPr>
          <w:rFonts w:ascii="Times New Roman" w:hAnsi="Times New Roman" w:cs="Times New Roman"/>
          <w:color w:val="000000" w:themeColor="text1"/>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lastRenderedPageBreak/>
        <w:t>36.</w:t>
      </w:r>
      <w:r w:rsidRPr="00DD52BF">
        <w:rPr>
          <w:rFonts w:ascii="Times New Roman" w:hAnsi="Times New Roman" w:cs="Times New Roman"/>
          <w:color w:val="000000" w:themeColor="text1"/>
          <w:sz w:val="24"/>
          <w:szCs w:val="24"/>
        </w:rPr>
        <w:tab/>
        <w:t>Zhao, Y., Wang, K., Jiao, N., and Chen, F. (</w:t>
      </w:r>
      <w:r w:rsidRPr="00DD52BF">
        <w:rPr>
          <w:rFonts w:ascii="Times New Roman" w:hAnsi="Times New Roman" w:cs="Times New Roman"/>
          <w:b/>
          <w:color w:val="000000" w:themeColor="text1"/>
          <w:sz w:val="24"/>
          <w:szCs w:val="24"/>
        </w:rPr>
        <w:t>2009</w:t>
      </w:r>
      <w:r w:rsidRPr="00DD52BF">
        <w:rPr>
          <w:rFonts w:ascii="Times New Roman" w:hAnsi="Times New Roman" w:cs="Times New Roman"/>
          <w:color w:val="000000" w:themeColor="text1"/>
          <w:sz w:val="24"/>
          <w:szCs w:val="24"/>
        </w:rPr>
        <w:t xml:space="preserve">) Genome sequences of two novel phages infecting marine roseobacters, </w:t>
      </w:r>
      <w:r w:rsidRPr="00DD52BF">
        <w:rPr>
          <w:rFonts w:ascii="Times New Roman" w:hAnsi="Times New Roman" w:cs="Times New Roman"/>
          <w:i/>
          <w:color w:val="000000" w:themeColor="text1"/>
          <w:sz w:val="24"/>
          <w:szCs w:val="24"/>
        </w:rPr>
        <w:t>Environmental Microbiology 11</w:t>
      </w:r>
      <w:r w:rsidRPr="00DD52BF">
        <w:rPr>
          <w:rFonts w:ascii="Times New Roman" w:hAnsi="Times New Roman" w:cs="Times New Roman"/>
          <w:color w:val="000000" w:themeColor="text1"/>
          <w:sz w:val="24"/>
          <w:szCs w:val="24"/>
        </w:rPr>
        <w:t>, 2055-2064.</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37.</w:t>
      </w:r>
      <w:r w:rsidRPr="00DD52BF">
        <w:rPr>
          <w:rFonts w:ascii="Times New Roman" w:hAnsi="Times New Roman" w:cs="Times New Roman"/>
          <w:color w:val="000000" w:themeColor="text1"/>
          <w:sz w:val="24"/>
          <w:szCs w:val="24"/>
        </w:rPr>
        <w:tab/>
        <w:t>Wommack, K. E., and Colwell, R. R. (</w:t>
      </w:r>
      <w:r w:rsidRPr="00DD52BF">
        <w:rPr>
          <w:rFonts w:ascii="Times New Roman" w:hAnsi="Times New Roman" w:cs="Times New Roman"/>
          <w:b/>
          <w:color w:val="000000" w:themeColor="text1"/>
          <w:sz w:val="24"/>
          <w:szCs w:val="24"/>
        </w:rPr>
        <w:t>2000</w:t>
      </w:r>
      <w:r w:rsidRPr="00DD52BF">
        <w:rPr>
          <w:rFonts w:ascii="Times New Roman" w:hAnsi="Times New Roman" w:cs="Times New Roman"/>
          <w:color w:val="000000" w:themeColor="text1"/>
          <w:sz w:val="24"/>
          <w:szCs w:val="24"/>
        </w:rPr>
        <w:t xml:space="preserve">) Virioplankton: Viruses in Aquatic Ecosystems, </w:t>
      </w:r>
      <w:r w:rsidRPr="00DD52BF">
        <w:rPr>
          <w:rFonts w:ascii="Times New Roman" w:hAnsi="Times New Roman" w:cs="Times New Roman"/>
          <w:i/>
          <w:color w:val="000000" w:themeColor="text1"/>
          <w:sz w:val="24"/>
          <w:szCs w:val="24"/>
        </w:rPr>
        <w:t>Microbiology and Molecular Biology Reviews 64</w:t>
      </w:r>
      <w:r w:rsidRPr="00DD52BF">
        <w:rPr>
          <w:rFonts w:ascii="Times New Roman" w:hAnsi="Times New Roman" w:cs="Times New Roman"/>
          <w:color w:val="000000" w:themeColor="text1"/>
          <w:sz w:val="24"/>
          <w:szCs w:val="24"/>
        </w:rPr>
        <w:t>, 69-114.</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38.</w:t>
      </w:r>
      <w:r w:rsidRPr="00DD52BF">
        <w:rPr>
          <w:rFonts w:ascii="Times New Roman" w:hAnsi="Times New Roman" w:cs="Times New Roman"/>
          <w:color w:val="000000" w:themeColor="text1"/>
          <w:sz w:val="24"/>
          <w:szCs w:val="24"/>
        </w:rPr>
        <w:tab/>
        <w:t>Borsheim, K. Y. (</w:t>
      </w:r>
      <w:r w:rsidRPr="00DD52BF">
        <w:rPr>
          <w:rFonts w:ascii="Times New Roman" w:hAnsi="Times New Roman" w:cs="Times New Roman"/>
          <w:b/>
          <w:color w:val="000000" w:themeColor="text1"/>
          <w:sz w:val="24"/>
          <w:szCs w:val="24"/>
        </w:rPr>
        <w:t>1993</w:t>
      </w:r>
      <w:r w:rsidRPr="00DD52BF">
        <w:rPr>
          <w:rFonts w:ascii="Times New Roman" w:hAnsi="Times New Roman" w:cs="Times New Roman"/>
          <w:color w:val="000000" w:themeColor="text1"/>
          <w:sz w:val="24"/>
          <w:szCs w:val="24"/>
        </w:rPr>
        <w:t xml:space="preserve">) Native marine bacteriophages, </w:t>
      </w:r>
      <w:r w:rsidRPr="00DD52BF">
        <w:rPr>
          <w:rFonts w:ascii="Times New Roman" w:hAnsi="Times New Roman" w:cs="Times New Roman"/>
          <w:i/>
          <w:color w:val="000000" w:themeColor="text1"/>
          <w:sz w:val="24"/>
          <w:szCs w:val="24"/>
        </w:rPr>
        <w:t>FEMS Microbiology Letters 102</w:t>
      </w:r>
      <w:r w:rsidRPr="00DD52BF">
        <w:rPr>
          <w:rFonts w:ascii="Times New Roman" w:hAnsi="Times New Roman" w:cs="Times New Roman"/>
          <w:color w:val="000000" w:themeColor="text1"/>
          <w:sz w:val="24"/>
          <w:szCs w:val="24"/>
        </w:rPr>
        <w:t>, 141-159.</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39.</w:t>
      </w:r>
      <w:r w:rsidRPr="00DD52BF">
        <w:rPr>
          <w:rFonts w:ascii="Times New Roman" w:hAnsi="Times New Roman" w:cs="Times New Roman"/>
          <w:color w:val="000000" w:themeColor="text1"/>
          <w:sz w:val="24"/>
          <w:szCs w:val="24"/>
        </w:rPr>
        <w:tab/>
        <w:t>Tock, M. R., and Dryden, D. T. F. (</w:t>
      </w:r>
      <w:r w:rsidRPr="00DD52BF">
        <w:rPr>
          <w:rFonts w:ascii="Times New Roman" w:hAnsi="Times New Roman" w:cs="Times New Roman"/>
          <w:b/>
          <w:color w:val="000000" w:themeColor="text1"/>
          <w:sz w:val="24"/>
          <w:szCs w:val="24"/>
        </w:rPr>
        <w:t>2005</w:t>
      </w:r>
      <w:r w:rsidRPr="00DD52BF">
        <w:rPr>
          <w:rFonts w:ascii="Times New Roman" w:hAnsi="Times New Roman" w:cs="Times New Roman"/>
          <w:color w:val="000000" w:themeColor="text1"/>
          <w:sz w:val="24"/>
          <w:szCs w:val="24"/>
        </w:rPr>
        <w:t xml:space="preserve">) </w:t>
      </w:r>
      <w:proofErr w:type="gramStart"/>
      <w:r w:rsidRPr="00DD52BF">
        <w:rPr>
          <w:rFonts w:ascii="Times New Roman" w:hAnsi="Times New Roman" w:cs="Times New Roman"/>
          <w:color w:val="000000" w:themeColor="text1"/>
          <w:sz w:val="24"/>
          <w:szCs w:val="24"/>
        </w:rPr>
        <w:t>The</w:t>
      </w:r>
      <w:proofErr w:type="gramEnd"/>
      <w:r w:rsidRPr="00DD52BF">
        <w:rPr>
          <w:rFonts w:ascii="Times New Roman" w:hAnsi="Times New Roman" w:cs="Times New Roman"/>
          <w:color w:val="000000" w:themeColor="text1"/>
          <w:sz w:val="24"/>
          <w:szCs w:val="24"/>
        </w:rPr>
        <w:t xml:space="preserve"> biology of restriction and anti-restriction, </w:t>
      </w:r>
      <w:r w:rsidRPr="00DD52BF">
        <w:rPr>
          <w:rFonts w:ascii="Times New Roman" w:hAnsi="Times New Roman" w:cs="Times New Roman"/>
          <w:i/>
          <w:color w:val="000000" w:themeColor="text1"/>
          <w:sz w:val="24"/>
          <w:szCs w:val="24"/>
        </w:rPr>
        <w:t>Current Opinion in Microbiology 8</w:t>
      </w:r>
      <w:r w:rsidRPr="00DD52BF">
        <w:rPr>
          <w:rFonts w:ascii="Times New Roman" w:hAnsi="Times New Roman" w:cs="Times New Roman"/>
          <w:color w:val="000000" w:themeColor="text1"/>
          <w:sz w:val="24"/>
          <w:szCs w:val="24"/>
        </w:rPr>
        <w:t>, 466-472.</w:t>
      </w: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40.</w:t>
      </w:r>
      <w:r w:rsidRPr="00DD52BF">
        <w:rPr>
          <w:rFonts w:ascii="Times New Roman" w:hAnsi="Times New Roman" w:cs="Times New Roman"/>
          <w:color w:val="000000" w:themeColor="text1"/>
          <w:sz w:val="24"/>
          <w:szCs w:val="24"/>
        </w:rPr>
        <w:tab/>
        <w:t>Short, S. M., Chen, F., and Wilhelm, S. W. (</w:t>
      </w:r>
      <w:r w:rsidRPr="00DD52BF">
        <w:rPr>
          <w:rFonts w:ascii="Times New Roman" w:hAnsi="Times New Roman" w:cs="Times New Roman"/>
          <w:b/>
          <w:color w:val="000000" w:themeColor="text1"/>
          <w:sz w:val="24"/>
          <w:szCs w:val="24"/>
        </w:rPr>
        <w:t>2010</w:t>
      </w:r>
      <w:r w:rsidRPr="00DD52BF">
        <w:rPr>
          <w:rFonts w:ascii="Times New Roman" w:hAnsi="Times New Roman" w:cs="Times New Roman"/>
          <w:color w:val="000000" w:themeColor="text1"/>
          <w:sz w:val="24"/>
          <w:szCs w:val="24"/>
        </w:rPr>
        <w:t xml:space="preserve">) The construction and analysis of marker gene libraries, in The Manual of Aquatic Viral Ecology, Wilhelm, S. W., Weinbauer, M. G., and Suttle, C. A. (ed.), </w:t>
      </w:r>
      <w:r w:rsidRPr="00DD52BF">
        <w:rPr>
          <w:rFonts w:ascii="Times New Roman" w:hAnsi="Times New Roman" w:cs="Times New Roman"/>
          <w:i/>
          <w:color w:val="000000" w:themeColor="text1"/>
          <w:sz w:val="24"/>
          <w:szCs w:val="24"/>
        </w:rPr>
        <w:t>American Society of Limnology and Oceanography</w:t>
      </w:r>
      <w:r w:rsidRPr="00DD52BF">
        <w:rPr>
          <w:rFonts w:ascii="Times New Roman" w:hAnsi="Times New Roman" w:cs="Times New Roman"/>
          <w:color w:val="000000" w:themeColor="text1"/>
          <w:sz w:val="24"/>
          <w:szCs w:val="24"/>
        </w:rPr>
        <w:t>, 82-91.</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41.</w:t>
      </w:r>
      <w:r w:rsidRPr="00DD52BF">
        <w:rPr>
          <w:rFonts w:ascii="Times New Roman" w:hAnsi="Times New Roman" w:cs="Times New Roman"/>
          <w:color w:val="000000" w:themeColor="text1"/>
          <w:sz w:val="24"/>
          <w:szCs w:val="24"/>
        </w:rPr>
        <w:tab/>
        <w:t>Sullivan, M. B., Coleman, M. L., Quinlivan, V., Rosenkranz, J. E., DeFrancesco, A. S., Tan, G., Fu, R., Lee, J. A., Waterbury, J. B., Bielawski, J. P., and Chisholm, S. W. (</w:t>
      </w:r>
      <w:r w:rsidRPr="00DD52BF">
        <w:rPr>
          <w:rFonts w:ascii="Times New Roman" w:hAnsi="Times New Roman" w:cs="Times New Roman"/>
          <w:b/>
          <w:color w:val="000000" w:themeColor="text1"/>
          <w:sz w:val="24"/>
          <w:szCs w:val="24"/>
        </w:rPr>
        <w:t>2008</w:t>
      </w:r>
      <w:r w:rsidRPr="00DD52BF">
        <w:rPr>
          <w:rFonts w:ascii="Times New Roman" w:hAnsi="Times New Roman" w:cs="Times New Roman"/>
          <w:color w:val="000000" w:themeColor="text1"/>
          <w:sz w:val="24"/>
          <w:szCs w:val="24"/>
        </w:rPr>
        <w:t xml:space="preserve">) Portal protein diversity and phage ecology, </w:t>
      </w:r>
      <w:r w:rsidRPr="00DD52BF">
        <w:rPr>
          <w:rFonts w:ascii="Times New Roman" w:hAnsi="Times New Roman" w:cs="Times New Roman"/>
          <w:i/>
          <w:color w:val="000000" w:themeColor="text1"/>
          <w:sz w:val="24"/>
          <w:szCs w:val="24"/>
        </w:rPr>
        <w:t>Environmental Microbiology 10</w:t>
      </w:r>
      <w:r w:rsidRPr="00DD52BF">
        <w:rPr>
          <w:rFonts w:ascii="Times New Roman" w:hAnsi="Times New Roman" w:cs="Times New Roman"/>
          <w:color w:val="000000" w:themeColor="text1"/>
          <w:sz w:val="24"/>
          <w:szCs w:val="24"/>
        </w:rPr>
        <w:t>, 2810-2823.</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42.</w:t>
      </w:r>
      <w:r w:rsidRPr="00DD52BF">
        <w:rPr>
          <w:rFonts w:ascii="Times New Roman" w:hAnsi="Times New Roman" w:cs="Times New Roman"/>
          <w:color w:val="000000" w:themeColor="text1"/>
          <w:sz w:val="24"/>
          <w:szCs w:val="24"/>
        </w:rPr>
        <w:tab/>
        <w:t>Short, S. M., and Short, C. M. (</w:t>
      </w:r>
      <w:r w:rsidRPr="00DD52BF">
        <w:rPr>
          <w:rFonts w:ascii="Times New Roman" w:hAnsi="Times New Roman" w:cs="Times New Roman"/>
          <w:b/>
          <w:color w:val="000000" w:themeColor="text1"/>
          <w:sz w:val="24"/>
          <w:szCs w:val="24"/>
        </w:rPr>
        <w:t>2008</w:t>
      </w:r>
      <w:r w:rsidRPr="00DD52BF">
        <w:rPr>
          <w:rFonts w:ascii="Times New Roman" w:hAnsi="Times New Roman" w:cs="Times New Roman"/>
          <w:color w:val="000000" w:themeColor="text1"/>
          <w:sz w:val="24"/>
          <w:szCs w:val="24"/>
        </w:rPr>
        <w:t xml:space="preserve">) Diversity of algal viruses in various North American freshwater environments, </w:t>
      </w:r>
      <w:r w:rsidRPr="00DD52BF">
        <w:rPr>
          <w:rFonts w:ascii="Times New Roman" w:hAnsi="Times New Roman" w:cs="Times New Roman"/>
          <w:i/>
          <w:color w:val="000000" w:themeColor="text1"/>
          <w:sz w:val="24"/>
          <w:szCs w:val="24"/>
        </w:rPr>
        <w:t>Aquatic Microbial Ecology 51</w:t>
      </w:r>
      <w:r w:rsidRPr="00DD52BF">
        <w:rPr>
          <w:rFonts w:ascii="Times New Roman" w:hAnsi="Times New Roman" w:cs="Times New Roman"/>
          <w:color w:val="000000" w:themeColor="text1"/>
          <w:sz w:val="24"/>
          <w:szCs w:val="24"/>
        </w:rPr>
        <w:t>, 13-21.</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43.</w:t>
      </w:r>
      <w:r w:rsidRPr="00DD52BF">
        <w:rPr>
          <w:rFonts w:ascii="Times New Roman" w:hAnsi="Times New Roman" w:cs="Times New Roman"/>
          <w:color w:val="000000" w:themeColor="text1"/>
          <w:sz w:val="24"/>
          <w:szCs w:val="24"/>
        </w:rPr>
        <w:tab/>
        <w:t>Angly, F. E., Felts, B., Breitbart, M., Salamon, P., Edwards, R. A.,Carlson, C., Chan, A. M., Haynes, M., Kelley, S., Liu, H., Mahaffy, J. M., Mueller, J. E., Nulton, J., Olson, R., Parsons, R., Rayhawk, S., Suttle, C. A., and Rohwer, F. (</w:t>
      </w:r>
      <w:r w:rsidRPr="00DD52BF">
        <w:rPr>
          <w:rFonts w:ascii="Times New Roman" w:hAnsi="Times New Roman" w:cs="Times New Roman"/>
          <w:b/>
          <w:color w:val="000000" w:themeColor="text1"/>
          <w:sz w:val="24"/>
          <w:szCs w:val="24"/>
        </w:rPr>
        <w:t>2006</w:t>
      </w:r>
      <w:r w:rsidRPr="00DD52BF">
        <w:rPr>
          <w:rFonts w:ascii="Times New Roman" w:hAnsi="Times New Roman" w:cs="Times New Roman"/>
          <w:color w:val="000000" w:themeColor="text1"/>
          <w:sz w:val="24"/>
          <w:szCs w:val="24"/>
        </w:rPr>
        <w:t xml:space="preserve">) The marine viromes of four oceanic regions, </w:t>
      </w:r>
      <w:r w:rsidRPr="00DD52BF">
        <w:rPr>
          <w:rFonts w:ascii="Times New Roman" w:hAnsi="Times New Roman" w:cs="Times New Roman"/>
          <w:i/>
          <w:color w:val="000000" w:themeColor="text1"/>
          <w:sz w:val="24"/>
          <w:szCs w:val="24"/>
        </w:rPr>
        <w:t>PLOS Biology 4</w:t>
      </w:r>
      <w:r w:rsidRPr="00DD52BF">
        <w:rPr>
          <w:rFonts w:ascii="Times New Roman" w:hAnsi="Times New Roman" w:cs="Times New Roman"/>
          <w:color w:val="000000" w:themeColor="text1"/>
          <w:sz w:val="24"/>
          <w:szCs w:val="24"/>
        </w:rPr>
        <w:t>, e368.</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44.</w:t>
      </w:r>
      <w:r w:rsidRPr="00DD52BF">
        <w:rPr>
          <w:rFonts w:ascii="Times New Roman" w:hAnsi="Times New Roman" w:cs="Times New Roman"/>
          <w:color w:val="000000" w:themeColor="text1"/>
          <w:sz w:val="24"/>
          <w:szCs w:val="24"/>
        </w:rPr>
        <w:tab/>
        <w:t>Breitbart, M., Salamon, P., Andresen, B., Mahaffy, J. M., Segall, A. M., Mead, D., Azam, F., and Rohwer, F. (</w:t>
      </w:r>
      <w:r w:rsidRPr="00DD52BF">
        <w:rPr>
          <w:rFonts w:ascii="Times New Roman" w:hAnsi="Times New Roman" w:cs="Times New Roman"/>
          <w:b/>
          <w:color w:val="000000" w:themeColor="text1"/>
          <w:sz w:val="24"/>
          <w:szCs w:val="24"/>
        </w:rPr>
        <w:t>2002</w:t>
      </w:r>
      <w:r w:rsidRPr="00DD52BF">
        <w:rPr>
          <w:rFonts w:ascii="Times New Roman" w:hAnsi="Times New Roman" w:cs="Times New Roman"/>
          <w:color w:val="000000" w:themeColor="text1"/>
          <w:sz w:val="24"/>
          <w:szCs w:val="24"/>
        </w:rPr>
        <w:t xml:space="preserve">) Genomic analysis of uncultured marine viral communities, </w:t>
      </w:r>
      <w:r w:rsidRPr="00DD52BF">
        <w:rPr>
          <w:rFonts w:ascii="Times New Roman" w:hAnsi="Times New Roman" w:cs="Times New Roman"/>
          <w:i/>
          <w:color w:val="000000" w:themeColor="text1"/>
          <w:sz w:val="24"/>
          <w:szCs w:val="24"/>
        </w:rPr>
        <w:t>Proceedings of the National Academy of Sciences of the United States of America 99</w:t>
      </w:r>
      <w:r w:rsidRPr="00DD52BF">
        <w:rPr>
          <w:rFonts w:ascii="Times New Roman" w:hAnsi="Times New Roman" w:cs="Times New Roman"/>
          <w:color w:val="000000" w:themeColor="text1"/>
          <w:sz w:val="24"/>
          <w:szCs w:val="24"/>
        </w:rPr>
        <w:t>, 14250-14255.</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45.</w:t>
      </w:r>
      <w:r w:rsidRPr="00DD52BF">
        <w:rPr>
          <w:rFonts w:ascii="Times New Roman" w:hAnsi="Times New Roman" w:cs="Times New Roman"/>
          <w:color w:val="000000" w:themeColor="text1"/>
          <w:sz w:val="24"/>
          <w:szCs w:val="24"/>
        </w:rPr>
        <w:tab/>
        <w:t>Sandaa, R. A., and Larsen, A. (</w:t>
      </w:r>
      <w:r w:rsidRPr="00DD52BF">
        <w:rPr>
          <w:rFonts w:ascii="Times New Roman" w:hAnsi="Times New Roman" w:cs="Times New Roman"/>
          <w:b/>
          <w:color w:val="000000" w:themeColor="text1"/>
          <w:sz w:val="24"/>
          <w:szCs w:val="24"/>
        </w:rPr>
        <w:t>2006</w:t>
      </w:r>
      <w:r w:rsidRPr="00DD52BF">
        <w:rPr>
          <w:rFonts w:ascii="Times New Roman" w:hAnsi="Times New Roman" w:cs="Times New Roman"/>
          <w:color w:val="000000" w:themeColor="text1"/>
          <w:sz w:val="24"/>
          <w:szCs w:val="24"/>
        </w:rPr>
        <w:t xml:space="preserve">) Seasonal variations in virus-host populations in Norwegian coastal waters: Focusing on the cyanophage community infecting marine </w:t>
      </w:r>
      <w:r w:rsidRPr="00DD52BF">
        <w:rPr>
          <w:rFonts w:ascii="Times New Roman" w:hAnsi="Times New Roman" w:cs="Times New Roman"/>
          <w:i/>
          <w:color w:val="000000" w:themeColor="text1"/>
          <w:sz w:val="24"/>
          <w:szCs w:val="24"/>
        </w:rPr>
        <w:t>Synechococcus</w:t>
      </w:r>
      <w:r w:rsidRPr="00DD52BF">
        <w:rPr>
          <w:rFonts w:ascii="Times New Roman" w:hAnsi="Times New Roman" w:cs="Times New Roman"/>
          <w:color w:val="000000" w:themeColor="text1"/>
          <w:sz w:val="24"/>
          <w:szCs w:val="24"/>
        </w:rPr>
        <w:t xml:space="preserve"> spp., </w:t>
      </w:r>
      <w:r w:rsidRPr="00DD52BF">
        <w:rPr>
          <w:rFonts w:ascii="Times New Roman" w:hAnsi="Times New Roman" w:cs="Times New Roman"/>
          <w:i/>
          <w:color w:val="000000" w:themeColor="text1"/>
          <w:sz w:val="24"/>
          <w:szCs w:val="24"/>
        </w:rPr>
        <w:t>Applied and Environmental Microbiology 72</w:t>
      </w:r>
      <w:r w:rsidRPr="00DD52BF">
        <w:rPr>
          <w:rFonts w:ascii="Times New Roman" w:hAnsi="Times New Roman" w:cs="Times New Roman"/>
          <w:color w:val="000000" w:themeColor="text1"/>
          <w:sz w:val="24"/>
          <w:szCs w:val="24"/>
        </w:rPr>
        <w:t>, 4610-4618.</w:t>
      </w:r>
    </w:p>
    <w:p w:rsidR="00913B58" w:rsidRPr="00DD52BF" w:rsidRDefault="00913B58" w:rsidP="00913B58">
      <w:pPr>
        <w:spacing w:after="0" w:line="240" w:lineRule="auto"/>
        <w:jc w:val="both"/>
        <w:rPr>
          <w:rFonts w:ascii="Times New Roman" w:hAnsi="Times New Roman" w:cs="Times New Roman"/>
          <w:color w:val="000000" w:themeColor="text1"/>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46.</w:t>
      </w:r>
      <w:r w:rsidRPr="00DD52BF">
        <w:rPr>
          <w:rFonts w:ascii="Times New Roman" w:hAnsi="Times New Roman" w:cs="Times New Roman"/>
          <w:color w:val="000000" w:themeColor="text1"/>
          <w:sz w:val="24"/>
          <w:szCs w:val="24"/>
        </w:rPr>
        <w:tab/>
        <w:t>Short, S. M., and Short, C. M. (</w:t>
      </w:r>
      <w:r w:rsidRPr="00DD52BF">
        <w:rPr>
          <w:rFonts w:ascii="Times New Roman" w:hAnsi="Times New Roman" w:cs="Times New Roman"/>
          <w:b/>
          <w:color w:val="000000" w:themeColor="text1"/>
          <w:sz w:val="24"/>
          <w:szCs w:val="24"/>
        </w:rPr>
        <w:t>2009</w:t>
      </w:r>
      <w:r w:rsidRPr="00DD52BF">
        <w:rPr>
          <w:rFonts w:ascii="Times New Roman" w:hAnsi="Times New Roman" w:cs="Times New Roman"/>
          <w:color w:val="000000" w:themeColor="text1"/>
          <w:sz w:val="24"/>
          <w:szCs w:val="24"/>
        </w:rPr>
        <w:t xml:space="preserve">) Quantitative PCR reveals transient and persistent algal virsues in Lake Ontario, Canada, </w:t>
      </w:r>
      <w:r w:rsidRPr="00DD52BF">
        <w:rPr>
          <w:rFonts w:ascii="Times New Roman" w:hAnsi="Times New Roman" w:cs="Times New Roman"/>
          <w:i/>
          <w:color w:val="000000" w:themeColor="text1"/>
          <w:sz w:val="24"/>
          <w:szCs w:val="24"/>
        </w:rPr>
        <w:t>Environmental Microbiology 11</w:t>
      </w:r>
      <w:r w:rsidRPr="00DD52BF">
        <w:rPr>
          <w:rFonts w:ascii="Times New Roman" w:hAnsi="Times New Roman" w:cs="Times New Roman"/>
          <w:color w:val="000000" w:themeColor="text1"/>
          <w:sz w:val="24"/>
          <w:szCs w:val="24"/>
        </w:rPr>
        <w:t>, 2639-2648.</w:t>
      </w:r>
    </w:p>
    <w:p w:rsidR="00913B58" w:rsidRPr="00DD52BF" w:rsidRDefault="00913B58" w:rsidP="00913B58">
      <w:pPr>
        <w:spacing w:after="0" w:line="240" w:lineRule="auto"/>
        <w:jc w:val="both"/>
        <w:rPr>
          <w:rFonts w:ascii="Times New Roman" w:hAnsi="Times New Roman" w:cs="Times New Roman"/>
          <w:color w:val="000000" w:themeColor="text1"/>
          <w:sz w:val="24"/>
          <w:szCs w:val="24"/>
        </w:rPr>
      </w:pPr>
    </w:p>
    <w:p w:rsidR="00913B58" w:rsidRPr="00DD52BF" w:rsidRDefault="00913B58" w:rsidP="00913B58">
      <w:pPr>
        <w:spacing w:after="0" w:line="240" w:lineRule="auto"/>
        <w:ind w:left="720" w:hanging="720"/>
        <w:jc w:val="both"/>
        <w:rPr>
          <w:rFonts w:ascii="Times New Roman" w:hAnsi="Times New Roman" w:cs="Times New Roman"/>
          <w:color w:val="000000" w:themeColor="text1"/>
          <w:sz w:val="24"/>
          <w:szCs w:val="24"/>
        </w:rPr>
      </w:pPr>
      <w:r w:rsidRPr="00DD52BF">
        <w:rPr>
          <w:rFonts w:ascii="Times New Roman" w:hAnsi="Times New Roman" w:cs="Times New Roman"/>
          <w:color w:val="000000" w:themeColor="text1"/>
          <w:sz w:val="24"/>
          <w:szCs w:val="24"/>
        </w:rPr>
        <w:t>47.</w:t>
      </w:r>
      <w:r w:rsidRPr="00DD52BF">
        <w:rPr>
          <w:rFonts w:ascii="Times New Roman" w:hAnsi="Times New Roman" w:cs="Times New Roman"/>
          <w:color w:val="000000" w:themeColor="text1"/>
          <w:sz w:val="24"/>
          <w:szCs w:val="24"/>
        </w:rPr>
        <w:tab/>
        <w:t>Matteson, A. R., Budinoff, C. R., Campbell, C. E., Buchan, A., and Wilhelm, S. W. (</w:t>
      </w:r>
      <w:r w:rsidRPr="00DD52BF">
        <w:rPr>
          <w:rFonts w:ascii="Times New Roman" w:hAnsi="Times New Roman" w:cs="Times New Roman"/>
          <w:i/>
          <w:color w:val="000000" w:themeColor="text1"/>
          <w:sz w:val="24"/>
          <w:szCs w:val="24"/>
        </w:rPr>
        <w:t>in press</w:t>
      </w:r>
      <w:r w:rsidRPr="00DD52BF">
        <w:rPr>
          <w:rFonts w:ascii="Times New Roman" w:hAnsi="Times New Roman" w:cs="Times New Roman"/>
          <w:color w:val="000000" w:themeColor="text1"/>
          <w:sz w:val="24"/>
          <w:szCs w:val="24"/>
        </w:rPr>
        <w:t xml:space="preserve">) Estimating virus production rates in aquatic systems, </w:t>
      </w:r>
      <w:r w:rsidRPr="00DD52BF">
        <w:rPr>
          <w:rFonts w:ascii="Times New Roman" w:hAnsi="Times New Roman" w:cs="Times New Roman"/>
          <w:i/>
          <w:color w:val="000000" w:themeColor="text1"/>
          <w:sz w:val="24"/>
          <w:szCs w:val="24"/>
        </w:rPr>
        <w:t>Journal of Visualized Experiments</w:t>
      </w:r>
      <w:r w:rsidRPr="00DD52BF">
        <w:rPr>
          <w:rFonts w:ascii="Times New Roman" w:hAnsi="Times New Roman" w:cs="Times New Roman"/>
          <w:color w:val="000000" w:themeColor="text1"/>
          <w:sz w:val="24"/>
          <w:szCs w:val="24"/>
        </w:rPr>
        <w:t>.</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48.</w:t>
      </w:r>
      <w:r w:rsidRPr="00DD52BF">
        <w:rPr>
          <w:rFonts w:ascii="Times New Roman" w:hAnsi="Times New Roman" w:cs="Times New Roman"/>
          <w:bCs/>
          <w:sz w:val="24"/>
          <w:szCs w:val="24"/>
        </w:rPr>
        <w:tab/>
        <w:t>Dolan, J. W. (</w:t>
      </w:r>
      <w:r w:rsidRPr="00DD52BF">
        <w:rPr>
          <w:rFonts w:ascii="Times New Roman" w:hAnsi="Times New Roman" w:cs="Times New Roman"/>
          <w:b/>
          <w:bCs/>
          <w:sz w:val="24"/>
          <w:szCs w:val="24"/>
        </w:rPr>
        <w:t>2013</w:t>
      </w:r>
      <w:r w:rsidRPr="00DD52BF">
        <w:rPr>
          <w:rFonts w:ascii="Times New Roman" w:hAnsi="Times New Roman" w:cs="Times New Roman"/>
          <w:bCs/>
          <w:sz w:val="24"/>
          <w:szCs w:val="24"/>
        </w:rPr>
        <w:t xml:space="preserve">) </w:t>
      </w:r>
      <w:proofErr w:type="gramStart"/>
      <w:r w:rsidRPr="00DD52BF">
        <w:rPr>
          <w:rFonts w:ascii="Times New Roman" w:hAnsi="Times New Roman" w:cs="Times New Roman"/>
          <w:bCs/>
          <w:sz w:val="24"/>
          <w:szCs w:val="24"/>
        </w:rPr>
        <w:t>The</w:t>
      </w:r>
      <w:proofErr w:type="gramEnd"/>
      <w:r w:rsidRPr="00DD52BF">
        <w:rPr>
          <w:rFonts w:ascii="Times New Roman" w:hAnsi="Times New Roman" w:cs="Times New Roman"/>
          <w:bCs/>
          <w:sz w:val="24"/>
          <w:szCs w:val="24"/>
        </w:rPr>
        <w:t xml:space="preserve"> Importance of the Sample Matrix, </w:t>
      </w:r>
      <w:r w:rsidRPr="00DD52BF">
        <w:rPr>
          <w:rFonts w:ascii="Times New Roman" w:hAnsi="Times New Roman" w:cs="Times New Roman"/>
          <w:bCs/>
          <w:i/>
          <w:sz w:val="24"/>
          <w:szCs w:val="24"/>
        </w:rPr>
        <w:t>LCGC Europe 2</w:t>
      </w:r>
      <w:r w:rsidRPr="00DD52BF">
        <w:rPr>
          <w:rFonts w:ascii="Times New Roman" w:hAnsi="Times New Roman" w:cs="Times New Roman"/>
          <w:bCs/>
          <w:sz w:val="24"/>
          <w:szCs w:val="24"/>
        </w:rPr>
        <w:t>, 611-615.</w:t>
      </w: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lastRenderedPageBreak/>
        <w:t>49.</w:t>
      </w:r>
      <w:r w:rsidRPr="00DD52BF">
        <w:rPr>
          <w:rFonts w:ascii="Times New Roman" w:hAnsi="Times New Roman" w:cs="Times New Roman"/>
          <w:bCs/>
          <w:sz w:val="24"/>
          <w:szCs w:val="24"/>
        </w:rPr>
        <w:tab/>
        <w:t>Campagna, S. R., Gooding, J. R., and May, A. L. (</w:t>
      </w:r>
      <w:r w:rsidRPr="00DD52BF">
        <w:rPr>
          <w:rFonts w:ascii="Times New Roman" w:hAnsi="Times New Roman" w:cs="Times New Roman"/>
          <w:b/>
          <w:bCs/>
          <w:sz w:val="24"/>
          <w:szCs w:val="24"/>
        </w:rPr>
        <w:t>2009</w:t>
      </w:r>
      <w:r w:rsidRPr="00DD52BF">
        <w:rPr>
          <w:rFonts w:ascii="Times New Roman" w:hAnsi="Times New Roman" w:cs="Times New Roman"/>
          <w:bCs/>
          <w:sz w:val="24"/>
          <w:szCs w:val="24"/>
        </w:rPr>
        <w:t>) Direct Quantitation of the Quorum Sensing Signal, Autoinducer-2, in Clinically Relevant Samples by Liquid Chromatography</w:t>
      </w:r>
      <w:r w:rsidRPr="00DD52BF">
        <w:rPr>
          <w:rFonts w:ascii="Times New Roman" w:hAnsi="Times New Roman" w:cs="Times New Roman"/>
          <w:sz w:val="24"/>
          <w:szCs w:val="24"/>
        </w:rPr>
        <w:t>-</w:t>
      </w:r>
      <w:r w:rsidRPr="00DD52BF">
        <w:rPr>
          <w:rFonts w:ascii="Times New Roman" w:hAnsi="Times New Roman" w:cs="Times New Roman"/>
          <w:bCs/>
          <w:sz w:val="24"/>
          <w:szCs w:val="24"/>
        </w:rPr>
        <w:t xml:space="preserve">Tandem Mass Spectrometry, </w:t>
      </w:r>
      <w:r w:rsidRPr="00DD52BF">
        <w:rPr>
          <w:rFonts w:ascii="Times New Roman" w:hAnsi="Times New Roman" w:cs="Times New Roman"/>
          <w:bCs/>
          <w:i/>
          <w:sz w:val="24"/>
          <w:szCs w:val="24"/>
        </w:rPr>
        <w:t xml:space="preserve">Anal. </w:t>
      </w:r>
      <w:proofErr w:type="gramStart"/>
      <w:r w:rsidRPr="00DD52BF">
        <w:rPr>
          <w:rFonts w:ascii="Times New Roman" w:hAnsi="Times New Roman" w:cs="Times New Roman"/>
          <w:bCs/>
          <w:i/>
          <w:sz w:val="24"/>
          <w:szCs w:val="24"/>
        </w:rPr>
        <w:t>Chem. 81</w:t>
      </w:r>
      <w:r w:rsidRPr="00DD52BF">
        <w:rPr>
          <w:rFonts w:ascii="Times New Roman" w:hAnsi="Times New Roman" w:cs="Times New Roman"/>
          <w:bCs/>
          <w:sz w:val="24"/>
          <w:szCs w:val="24"/>
        </w:rPr>
        <w:t>, 6374-6381.</w:t>
      </w:r>
      <w:proofErr w:type="gramEnd"/>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50.</w:t>
      </w:r>
      <w:r w:rsidRPr="00DD52BF">
        <w:rPr>
          <w:rFonts w:ascii="Times New Roman" w:hAnsi="Times New Roman" w:cs="Times New Roman"/>
          <w:bCs/>
          <w:sz w:val="24"/>
          <w:szCs w:val="24"/>
        </w:rPr>
        <w:tab/>
        <w:t>Sauvage, F. L., Gaulier, J. M., Lachatre, G., and Marquet, P. (</w:t>
      </w:r>
      <w:r w:rsidRPr="00DD52BF">
        <w:rPr>
          <w:rFonts w:ascii="Times New Roman" w:hAnsi="Times New Roman" w:cs="Times New Roman"/>
          <w:b/>
          <w:bCs/>
          <w:sz w:val="24"/>
          <w:szCs w:val="24"/>
        </w:rPr>
        <w:t>2008</w:t>
      </w:r>
      <w:r w:rsidRPr="00DD52BF">
        <w:rPr>
          <w:rFonts w:ascii="Times New Roman" w:hAnsi="Times New Roman" w:cs="Times New Roman"/>
          <w:bCs/>
          <w:sz w:val="24"/>
          <w:szCs w:val="24"/>
        </w:rPr>
        <w:t xml:space="preserve">) Pitfalls and Prevention Strategies for Liquid Chromatography – Tandem Mass Spectrometry in the Selected Reaction – Monitoring Mode for Drug Analysis, </w:t>
      </w:r>
      <w:r w:rsidRPr="00DD52BF">
        <w:rPr>
          <w:rFonts w:ascii="Times New Roman" w:hAnsi="Times New Roman" w:cs="Times New Roman"/>
          <w:bCs/>
          <w:i/>
          <w:sz w:val="24"/>
          <w:szCs w:val="24"/>
        </w:rPr>
        <w:t>Clinical Chemistry 54:9</w:t>
      </w:r>
      <w:r w:rsidRPr="00DD52BF">
        <w:rPr>
          <w:rFonts w:ascii="Times New Roman" w:hAnsi="Times New Roman" w:cs="Times New Roman"/>
          <w:bCs/>
          <w:sz w:val="24"/>
          <w:szCs w:val="24"/>
        </w:rPr>
        <w:t>, 1519-1527.</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51.</w:t>
      </w:r>
      <w:r w:rsidRPr="00DD52BF">
        <w:rPr>
          <w:rFonts w:ascii="Times New Roman" w:hAnsi="Times New Roman" w:cs="Times New Roman"/>
          <w:bCs/>
          <w:sz w:val="24"/>
          <w:szCs w:val="24"/>
        </w:rPr>
        <w:tab/>
        <w:t xml:space="preserve">Syage, J. A., Short, L. C., and </w:t>
      </w:r>
      <w:proofErr w:type="gramStart"/>
      <w:r w:rsidRPr="00DD52BF">
        <w:rPr>
          <w:rFonts w:ascii="Times New Roman" w:hAnsi="Times New Roman" w:cs="Times New Roman"/>
          <w:bCs/>
          <w:sz w:val="24"/>
          <w:szCs w:val="24"/>
        </w:rPr>
        <w:t>Cai</w:t>
      </w:r>
      <w:proofErr w:type="gramEnd"/>
      <w:r w:rsidRPr="00DD52BF">
        <w:rPr>
          <w:rFonts w:ascii="Times New Roman" w:hAnsi="Times New Roman" w:cs="Times New Roman"/>
          <w:bCs/>
          <w:sz w:val="24"/>
          <w:szCs w:val="24"/>
        </w:rPr>
        <w:t>, S. S. (</w:t>
      </w:r>
      <w:r w:rsidRPr="00DD52BF">
        <w:rPr>
          <w:rFonts w:ascii="Times New Roman" w:hAnsi="Times New Roman" w:cs="Times New Roman"/>
          <w:b/>
          <w:bCs/>
          <w:sz w:val="24"/>
          <w:szCs w:val="24"/>
        </w:rPr>
        <w:t>2008</w:t>
      </w:r>
      <w:r w:rsidRPr="00DD52BF">
        <w:rPr>
          <w:rFonts w:ascii="Times New Roman" w:hAnsi="Times New Roman" w:cs="Times New Roman"/>
          <w:bCs/>
          <w:sz w:val="24"/>
          <w:szCs w:val="24"/>
        </w:rPr>
        <w:t xml:space="preserve">) Atmospheric Pressure Photoionization - The Second Source or LC-MS, </w:t>
      </w:r>
      <w:r w:rsidRPr="00DD52BF">
        <w:rPr>
          <w:rFonts w:ascii="Times New Roman" w:hAnsi="Times New Roman" w:cs="Times New Roman"/>
          <w:bCs/>
          <w:i/>
          <w:sz w:val="24"/>
          <w:szCs w:val="24"/>
        </w:rPr>
        <w:t>LCGC North America 26</w:t>
      </w:r>
      <w:r w:rsidRPr="00DD52BF">
        <w:rPr>
          <w:rFonts w:ascii="Times New Roman" w:hAnsi="Times New Roman" w:cs="Times New Roman"/>
          <w:bCs/>
          <w:sz w:val="24"/>
          <w:szCs w:val="24"/>
        </w:rPr>
        <w:t>, 286-296.</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52.</w:t>
      </w:r>
      <w:r w:rsidRPr="00DD52BF">
        <w:rPr>
          <w:rFonts w:ascii="Times New Roman" w:hAnsi="Times New Roman" w:cs="Times New Roman"/>
          <w:bCs/>
          <w:sz w:val="24"/>
          <w:szCs w:val="24"/>
        </w:rPr>
        <w:tab/>
        <w:t>Smith, R. D., Loo, J. A., Edmonds, C. G., Barinaga, C. J., and Udseth, H. R. (</w:t>
      </w:r>
      <w:r w:rsidRPr="00DD52BF">
        <w:rPr>
          <w:rFonts w:ascii="Times New Roman" w:hAnsi="Times New Roman" w:cs="Times New Roman"/>
          <w:b/>
          <w:bCs/>
          <w:sz w:val="24"/>
          <w:szCs w:val="24"/>
        </w:rPr>
        <w:t>1990</w:t>
      </w:r>
      <w:r w:rsidRPr="00DD52BF">
        <w:rPr>
          <w:rFonts w:ascii="Times New Roman" w:hAnsi="Times New Roman" w:cs="Times New Roman"/>
          <w:bCs/>
          <w:sz w:val="24"/>
          <w:szCs w:val="24"/>
        </w:rPr>
        <w:t xml:space="preserve">) New Developments in Biochemical Mass Spectrometry: Electrospray Ionization, </w:t>
      </w:r>
      <w:r w:rsidRPr="00DD52BF">
        <w:rPr>
          <w:rFonts w:ascii="Times New Roman" w:hAnsi="Times New Roman" w:cs="Times New Roman"/>
          <w:bCs/>
          <w:i/>
          <w:sz w:val="24"/>
          <w:szCs w:val="24"/>
        </w:rPr>
        <w:t>Anal. Chem. 62,</w:t>
      </w:r>
      <w:r w:rsidRPr="00DD52BF">
        <w:rPr>
          <w:rFonts w:ascii="Times New Roman" w:hAnsi="Times New Roman" w:cs="Times New Roman"/>
          <w:bCs/>
          <w:sz w:val="24"/>
          <w:szCs w:val="24"/>
        </w:rPr>
        <w:t xml:space="preserve"> 882-899.</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i/>
          <w:sz w:val="24"/>
          <w:szCs w:val="24"/>
        </w:rPr>
      </w:pPr>
      <w:r w:rsidRPr="00DD52BF">
        <w:rPr>
          <w:rFonts w:ascii="Times New Roman" w:hAnsi="Times New Roman" w:cs="Times New Roman"/>
          <w:bCs/>
          <w:sz w:val="24"/>
          <w:szCs w:val="24"/>
        </w:rPr>
        <w:t>53.</w:t>
      </w:r>
      <w:r w:rsidRPr="00DD52BF">
        <w:rPr>
          <w:rFonts w:ascii="Times New Roman" w:hAnsi="Times New Roman" w:cs="Times New Roman"/>
          <w:bCs/>
          <w:sz w:val="24"/>
          <w:szCs w:val="24"/>
        </w:rPr>
        <w:tab/>
        <w:t>Basics of LC/MS, (</w:t>
      </w:r>
      <w:r w:rsidRPr="00DD52BF">
        <w:rPr>
          <w:rFonts w:ascii="Times New Roman" w:hAnsi="Times New Roman" w:cs="Times New Roman"/>
          <w:b/>
          <w:bCs/>
          <w:sz w:val="24"/>
          <w:szCs w:val="24"/>
        </w:rPr>
        <w:t>2001</w:t>
      </w:r>
      <w:r w:rsidRPr="00DD52BF">
        <w:rPr>
          <w:rFonts w:ascii="Times New Roman" w:hAnsi="Times New Roman" w:cs="Times New Roman"/>
          <w:bCs/>
          <w:sz w:val="24"/>
          <w:szCs w:val="24"/>
        </w:rPr>
        <w:t xml:space="preserve">) </w:t>
      </w:r>
      <w:r w:rsidRPr="00DD52BF">
        <w:rPr>
          <w:rFonts w:ascii="Times New Roman" w:hAnsi="Times New Roman" w:cs="Times New Roman"/>
          <w:bCs/>
          <w:i/>
          <w:sz w:val="24"/>
          <w:szCs w:val="24"/>
        </w:rPr>
        <w:t>Agilent Technologies.</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sz w:val="24"/>
          <w:szCs w:val="24"/>
        </w:rPr>
        <w:t>54.</w:t>
      </w:r>
      <w:r w:rsidRPr="00DD52BF">
        <w:rPr>
          <w:rFonts w:ascii="Times New Roman" w:hAnsi="Times New Roman" w:cs="Times New Roman"/>
          <w:sz w:val="24"/>
          <w:szCs w:val="24"/>
        </w:rPr>
        <w:tab/>
        <w:t>TSQ Quantum Discovery MAX, Round-the-clock productivity (</w:t>
      </w:r>
      <w:r w:rsidRPr="00DD52BF">
        <w:rPr>
          <w:rFonts w:ascii="Times New Roman" w:hAnsi="Times New Roman" w:cs="Times New Roman"/>
          <w:b/>
          <w:sz w:val="24"/>
          <w:szCs w:val="24"/>
        </w:rPr>
        <w:t>2005</w:t>
      </w:r>
      <w:r w:rsidRPr="00DD52BF">
        <w:rPr>
          <w:rFonts w:ascii="Times New Roman" w:hAnsi="Times New Roman" w:cs="Times New Roman"/>
          <w:sz w:val="24"/>
          <w:szCs w:val="24"/>
        </w:rPr>
        <w:t xml:space="preserve">) </w:t>
      </w:r>
      <w:r w:rsidRPr="00DD52BF">
        <w:rPr>
          <w:rFonts w:ascii="Times New Roman" w:hAnsi="Times New Roman" w:cs="Times New Roman"/>
          <w:bCs/>
          <w:i/>
          <w:sz w:val="24"/>
          <w:szCs w:val="24"/>
        </w:rPr>
        <w:t>Thermo Electron Corporation.</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55.</w:t>
      </w:r>
      <w:r w:rsidRPr="00DD52BF">
        <w:rPr>
          <w:rFonts w:ascii="Times New Roman" w:hAnsi="Times New Roman" w:cs="Times New Roman"/>
          <w:bCs/>
          <w:sz w:val="24"/>
          <w:szCs w:val="24"/>
        </w:rPr>
        <w:tab/>
        <w:t>Ikonomou, M. G., Blades, A. T., and Kebarle, P. (</w:t>
      </w:r>
      <w:r w:rsidRPr="00DD52BF">
        <w:rPr>
          <w:rFonts w:ascii="Times New Roman" w:hAnsi="Times New Roman" w:cs="Times New Roman"/>
          <w:b/>
          <w:bCs/>
          <w:sz w:val="24"/>
          <w:szCs w:val="24"/>
        </w:rPr>
        <w:t>1991</w:t>
      </w:r>
      <w:r w:rsidRPr="00DD52BF">
        <w:rPr>
          <w:rFonts w:ascii="Times New Roman" w:hAnsi="Times New Roman" w:cs="Times New Roman"/>
          <w:bCs/>
          <w:sz w:val="24"/>
          <w:szCs w:val="24"/>
        </w:rPr>
        <w:t xml:space="preserve">) Electrospray – Ion Spray: A Comparison of Mechanisms and Performance, </w:t>
      </w:r>
      <w:r w:rsidRPr="00DD52BF">
        <w:rPr>
          <w:rFonts w:ascii="Times New Roman" w:hAnsi="Times New Roman" w:cs="Times New Roman"/>
          <w:bCs/>
          <w:i/>
          <w:sz w:val="24"/>
          <w:szCs w:val="24"/>
        </w:rPr>
        <w:t>Anal. Chem. 63</w:t>
      </w:r>
      <w:r w:rsidRPr="00DD52BF">
        <w:rPr>
          <w:rFonts w:ascii="Times New Roman" w:hAnsi="Times New Roman" w:cs="Times New Roman"/>
          <w:bCs/>
          <w:sz w:val="24"/>
          <w:szCs w:val="24"/>
        </w:rPr>
        <w:t>, 1989-1998.</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sz w:val="24"/>
          <w:szCs w:val="24"/>
        </w:rPr>
      </w:pPr>
      <w:r w:rsidRPr="00DD52BF">
        <w:rPr>
          <w:rFonts w:ascii="Times New Roman" w:hAnsi="Times New Roman" w:cs="Times New Roman"/>
          <w:sz w:val="24"/>
          <w:szCs w:val="24"/>
        </w:rPr>
        <w:t>56.</w:t>
      </w:r>
      <w:r w:rsidRPr="00DD52BF">
        <w:rPr>
          <w:rFonts w:ascii="Times New Roman" w:hAnsi="Times New Roman" w:cs="Times New Roman"/>
          <w:sz w:val="24"/>
          <w:szCs w:val="24"/>
        </w:rPr>
        <w:tab/>
        <w:t>Tang, L., and Kebarle, P. (</w:t>
      </w:r>
      <w:r w:rsidRPr="00DD52BF">
        <w:rPr>
          <w:rFonts w:ascii="Times New Roman" w:hAnsi="Times New Roman" w:cs="Times New Roman"/>
          <w:b/>
          <w:sz w:val="24"/>
          <w:szCs w:val="24"/>
        </w:rPr>
        <w:t>1993</w:t>
      </w:r>
      <w:r w:rsidRPr="00DD52BF">
        <w:rPr>
          <w:rFonts w:ascii="Times New Roman" w:hAnsi="Times New Roman" w:cs="Times New Roman"/>
          <w:sz w:val="24"/>
          <w:szCs w:val="24"/>
        </w:rPr>
        <w:t xml:space="preserve">) Dependence of Ion Intensity in Electrospray Mass Spectrometry on the Concentration of the Analytes in the Electrosprayed Solution, </w:t>
      </w:r>
      <w:r w:rsidRPr="00DD52BF">
        <w:rPr>
          <w:rFonts w:ascii="Times New Roman" w:hAnsi="Times New Roman" w:cs="Times New Roman"/>
          <w:i/>
          <w:sz w:val="24"/>
          <w:szCs w:val="24"/>
        </w:rPr>
        <w:t xml:space="preserve">Anal. </w:t>
      </w:r>
      <w:proofErr w:type="gramStart"/>
      <w:r w:rsidRPr="00DD52BF">
        <w:rPr>
          <w:rFonts w:ascii="Times New Roman" w:hAnsi="Times New Roman" w:cs="Times New Roman"/>
          <w:i/>
          <w:sz w:val="24"/>
          <w:szCs w:val="24"/>
        </w:rPr>
        <w:t>Chem. 65</w:t>
      </w:r>
      <w:r w:rsidRPr="00DD52BF">
        <w:rPr>
          <w:rFonts w:ascii="Times New Roman" w:hAnsi="Times New Roman" w:cs="Times New Roman"/>
          <w:sz w:val="24"/>
          <w:szCs w:val="24"/>
        </w:rPr>
        <w:t>, 3654-3668.</w:t>
      </w:r>
      <w:proofErr w:type="gramEnd"/>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57.</w:t>
      </w:r>
      <w:r w:rsidRPr="00DD52BF">
        <w:rPr>
          <w:rFonts w:ascii="Times New Roman" w:hAnsi="Times New Roman" w:cs="Times New Roman"/>
          <w:bCs/>
          <w:sz w:val="24"/>
          <w:szCs w:val="24"/>
        </w:rPr>
        <w:tab/>
        <w:t>Wilm, M. (</w:t>
      </w:r>
      <w:r w:rsidRPr="00DD52BF">
        <w:rPr>
          <w:rFonts w:ascii="Times New Roman" w:hAnsi="Times New Roman" w:cs="Times New Roman"/>
          <w:b/>
          <w:bCs/>
          <w:sz w:val="24"/>
          <w:szCs w:val="24"/>
        </w:rPr>
        <w:t>2011</w:t>
      </w:r>
      <w:r w:rsidRPr="00DD52BF">
        <w:rPr>
          <w:rFonts w:ascii="Times New Roman" w:hAnsi="Times New Roman" w:cs="Times New Roman"/>
          <w:bCs/>
          <w:sz w:val="24"/>
          <w:szCs w:val="24"/>
        </w:rPr>
        <w:t>) Principles of Electrospray Ionization, Molecular and Cellular Proteomics 10.7, 1-8.</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58.</w:t>
      </w:r>
      <w:r w:rsidRPr="00DD52BF">
        <w:rPr>
          <w:rFonts w:ascii="Times New Roman" w:hAnsi="Times New Roman" w:cs="Times New Roman"/>
          <w:bCs/>
          <w:sz w:val="24"/>
          <w:szCs w:val="24"/>
        </w:rPr>
        <w:tab/>
        <w:t>Balogh, M. P. (</w:t>
      </w:r>
      <w:r w:rsidRPr="00DD52BF">
        <w:rPr>
          <w:rFonts w:ascii="Times New Roman" w:hAnsi="Times New Roman" w:cs="Times New Roman"/>
          <w:b/>
          <w:bCs/>
          <w:sz w:val="24"/>
          <w:szCs w:val="24"/>
        </w:rPr>
        <w:t>2004</w:t>
      </w:r>
      <w:r w:rsidRPr="00DD52BF">
        <w:rPr>
          <w:rFonts w:ascii="Times New Roman" w:hAnsi="Times New Roman" w:cs="Times New Roman"/>
          <w:bCs/>
          <w:sz w:val="24"/>
          <w:szCs w:val="24"/>
        </w:rPr>
        <w:t xml:space="preserve">) Debating Resolution and Mass Accuracy, </w:t>
      </w:r>
      <w:r w:rsidRPr="00DD52BF">
        <w:rPr>
          <w:rFonts w:ascii="Times New Roman" w:hAnsi="Times New Roman" w:cs="Times New Roman"/>
          <w:bCs/>
          <w:i/>
          <w:sz w:val="24"/>
          <w:szCs w:val="24"/>
        </w:rPr>
        <w:t>Waters Corporation.</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DD52BF">
        <w:rPr>
          <w:rFonts w:ascii="Times New Roman" w:hAnsi="Times New Roman" w:cs="Times New Roman"/>
          <w:bCs/>
          <w:color w:val="000000"/>
          <w:sz w:val="24"/>
          <w:szCs w:val="24"/>
        </w:rPr>
        <w:t>59.</w:t>
      </w:r>
      <w:r w:rsidRPr="00DD52BF">
        <w:rPr>
          <w:rFonts w:ascii="Times New Roman" w:hAnsi="Times New Roman" w:cs="Times New Roman"/>
          <w:bCs/>
          <w:color w:val="000000"/>
          <w:sz w:val="24"/>
          <w:szCs w:val="24"/>
        </w:rPr>
        <w:tab/>
      </w:r>
      <w:r w:rsidRPr="00DD52BF">
        <w:rPr>
          <w:rFonts w:ascii="Times New Roman" w:hAnsi="Times New Roman" w:cs="Times New Roman"/>
          <w:color w:val="000000"/>
          <w:sz w:val="24"/>
          <w:szCs w:val="24"/>
        </w:rPr>
        <w:t>Huebschmann, H. J., Silcock, P., and Dobbeleer, I. D. (</w:t>
      </w:r>
      <w:r w:rsidRPr="00DD52BF">
        <w:rPr>
          <w:rFonts w:ascii="Times New Roman" w:hAnsi="Times New Roman" w:cs="Times New Roman"/>
          <w:b/>
          <w:color w:val="000000"/>
          <w:sz w:val="24"/>
          <w:szCs w:val="24"/>
        </w:rPr>
        <w:t>2012</w:t>
      </w:r>
      <w:r w:rsidRPr="00DD52BF">
        <w:rPr>
          <w:rFonts w:ascii="Times New Roman" w:hAnsi="Times New Roman" w:cs="Times New Roman"/>
          <w:color w:val="000000"/>
          <w:sz w:val="24"/>
          <w:szCs w:val="24"/>
        </w:rPr>
        <w:t xml:space="preserve">) U-SRM - Ultra Selective Detection of Analytes in Complex Matrix Samples on the TSQ Quantum XLS Ultra GC-MS/MS, </w:t>
      </w:r>
      <w:r w:rsidRPr="00DD52BF">
        <w:rPr>
          <w:rFonts w:ascii="Times New Roman" w:hAnsi="Times New Roman" w:cs="Times New Roman"/>
          <w:i/>
          <w:color w:val="000000"/>
          <w:sz w:val="24"/>
          <w:szCs w:val="24"/>
        </w:rPr>
        <w:t>Thermo Fisher Scientific</w:t>
      </w:r>
      <w:r w:rsidRPr="00DD52BF">
        <w:rPr>
          <w:rFonts w:ascii="Times New Roman" w:hAnsi="Times New Roman" w:cs="Times New Roman"/>
          <w:color w:val="000000"/>
          <w:sz w:val="24"/>
          <w:szCs w:val="24"/>
        </w:rPr>
        <w:t>.</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60.</w:t>
      </w:r>
      <w:r w:rsidRPr="00DD52BF">
        <w:rPr>
          <w:rFonts w:ascii="Times New Roman" w:hAnsi="Times New Roman" w:cs="Times New Roman"/>
          <w:bCs/>
          <w:sz w:val="24"/>
          <w:szCs w:val="24"/>
        </w:rPr>
        <w:tab/>
        <w:t>Miller, P. E., and Denton, M. B. (</w:t>
      </w:r>
      <w:r w:rsidRPr="00DD52BF">
        <w:rPr>
          <w:rFonts w:ascii="Times New Roman" w:hAnsi="Times New Roman" w:cs="Times New Roman"/>
          <w:b/>
          <w:bCs/>
          <w:sz w:val="24"/>
          <w:szCs w:val="24"/>
        </w:rPr>
        <w:t>1986</w:t>
      </w:r>
      <w:r w:rsidRPr="00DD52BF">
        <w:rPr>
          <w:rFonts w:ascii="Times New Roman" w:hAnsi="Times New Roman" w:cs="Times New Roman"/>
          <w:bCs/>
          <w:sz w:val="24"/>
          <w:szCs w:val="24"/>
        </w:rPr>
        <w:t xml:space="preserve">) The Quadrupole Mass Filter: Basic Operating Concepts, </w:t>
      </w:r>
      <w:r w:rsidRPr="00DD52BF">
        <w:rPr>
          <w:rFonts w:ascii="Times New Roman" w:hAnsi="Times New Roman" w:cs="Times New Roman"/>
          <w:bCs/>
          <w:i/>
          <w:sz w:val="24"/>
          <w:szCs w:val="24"/>
        </w:rPr>
        <w:t>Journal of Chemical Education 63</w:t>
      </w:r>
      <w:r w:rsidRPr="00DD52BF">
        <w:rPr>
          <w:rFonts w:ascii="Times New Roman" w:hAnsi="Times New Roman" w:cs="Times New Roman"/>
          <w:bCs/>
          <w:sz w:val="24"/>
          <w:szCs w:val="24"/>
        </w:rPr>
        <w:t>, 617-622.</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i/>
          <w:sz w:val="24"/>
          <w:szCs w:val="24"/>
        </w:rPr>
      </w:pPr>
      <w:r w:rsidRPr="00DD52BF">
        <w:rPr>
          <w:rFonts w:ascii="Times New Roman" w:hAnsi="Times New Roman" w:cs="Times New Roman"/>
          <w:sz w:val="24"/>
          <w:szCs w:val="24"/>
        </w:rPr>
        <w:t>61.</w:t>
      </w:r>
      <w:r w:rsidRPr="00DD52BF">
        <w:rPr>
          <w:rFonts w:ascii="Times New Roman" w:hAnsi="Times New Roman" w:cs="Times New Roman"/>
          <w:sz w:val="24"/>
          <w:szCs w:val="24"/>
        </w:rPr>
        <w:tab/>
        <w:t>TSQ Quantum Discovery MAX: Hardware Manual, Revision A, (</w:t>
      </w:r>
      <w:r w:rsidRPr="00DD52BF">
        <w:rPr>
          <w:rFonts w:ascii="Times New Roman" w:hAnsi="Times New Roman" w:cs="Times New Roman"/>
          <w:b/>
          <w:sz w:val="24"/>
          <w:szCs w:val="24"/>
        </w:rPr>
        <w:t>2006</w:t>
      </w:r>
      <w:r w:rsidRPr="00DD52BF">
        <w:rPr>
          <w:rFonts w:ascii="Times New Roman" w:hAnsi="Times New Roman" w:cs="Times New Roman"/>
          <w:sz w:val="24"/>
          <w:szCs w:val="24"/>
        </w:rPr>
        <w:t xml:space="preserve">) </w:t>
      </w:r>
      <w:r w:rsidRPr="00DD52BF">
        <w:rPr>
          <w:rFonts w:ascii="Times New Roman" w:hAnsi="Times New Roman" w:cs="Times New Roman"/>
          <w:bCs/>
          <w:i/>
          <w:sz w:val="24"/>
          <w:szCs w:val="24"/>
        </w:rPr>
        <w:t>Thermo Electron Corporation.</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spacing w:after="0" w:line="240" w:lineRule="auto"/>
        <w:ind w:left="720" w:hanging="720"/>
        <w:contextualSpacing/>
        <w:jc w:val="both"/>
        <w:rPr>
          <w:rFonts w:ascii="Times New Roman" w:eastAsia="Times New Roman" w:hAnsi="Times New Roman" w:cs="Times New Roman"/>
          <w:noProof/>
          <w:sz w:val="24"/>
          <w:szCs w:val="24"/>
        </w:rPr>
      </w:pPr>
    </w:p>
    <w:p w:rsidR="00913B58" w:rsidRDefault="00913B58" w:rsidP="00913B58">
      <w:pPr>
        <w:spacing w:after="0" w:line="240" w:lineRule="auto"/>
        <w:ind w:left="720" w:hanging="720"/>
        <w:contextualSpacing/>
        <w:jc w:val="both"/>
        <w:rPr>
          <w:rFonts w:ascii="Times New Roman" w:eastAsia="Times New Roman" w:hAnsi="Times New Roman" w:cs="Times New Roman"/>
          <w:noProof/>
          <w:sz w:val="24"/>
          <w:szCs w:val="24"/>
        </w:rPr>
      </w:pPr>
    </w:p>
    <w:p w:rsidR="00913B58" w:rsidRPr="00DD52BF" w:rsidRDefault="00913B58" w:rsidP="00913B58">
      <w:pPr>
        <w:spacing w:after="0" w:line="240" w:lineRule="auto"/>
        <w:ind w:left="720" w:hanging="720"/>
        <w:contextualSpacing/>
        <w:jc w:val="both"/>
        <w:rPr>
          <w:rFonts w:ascii="Times New Roman" w:eastAsia="Times New Roman" w:hAnsi="Times New Roman" w:cs="Times New Roman"/>
          <w:noProof/>
          <w:sz w:val="24"/>
          <w:szCs w:val="24"/>
        </w:rPr>
      </w:pPr>
      <w:r w:rsidRPr="00DD52BF">
        <w:rPr>
          <w:rFonts w:ascii="Times New Roman" w:eastAsia="Times New Roman" w:hAnsi="Times New Roman" w:cs="Times New Roman"/>
          <w:noProof/>
          <w:sz w:val="24"/>
          <w:szCs w:val="24"/>
        </w:rPr>
        <w:lastRenderedPageBreak/>
        <w:t>62.</w:t>
      </w:r>
      <w:r w:rsidRPr="00DD52BF">
        <w:rPr>
          <w:rFonts w:ascii="Times New Roman" w:eastAsia="Times New Roman" w:hAnsi="Times New Roman" w:cs="Times New Roman"/>
          <w:noProof/>
          <w:sz w:val="24"/>
          <w:szCs w:val="24"/>
        </w:rPr>
        <w:tab/>
        <w:t>Zhao, Y., Xiong, Y., and Curtis, J. M. (</w:t>
      </w:r>
      <w:r w:rsidRPr="00DD52BF">
        <w:rPr>
          <w:rFonts w:ascii="Times New Roman" w:eastAsia="Times New Roman" w:hAnsi="Times New Roman" w:cs="Times New Roman"/>
          <w:b/>
          <w:noProof/>
          <w:sz w:val="24"/>
          <w:szCs w:val="24"/>
        </w:rPr>
        <w:t xml:space="preserve">2011) </w:t>
      </w:r>
      <w:r w:rsidRPr="00DD52BF">
        <w:rPr>
          <w:rFonts w:ascii="Times New Roman" w:eastAsia="Times New Roman" w:hAnsi="Times New Roman" w:cs="Times New Roman"/>
          <w:noProof/>
          <w:sz w:val="24"/>
          <w:szCs w:val="24"/>
        </w:rPr>
        <w:t>Measurement of phospholipids by hydrophilic interaction liquid chromatography coupled to tandem mass spectrometry: The determination of choline containing compounds in foods,</w:t>
      </w:r>
      <w:r w:rsidRPr="00DD52BF">
        <w:rPr>
          <w:rFonts w:ascii="Times New Roman" w:eastAsia="Times New Roman" w:hAnsi="Times New Roman" w:cs="Times New Roman"/>
          <w:i/>
          <w:noProof/>
          <w:sz w:val="24"/>
          <w:szCs w:val="24"/>
        </w:rPr>
        <w:t xml:space="preserve"> Journal of Chromatography A 1218</w:t>
      </w:r>
      <w:r w:rsidRPr="00DD52BF">
        <w:rPr>
          <w:rFonts w:ascii="Times New Roman" w:eastAsia="Times New Roman" w:hAnsi="Times New Roman" w:cs="Times New Roman"/>
          <w:noProof/>
          <w:sz w:val="24"/>
          <w:szCs w:val="24"/>
        </w:rPr>
        <w:t xml:space="preserve">, 5470-5479.  </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sz w:val="24"/>
          <w:szCs w:val="24"/>
        </w:rPr>
        <w:t>63.</w:t>
      </w:r>
      <w:r w:rsidRPr="00DD52BF">
        <w:rPr>
          <w:rFonts w:ascii="Times New Roman" w:hAnsi="Times New Roman" w:cs="Times New Roman"/>
          <w:sz w:val="24"/>
          <w:szCs w:val="24"/>
        </w:rPr>
        <w:tab/>
        <w:t>Lins, B., Engelbrecht, R., and Schmauss B. (</w:t>
      </w:r>
      <w:r w:rsidRPr="00DD52BF">
        <w:rPr>
          <w:rFonts w:ascii="Times New Roman" w:hAnsi="Times New Roman" w:cs="Times New Roman"/>
          <w:b/>
          <w:sz w:val="24"/>
          <w:szCs w:val="24"/>
        </w:rPr>
        <w:t>2012</w:t>
      </w:r>
      <w:r w:rsidRPr="00DD52BF">
        <w:rPr>
          <w:rFonts w:ascii="Times New Roman" w:hAnsi="Times New Roman" w:cs="Times New Roman"/>
          <w:sz w:val="24"/>
          <w:szCs w:val="24"/>
        </w:rPr>
        <w:t xml:space="preserve">) </w:t>
      </w:r>
      <w:r w:rsidRPr="00DD52BF">
        <w:rPr>
          <w:rFonts w:ascii="Times New Roman" w:hAnsi="Times New Roman" w:cs="Times New Roman"/>
          <w:bCs/>
          <w:sz w:val="24"/>
          <w:szCs w:val="24"/>
        </w:rPr>
        <w:t xml:space="preserve">Software-switching between direct absorption and wavelength modulation spectroscopy for the investigation of ADC resolution requirements, </w:t>
      </w:r>
      <w:r w:rsidRPr="00DD52BF">
        <w:rPr>
          <w:rFonts w:ascii="Times New Roman" w:hAnsi="Times New Roman" w:cs="Times New Roman"/>
          <w:bCs/>
          <w:i/>
          <w:sz w:val="24"/>
          <w:szCs w:val="24"/>
        </w:rPr>
        <w:t>Appl. Phys. B 106</w:t>
      </w:r>
      <w:r w:rsidRPr="00DD52BF">
        <w:rPr>
          <w:rFonts w:ascii="Times New Roman" w:hAnsi="Times New Roman" w:cs="Times New Roman"/>
          <w:bCs/>
          <w:sz w:val="24"/>
          <w:szCs w:val="24"/>
        </w:rPr>
        <w:t xml:space="preserve">, 999-1008. </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sz w:val="24"/>
          <w:szCs w:val="24"/>
        </w:rPr>
      </w:pPr>
      <w:r w:rsidRPr="00DD52BF">
        <w:rPr>
          <w:rFonts w:ascii="Times New Roman" w:hAnsi="Times New Roman" w:cs="Times New Roman"/>
          <w:sz w:val="24"/>
          <w:szCs w:val="24"/>
        </w:rPr>
        <w:t>64.</w:t>
      </w:r>
      <w:r w:rsidRPr="00DD52BF">
        <w:rPr>
          <w:rFonts w:ascii="Times New Roman" w:hAnsi="Times New Roman" w:cs="Times New Roman"/>
          <w:sz w:val="24"/>
          <w:szCs w:val="24"/>
        </w:rPr>
        <w:tab/>
        <w:t>Turrin, B. D., Swisher III, C. C., and Deino, A. L. (</w:t>
      </w:r>
      <w:r w:rsidRPr="00DD52BF">
        <w:rPr>
          <w:rFonts w:ascii="Times New Roman" w:hAnsi="Times New Roman" w:cs="Times New Roman"/>
          <w:b/>
          <w:sz w:val="24"/>
          <w:szCs w:val="24"/>
        </w:rPr>
        <w:t>2010</w:t>
      </w:r>
      <w:r w:rsidRPr="00DD52BF">
        <w:rPr>
          <w:rFonts w:ascii="Times New Roman" w:hAnsi="Times New Roman" w:cs="Times New Roman"/>
          <w:sz w:val="24"/>
          <w:szCs w:val="24"/>
        </w:rPr>
        <w:t xml:space="preserve">) Mass discrimination monitoring and intercalibration of dual collectors in noble gas mass spectrometer systems, </w:t>
      </w:r>
      <w:r w:rsidRPr="00DD52BF">
        <w:rPr>
          <w:rFonts w:ascii="Times New Roman" w:hAnsi="Times New Roman" w:cs="Times New Roman"/>
          <w:i/>
          <w:sz w:val="24"/>
          <w:szCs w:val="24"/>
        </w:rPr>
        <w:t>G</w:t>
      </w:r>
      <w:r w:rsidRPr="00DD52BF">
        <w:rPr>
          <w:rFonts w:ascii="Times New Roman" w:hAnsi="Times New Roman" w:cs="Times New Roman"/>
          <w:i/>
          <w:sz w:val="24"/>
          <w:szCs w:val="24"/>
          <w:vertAlign w:val="superscript"/>
        </w:rPr>
        <w:t>3</w:t>
      </w:r>
      <w:r w:rsidRPr="00DD52BF">
        <w:rPr>
          <w:rFonts w:ascii="Times New Roman" w:hAnsi="Times New Roman" w:cs="Times New Roman"/>
          <w:i/>
          <w:sz w:val="24"/>
          <w:szCs w:val="24"/>
        </w:rPr>
        <w:t xml:space="preserve"> 11</w:t>
      </w:r>
      <w:r w:rsidRPr="00DD52BF">
        <w:rPr>
          <w:rFonts w:ascii="Times New Roman" w:hAnsi="Times New Roman" w:cs="Times New Roman"/>
          <w:sz w:val="24"/>
          <w:szCs w:val="24"/>
        </w:rPr>
        <w:t>, 1-20.</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sz w:val="24"/>
          <w:szCs w:val="24"/>
        </w:rPr>
      </w:pPr>
      <w:r w:rsidRPr="00DD52BF">
        <w:rPr>
          <w:rFonts w:ascii="Times New Roman" w:hAnsi="Times New Roman" w:cs="Times New Roman"/>
          <w:bCs/>
          <w:sz w:val="24"/>
          <w:szCs w:val="24"/>
        </w:rPr>
        <w:t>65.</w:t>
      </w:r>
      <w:r w:rsidRPr="00DD52BF">
        <w:rPr>
          <w:rFonts w:ascii="Times New Roman" w:hAnsi="Times New Roman" w:cs="Times New Roman"/>
          <w:bCs/>
          <w:sz w:val="24"/>
          <w:szCs w:val="24"/>
        </w:rPr>
        <w:tab/>
        <w:t>Ayres, F. D. (</w:t>
      </w:r>
      <w:r w:rsidRPr="00DD52BF">
        <w:rPr>
          <w:rFonts w:ascii="Times New Roman" w:hAnsi="Times New Roman" w:cs="Times New Roman"/>
          <w:b/>
          <w:bCs/>
          <w:sz w:val="24"/>
          <w:szCs w:val="24"/>
        </w:rPr>
        <w:t>2012</w:t>
      </w:r>
      <w:r w:rsidRPr="00DD52BF">
        <w:rPr>
          <w:rFonts w:ascii="Times New Roman" w:hAnsi="Times New Roman" w:cs="Times New Roman"/>
          <w:bCs/>
          <w:sz w:val="24"/>
          <w:szCs w:val="24"/>
        </w:rPr>
        <w:t xml:space="preserve">) TSQ Series Service, </w:t>
      </w:r>
      <w:r w:rsidRPr="00DD52BF">
        <w:rPr>
          <w:rFonts w:ascii="Times New Roman" w:hAnsi="Times New Roman" w:cs="Times New Roman"/>
          <w:i/>
          <w:sz w:val="24"/>
          <w:szCs w:val="24"/>
        </w:rPr>
        <w:t>Thermo Fisher Scientific.</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line="240" w:lineRule="auto"/>
        <w:ind w:left="720" w:hanging="720"/>
        <w:jc w:val="both"/>
        <w:rPr>
          <w:rFonts w:ascii="Times New Roman" w:hAnsi="Times New Roman" w:cs="Times New Roman"/>
          <w:sz w:val="24"/>
          <w:szCs w:val="24"/>
        </w:rPr>
      </w:pPr>
      <w:r w:rsidRPr="00DD52BF">
        <w:rPr>
          <w:rFonts w:ascii="Times New Roman" w:hAnsi="Times New Roman" w:cs="Times New Roman"/>
          <w:sz w:val="24"/>
          <w:szCs w:val="24"/>
        </w:rPr>
        <w:t>66.</w:t>
      </w:r>
      <w:r w:rsidRPr="00DD52BF">
        <w:rPr>
          <w:rFonts w:ascii="Times New Roman" w:hAnsi="Times New Roman" w:cs="Times New Roman"/>
          <w:sz w:val="24"/>
          <w:szCs w:val="24"/>
        </w:rPr>
        <w:tab/>
        <w:t>Dolan, J. W. (</w:t>
      </w:r>
      <w:r w:rsidRPr="00DD52BF">
        <w:rPr>
          <w:rFonts w:ascii="Times New Roman" w:hAnsi="Times New Roman" w:cs="Times New Roman"/>
          <w:b/>
          <w:sz w:val="24"/>
          <w:szCs w:val="24"/>
        </w:rPr>
        <w:t>2008</w:t>
      </w:r>
      <w:r w:rsidRPr="00DD52BF">
        <w:rPr>
          <w:rFonts w:ascii="Times New Roman" w:hAnsi="Times New Roman" w:cs="Times New Roman"/>
          <w:sz w:val="24"/>
          <w:szCs w:val="24"/>
        </w:rPr>
        <w:t xml:space="preserve">) </w:t>
      </w:r>
      <w:r w:rsidRPr="00DD52BF">
        <w:rPr>
          <w:rFonts w:ascii="Times New Roman" w:hAnsi="Times New Roman" w:cs="Times New Roman"/>
          <w:bCs/>
          <w:sz w:val="24"/>
          <w:szCs w:val="24"/>
        </w:rPr>
        <w:t xml:space="preserve">Method Transfer </w:t>
      </w:r>
      <w:r w:rsidRPr="00DD52BF">
        <w:rPr>
          <w:rFonts w:ascii="Times New Roman" w:hAnsi="Times New Roman" w:cs="Times New Roman"/>
          <w:sz w:val="24"/>
          <w:szCs w:val="24"/>
        </w:rPr>
        <w:t xml:space="preserve">Problems, </w:t>
      </w:r>
      <w:r w:rsidRPr="00DD52BF">
        <w:rPr>
          <w:rFonts w:ascii="Times New Roman" w:hAnsi="Times New Roman" w:cs="Times New Roman"/>
          <w:i/>
          <w:sz w:val="24"/>
          <w:szCs w:val="24"/>
        </w:rPr>
        <w:t>LCGC Europe</w:t>
      </w:r>
      <w:r w:rsidRPr="00DD52BF">
        <w:rPr>
          <w:rFonts w:ascii="Times New Roman" w:hAnsi="Times New Roman" w:cs="Times New Roman"/>
          <w:sz w:val="24"/>
          <w:szCs w:val="24"/>
        </w:rPr>
        <w:t>, 328-331.</w:t>
      </w:r>
    </w:p>
    <w:p w:rsidR="00913B58" w:rsidRDefault="00913B58" w:rsidP="00913B58">
      <w:pPr>
        <w:autoSpaceDE w:val="0"/>
        <w:autoSpaceDN w:val="0"/>
        <w:adjustRightInd w:val="0"/>
        <w:spacing w:after="0" w:line="240" w:lineRule="auto"/>
        <w:jc w:val="both"/>
        <w:rPr>
          <w:rFonts w:ascii="Times New Roman" w:hAnsi="Times New Roman" w:cs="Times New Roman"/>
          <w:i/>
          <w:color w:val="000000"/>
          <w:sz w:val="24"/>
          <w:szCs w:val="24"/>
        </w:rPr>
      </w:pPr>
      <w:r w:rsidRPr="00DD52BF">
        <w:rPr>
          <w:rFonts w:ascii="Times New Roman" w:hAnsi="Times New Roman" w:cs="Times New Roman"/>
          <w:color w:val="000000"/>
          <w:sz w:val="24"/>
          <w:szCs w:val="24"/>
        </w:rPr>
        <w:t xml:space="preserve">67. </w:t>
      </w:r>
      <w:r w:rsidRPr="00DD52BF">
        <w:rPr>
          <w:rFonts w:ascii="Times New Roman" w:hAnsi="Times New Roman" w:cs="Times New Roman"/>
          <w:color w:val="000000"/>
          <w:sz w:val="24"/>
          <w:szCs w:val="24"/>
        </w:rPr>
        <w:tab/>
        <w:t>HPLC Column Protection Guide, Version 0610, (</w:t>
      </w:r>
      <w:r w:rsidRPr="00DD52BF">
        <w:rPr>
          <w:rFonts w:ascii="Times New Roman" w:hAnsi="Times New Roman" w:cs="Times New Roman"/>
          <w:b/>
          <w:color w:val="000000"/>
          <w:sz w:val="24"/>
          <w:szCs w:val="24"/>
        </w:rPr>
        <w:t>2010</w:t>
      </w:r>
      <w:r w:rsidRPr="00DD52BF">
        <w:rPr>
          <w:rFonts w:ascii="Times New Roman" w:hAnsi="Times New Roman" w:cs="Times New Roman"/>
          <w:color w:val="000000"/>
          <w:sz w:val="24"/>
          <w:szCs w:val="24"/>
        </w:rPr>
        <w:t xml:space="preserve">) </w:t>
      </w:r>
      <w:r w:rsidRPr="00DD52BF">
        <w:rPr>
          <w:rFonts w:ascii="Times New Roman" w:hAnsi="Times New Roman" w:cs="Times New Roman"/>
          <w:i/>
          <w:color w:val="000000"/>
          <w:sz w:val="24"/>
          <w:szCs w:val="24"/>
        </w:rPr>
        <w:t>Phenomenex</w:t>
      </w:r>
      <w:r>
        <w:rPr>
          <w:rFonts w:ascii="Times New Roman" w:hAnsi="Times New Roman" w:cs="Times New Roman"/>
          <w:i/>
          <w:color w:val="000000"/>
          <w:sz w:val="24"/>
          <w:szCs w:val="24"/>
        </w:rPr>
        <w:t>.</w:t>
      </w:r>
    </w:p>
    <w:p w:rsidR="00913B58" w:rsidRPr="00801329" w:rsidRDefault="00913B58" w:rsidP="00913B58">
      <w:pPr>
        <w:autoSpaceDE w:val="0"/>
        <w:autoSpaceDN w:val="0"/>
        <w:adjustRightInd w:val="0"/>
        <w:spacing w:after="0" w:line="240" w:lineRule="auto"/>
        <w:jc w:val="both"/>
        <w:rPr>
          <w:rFonts w:ascii="Times New Roman" w:hAnsi="Times New Roman" w:cs="Times New Roman"/>
          <w:i/>
          <w:color w:val="000000"/>
          <w:sz w:val="24"/>
          <w:szCs w:val="24"/>
        </w:rPr>
      </w:pPr>
    </w:p>
    <w:p w:rsidR="00913B58" w:rsidRPr="00DD52BF" w:rsidRDefault="00913B58" w:rsidP="00913B58">
      <w:pPr>
        <w:spacing w:line="240" w:lineRule="auto"/>
        <w:ind w:left="720" w:hanging="720"/>
        <w:jc w:val="both"/>
        <w:rPr>
          <w:rFonts w:ascii="Times New Roman" w:hAnsi="Times New Roman" w:cs="Times New Roman"/>
          <w:sz w:val="24"/>
          <w:szCs w:val="24"/>
        </w:rPr>
      </w:pPr>
      <w:r w:rsidRPr="00DD52BF">
        <w:rPr>
          <w:rFonts w:ascii="Times New Roman" w:hAnsi="Times New Roman" w:cs="Times New Roman"/>
          <w:iCs/>
          <w:sz w:val="24"/>
          <w:szCs w:val="24"/>
        </w:rPr>
        <w:t>68.</w:t>
      </w:r>
      <w:r w:rsidRPr="00DD52BF">
        <w:rPr>
          <w:rFonts w:ascii="Times New Roman" w:hAnsi="Times New Roman" w:cs="Times New Roman"/>
          <w:iCs/>
          <w:sz w:val="24"/>
          <w:szCs w:val="24"/>
        </w:rPr>
        <w:tab/>
      </w:r>
      <w:r w:rsidRPr="00DD52BF">
        <w:rPr>
          <w:rFonts w:ascii="Times New Roman" w:hAnsi="Times New Roman" w:cs="Times New Roman"/>
          <w:sz w:val="24"/>
          <w:szCs w:val="24"/>
        </w:rPr>
        <w:t>Yoshida, H., Mizukoshi, T., Hirayama, K., and Miyano, H. (</w:t>
      </w:r>
      <w:r w:rsidRPr="00DD52BF">
        <w:rPr>
          <w:rFonts w:ascii="Times New Roman" w:hAnsi="Times New Roman" w:cs="Times New Roman"/>
          <w:b/>
          <w:sz w:val="24"/>
          <w:szCs w:val="24"/>
        </w:rPr>
        <w:t>2006</w:t>
      </w:r>
      <w:r w:rsidRPr="00DD52BF">
        <w:rPr>
          <w:rFonts w:ascii="Times New Roman" w:hAnsi="Times New Roman" w:cs="Times New Roman"/>
          <w:sz w:val="24"/>
          <w:szCs w:val="24"/>
        </w:rPr>
        <w:t xml:space="preserve">) On-Line Desalting - Mass Spectrometry System for the Structural Determination of Hydrophilic Metabolites, Using a Column Switching Technique and a Volatile Ion-Pairing Reagent, </w:t>
      </w:r>
      <w:r w:rsidRPr="00DD52BF">
        <w:rPr>
          <w:rFonts w:ascii="Times New Roman" w:hAnsi="Times New Roman" w:cs="Times New Roman"/>
          <w:i/>
          <w:iCs/>
          <w:sz w:val="24"/>
          <w:szCs w:val="24"/>
        </w:rPr>
        <w:t xml:space="preserve">J. Chromatogr. </w:t>
      </w:r>
      <w:proofErr w:type="gramStart"/>
      <w:r w:rsidRPr="00DD52BF">
        <w:rPr>
          <w:rFonts w:ascii="Times New Roman" w:hAnsi="Times New Roman" w:cs="Times New Roman"/>
          <w:i/>
          <w:iCs/>
          <w:sz w:val="24"/>
          <w:szCs w:val="24"/>
        </w:rPr>
        <w:t>A</w:t>
      </w:r>
      <w:proofErr w:type="gramEnd"/>
      <w:r w:rsidRPr="00DD52BF">
        <w:rPr>
          <w:rFonts w:ascii="Times New Roman" w:hAnsi="Times New Roman" w:cs="Times New Roman"/>
          <w:i/>
          <w:iCs/>
          <w:sz w:val="24"/>
          <w:szCs w:val="24"/>
        </w:rPr>
        <w:t xml:space="preserve"> 1119, </w:t>
      </w:r>
      <w:r w:rsidRPr="00DD52BF">
        <w:rPr>
          <w:rFonts w:ascii="Times New Roman" w:hAnsi="Times New Roman" w:cs="Times New Roman"/>
          <w:sz w:val="24"/>
          <w:szCs w:val="24"/>
        </w:rPr>
        <w:t>315–321.</w:t>
      </w:r>
    </w:p>
    <w:p w:rsidR="00913B58" w:rsidRPr="00801329" w:rsidRDefault="00913B58" w:rsidP="00913B58">
      <w:pPr>
        <w:spacing w:line="240" w:lineRule="auto"/>
        <w:ind w:left="720" w:hanging="720"/>
        <w:jc w:val="both"/>
        <w:rPr>
          <w:rFonts w:ascii="Times New Roman" w:hAnsi="Times New Roman" w:cs="Times New Roman"/>
          <w:sz w:val="24"/>
          <w:szCs w:val="24"/>
        </w:rPr>
      </w:pPr>
      <w:r w:rsidRPr="00DD52BF">
        <w:rPr>
          <w:rFonts w:ascii="Times New Roman" w:hAnsi="Times New Roman" w:cs="Times New Roman"/>
          <w:sz w:val="24"/>
          <w:szCs w:val="24"/>
        </w:rPr>
        <w:t>69.</w:t>
      </w:r>
      <w:r w:rsidRPr="00DD52BF">
        <w:rPr>
          <w:rFonts w:ascii="Times New Roman" w:hAnsi="Times New Roman" w:cs="Times New Roman"/>
          <w:sz w:val="24"/>
          <w:szCs w:val="24"/>
        </w:rPr>
        <w:tab/>
        <w:t>Alsehli, B., and Dolan, J. W. (</w:t>
      </w:r>
      <w:r w:rsidRPr="00DD52BF">
        <w:rPr>
          <w:rFonts w:ascii="Times New Roman" w:hAnsi="Times New Roman" w:cs="Times New Roman"/>
          <w:b/>
          <w:sz w:val="24"/>
          <w:szCs w:val="24"/>
        </w:rPr>
        <w:t>2012</w:t>
      </w:r>
      <w:r w:rsidRPr="00DD52BF">
        <w:rPr>
          <w:rFonts w:ascii="Times New Roman" w:hAnsi="Times New Roman" w:cs="Times New Roman"/>
          <w:sz w:val="24"/>
          <w:szCs w:val="24"/>
        </w:rPr>
        <w:t xml:space="preserve">) </w:t>
      </w:r>
      <w:proofErr w:type="gramStart"/>
      <w:r w:rsidRPr="00DD52BF">
        <w:rPr>
          <w:rFonts w:ascii="Times New Roman" w:hAnsi="Times New Roman" w:cs="Times New Roman"/>
          <w:sz w:val="24"/>
          <w:szCs w:val="24"/>
        </w:rPr>
        <w:t>The</w:t>
      </w:r>
      <w:proofErr w:type="gramEnd"/>
      <w:r w:rsidRPr="00DD52BF">
        <w:rPr>
          <w:rFonts w:ascii="Times New Roman" w:hAnsi="Times New Roman" w:cs="Times New Roman"/>
          <w:sz w:val="24"/>
          <w:szCs w:val="24"/>
        </w:rPr>
        <w:t xml:space="preserve"> Role of the Injection Solvent, </w:t>
      </w:r>
      <w:r w:rsidRPr="00DD52BF">
        <w:rPr>
          <w:rFonts w:ascii="Times New Roman" w:hAnsi="Times New Roman" w:cs="Times New Roman"/>
          <w:i/>
          <w:sz w:val="24"/>
          <w:szCs w:val="24"/>
        </w:rPr>
        <w:t>LCGC Europe,</w:t>
      </w:r>
      <w:r w:rsidRPr="00DD52BF">
        <w:rPr>
          <w:rFonts w:ascii="Times New Roman" w:hAnsi="Times New Roman" w:cs="Times New Roman"/>
          <w:sz w:val="24"/>
          <w:szCs w:val="24"/>
        </w:rPr>
        <w:t xml:space="preserve"> 564-567.</w:t>
      </w: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70.</w:t>
      </w:r>
      <w:r w:rsidRPr="00DD52BF">
        <w:rPr>
          <w:rFonts w:ascii="Times New Roman" w:hAnsi="Times New Roman" w:cs="Times New Roman"/>
          <w:bCs/>
          <w:sz w:val="24"/>
          <w:szCs w:val="24"/>
        </w:rPr>
        <w:tab/>
      </w:r>
      <w:r w:rsidRPr="00DD52BF">
        <w:rPr>
          <w:rFonts w:ascii="Times New Roman" w:hAnsi="Times New Roman" w:cs="Times New Roman"/>
          <w:iCs/>
          <w:sz w:val="24"/>
          <w:szCs w:val="24"/>
        </w:rPr>
        <w:t>Tindall, G.W. (</w:t>
      </w:r>
      <w:r w:rsidRPr="00DD52BF">
        <w:rPr>
          <w:rFonts w:ascii="Times New Roman" w:hAnsi="Times New Roman" w:cs="Times New Roman"/>
          <w:b/>
          <w:iCs/>
          <w:sz w:val="24"/>
          <w:szCs w:val="24"/>
        </w:rPr>
        <w:t>2002</w:t>
      </w:r>
      <w:r w:rsidRPr="00DD52BF">
        <w:rPr>
          <w:rFonts w:ascii="Times New Roman" w:hAnsi="Times New Roman" w:cs="Times New Roman"/>
          <w:iCs/>
          <w:sz w:val="24"/>
          <w:szCs w:val="24"/>
        </w:rPr>
        <w:t xml:space="preserve">) </w:t>
      </w:r>
      <w:r w:rsidRPr="00DD52BF">
        <w:rPr>
          <w:rFonts w:ascii="Times New Roman" w:hAnsi="Times New Roman" w:cs="Times New Roman"/>
          <w:bCs/>
          <w:color w:val="292526"/>
          <w:sz w:val="24"/>
          <w:szCs w:val="24"/>
        </w:rPr>
        <w:t xml:space="preserve">Mobile-Phase Buffers, Part II - Buffer Selection and Capacity, </w:t>
      </w:r>
      <w:r w:rsidRPr="00DD52BF">
        <w:rPr>
          <w:rFonts w:ascii="Times New Roman" w:hAnsi="Times New Roman" w:cs="Times New Roman"/>
          <w:bCs/>
          <w:i/>
          <w:sz w:val="24"/>
          <w:szCs w:val="24"/>
        </w:rPr>
        <w:t>LCGC North America 20</w:t>
      </w:r>
      <w:r w:rsidRPr="00DD52BF">
        <w:rPr>
          <w:rFonts w:ascii="Times New Roman" w:hAnsi="Times New Roman" w:cs="Times New Roman"/>
          <w:bCs/>
          <w:sz w:val="24"/>
          <w:szCs w:val="24"/>
        </w:rPr>
        <w:t>, 1114-1118.</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71.</w:t>
      </w:r>
      <w:r w:rsidRPr="00DD52BF">
        <w:rPr>
          <w:rFonts w:ascii="Times New Roman" w:hAnsi="Times New Roman" w:cs="Times New Roman"/>
          <w:bCs/>
          <w:sz w:val="24"/>
          <w:szCs w:val="24"/>
        </w:rPr>
        <w:tab/>
        <w:t>Schellinger, A. P., and Carr, P. W. (</w:t>
      </w:r>
      <w:r w:rsidRPr="00DD52BF">
        <w:rPr>
          <w:rFonts w:ascii="Times New Roman" w:hAnsi="Times New Roman" w:cs="Times New Roman"/>
          <w:b/>
          <w:bCs/>
          <w:sz w:val="24"/>
          <w:szCs w:val="24"/>
        </w:rPr>
        <w:t>2004</w:t>
      </w:r>
      <w:r w:rsidRPr="00DD52BF">
        <w:rPr>
          <w:rFonts w:ascii="Times New Roman" w:hAnsi="Times New Roman" w:cs="Times New Roman"/>
          <w:bCs/>
          <w:sz w:val="24"/>
          <w:szCs w:val="24"/>
        </w:rPr>
        <w:t xml:space="preserve">) Solubility of Buffers in Aqueous-Organic Eluents for Reversed – Phase Liquid Chromatography, </w:t>
      </w:r>
      <w:r w:rsidRPr="00DD52BF">
        <w:rPr>
          <w:rFonts w:ascii="Times New Roman" w:hAnsi="Times New Roman" w:cs="Times New Roman"/>
          <w:bCs/>
          <w:i/>
          <w:sz w:val="24"/>
          <w:szCs w:val="24"/>
        </w:rPr>
        <w:t>LCGC North America 22</w:t>
      </w:r>
      <w:r w:rsidRPr="00DD52BF">
        <w:rPr>
          <w:rFonts w:ascii="Times New Roman" w:hAnsi="Times New Roman" w:cs="Times New Roman"/>
          <w:bCs/>
          <w:sz w:val="24"/>
          <w:szCs w:val="24"/>
        </w:rPr>
        <w:t>, 544-548.</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iCs/>
          <w:sz w:val="24"/>
          <w:szCs w:val="24"/>
        </w:rPr>
        <w:t>72.</w:t>
      </w:r>
      <w:r w:rsidRPr="00DD52BF">
        <w:rPr>
          <w:rFonts w:ascii="Times New Roman" w:hAnsi="Times New Roman" w:cs="Times New Roman"/>
          <w:iCs/>
          <w:sz w:val="24"/>
          <w:szCs w:val="24"/>
        </w:rPr>
        <w:tab/>
        <w:t>Tindall, G.W. (</w:t>
      </w:r>
      <w:r w:rsidRPr="00DD52BF">
        <w:rPr>
          <w:rFonts w:ascii="Times New Roman" w:hAnsi="Times New Roman" w:cs="Times New Roman"/>
          <w:b/>
          <w:iCs/>
          <w:sz w:val="24"/>
          <w:szCs w:val="24"/>
        </w:rPr>
        <w:t>2002</w:t>
      </w:r>
      <w:r w:rsidRPr="00DD52BF">
        <w:rPr>
          <w:rFonts w:ascii="Times New Roman" w:hAnsi="Times New Roman" w:cs="Times New Roman"/>
          <w:iCs/>
          <w:sz w:val="24"/>
          <w:szCs w:val="24"/>
        </w:rPr>
        <w:t xml:space="preserve">) </w:t>
      </w:r>
      <w:r w:rsidRPr="00DD52BF">
        <w:rPr>
          <w:rFonts w:ascii="Times New Roman" w:hAnsi="Times New Roman" w:cs="Times New Roman"/>
          <w:bCs/>
          <w:sz w:val="24"/>
          <w:szCs w:val="24"/>
        </w:rPr>
        <w:t xml:space="preserve">Mobile-Phase Buffers, Part I - The Interpretation of pH in Partially Aqueous Mobile Phases, </w:t>
      </w:r>
      <w:r w:rsidRPr="00DD52BF">
        <w:rPr>
          <w:rFonts w:ascii="Times New Roman" w:hAnsi="Times New Roman" w:cs="Times New Roman"/>
          <w:bCs/>
          <w:i/>
          <w:sz w:val="24"/>
          <w:szCs w:val="24"/>
        </w:rPr>
        <w:t>LCGC North America 20</w:t>
      </w:r>
      <w:r w:rsidRPr="00DD52BF">
        <w:rPr>
          <w:rFonts w:ascii="Times New Roman" w:hAnsi="Times New Roman" w:cs="Times New Roman"/>
          <w:bCs/>
          <w:sz w:val="24"/>
          <w:szCs w:val="24"/>
        </w:rPr>
        <w:t>, 1028-1032.</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color w:val="292526"/>
          <w:sz w:val="24"/>
          <w:szCs w:val="24"/>
        </w:rPr>
      </w:pPr>
      <w:r w:rsidRPr="00DD52BF">
        <w:rPr>
          <w:rFonts w:ascii="Times New Roman" w:hAnsi="Times New Roman" w:cs="Times New Roman"/>
          <w:bCs/>
          <w:sz w:val="24"/>
          <w:szCs w:val="24"/>
        </w:rPr>
        <w:t>73.</w:t>
      </w:r>
      <w:r w:rsidRPr="00DD52BF">
        <w:rPr>
          <w:rFonts w:ascii="Times New Roman" w:hAnsi="Times New Roman" w:cs="Times New Roman"/>
          <w:bCs/>
          <w:sz w:val="24"/>
          <w:szCs w:val="24"/>
        </w:rPr>
        <w:tab/>
      </w:r>
      <w:r w:rsidRPr="00DD52BF">
        <w:rPr>
          <w:rFonts w:ascii="Times New Roman" w:hAnsi="Times New Roman" w:cs="Times New Roman"/>
          <w:iCs/>
          <w:sz w:val="24"/>
          <w:szCs w:val="24"/>
        </w:rPr>
        <w:t>Tindall, G.W. (</w:t>
      </w:r>
      <w:r w:rsidRPr="00DD52BF">
        <w:rPr>
          <w:rFonts w:ascii="Times New Roman" w:hAnsi="Times New Roman" w:cs="Times New Roman"/>
          <w:b/>
          <w:iCs/>
          <w:sz w:val="24"/>
          <w:szCs w:val="24"/>
        </w:rPr>
        <w:t>2003</w:t>
      </w:r>
      <w:r w:rsidRPr="00DD52BF">
        <w:rPr>
          <w:rFonts w:ascii="Times New Roman" w:hAnsi="Times New Roman" w:cs="Times New Roman"/>
          <w:iCs/>
          <w:sz w:val="24"/>
          <w:szCs w:val="24"/>
        </w:rPr>
        <w:t xml:space="preserve">) </w:t>
      </w:r>
      <w:r w:rsidRPr="00DD52BF">
        <w:rPr>
          <w:rFonts w:ascii="Times New Roman" w:hAnsi="Times New Roman" w:cs="Times New Roman"/>
          <w:bCs/>
          <w:color w:val="292526"/>
          <w:sz w:val="24"/>
          <w:szCs w:val="24"/>
        </w:rPr>
        <w:t xml:space="preserve">Mobile-Phase Buffers, Part III - Preparation of Buffers, </w:t>
      </w:r>
      <w:r w:rsidRPr="00DD52BF">
        <w:rPr>
          <w:rFonts w:ascii="Times New Roman" w:hAnsi="Times New Roman" w:cs="Times New Roman"/>
          <w:bCs/>
          <w:i/>
          <w:sz w:val="24"/>
          <w:szCs w:val="24"/>
        </w:rPr>
        <w:t>LCGC North America 21</w:t>
      </w:r>
      <w:r w:rsidRPr="00DD52BF">
        <w:rPr>
          <w:rFonts w:ascii="Times New Roman" w:hAnsi="Times New Roman" w:cs="Times New Roman"/>
          <w:bCs/>
          <w:sz w:val="24"/>
          <w:szCs w:val="24"/>
        </w:rPr>
        <w:t>, 28-32.</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sz w:val="24"/>
          <w:szCs w:val="24"/>
        </w:rPr>
      </w:pPr>
      <w:r w:rsidRPr="00DD52BF">
        <w:rPr>
          <w:rFonts w:ascii="Times New Roman" w:hAnsi="Times New Roman" w:cs="Times New Roman"/>
          <w:bCs/>
          <w:sz w:val="24"/>
          <w:szCs w:val="24"/>
        </w:rPr>
        <w:t>74.</w:t>
      </w:r>
      <w:r w:rsidRPr="00DD52BF">
        <w:rPr>
          <w:rFonts w:ascii="Times New Roman" w:hAnsi="Times New Roman" w:cs="Times New Roman"/>
          <w:bCs/>
          <w:sz w:val="24"/>
          <w:szCs w:val="24"/>
        </w:rPr>
        <w:tab/>
        <w:t>Ion Max, Revision D, (</w:t>
      </w:r>
      <w:r w:rsidRPr="00DD52BF">
        <w:rPr>
          <w:rFonts w:ascii="Times New Roman" w:hAnsi="Times New Roman" w:cs="Times New Roman"/>
          <w:b/>
          <w:bCs/>
          <w:sz w:val="24"/>
          <w:szCs w:val="24"/>
        </w:rPr>
        <w:t>2008</w:t>
      </w:r>
      <w:r w:rsidRPr="00DD52BF">
        <w:rPr>
          <w:rFonts w:ascii="Times New Roman" w:hAnsi="Times New Roman" w:cs="Times New Roman"/>
          <w:bCs/>
          <w:sz w:val="24"/>
          <w:szCs w:val="24"/>
        </w:rPr>
        <w:t xml:space="preserve">) </w:t>
      </w:r>
      <w:r w:rsidRPr="00DD52BF">
        <w:rPr>
          <w:rFonts w:ascii="Times New Roman" w:hAnsi="Times New Roman" w:cs="Times New Roman"/>
          <w:i/>
          <w:sz w:val="24"/>
          <w:szCs w:val="24"/>
        </w:rPr>
        <w:t>Thermo Fisher Scientific.</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75.</w:t>
      </w:r>
      <w:r w:rsidRPr="00DD52BF">
        <w:rPr>
          <w:rFonts w:ascii="Times New Roman" w:hAnsi="Times New Roman" w:cs="Times New Roman"/>
          <w:bCs/>
          <w:sz w:val="24"/>
          <w:szCs w:val="24"/>
        </w:rPr>
        <w:tab/>
        <w:t>Bradshaw, T. P. (</w:t>
      </w:r>
      <w:r w:rsidRPr="00DD52BF">
        <w:rPr>
          <w:rFonts w:ascii="Times New Roman" w:hAnsi="Times New Roman" w:cs="Times New Roman"/>
          <w:b/>
          <w:bCs/>
          <w:sz w:val="24"/>
          <w:szCs w:val="24"/>
        </w:rPr>
        <w:t>2006</w:t>
      </w:r>
      <w:r w:rsidRPr="00DD52BF">
        <w:rPr>
          <w:rFonts w:ascii="Times New Roman" w:hAnsi="Times New Roman" w:cs="Times New Roman"/>
          <w:bCs/>
          <w:sz w:val="24"/>
          <w:szCs w:val="24"/>
        </w:rPr>
        <w:t xml:space="preserve">) Introduction to Peptide and Protein HPLC, </w:t>
      </w:r>
      <w:r w:rsidRPr="00DD52BF">
        <w:rPr>
          <w:rFonts w:ascii="Times New Roman" w:hAnsi="Times New Roman" w:cs="Times New Roman"/>
          <w:bCs/>
          <w:i/>
          <w:sz w:val="24"/>
          <w:szCs w:val="24"/>
        </w:rPr>
        <w:t>Phenomenex</w:t>
      </w:r>
      <w:r w:rsidRPr="00DD52BF">
        <w:rPr>
          <w:rFonts w:ascii="Times New Roman" w:hAnsi="Times New Roman" w:cs="Times New Roman"/>
          <w:bCs/>
          <w:sz w:val="24"/>
          <w:szCs w:val="24"/>
        </w:rPr>
        <w:t>.</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76.</w:t>
      </w:r>
      <w:r w:rsidRPr="00DD52BF">
        <w:rPr>
          <w:rFonts w:ascii="Times New Roman" w:hAnsi="Times New Roman" w:cs="Times New Roman"/>
          <w:bCs/>
          <w:sz w:val="24"/>
          <w:szCs w:val="24"/>
        </w:rPr>
        <w:tab/>
        <w:t>Snyder, L. R., Kirkland, J. J., and Glajch, J. L. (</w:t>
      </w:r>
      <w:r w:rsidRPr="00DD52BF">
        <w:rPr>
          <w:rFonts w:ascii="Times New Roman" w:hAnsi="Times New Roman" w:cs="Times New Roman"/>
          <w:b/>
          <w:bCs/>
          <w:sz w:val="24"/>
          <w:szCs w:val="24"/>
        </w:rPr>
        <w:t>1997</w:t>
      </w:r>
      <w:r w:rsidRPr="00DD52BF">
        <w:rPr>
          <w:rFonts w:ascii="Times New Roman" w:hAnsi="Times New Roman" w:cs="Times New Roman"/>
          <w:bCs/>
          <w:sz w:val="24"/>
          <w:szCs w:val="24"/>
        </w:rPr>
        <w:t xml:space="preserve">) Practical HPLC Method Development, </w:t>
      </w:r>
      <w:r w:rsidRPr="00DD52BF">
        <w:rPr>
          <w:rFonts w:ascii="Times New Roman" w:hAnsi="Times New Roman" w:cs="Times New Roman"/>
          <w:bCs/>
          <w:i/>
          <w:sz w:val="24"/>
          <w:szCs w:val="24"/>
        </w:rPr>
        <w:t>Wiley Interscience</w:t>
      </w:r>
      <w:r w:rsidRPr="00DD52BF">
        <w:rPr>
          <w:rFonts w:ascii="Times New Roman" w:hAnsi="Times New Roman" w:cs="Times New Roman"/>
          <w:bCs/>
          <w:sz w:val="24"/>
          <w:szCs w:val="24"/>
        </w:rPr>
        <w:t>.</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sz w:val="24"/>
          <w:szCs w:val="24"/>
        </w:rPr>
      </w:pPr>
      <w:r w:rsidRPr="00DD52BF">
        <w:rPr>
          <w:rFonts w:ascii="Times New Roman" w:hAnsi="Times New Roman" w:cs="Times New Roman"/>
          <w:bCs/>
          <w:sz w:val="24"/>
          <w:szCs w:val="24"/>
        </w:rPr>
        <w:lastRenderedPageBreak/>
        <w:t>77.</w:t>
      </w:r>
      <w:r w:rsidRPr="00DD52BF">
        <w:rPr>
          <w:rFonts w:ascii="Times New Roman" w:hAnsi="Times New Roman" w:cs="Times New Roman"/>
          <w:bCs/>
          <w:sz w:val="24"/>
          <w:szCs w:val="24"/>
        </w:rPr>
        <w:tab/>
        <w:t>Surveyor MS Pump, Revision D, (</w:t>
      </w:r>
      <w:r w:rsidRPr="00DD52BF">
        <w:rPr>
          <w:rFonts w:ascii="Times New Roman" w:hAnsi="Times New Roman" w:cs="Times New Roman"/>
          <w:b/>
          <w:bCs/>
          <w:sz w:val="24"/>
          <w:szCs w:val="24"/>
        </w:rPr>
        <w:t>2009</w:t>
      </w:r>
      <w:r w:rsidRPr="00DD52BF">
        <w:rPr>
          <w:rFonts w:ascii="Times New Roman" w:hAnsi="Times New Roman" w:cs="Times New Roman"/>
          <w:bCs/>
          <w:sz w:val="24"/>
          <w:szCs w:val="24"/>
        </w:rPr>
        <w:t xml:space="preserve">) </w:t>
      </w:r>
      <w:r w:rsidRPr="00DD52BF">
        <w:rPr>
          <w:rFonts w:ascii="Times New Roman" w:hAnsi="Times New Roman" w:cs="Times New Roman"/>
          <w:i/>
          <w:sz w:val="24"/>
          <w:szCs w:val="24"/>
        </w:rPr>
        <w:t>Thermo Fisher Scientific.</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i/>
          <w:sz w:val="24"/>
          <w:szCs w:val="24"/>
        </w:rPr>
      </w:pPr>
      <w:r w:rsidRPr="00DD52BF">
        <w:rPr>
          <w:rFonts w:ascii="Times New Roman" w:hAnsi="Times New Roman" w:cs="Times New Roman"/>
          <w:bCs/>
          <w:sz w:val="24"/>
          <w:szCs w:val="24"/>
        </w:rPr>
        <w:t>78.</w:t>
      </w:r>
      <w:r w:rsidRPr="00DD52BF">
        <w:rPr>
          <w:rFonts w:ascii="Times New Roman" w:hAnsi="Times New Roman" w:cs="Times New Roman"/>
          <w:bCs/>
          <w:sz w:val="24"/>
          <w:szCs w:val="24"/>
        </w:rPr>
        <w:tab/>
        <w:t>Surveyor Autosampler Plus, Revision C, (</w:t>
      </w:r>
      <w:r w:rsidRPr="00DD52BF">
        <w:rPr>
          <w:rFonts w:ascii="Times New Roman" w:hAnsi="Times New Roman" w:cs="Times New Roman"/>
          <w:b/>
          <w:bCs/>
          <w:sz w:val="24"/>
          <w:szCs w:val="24"/>
        </w:rPr>
        <w:t>2006</w:t>
      </w:r>
      <w:r w:rsidRPr="00DD52BF">
        <w:rPr>
          <w:rFonts w:ascii="Times New Roman" w:hAnsi="Times New Roman" w:cs="Times New Roman"/>
          <w:bCs/>
          <w:sz w:val="24"/>
          <w:szCs w:val="24"/>
        </w:rPr>
        <w:t xml:space="preserve">) </w:t>
      </w:r>
      <w:r w:rsidRPr="00DD52BF">
        <w:rPr>
          <w:rFonts w:ascii="Times New Roman" w:hAnsi="Times New Roman" w:cs="Times New Roman"/>
          <w:bCs/>
          <w:i/>
          <w:sz w:val="24"/>
          <w:szCs w:val="24"/>
        </w:rPr>
        <w:t>Thermo Electron Corporation.</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line="240" w:lineRule="auto"/>
        <w:ind w:left="720" w:hanging="720"/>
        <w:jc w:val="both"/>
        <w:rPr>
          <w:rFonts w:ascii="Times New Roman" w:hAnsi="Times New Roman" w:cs="Times New Roman"/>
          <w:sz w:val="24"/>
          <w:szCs w:val="24"/>
        </w:rPr>
      </w:pPr>
      <w:r w:rsidRPr="00DD52BF">
        <w:rPr>
          <w:rFonts w:ascii="Times New Roman" w:hAnsi="Times New Roman" w:cs="Times New Roman"/>
          <w:sz w:val="24"/>
          <w:szCs w:val="24"/>
        </w:rPr>
        <w:t>79.</w:t>
      </w:r>
      <w:r w:rsidRPr="00DD52BF">
        <w:rPr>
          <w:rFonts w:ascii="Times New Roman" w:hAnsi="Times New Roman" w:cs="Times New Roman"/>
          <w:sz w:val="24"/>
          <w:szCs w:val="24"/>
        </w:rPr>
        <w:tab/>
        <w:t>Dolan, J. W. (</w:t>
      </w:r>
      <w:r w:rsidRPr="00DD52BF">
        <w:rPr>
          <w:rFonts w:ascii="Times New Roman" w:hAnsi="Times New Roman" w:cs="Times New Roman"/>
          <w:b/>
          <w:sz w:val="24"/>
          <w:szCs w:val="24"/>
        </w:rPr>
        <w:t>2001</w:t>
      </w:r>
      <w:r w:rsidRPr="00DD52BF">
        <w:rPr>
          <w:rFonts w:ascii="Times New Roman" w:hAnsi="Times New Roman" w:cs="Times New Roman"/>
          <w:sz w:val="24"/>
          <w:szCs w:val="24"/>
        </w:rPr>
        <w:t xml:space="preserve">) Autosamplers, Part I - Design Features, </w:t>
      </w:r>
      <w:r w:rsidRPr="00DD52BF">
        <w:rPr>
          <w:rFonts w:ascii="Times New Roman" w:hAnsi="Times New Roman" w:cs="Times New Roman"/>
          <w:i/>
          <w:sz w:val="24"/>
          <w:szCs w:val="24"/>
        </w:rPr>
        <w:t>LCGC Europe,</w:t>
      </w:r>
      <w:r w:rsidRPr="00DD52BF">
        <w:rPr>
          <w:rFonts w:ascii="Times New Roman" w:hAnsi="Times New Roman" w:cs="Times New Roman"/>
          <w:sz w:val="24"/>
          <w:szCs w:val="24"/>
        </w:rPr>
        <w:t xml:space="preserve"> 2-5.</w:t>
      </w: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i/>
          <w:sz w:val="24"/>
          <w:szCs w:val="24"/>
        </w:rPr>
      </w:pPr>
      <w:r w:rsidRPr="00DD52BF">
        <w:rPr>
          <w:rFonts w:ascii="Times New Roman" w:hAnsi="Times New Roman" w:cs="Times New Roman"/>
          <w:bCs/>
          <w:sz w:val="24"/>
          <w:szCs w:val="24"/>
        </w:rPr>
        <w:t>80.</w:t>
      </w:r>
      <w:r w:rsidRPr="00DD52BF">
        <w:rPr>
          <w:rFonts w:ascii="Times New Roman" w:hAnsi="Times New Roman" w:cs="Times New Roman"/>
          <w:bCs/>
          <w:sz w:val="24"/>
          <w:szCs w:val="24"/>
        </w:rPr>
        <w:tab/>
        <w:t>Miller, J. M. (</w:t>
      </w:r>
      <w:r w:rsidRPr="00DD52BF">
        <w:rPr>
          <w:rFonts w:ascii="Times New Roman" w:hAnsi="Times New Roman" w:cs="Times New Roman"/>
          <w:b/>
          <w:bCs/>
          <w:sz w:val="24"/>
          <w:szCs w:val="24"/>
        </w:rPr>
        <w:t>2005</w:t>
      </w:r>
      <w:r w:rsidRPr="00DD52BF">
        <w:rPr>
          <w:rFonts w:ascii="Times New Roman" w:hAnsi="Times New Roman" w:cs="Times New Roman"/>
          <w:bCs/>
          <w:sz w:val="24"/>
          <w:szCs w:val="24"/>
        </w:rPr>
        <w:t xml:space="preserve">) Chromatography: Concepts and Contrasts, Second Edition, </w:t>
      </w:r>
      <w:r w:rsidRPr="00DD52BF">
        <w:rPr>
          <w:rFonts w:ascii="Times New Roman" w:hAnsi="Times New Roman" w:cs="Times New Roman"/>
          <w:bCs/>
          <w:i/>
          <w:sz w:val="24"/>
          <w:szCs w:val="24"/>
        </w:rPr>
        <w:t>Wiley Interscience.</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color w:val="000000"/>
          <w:sz w:val="24"/>
          <w:szCs w:val="24"/>
        </w:rPr>
      </w:pPr>
      <w:r w:rsidRPr="00DD52BF">
        <w:rPr>
          <w:rFonts w:ascii="Times New Roman" w:hAnsi="Times New Roman" w:cs="Times New Roman"/>
          <w:color w:val="000000"/>
          <w:sz w:val="24"/>
          <w:szCs w:val="24"/>
        </w:rPr>
        <w:t>81.</w:t>
      </w:r>
      <w:r w:rsidRPr="00DD52BF">
        <w:rPr>
          <w:rFonts w:ascii="Times New Roman" w:hAnsi="Times New Roman" w:cs="Times New Roman"/>
          <w:color w:val="000000"/>
          <w:sz w:val="24"/>
          <w:szCs w:val="24"/>
        </w:rPr>
        <w:tab/>
        <w:t>Successful HPLC Operation: A Troubleshooting Guide – Version 1.1, (</w:t>
      </w:r>
      <w:r w:rsidRPr="00DD52BF">
        <w:rPr>
          <w:rFonts w:ascii="Times New Roman" w:hAnsi="Times New Roman" w:cs="Times New Roman"/>
          <w:b/>
          <w:color w:val="000000"/>
          <w:sz w:val="24"/>
          <w:szCs w:val="24"/>
        </w:rPr>
        <w:t>2004</w:t>
      </w:r>
      <w:r w:rsidRPr="00DD52BF">
        <w:rPr>
          <w:rFonts w:ascii="Times New Roman" w:hAnsi="Times New Roman" w:cs="Times New Roman"/>
          <w:color w:val="000000"/>
          <w:sz w:val="24"/>
          <w:szCs w:val="24"/>
        </w:rPr>
        <w:t xml:space="preserve">) </w:t>
      </w:r>
      <w:r w:rsidRPr="00DD52BF">
        <w:rPr>
          <w:rFonts w:ascii="Times New Roman" w:hAnsi="Times New Roman" w:cs="Times New Roman"/>
          <w:bCs/>
          <w:i/>
          <w:color w:val="000000"/>
          <w:sz w:val="24"/>
          <w:szCs w:val="24"/>
        </w:rPr>
        <w:t>Thermo Electron Corporation.</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82.</w:t>
      </w:r>
      <w:r w:rsidRPr="00DD52BF">
        <w:rPr>
          <w:rFonts w:ascii="Times New Roman" w:hAnsi="Times New Roman" w:cs="Times New Roman"/>
          <w:bCs/>
          <w:sz w:val="24"/>
          <w:szCs w:val="24"/>
        </w:rPr>
        <w:tab/>
        <w:t>Troubleshooting Guide, Fifth Edition, (</w:t>
      </w:r>
      <w:r w:rsidRPr="00DD52BF">
        <w:rPr>
          <w:rFonts w:ascii="Times New Roman" w:hAnsi="Times New Roman" w:cs="Times New Roman"/>
          <w:b/>
          <w:bCs/>
          <w:sz w:val="24"/>
          <w:szCs w:val="24"/>
        </w:rPr>
        <w:t>2008</w:t>
      </w:r>
      <w:r w:rsidRPr="00DD52BF">
        <w:rPr>
          <w:rFonts w:ascii="Times New Roman" w:hAnsi="Times New Roman" w:cs="Times New Roman"/>
          <w:bCs/>
          <w:sz w:val="24"/>
          <w:szCs w:val="24"/>
        </w:rPr>
        <w:t xml:space="preserve">) </w:t>
      </w:r>
      <w:r w:rsidRPr="00DD52BF">
        <w:rPr>
          <w:rFonts w:ascii="Times New Roman" w:hAnsi="Times New Roman" w:cs="Times New Roman"/>
          <w:bCs/>
          <w:i/>
          <w:sz w:val="24"/>
          <w:szCs w:val="24"/>
        </w:rPr>
        <w:t>IDEX Health and Science.</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83.</w:t>
      </w:r>
      <w:r w:rsidRPr="00DD52BF">
        <w:rPr>
          <w:rFonts w:ascii="Times New Roman" w:hAnsi="Times New Roman" w:cs="Times New Roman"/>
          <w:bCs/>
          <w:sz w:val="24"/>
          <w:szCs w:val="24"/>
        </w:rPr>
        <w:tab/>
        <w:t>Neyer, D. W. (</w:t>
      </w:r>
      <w:r w:rsidRPr="00DD52BF">
        <w:rPr>
          <w:rFonts w:ascii="Times New Roman" w:hAnsi="Times New Roman" w:cs="Times New Roman"/>
          <w:b/>
          <w:bCs/>
          <w:sz w:val="24"/>
          <w:szCs w:val="24"/>
        </w:rPr>
        <w:t>2005</w:t>
      </w:r>
      <w:r w:rsidRPr="00DD52BF">
        <w:rPr>
          <w:rFonts w:ascii="Times New Roman" w:hAnsi="Times New Roman" w:cs="Times New Roman"/>
          <w:bCs/>
          <w:sz w:val="24"/>
          <w:szCs w:val="24"/>
        </w:rPr>
        <w:t xml:space="preserve">) Nanoscale gradient chromatography for LC-MS, </w:t>
      </w:r>
      <w:r w:rsidRPr="00DD52BF">
        <w:rPr>
          <w:rFonts w:ascii="Times New Roman" w:hAnsi="Times New Roman" w:cs="Times New Roman"/>
          <w:bCs/>
          <w:i/>
          <w:sz w:val="24"/>
          <w:szCs w:val="24"/>
        </w:rPr>
        <w:t>Genetic Engineering News 25</w:t>
      </w:r>
      <w:r w:rsidRPr="00DD52BF">
        <w:rPr>
          <w:rFonts w:ascii="Times New Roman" w:hAnsi="Times New Roman" w:cs="Times New Roman"/>
          <w:bCs/>
          <w:sz w:val="24"/>
          <w:szCs w:val="24"/>
        </w:rPr>
        <w:t>, 48-49.</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84.</w:t>
      </w:r>
      <w:r w:rsidRPr="00DD52BF">
        <w:rPr>
          <w:rFonts w:ascii="Times New Roman" w:hAnsi="Times New Roman" w:cs="Times New Roman"/>
          <w:bCs/>
          <w:sz w:val="24"/>
          <w:szCs w:val="24"/>
        </w:rPr>
        <w:tab/>
        <w:t>Dolan, J. W. (</w:t>
      </w:r>
      <w:r w:rsidRPr="00DD52BF">
        <w:rPr>
          <w:rFonts w:ascii="Times New Roman" w:hAnsi="Times New Roman" w:cs="Times New Roman"/>
          <w:b/>
          <w:bCs/>
          <w:sz w:val="24"/>
          <w:szCs w:val="24"/>
        </w:rPr>
        <w:t>2011</w:t>
      </w:r>
      <w:r w:rsidRPr="00DD52BF">
        <w:rPr>
          <w:rFonts w:ascii="Times New Roman" w:hAnsi="Times New Roman" w:cs="Times New Roman"/>
          <w:bCs/>
          <w:sz w:val="24"/>
          <w:szCs w:val="24"/>
        </w:rPr>
        <w:t xml:space="preserve">) How Fast Can a Gradient Be Run, </w:t>
      </w:r>
      <w:r w:rsidRPr="00DD52BF">
        <w:rPr>
          <w:rFonts w:ascii="Times New Roman" w:hAnsi="Times New Roman" w:cs="Times New Roman"/>
          <w:bCs/>
          <w:i/>
          <w:sz w:val="24"/>
          <w:szCs w:val="24"/>
        </w:rPr>
        <w:t>LCGC North America 29</w:t>
      </w:r>
      <w:r w:rsidRPr="00DD52BF">
        <w:rPr>
          <w:rFonts w:ascii="Times New Roman" w:hAnsi="Times New Roman" w:cs="Times New Roman"/>
          <w:bCs/>
          <w:sz w:val="24"/>
          <w:szCs w:val="24"/>
        </w:rPr>
        <w:t>, 652-657.</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DD52BF">
        <w:rPr>
          <w:rFonts w:ascii="Times New Roman" w:hAnsi="Times New Roman" w:cs="Times New Roman"/>
          <w:color w:val="000000"/>
          <w:sz w:val="24"/>
          <w:szCs w:val="24"/>
        </w:rPr>
        <w:t xml:space="preserve">85. </w:t>
      </w:r>
      <w:r w:rsidRPr="00DD52BF">
        <w:rPr>
          <w:rFonts w:ascii="Times New Roman" w:hAnsi="Times New Roman" w:cs="Times New Roman"/>
          <w:color w:val="000000"/>
          <w:sz w:val="24"/>
          <w:szCs w:val="24"/>
        </w:rPr>
        <w:tab/>
        <w:t>Pereira, L. (</w:t>
      </w:r>
      <w:r w:rsidRPr="00DD52BF">
        <w:rPr>
          <w:rFonts w:ascii="Times New Roman" w:hAnsi="Times New Roman" w:cs="Times New Roman"/>
          <w:b/>
          <w:color w:val="000000"/>
          <w:sz w:val="24"/>
          <w:szCs w:val="24"/>
        </w:rPr>
        <w:t>2007</w:t>
      </w:r>
      <w:r w:rsidRPr="00DD52BF">
        <w:rPr>
          <w:rFonts w:ascii="Times New Roman" w:hAnsi="Times New Roman" w:cs="Times New Roman"/>
          <w:color w:val="000000"/>
          <w:sz w:val="24"/>
          <w:szCs w:val="24"/>
        </w:rPr>
        <w:t xml:space="preserve">) Method Transfer from HPLC to U-HPLC for Increased Speed and Resolution, </w:t>
      </w:r>
      <w:r w:rsidRPr="00DD52BF">
        <w:rPr>
          <w:rFonts w:ascii="Times New Roman" w:hAnsi="Times New Roman" w:cs="Times New Roman"/>
          <w:i/>
          <w:color w:val="000000"/>
          <w:sz w:val="24"/>
          <w:szCs w:val="24"/>
        </w:rPr>
        <w:t>Thermo Fisher Scientific.</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86.</w:t>
      </w:r>
      <w:r w:rsidRPr="00DD52BF">
        <w:rPr>
          <w:rFonts w:ascii="Times New Roman" w:hAnsi="Times New Roman" w:cs="Times New Roman"/>
          <w:bCs/>
          <w:sz w:val="24"/>
          <w:szCs w:val="24"/>
        </w:rPr>
        <w:tab/>
        <w:t>Chromatography Product Guide, (</w:t>
      </w:r>
      <w:r w:rsidRPr="00DD52BF">
        <w:rPr>
          <w:rFonts w:ascii="Times New Roman" w:hAnsi="Times New Roman" w:cs="Times New Roman"/>
          <w:b/>
          <w:bCs/>
          <w:sz w:val="24"/>
          <w:szCs w:val="24"/>
        </w:rPr>
        <w:t>2012</w:t>
      </w:r>
      <w:r w:rsidRPr="00DD52BF">
        <w:rPr>
          <w:rFonts w:ascii="Times New Roman" w:hAnsi="Times New Roman" w:cs="Times New Roman"/>
          <w:bCs/>
          <w:sz w:val="24"/>
          <w:szCs w:val="24"/>
        </w:rPr>
        <w:t xml:space="preserve">) </w:t>
      </w:r>
      <w:r w:rsidRPr="00DD52BF">
        <w:rPr>
          <w:rFonts w:ascii="Times New Roman" w:hAnsi="Times New Roman" w:cs="Times New Roman"/>
          <w:bCs/>
          <w:i/>
          <w:sz w:val="24"/>
          <w:szCs w:val="24"/>
        </w:rPr>
        <w:t>Phenomenex.</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87.</w:t>
      </w:r>
      <w:r w:rsidRPr="00DD52BF">
        <w:rPr>
          <w:rFonts w:ascii="Times New Roman" w:hAnsi="Times New Roman" w:cs="Times New Roman"/>
          <w:bCs/>
          <w:sz w:val="24"/>
          <w:szCs w:val="24"/>
        </w:rPr>
        <w:tab/>
        <w:t>Snyder, L. R., Kirkland, J. J., and Dolan, J. W. (</w:t>
      </w:r>
      <w:r w:rsidRPr="00DD52BF">
        <w:rPr>
          <w:rFonts w:ascii="Times New Roman" w:hAnsi="Times New Roman" w:cs="Times New Roman"/>
          <w:b/>
          <w:bCs/>
          <w:sz w:val="24"/>
          <w:szCs w:val="24"/>
        </w:rPr>
        <w:t>2010</w:t>
      </w:r>
      <w:r w:rsidRPr="00DD52BF">
        <w:rPr>
          <w:rFonts w:ascii="Times New Roman" w:hAnsi="Times New Roman" w:cs="Times New Roman"/>
          <w:bCs/>
          <w:sz w:val="24"/>
          <w:szCs w:val="24"/>
        </w:rPr>
        <w:t>) Introduction to Modern Liquid Chromatography, 3</w:t>
      </w:r>
      <w:r w:rsidRPr="00DD52BF">
        <w:rPr>
          <w:rFonts w:ascii="Times New Roman" w:hAnsi="Times New Roman" w:cs="Times New Roman"/>
          <w:bCs/>
          <w:sz w:val="24"/>
          <w:szCs w:val="24"/>
          <w:vertAlign w:val="superscript"/>
        </w:rPr>
        <w:t>rd</w:t>
      </w:r>
      <w:r w:rsidRPr="00DD52BF">
        <w:rPr>
          <w:rFonts w:ascii="Times New Roman" w:hAnsi="Times New Roman" w:cs="Times New Roman"/>
          <w:bCs/>
          <w:sz w:val="24"/>
          <w:szCs w:val="24"/>
        </w:rPr>
        <w:t xml:space="preserve"> edition, </w:t>
      </w:r>
      <w:r w:rsidRPr="00DD52BF">
        <w:rPr>
          <w:rFonts w:ascii="Times New Roman" w:hAnsi="Times New Roman" w:cs="Times New Roman"/>
          <w:bCs/>
          <w:i/>
          <w:sz w:val="24"/>
          <w:szCs w:val="24"/>
        </w:rPr>
        <w:t>Wiley Interscience.</w:t>
      </w:r>
      <w:r w:rsidRPr="00DD52BF">
        <w:rPr>
          <w:rFonts w:ascii="Times New Roman" w:hAnsi="Times New Roman" w:cs="Times New Roman"/>
          <w:bCs/>
          <w:sz w:val="24"/>
          <w:szCs w:val="24"/>
        </w:rPr>
        <w:t xml:space="preserve">  </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88.</w:t>
      </w:r>
      <w:r w:rsidRPr="00DD52BF">
        <w:rPr>
          <w:rFonts w:ascii="Times New Roman" w:hAnsi="Times New Roman" w:cs="Times New Roman"/>
          <w:bCs/>
          <w:sz w:val="24"/>
          <w:szCs w:val="24"/>
        </w:rPr>
        <w:tab/>
        <w:t>Wang, P., Anderko, A., and Young, R. D. (</w:t>
      </w:r>
      <w:r w:rsidRPr="00DD52BF">
        <w:rPr>
          <w:rFonts w:ascii="Times New Roman" w:hAnsi="Times New Roman" w:cs="Times New Roman"/>
          <w:b/>
          <w:bCs/>
          <w:sz w:val="24"/>
          <w:szCs w:val="24"/>
        </w:rPr>
        <w:t>2004</w:t>
      </w:r>
      <w:r w:rsidRPr="00DD52BF">
        <w:rPr>
          <w:rFonts w:ascii="Times New Roman" w:hAnsi="Times New Roman" w:cs="Times New Roman"/>
          <w:bCs/>
          <w:sz w:val="24"/>
          <w:szCs w:val="24"/>
        </w:rPr>
        <w:t xml:space="preserve">) Modeling viscosity of concentrated and mixed – solvent electrolyte systems, </w:t>
      </w:r>
      <w:r w:rsidRPr="00DD52BF">
        <w:rPr>
          <w:rFonts w:ascii="Times New Roman" w:hAnsi="Times New Roman" w:cs="Times New Roman"/>
          <w:bCs/>
          <w:i/>
          <w:sz w:val="24"/>
          <w:szCs w:val="24"/>
        </w:rPr>
        <w:t>Fluid Phase Equilibria 226</w:t>
      </w:r>
      <w:r w:rsidRPr="00DD52BF">
        <w:rPr>
          <w:rFonts w:ascii="Times New Roman" w:hAnsi="Times New Roman" w:cs="Times New Roman"/>
          <w:bCs/>
          <w:sz w:val="24"/>
          <w:szCs w:val="24"/>
        </w:rPr>
        <w:t>, 71-82.</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i/>
          <w:iCs/>
          <w:sz w:val="24"/>
          <w:szCs w:val="24"/>
        </w:rPr>
      </w:pPr>
      <w:r w:rsidRPr="00DD52BF">
        <w:rPr>
          <w:rFonts w:ascii="Times New Roman" w:hAnsi="Times New Roman" w:cs="Times New Roman"/>
          <w:bCs/>
          <w:sz w:val="24"/>
          <w:szCs w:val="24"/>
        </w:rPr>
        <w:t xml:space="preserve">89. </w:t>
      </w:r>
      <w:r w:rsidRPr="00DD52BF">
        <w:rPr>
          <w:rFonts w:ascii="Times New Roman" w:hAnsi="Times New Roman" w:cs="Times New Roman"/>
          <w:bCs/>
          <w:sz w:val="24"/>
          <w:szCs w:val="24"/>
        </w:rPr>
        <w:tab/>
        <w:t>Elmashni, D. (</w:t>
      </w:r>
      <w:r w:rsidRPr="00DD52BF">
        <w:rPr>
          <w:rFonts w:ascii="Times New Roman" w:hAnsi="Times New Roman" w:cs="Times New Roman"/>
          <w:b/>
          <w:bCs/>
          <w:sz w:val="24"/>
          <w:szCs w:val="24"/>
        </w:rPr>
        <w:t>2007</w:t>
      </w:r>
      <w:r w:rsidRPr="00DD52BF">
        <w:rPr>
          <w:rFonts w:ascii="Times New Roman" w:hAnsi="Times New Roman" w:cs="Times New Roman"/>
          <w:bCs/>
          <w:sz w:val="24"/>
          <w:szCs w:val="24"/>
        </w:rPr>
        <w:t xml:space="preserve">) </w:t>
      </w:r>
      <w:r w:rsidRPr="00DD52BF">
        <w:rPr>
          <w:rFonts w:ascii="Times New Roman" w:hAnsi="Times New Roman" w:cs="Times New Roman"/>
          <w:sz w:val="24"/>
          <w:szCs w:val="24"/>
        </w:rPr>
        <w:t xml:space="preserve">HPLC Carryover - Decreased Sample Carryover Using the Surveyor Autosampler, </w:t>
      </w:r>
      <w:r w:rsidRPr="00DD52BF">
        <w:rPr>
          <w:rFonts w:ascii="Times New Roman" w:hAnsi="Times New Roman" w:cs="Times New Roman"/>
          <w:i/>
          <w:iCs/>
          <w:sz w:val="24"/>
          <w:szCs w:val="24"/>
        </w:rPr>
        <w:t>Thermo Fisher Scientific.</w:t>
      </w:r>
    </w:p>
    <w:p w:rsidR="00913B58" w:rsidRPr="00DD52BF" w:rsidRDefault="00913B58" w:rsidP="00913B58">
      <w:pPr>
        <w:autoSpaceDE w:val="0"/>
        <w:autoSpaceDN w:val="0"/>
        <w:adjustRightInd w:val="0"/>
        <w:spacing w:after="0" w:line="240" w:lineRule="auto"/>
        <w:jc w:val="both"/>
        <w:rPr>
          <w:rFonts w:ascii="Times New Roman" w:hAnsi="Times New Roman" w:cs="Times New Roman"/>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sz w:val="24"/>
          <w:szCs w:val="24"/>
        </w:rPr>
        <w:t>90.</w:t>
      </w:r>
      <w:r w:rsidRPr="00DD52BF">
        <w:rPr>
          <w:rFonts w:ascii="Times New Roman" w:hAnsi="Times New Roman" w:cs="Times New Roman"/>
          <w:sz w:val="24"/>
          <w:szCs w:val="24"/>
        </w:rPr>
        <w:tab/>
        <w:t>TSQ Quantum Discovery MAX: Getting Started, Revision A, (</w:t>
      </w:r>
      <w:r w:rsidRPr="00DD52BF">
        <w:rPr>
          <w:rFonts w:ascii="Times New Roman" w:hAnsi="Times New Roman" w:cs="Times New Roman"/>
          <w:b/>
          <w:sz w:val="24"/>
          <w:szCs w:val="24"/>
        </w:rPr>
        <w:t>2006</w:t>
      </w:r>
      <w:r w:rsidRPr="00DD52BF">
        <w:rPr>
          <w:rFonts w:ascii="Times New Roman" w:hAnsi="Times New Roman" w:cs="Times New Roman"/>
          <w:sz w:val="24"/>
          <w:szCs w:val="24"/>
        </w:rPr>
        <w:t xml:space="preserve">) </w:t>
      </w:r>
      <w:r w:rsidRPr="00DD52BF">
        <w:rPr>
          <w:rFonts w:ascii="Times New Roman" w:hAnsi="Times New Roman" w:cs="Times New Roman"/>
          <w:bCs/>
          <w:i/>
          <w:sz w:val="24"/>
          <w:szCs w:val="24"/>
        </w:rPr>
        <w:t>Thermo Electron Corporation.</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sz w:val="24"/>
          <w:szCs w:val="24"/>
        </w:rPr>
        <w:t>91.</w:t>
      </w:r>
      <w:r w:rsidRPr="00DD52BF">
        <w:rPr>
          <w:rFonts w:ascii="Times New Roman" w:hAnsi="Times New Roman" w:cs="Times New Roman"/>
          <w:sz w:val="24"/>
          <w:szCs w:val="24"/>
        </w:rPr>
        <w:tab/>
        <w:t>Fenn, J. B., Mann, M., Meng, C. K., Wong S. F., and Whitehouse, C. M. (</w:t>
      </w:r>
      <w:r w:rsidRPr="00DD52BF">
        <w:rPr>
          <w:rFonts w:ascii="Times New Roman" w:hAnsi="Times New Roman" w:cs="Times New Roman"/>
          <w:b/>
          <w:sz w:val="24"/>
          <w:szCs w:val="24"/>
        </w:rPr>
        <w:t>1990</w:t>
      </w:r>
      <w:r w:rsidRPr="00DD52BF">
        <w:rPr>
          <w:rFonts w:ascii="Times New Roman" w:hAnsi="Times New Roman" w:cs="Times New Roman"/>
          <w:sz w:val="24"/>
          <w:szCs w:val="24"/>
        </w:rPr>
        <w:t xml:space="preserve">) </w:t>
      </w:r>
      <w:r w:rsidRPr="00DD52BF">
        <w:rPr>
          <w:rFonts w:ascii="Times New Roman" w:hAnsi="Times New Roman" w:cs="Times New Roman"/>
          <w:bCs/>
          <w:sz w:val="24"/>
          <w:szCs w:val="24"/>
        </w:rPr>
        <w:t xml:space="preserve">Electrospray ionization - principles and practice, </w:t>
      </w:r>
      <w:r w:rsidRPr="00DD52BF">
        <w:rPr>
          <w:rFonts w:ascii="Times New Roman" w:hAnsi="Times New Roman" w:cs="Times New Roman"/>
          <w:bCs/>
          <w:i/>
          <w:sz w:val="24"/>
          <w:szCs w:val="24"/>
        </w:rPr>
        <w:t>Mass Spectrometry Reviews 9</w:t>
      </w:r>
      <w:r w:rsidRPr="00DD52BF">
        <w:rPr>
          <w:rFonts w:ascii="Times New Roman" w:hAnsi="Times New Roman" w:cs="Times New Roman"/>
          <w:bCs/>
          <w:sz w:val="24"/>
          <w:szCs w:val="24"/>
        </w:rPr>
        <w:t>, 37-70.</w:t>
      </w:r>
    </w:p>
    <w:p w:rsidR="00913B58"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92.</w:t>
      </w:r>
      <w:r w:rsidRPr="00DD52BF">
        <w:rPr>
          <w:rFonts w:ascii="Times New Roman" w:hAnsi="Times New Roman" w:cs="Times New Roman"/>
          <w:bCs/>
          <w:sz w:val="24"/>
          <w:szCs w:val="24"/>
        </w:rPr>
        <w:tab/>
        <w:t>Huang, N., Siegel, M. M., Kruppa, G. H., and Laukien, F. H. (</w:t>
      </w:r>
      <w:r w:rsidRPr="00DD52BF">
        <w:rPr>
          <w:rFonts w:ascii="Times New Roman" w:hAnsi="Times New Roman" w:cs="Times New Roman"/>
          <w:b/>
          <w:bCs/>
          <w:sz w:val="24"/>
          <w:szCs w:val="24"/>
        </w:rPr>
        <w:t>1999</w:t>
      </w:r>
      <w:r w:rsidRPr="00DD52BF">
        <w:rPr>
          <w:rFonts w:ascii="Times New Roman" w:hAnsi="Times New Roman" w:cs="Times New Roman"/>
          <w:bCs/>
          <w:sz w:val="24"/>
          <w:szCs w:val="24"/>
        </w:rPr>
        <w:t xml:space="preserve">) Automation of a Fourier Transform Ion Cyclotron Resonance Mass Spectrometer for Acquisition, Analysis, and E-mailing of High-Resolution Exact-Mass Electrospray Ionization Mass Spectral Data, </w:t>
      </w:r>
      <w:r w:rsidRPr="00DD52BF">
        <w:rPr>
          <w:rFonts w:ascii="Times New Roman" w:hAnsi="Times New Roman" w:cs="Times New Roman"/>
          <w:bCs/>
          <w:i/>
          <w:sz w:val="24"/>
          <w:szCs w:val="24"/>
        </w:rPr>
        <w:t>J. Am. Soc. Mass Spec.</w:t>
      </w:r>
      <w:r w:rsidRPr="00DD52BF">
        <w:rPr>
          <w:rFonts w:ascii="Times New Roman" w:hAnsi="Times New Roman" w:cs="Times New Roman"/>
          <w:bCs/>
          <w:sz w:val="24"/>
          <w:szCs w:val="24"/>
        </w:rPr>
        <w:t xml:space="preserve"> </w:t>
      </w:r>
      <w:r w:rsidRPr="00DD52BF">
        <w:rPr>
          <w:rFonts w:ascii="Times New Roman" w:hAnsi="Times New Roman" w:cs="Times New Roman"/>
          <w:bCs/>
          <w:i/>
          <w:sz w:val="24"/>
          <w:szCs w:val="24"/>
        </w:rPr>
        <w:t>10</w:t>
      </w:r>
      <w:r w:rsidRPr="00DD52BF">
        <w:rPr>
          <w:rFonts w:ascii="Times New Roman" w:hAnsi="Times New Roman" w:cs="Times New Roman"/>
          <w:bCs/>
          <w:sz w:val="24"/>
          <w:szCs w:val="24"/>
        </w:rPr>
        <w:t>, 1166-1173.</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lastRenderedPageBreak/>
        <w:t>93.</w:t>
      </w:r>
      <w:r w:rsidRPr="00DD52BF">
        <w:rPr>
          <w:rFonts w:ascii="Times New Roman" w:hAnsi="Times New Roman" w:cs="Times New Roman"/>
          <w:bCs/>
          <w:sz w:val="24"/>
          <w:szCs w:val="24"/>
        </w:rPr>
        <w:tab/>
        <w:t>Keller, B. O., Sui, J., Young, A. B., and Whittal, R. M. (</w:t>
      </w:r>
      <w:r w:rsidRPr="00DD52BF">
        <w:rPr>
          <w:rFonts w:ascii="Times New Roman" w:hAnsi="Times New Roman" w:cs="Times New Roman"/>
          <w:b/>
          <w:bCs/>
          <w:sz w:val="24"/>
          <w:szCs w:val="24"/>
        </w:rPr>
        <w:t>2008</w:t>
      </w:r>
      <w:r w:rsidRPr="00DD52BF">
        <w:rPr>
          <w:rFonts w:ascii="Times New Roman" w:hAnsi="Times New Roman" w:cs="Times New Roman"/>
          <w:bCs/>
          <w:sz w:val="24"/>
          <w:szCs w:val="24"/>
        </w:rPr>
        <w:t xml:space="preserve">) Interferences and contaminants encountered in modern mass spectrometry, </w:t>
      </w:r>
      <w:r w:rsidRPr="00DD52BF">
        <w:rPr>
          <w:rFonts w:ascii="Times New Roman" w:hAnsi="Times New Roman" w:cs="Times New Roman"/>
          <w:bCs/>
          <w:i/>
          <w:sz w:val="24"/>
          <w:szCs w:val="24"/>
        </w:rPr>
        <w:t>Analytica Chimica Acta 627</w:t>
      </w:r>
      <w:r w:rsidRPr="00DD52BF">
        <w:rPr>
          <w:rFonts w:ascii="Times New Roman" w:hAnsi="Times New Roman" w:cs="Times New Roman"/>
          <w:bCs/>
          <w:sz w:val="24"/>
          <w:szCs w:val="24"/>
        </w:rPr>
        <w:t>, 71-81.</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sz w:val="24"/>
          <w:szCs w:val="24"/>
        </w:rPr>
      </w:pPr>
      <w:r w:rsidRPr="00DD52BF">
        <w:rPr>
          <w:rFonts w:ascii="Times New Roman" w:hAnsi="Times New Roman" w:cs="Times New Roman"/>
          <w:sz w:val="24"/>
          <w:szCs w:val="24"/>
        </w:rPr>
        <w:t>94.</w:t>
      </w:r>
      <w:r w:rsidRPr="00DD52BF">
        <w:rPr>
          <w:rFonts w:ascii="Times New Roman" w:hAnsi="Times New Roman" w:cs="Times New Roman"/>
          <w:sz w:val="24"/>
          <w:szCs w:val="24"/>
        </w:rPr>
        <w:tab/>
        <w:t>Tong, H., Bell, D., Tabei, K., and Siegel, M. M. (</w:t>
      </w:r>
      <w:r w:rsidRPr="00DD52BF">
        <w:rPr>
          <w:rFonts w:ascii="Times New Roman" w:hAnsi="Times New Roman" w:cs="Times New Roman"/>
          <w:b/>
          <w:sz w:val="24"/>
          <w:szCs w:val="24"/>
        </w:rPr>
        <w:t>1999</w:t>
      </w:r>
      <w:r w:rsidRPr="00DD52BF">
        <w:rPr>
          <w:rFonts w:ascii="Times New Roman" w:hAnsi="Times New Roman" w:cs="Times New Roman"/>
          <w:sz w:val="24"/>
          <w:szCs w:val="24"/>
        </w:rPr>
        <w:t xml:space="preserve">) Automated Data Massaging, Interpretation, and E-Mailing Modules for High Throughput Open Access Mass Spectrometry, </w:t>
      </w:r>
      <w:r w:rsidRPr="00DD52BF">
        <w:rPr>
          <w:rFonts w:ascii="Times New Roman" w:hAnsi="Times New Roman" w:cs="Times New Roman"/>
          <w:i/>
          <w:sz w:val="24"/>
          <w:szCs w:val="24"/>
        </w:rPr>
        <w:t>J. Am. Soc. Mass Spec. 10</w:t>
      </w:r>
      <w:r w:rsidRPr="00DD52BF">
        <w:rPr>
          <w:rFonts w:ascii="Times New Roman" w:hAnsi="Times New Roman" w:cs="Times New Roman"/>
          <w:sz w:val="24"/>
          <w:szCs w:val="24"/>
        </w:rPr>
        <w:t>, 1174-1187.</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iCs/>
          <w:sz w:val="24"/>
          <w:szCs w:val="24"/>
        </w:rPr>
        <w:t>95.</w:t>
      </w:r>
      <w:r w:rsidRPr="00DD52BF">
        <w:rPr>
          <w:rFonts w:ascii="Times New Roman" w:hAnsi="Times New Roman" w:cs="Times New Roman"/>
          <w:iCs/>
          <w:sz w:val="24"/>
          <w:szCs w:val="24"/>
        </w:rPr>
        <w:tab/>
        <w:t>Holstein, C. A., Gafken, P. R., and Martin, D. B. (</w:t>
      </w:r>
      <w:r w:rsidRPr="00DD52BF">
        <w:rPr>
          <w:rFonts w:ascii="Times New Roman" w:hAnsi="Times New Roman" w:cs="Times New Roman"/>
          <w:b/>
          <w:iCs/>
          <w:sz w:val="24"/>
          <w:szCs w:val="24"/>
        </w:rPr>
        <w:t>2011</w:t>
      </w:r>
      <w:r w:rsidRPr="00DD52BF">
        <w:rPr>
          <w:rFonts w:ascii="Times New Roman" w:hAnsi="Times New Roman" w:cs="Times New Roman"/>
          <w:iCs/>
          <w:sz w:val="24"/>
          <w:szCs w:val="24"/>
        </w:rPr>
        <w:t xml:space="preserve">) </w:t>
      </w:r>
      <w:r w:rsidRPr="00DD52BF">
        <w:rPr>
          <w:rFonts w:ascii="Times New Roman" w:hAnsi="Times New Roman" w:cs="Times New Roman"/>
          <w:bCs/>
          <w:sz w:val="24"/>
          <w:szCs w:val="24"/>
        </w:rPr>
        <w:t xml:space="preserve">Collision Energy Optimization of b- and y-Ions for Multiple Reaction Monitoring Mass Spectrometry, </w:t>
      </w:r>
      <w:r w:rsidRPr="00DD52BF">
        <w:rPr>
          <w:rFonts w:ascii="Times New Roman" w:hAnsi="Times New Roman" w:cs="Times New Roman"/>
          <w:bCs/>
          <w:i/>
          <w:sz w:val="24"/>
          <w:szCs w:val="24"/>
        </w:rPr>
        <w:t>Journal of Proteome Research 10</w:t>
      </w:r>
      <w:r w:rsidRPr="00DD52BF">
        <w:rPr>
          <w:rFonts w:ascii="Times New Roman" w:hAnsi="Times New Roman" w:cs="Times New Roman"/>
          <w:bCs/>
          <w:sz w:val="24"/>
          <w:szCs w:val="24"/>
        </w:rPr>
        <w:t>, 231-240.</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i/>
          <w:color w:val="000000"/>
          <w:sz w:val="24"/>
          <w:szCs w:val="24"/>
        </w:rPr>
      </w:pPr>
      <w:r w:rsidRPr="00DD52BF">
        <w:rPr>
          <w:rFonts w:ascii="Times New Roman" w:hAnsi="Times New Roman" w:cs="Times New Roman"/>
          <w:color w:val="000000"/>
          <w:sz w:val="24"/>
          <w:szCs w:val="24"/>
        </w:rPr>
        <w:t xml:space="preserve">96. </w:t>
      </w:r>
      <w:r w:rsidRPr="00DD52BF">
        <w:rPr>
          <w:rFonts w:ascii="Times New Roman" w:hAnsi="Times New Roman" w:cs="Times New Roman"/>
          <w:color w:val="000000"/>
          <w:sz w:val="24"/>
          <w:szCs w:val="24"/>
        </w:rPr>
        <w:tab/>
        <w:t>Kuracina, M. (</w:t>
      </w:r>
      <w:r w:rsidRPr="00DD52BF">
        <w:rPr>
          <w:rFonts w:ascii="Times New Roman" w:hAnsi="Times New Roman" w:cs="Times New Roman"/>
          <w:b/>
          <w:color w:val="000000"/>
          <w:sz w:val="24"/>
          <w:szCs w:val="24"/>
        </w:rPr>
        <w:t>2008</w:t>
      </w:r>
      <w:r w:rsidRPr="00DD52BF">
        <w:rPr>
          <w:rFonts w:ascii="Times New Roman" w:hAnsi="Times New Roman" w:cs="Times New Roman"/>
          <w:color w:val="000000"/>
          <w:sz w:val="24"/>
          <w:szCs w:val="24"/>
        </w:rPr>
        <w:t xml:space="preserve">) Considerations when using LC/MS/MS Systems with Fast and High Resolution Liquid Chromatography, </w:t>
      </w:r>
      <w:r w:rsidRPr="00DD52BF">
        <w:rPr>
          <w:rFonts w:ascii="Times New Roman" w:hAnsi="Times New Roman" w:cs="Times New Roman"/>
          <w:i/>
          <w:color w:val="000000"/>
          <w:sz w:val="24"/>
          <w:szCs w:val="24"/>
        </w:rPr>
        <w:t>Applied Biosystems</w:t>
      </w:r>
      <w:r>
        <w:rPr>
          <w:rFonts w:ascii="Times New Roman" w:hAnsi="Times New Roman" w:cs="Times New Roman"/>
          <w:i/>
          <w:color w:val="000000"/>
          <w:sz w:val="24"/>
          <w:szCs w:val="24"/>
        </w:rPr>
        <w:t>.</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DD52BF">
        <w:rPr>
          <w:rFonts w:ascii="Times New Roman" w:hAnsi="Times New Roman" w:cs="Times New Roman"/>
          <w:color w:val="000000"/>
          <w:sz w:val="24"/>
          <w:szCs w:val="24"/>
        </w:rPr>
        <w:t>97.</w:t>
      </w:r>
      <w:r w:rsidRPr="00DD52BF">
        <w:rPr>
          <w:rFonts w:ascii="Times New Roman" w:hAnsi="Times New Roman" w:cs="Times New Roman"/>
          <w:color w:val="000000"/>
          <w:sz w:val="24"/>
          <w:szCs w:val="24"/>
        </w:rPr>
        <w:tab/>
        <w:t>Hedgepeth, W., and Takahashi, M. (</w:t>
      </w:r>
      <w:r w:rsidRPr="00DD52BF">
        <w:rPr>
          <w:rFonts w:ascii="Times New Roman" w:hAnsi="Times New Roman" w:cs="Times New Roman"/>
          <w:b/>
          <w:color w:val="000000"/>
          <w:sz w:val="24"/>
          <w:szCs w:val="24"/>
        </w:rPr>
        <w:t>2010</w:t>
      </w:r>
      <w:r w:rsidRPr="00DD52BF">
        <w:rPr>
          <w:rFonts w:ascii="Times New Roman" w:hAnsi="Times New Roman" w:cs="Times New Roman"/>
          <w:color w:val="000000"/>
          <w:sz w:val="24"/>
          <w:szCs w:val="24"/>
        </w:rPr>
        <w:t xml:space="preserve">) Evaluation of MS Scanning Speeds with UHPLC Peak Widths, </w:t>
      </w:r>
      <w:r w:rsidRPr="00DD52BF">
        <w:rPr>
          <w:rFonts w:ascii="Times New Roman" w:hAnsi="Times New Roman" w:cs="Times New Roman"/>
          <w:i/>
          <w:color w:val="000000"/>
          <w:sz w:val="24"/>
          <w:szCs w:val="24"/>
        </w:rPr>
        <w:t>Shimadzu Scientific Instruments</w:t>
      </w:r>
      <w:r>
        <w:rPr>
          <w:rFonts w:ascii="Times New Roman" w:hAnsi="Times New Roman" w:cs="Times New Roman"/>
          <w:i/>
          <w:color w:val="000000"/>
          <w:sz w:val="24"/>
          <w:szCs w:val="24"/>
        </w:rPr>
        <w:t>.</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98.</w:t>
      </w:r>
      <w:r w:rsidRPr="00DD52BF">
        <w:rPr>
          <w:rFonts w:ascii="Times New Roman" w:hAnsi="Times New Roman" w:cs="Times New Roman"/>
          <w:bCs/>
          <w:sz w:val="24"/>
          <w:szCs w:val="24"/>
        </w:rPr>
        <w:tab/>
        <w:t>Santa, T. (</w:t>
      </w:r>
      <w:r w:rsidRPr="00DD52BF">
        <w:rPr>
          <w:rFonts w:ascii="Times New Roman" w:hAnsi="Times New Roman" w:cs="Times New Roman"/>
          <w:b/>
          <w:bCs/>
          <w:sz w:val="24"/>
          <w:szCs w:val="24"/>
        </w:rPr>
        <w:t>2011</w:t>
      </w:r>
      <w:r w:rsidRPr="00DD52BF">
        <w:rPr>
          <w:rFonts w:ascii="Times New Roman" w:hAnsi="Times New Roman" w:cs="Times New Roman"/>
          <w:bCs/>
          <w:sz w:val="24"/>
          <w:szCs w:val="24"/>
        </w:rPr>
        <w:t xml:space="preserve">) Derivatization reagents in liquid chromatography/electrospray ionization tandem mass spectrometry, </w:t>
      </w:r>
      <w:r w:rsidRPr="00DD52BF">
        <w:rPr>
          <w:rFonts w:ascii="Times New Roman" w:hAnsi="Times New Roman" w:cs="Times New Roman"/>
          <w:i/>
          <w:iCs/>
          <w:sz w:val="24"/>
          <w:szCs w:val="24"/>
        </w:rPr>
        <w:t xml:space="preserve">Biomed. </w:t>
      </w:r>
      <w:proofErr w:type="gramStart"/>
      <w:r w:rsidRPr="00DD52BF">
        <w:rPr>
          <w:rFonts w:ascii="Times New Roman" w:hAnsi="Times New Roman" w:cs="Times New Roman"/>
          <w:i/>
          <w:iCs/>
          <w:sz w:val="24"/>
          <w:szCs w:val="24"/>
        </w:rPr>
        <w:t>Chromatogr.</w:t>
      </w:r>
      <w:proofErr w:type="gramEnd"/>
      <w:r w:rsidRPr="00DD52BF">
        <w:rPr>
          <w:rFonts w:ascii="Times New Roman" w:hAnsi="Times New Roman" w:cs="Times New Roman"/>
          <w:i/>
          <w:iCs/>
          <w:sz w:val="24"/>
          <w:szCs w:val="24"/>
        </w:rPr>
        <w:t xml:space="preserve"> 25</w:t>
      </w:r>
      <w:r w:rsidRPr="00DD52BF">
        <w:rPr>
          <w:rFonts w:ascii="Times New Roman" w:hAnsi="Times New Roman" w:cs="Times New Roman"/>
          <w:iCs/>
          <w:sz w:val="24"/>
          <w:szCs w:val="24"/>
        </w:rPr>
        <w:t>, 1-10.</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12" w:name="_ENREF_23"/>
      <w:r w:rsidRPr="00DD52BF">
        <w:rPr>
          <w:rFonts w:ascii="Times New Roman" w:eastAsia="Calibri" w:hAnsi="Times New Roman" w:cs="Times New Roman"/>
          <w:bCs/>
          <w:noProof/>
          <w:sz w:val="24"/>
          <w:szCs w:val="24"/>
        </w:rPr>
        <w:t>99.</w:t>
      </w:r>
      <w:r w:rsidRPr="00DD52BF">
        <w:rPr>
          <w:rFonts w:ascii="Times New Roman" w:eastAsia="Calibri" w:hAnsi="Times New Roman" w:cs="Times New Roman"/>
          <w:bCs/>
          <w:noProof/>
          <w:sz w:val="24"/>
          <w:szCs w:val="24"/>
        </w:rPr>
        <w:tab/>
        <w:t>Jozefczuk, S., Klie, S., Catchpole, G., Szymanski, J., Cuadros-Inostroza, A., Steinhauser, D., and Willmitzer, L. (</w:t>
      </w:r>
      <w:r w:rsidRPr="00DD52BF">
        <w:rPr>
          <w:rFonts w:ascii="Times New Roman" w:eastAsia="Calibri" w:hAnsi="Times New Roman" w:cs="Times New Roman"/>
          <w:b/>
          <w:bCs/>
          <w:noProof/>
          <w:sz w:val="24"/>
          <w:szCs w:val="24"/>
        </w:rPr>
        <w:t>2010</w:t>
      </w:r>
      <w:r w:rsidRPr="00DD52BF">
        <w:rPr>
          <w:rFonts w:ascii="Times New Roman" w:eastAsia="Calibri" w:hAnsi="Times New Roman" w:cs="Times New Roman"/>
          <w:bCs/>
          <w:noProof/>
          <w:sz w:val="24"/>
          <w:szCs w:val="24"/>
        </w:rPr>
        <w:t xml:space="preserve">) Metabolomic and transcriptomic stress response of Escherichia coli, </w:t>
      </w:r>
      <w:r w:rsidRPr="00DD52BF">
        <w:rPr>
          <w:rFonts w:ascii="Times New Roman" w:eastAsia="Calibri" w:hAnsi="Times New Roman" w:cs="Times New Roman"/>
          <w:bCs/>
          <w:i/>
          <w:noProof/>
          <w:sz w:val="24"/>
          <w:szCs w:val="24"/>
        </w:rPr>
        <w:t>Molecular systems biology 6</w:t>
      </w:r>
      <w:r w:rsidRPr="00DD52BF">
        <w:rPr>
          <w:rFonts w:ascii="Times New Roman" w:eastAsia="Calibri" w:hAnsi="Times New Roman" w:cs="Times New Roman"/>
          <w:bCs/>
          <w:noProof/>
          <w:sz w:val="24"/>
          <w:szCs w:val="24"/>
        </w:rPr>
        <w:t xml:space="preserve">(1). </w:t>
      </w:r>
      <w:bookmarkEnd w:id="12"/>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100.</w:t>
      </w:r>
      <w:r w:rsidRPr="00DD52BF">
        <w:rPr>
          <w:rFonts w:ascii="Times New Roman" w:eastAsia="Calibri" w:hAnsi="Times New Roman" w:cs="Times New Roman"/>
          <w:bCs/>
          <w:noProof/>
          <w:sz w:val="24"/>
          <w:szCs w:val="24"/>
        </w:rPr>
        <w:tab/>
        <w:t>Berg, J. M., Tymoczko, J. L., and Stryer, L. (</w:t>
      </w:r>
      <w:r w:rsidRPr="00DD52BF">
        <w:rPr>
          <w:rFonts w:ascii="Times New Roman" w:eastAsia="Calibri" w:hAnsi="Times New Roman" w:cs="Times New Roman"/>
          <w:b/>
          <w:bCs/>
          <w:noProof/>
          <w:sz w:val="24"/>
          <w:szCs w:val="24"/>
        </w:rPr>
        <w:t>2012</w:t>
      </w:r>
      <w:r w:rsidRPr="00DD52BF">
        <w:rPr>
          <w:rFonts w:ascii="Times New Roman" w:eastAsia="Calibri" w:hAnsi="Times New Roman" w:cs="Times New Roman"/>
          <w:bCs/>
          <w:noProof/>
          <w:sz w:val="24"/>
          <w:szCs w:val="24"/>
        </w:rPr>
        <w:t xml:space="preserve">) Biochemistry, </w:t>
      </w:r>
      <w:r w:rsidRPr="00DD52BF">
        <w:rPr>
          <w:rFonts w:ascii="Times New Roman" w:eastAsia="Calibri" w:hAnsi="Times New Roman" w:cs="Times New Roman"/>
          <w:bCs/>
          <w:i/>
          <w:noProof/>
          <w:sz w:val="24"/>
          <w:szCs w:val="24"/>
        </w:rPr>
        <w:t>Basingstoke: W.H. Freeman.</w:t>
      </w:r>
    </w:p>
    <w:p w:rsidR="00913B58"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13" w:name="_ENREF_18"/>
      <w:r w:rsidRPr="00DD52BF">
        <w:rPr>
          <w:rFonts w:ascii="Times New Roman" w:eastAsia="Calibri" w:hAnsi="Times New Roman" w:cs="Times New Roman"/>
          <w:bCs/>
          <w:noProof/>
          <w:sz w:val="24"/>
          <w:szCs w:val="24"/>
        </w:rPr>
        <w:t>101.</w:t>
      </w:r>
      <w:r w:rsidRPr="00DD52BF">
        <w:rPr>
          <w:rFonts w:ascii="Times New Roman" w:eastAsia="Calibri" w:hAnsi="Times New Roman" w:cs="Times New Roman"/>
          <w:bCs/>
          <w:noProof/>
          <w:sz w:val="24"/>
          <w:szCs w:val="24"/>
        </w:rPr>
        <w:tab/>
        <w:t>Fry, B. A., and Gros, F. (</w:t>
      </w:r>
      <w:r w:rsidRPr="00DD52BF">
        <w:rPr>
          <w:rFonts w:ascii="Times New Roman" w:eastAsia="Calibri" w:hAnsi="Times New Roman" w:cs="Times New Roman"/>
          <w:b/>
          <w:bCs/>
          <w:noProof/>
          <w:sz w:val="24"/>
          <w:szCs w:val="24"/>
        </w:rPr>
        <w:t>1959</w:t>
      </w:r>
      <w:r w:rsidRPr="00DD52BF">
        <w:rPr>
          <w:rFonts w:ascii="Times New Roman" w:eastAsia="Calibri" w:hAnsi="Times New Roman" w:cs="Times New Roman"/>
          <w:bCs/>
          <w:noProof/>
          <w:sz w:val="24"/>
          <w:szCs w:val="24"/>
        </w:rPr>
        <w:t xml:space="preserve">) The metabolic activities of Escherichia coli during the establishment of lysogeny, </w:t>
      </w:r>
      <w:r w:rsidRPr="00DD52BF">
        <w:rPr>
          <w:rFonts w:ascii="Times New Roman" w:eastAsia="Calibri" w:hAnsi="Times New Roman" w:cs="Times New Roman"/>
          <w:bCs/>
          <w:i/>
          <w:noProof/>
          <w:sz w:val="24"/>
          <w:szCs w:val="24"/>
        </w:rPr>
        <w:t>Journal of General Microbiology 21</w:t>
      </w:r>
      <w:r w:rsidRPr="00DD52BF">
        <w:rPr>
          <w:rFonts w:ascii="Times New Roman" w:eastAsia="Calibri" w:hAnsi="Times New Roman" w:cs="Times New Roman"/>
          <w:bCs/>
          <w:noProof/>
          <w:sz w:val="24"/>
          <w:szCs w:val="24"/>
        </w:rPr>
        <w:t xml:space="preserve">(3), 685-692. </w:t>
      </w:r>
      <w:bookmarkEnd w:id="13"/>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102.</w:t>
      </w:r>
      <w:r w:rsidRPr="00DD52BF">
        <w:rPr>
          <w:rFonts w:ascii="Times New Roman" w:eastAsia="Calibri" w:hAnsi="Times New Roman" w:cs="Times New Roman"/>
          <w:bCs/>
          <w:noProof/>
          <w:sz w:val="24"/>
          <w:szCs w:val="24"/>
        </w:rPr>
        <w:tab/>
        <w:t>Koch, A. L., Putnam, F. W., and Evans, E. A. (</w:t>
      </w:r>
      <w:r w:rsidRPr="00DD52BF">
        <w:rPr>
          <w:rFonts w:ascii="Times New Roman" w:eastAsia="Calibri" w:hAnsi="Times New Roman" w:cs="Times New Roman"/>
          <w:b/>
          <w:bCs/>
          <w:noProof/>
          <w:sz w:val="24"/>
          <w:szCs w:val="24"/>
        </w:rPr>
        <w:t>1952</w:t>
      </w:r>
      <w:r w:rsidRPr="00DD52BF">
        <w:rPr>
          <w:rFonts w:ascii="Times New Roman" w:eastAsia="Calibri" w:hAnsi="Times New Roman" w:cs="Times New Roman"/>
          <w:bCs/>
          <w:noProof/>
          <w:sz w:val="24"/>
          <w:szCs w:val="24"/>
        </w:rPr>
        <w:t xml:space="preserve">) Biochemical studies of virus production VII Purine metabolism, </w:t>
      </w:r>
      <w:r w:rsidRPr="00DD52BF">
        <w:rPr>
          <w:rFonts w:ascii="Times New Roman" w:eastAsia="Calibri" w:hAnsi="Times New Roman" w:cs="Times New Roman"/>
          <w:bCs/>
          <w:i/>
          <w:noProof/>
          <w:sz w:val="24"/>
          <w:szCs w:val="24"/>
        </w:rPr>
        <w:t>Journal of Biological Chemistry 197</w:t>
      </w:r>
      <w:r w:rsidRPr="00DD52BF">
        <w:rPr>
          <w:rFonts w:ascii="Times New Roman" w:eastAsia="Calibri" w:hAnsi="Times New Roman" w:cs="Times New Roman"/>
          <w:bCs/>
          <w:noProof/>
          <w:sz w:val="24"/>
          <w:szCs w:val="24"/>
        </w:rPr>
        <w:t xml:space="preserve">(1), 113-120. </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14" w:name="_ENREF_13"/>
      <w:r w:rsidRPr="00DD52BF">
        <w:rPr>
          <w:rFonts w:ascii="Times New Roman" w:eastAsia="Calibri" w:hAnsi="Times New Roman" w:cs="Times New Roman"/>
          <w:bCs/>
          <w:noProof/>
          <w:sz w:val="24"/>
          <w:szCs w:val="24"/>
        </w:rPr>
        <w:t>103.</w:t>
      </w:r>
      <w:r w:rsidRPr="00DD52BF">
        <w:rPr>
          <w:rFonts w:ascii="Times New Roman" w:eastAsia="Calibri" w:hAnsi="Times New Roman" w:cs="Times New Roman"/>
          <w:bCs/>
          <w:noProof/>
          <w:sz w:val="24"/>
          <w:szCs w:val="24"/>
        </w:rPr>
        <w:tab/>
        <w:t>Cohen, S. S. (</w:t>
      </w:r>
      <w:r w:rsidRPr="00DD52BF">
        <w:rPr>
          <w:rFonts w:ascii="Times New Roman" w:eastAsia="Calibri" w:hAnsi="Times New Roman" w:cs="Times New Roman"/>
          <w:b/>
          <w:bCs/>
          <w:noProof/>
          <w:sz w:val="24"/>
          <w:szCs w:val="24"/>
        </w:rPr>
        <w:t>1948</w:t>
      </w:r>
      <w:r w:rsidRPr="00DD52BF">
        <w:rPr>
          <w:rFonts w:ascii="Times New Roman" w:eastAsia="Calibri" w:hAnsi="Times New Roman" w:cs="Times New Roman"/>
          <w:bCs/>
          <w:noProof/>
          <w:sz w:val="24"/>
          <w:szCs w:val="24"/>
        </w:rPr>
        <w:t xml:space="preserve">) The synthesis of bacterial viruses II The origin of the phosphorus found in the desoxyribonucleic acids of the T2 and T4 bacteriophages, </w:t>
      </w:r>
      <w:r w:rsidRPr="00DD52BF">
        <w:rPr>
          <w:rFonts w:ascii="Times New Roman" w:eastAsia="Calibri" w:hAnsi="Times New Roman" w:cs="Times New Roman"/>
          <w:bCs/>
          <w:i/>
          <w:noProof/>
          <w:sz w:val="24"/>
          <w:szCs w:val="24"/>
        </w:rPr>
        <w:t>Journal of Biological Chemistry 174</w:t>
      </w:r>
      <w:r w:rsidRPr="00DD52BF">
        <w:rPr>
          <w:rFonts w:ascii="Times New Roman" w:eastAsia="Calibri" w:hAnsi="Times New Roman" w:cs="Times New Roman"/>
          <w:bCs/>
          <w:noProof/>
          <w:sz w:val="24"/>
          <w:szCs w:val="24"/>
        </w:rPr>
        <w:t xml:space="preserve">(1), 295-303. </w:t>
      </w:r>
      <w:bookmarkEnd w:id="14"/>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15" w:name="_ENREF_26"/>
      <w:r w:rsidRPr="00DD52BF">
        <w:rPr>
          <w:rFonts w:ascii="Times New Roman" w:eastAsia="Calibri" w:hAnsi="Times New Roman" w:cs="Times New Roman"/>
          <w:bCs/>
          <w:noProof/>
          <w:sz w:val="24"/>
          <w:szCs w:val="24"/>
        </w:rPr>
        <w:t>104.</w:t>
      </w:r>
      <w:r w:rsidRPr="00DD52BF">
        <w:rPr>
          <w:rFonts w:ascii="Times New Roman" w:eastAsia="Calibri" w:hAnsi="Times New Roman" w:cs="Times New Roman"/>
          <w:bCs/>
          <w:noProof/>
          <w:sz w:val="24"/>
          <w:szCs w:val="24"/>
        </w:rPr>
        <w:tab/>
        <w:t>Koerner, J. F., and Snustad, D. P. (</w:t>
      </w:r>
      <w:r w:rsidRPr="00DD52BF">
        <w:rPr>
          <w:rFonts w:ascii="Times New Roman" w:eastAsia="Calibri" w:hAnsi="Times New Roman" w:cs="Times New Roman"/>
          <w:b/>
          <w:bCs/>
          <w:noProof/>
          <w:sz w:val="24"/>
          <w:szCs w:val="24"/>
        </w:rPr>
        <w:t>1979</w:t>
      </w:r>
      <w:r w:rsidRPr="00DD52BF">
        <w:rPr>
          <w:rFonts w:ascii="Times New Roman" w:eastAsia="Calibri" w:hAnsi="Times New Roman" w:cs="Times New Roman"/>
          <w:bCs/>
          <w:noProof/>
          <w:sz w:val="24"/>
          <w:szCs w:val="24"/>
        </w:rPr>
        <w:t xml:space="preserve">) Shutoff of host macromolecular-synthesis after T-even bacteriophage infection, </w:t>
      </w:r>
      <w:r w:rsidRPr="00DD52BF">
        <w:rPr>
          <w:rFonts w:ascii="Times New Roman" w:eastAsia="Calibri" w:hAnsi="Times New Roman" w:cs="Times New Roman"/>
          <w:bCs/>
          <w:i/>
          <w:noProof/>
          <w:sz w:val="24"/>
          <w:szCs w:val="24"/>
        </w:rPr>
        <w:t>Microbiological Reviews 43</w:t>
      </w:r>
      <w:r w:rsidRPr="00DD52BF">
        <w:rPr>
          <w:rFonts w:ascii="Times New Roman" w:eastAsia="Calibri" w:hAnsi="Times New Roman" w:cs="Times New Roman"/>
          <w:bCs/>
          <w:noProof/>
          <w:sz w:val="24"/>
          <w:szCs w:val="24"/>
        </w:rPr>
        <w:t xml:space="preserve">(2), 199-223. </w:t>
      </w:r>
      <w:bookmarkEnd w:id="15"/>
    </w:p>
    <w:p w:rsidR="00913B58"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16" w:name="_ENREF_27"/>
      <w:r w:rsidRPr="00DD52BF">
        <w:rPr>
          <w:rFonts w:ascii="Times New Roman" w:eastAsia="Calibri" w:hAnsi="Times New Roman" w:cs="Times New Roman"/>
          <w:bCs/>
          <w:noProof/>
          <w:sz w:val="24"/>
          <w:szCs w:val="24"/>
        </w:rPr>
        <w:t>105.</w:t>
      </w:r>
      <w:r w:rsidRPr="00DD52BF">
        <w:rPr>
          <w:rFonts w:ascii="Times New Roman" w:eastAsia="Calibri" w:hAnsi="Times New Roman" w:cs="Times New Roman"/>
          <w:bCs/>
          <w:noProof/>
          <w:sz w:val="24"/>
          <w:szCs w:val="24"/>
        </w:rPr>
        <w:tab/>
        <w:t>Kozloff, L. M. (</w:t>
      </w:r>
      <w:r w:rsidRPr="00DD52BF">
        <w:rPr>
          <w:rFonts w:ascii="Times New Roman" w:eastAsia="Calibri" w:hAnsi="Times New Roman" w:cs="Times New Roman"/>
          <w:b/>
          <w:bCs/>
          <w:noProof/>
          <w:sz w:val="24"/>
          <w:szCs w:val="24"/>
        </w:rPr>
        <w:t>1953</w:t>
      </w:r>
      <w:r w:rsidRPr="00DD52BF">
        <w:rPr>
          <w:rFonts w:ascii="Times New Roman" w:eastAsia="Calibri" w:hAnsi="Times New Roman" w:cs="Times New Roman"/>
          <w:bCs/>
          <w:noProof/>
          <w:sz w:val="24"/>
          <w:szCs w:val="24"/>
        </w:rPr>
        <w:t xml:space="preserve">) Origin and fate of bacteriophage material, </w:t>
      </w:r>
      <w:r w:rsidRPr="00DD52BF">
        <w:rPr>
          <w:rFonts w:ascii="Times New Roman" w:eastAsia="Calibri" w:hAnsi="Times New Roman" w:cs="Times New Roman"/>
          <w:bCs/>
          <w:i/>
          <w:noProof/>
          <w:sz w:val="24"/>
          <w:szCs w:val="24"/>
        </w:rPr>
        <w:t>Cold Spring Harbor Symposia on Quantitative Biology 18</w:t>
      </w:r>
      <w:r w:rsidRPr="00DD52BF">
        <w:rPr>
          <w:rFonts w:ascii="Times New Roman" w:eastAsia="Calibri" w:hAnsi="Times New Roman" w:cs="Times New Roman"/>
          <w:bCs/>
          <w:noProof/>
          <w:sz w:val="24"/>
          <w:szCs w:val="24"/>
        </w:rPr>
        <w:t xml:space="preserve">, 209-220. </w:t>
      </w:r>
      <w:bookmarkEnd w:id="16"/>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106.</w:t>
      </w:r>
      <w:r w:rsidRPr="00DD52BF">
        <w:rPr>
          <w:rFonts w:ascii="Times New Roman" w:eastAsia="Calibri" w:hAnsi="Times New Roman" w:cs="Times New Roman"/>
          <w:bCs/>
          <w:noProof/>
          <w:sz w:val="24"/>
          <w:szCs w:val="24"/>
        </w:rPr>
        <w:tab/>
        <w:t>Joklik, W. K. (</w:t>
      </w:r>
      <w:r w:rsidRPr="00DD52BF">
        <w:rPr>
          <w:rFonts w:ascii="Times New Roman" w:eastAsia="Calibri" w:hAnsi="Times New Roman" w:cs="Times New Roman"/>
          <w:b/>
          <w:bCs/>
          <w:noProof/>
          <w:sz w:val="24"/>
          <w:szCs w:val="24"/>
        </w:rPr>
        <w:t>1952</w:t>
      </w:r>
      <w:r w:rsidRPr="00DD52BF">
        <w:rPr>
          <w:rFonts w:ascii="Times New Roman" w:eastAsia="Calibri" w:hAnsi="Times New Roman" w:cs="Times New Roman"/>
          <w:bCs/>
          <w:noProof/>
          <w:sz w:val="24"/>
          <w:szCs w:val="24"/>
        </w:rPr>
        <w:t xml:space="preserve">) The effect of phage infection on the metabolic activity of the host cell, </w:t>
      </w:r>
      <w:r w:rsidRPr="00DD52BF">
        <w:rPr>
          <w:rFonts w:ascii="Times New Roman" w:eastAsia="Calibri" w:hAnsi="Times New Roman" w:cs="Times New Roman"/>
          <w:bCs/>
          <w:i/>
          <w:noProof/>
          <w:sz w:val="24"/>
          <w:szCs w:val="24"/>
        </w:rPr>
        <w:t>British Journal of Experimental Pathology 33</w:t>
      </w:r>
      <w:r w:rsidRPr="00DD52BF">
        <w:rPr>
          <w:rFonts w:ascii="Times New Roman" w:eastAsia="Calibri" w:hAnsi="Times New Roman" w:cs="Times New Roman"/>
          <w:bCs/>
          <w:noProof/>
          <w:sz w:val="24"/>
          <w:szCs w:val="24"/>
        </w:rPr>
        <w:t xml:space="preserve">(4), 368-379. </w:t>
      </w: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17" w:name="_ENREF_40"/>
      <w:r w:rsidRPr="00DD52BF">
        <w:rPr>
          <w:rFonts w:ascii="Times New Roman" w:eastAsia="Calibri" w:hAnsi="Times New Roman" w:cs="Times New Roman"/>
          <w:bCs/>
          <w:noProof/>
          <w:sz w:val="24"/>
          <w:szCs w:val="24"/>
        </w:rPr>
        <w:lastRenderedPageBreak/>
        <w:t>107.</w:t>
      </w:r>
      <w:r w:rsidRPr="00DD52BF">
        <w:rPr>
          <w:rFonts w:ascii="Times New Roman" w:eastAsia="Calibri" w:hAnsi="Times New Roman" w:cs="Times New Roman"/>
          <w:bCs/>
          <w:noProof/>
          <w:sz w:val="24"/>
          <w:szCs w:val="24"/>
        </w:rPr>
        <w:tab/>
        <w:t>Siddiqi, M. S. H., Kozloff, L. M., Putnam, F. W., and Evans, E. A. (</w:t>
      </w:r>
      <w:r w:rsidRPr="00DD52BF">
        <w:rPr>
          <w:rFonts w:ascii="Times New Roman" w:eastAsia="Calibri" w:hAnsi="Times New Roman" w:cs="Times New Roman"/>
          <w:b/>
          <w:bCs/>
          <w:noProof/>
          <w:sz w:val="24"/>
          <w:szCs w:val="24"/>
        </w:rPr>
        <w:t>1952</w:t>
      </w:r>
      <w:r w:rsidRPr="00DD52BF">
        <w:rPr>
          <w:rFonts w:ascii="Times New Roman" w:eastAsia="Calibri" w:hAnsi="Times New Roman" w:cs="Times New Roman"/>
          <w:bCs/>
          <w:noProof/>
          <w:sz w:val="24"/>
          <w:szCs w:val="24"/>
        </w:rPr>
        <w:t xml:space="preserve">) Biochemical studies of virus reproduction IX Nature of the host cell contributions, </w:t>
      </w:r>
      <w:r w:rsidRPr="00DD52BF">
        <w:rPr>
          <w:rFonts w:ascii="Times New Roman" w:eastAsia="Calibri" w:hAnsi="Times New Roman" w:cs="Times New Roman"/>
          <w:bCs/>
          <w:i/>
          <w:noProof/>
          <w:sz w:val="24"/>
          <w:szCs w:val="24"/>
        </w:rPr>
        <w:t>Journal of Biological Chemistry 199(1)</w:t>
      </w:r>
      <w:r w:rsidRPr="00DD52BF">
        <w:rPr>
          <w:rFonts w:ascii="Times New Roman" w:eastAsia="Calibri" w:hAnsi="Times New Roman" w:cs="Times New Roman"/>
          <w:bCs/>
          <w:noProof/>
          <w:sz w:val="24"/>
          <w:szCs w:val="24"/>
        </w:rPr>
        <w:t xml:space="preserve">, 165-176. </w:t>
      </w:r>
      <w:bookmarkEnd w:id="17"/>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108.</w:t>
      </w:r>
      <w:r w:rsidRPr="00DD52BF">
        <w:rPr>
          <w:rFonts w:ascii="Times New Roman" w:eastAsia="Calibri" w:hAnsi="Times New Roman" w:cs="Times New Roman"/>
          <w:bCs/>
          <w:noProof/>
          <w:sz w:val="24"/>
          <w:szCs w:val="24"/>
        </w:rPr>
        <w:tab/>
        <w:t>Balogh, A., Borbely, G., Cseke, C., Udvardy, J., and Farkas, G. L. (</w:t>
      </w:r>
      <w:r w:rsidRPr="00DD52BF">
        <w:rPr>
          <w:rFonts w:ascii="Times New Roman" w:eastAsia="Calibri" w:hAnsi="Times New Roman" w:cs="Times New Roman"/>
          <w:b/>
          <w:bCs/>
          <w:noProof/>
          <w:sz w:val="24"/>
          <w:szCs w:val="24"/>
        </w:rPr>
        <w:t>1979</w:t>
      </w:r>
      <w:r w:rsidRPr="00DD52BF">
        <w:rPr>
          <w:rFonts w:ascii="Times New Roman" w:eastAsia="Calibri" w:hAnsi="Times New Roman" w:cs="Times New Roman"/>
          <w:bCs/>
          <w:noProof/>
          <w:sz w:val="24"/>
          <w:szCs w:val="24"/>
        </w:rPr>
        <w:t xml:space="preserve">) Virus infection affects the molecular properties and activity of glucose-6-P dehydrogenase in Anacysis nidulans, a cyanobacterium - Novel aspect of metabolic control in a phage infected cell, </w:t>
      </w:r>
      <w:r w:rsidRPr="00DD52BF">
        <w:rPr>
          <w:rFonts w:ascii="Times New Roman" w:eastAsia="Calibri" w:hAnsi="Times New Roman" w:cs="Times New Roman"/>
          <w:bCs/>
          <w:i/>
          <w:noProof/>
          <w:sz w:val="24"/>
          <w:szCs w:val="24"/>
        </w:rPr>
        <w:t>Febs Letters 105</w:t>
      </w:r>
      <w:r w:rsidRPr="00DD52BF">
        <w:rPr>
          <w:rFonts w:ascii="Times New Roman" w:eastAsia="Calibri" w:hAnsi="Times New Roman" w:cs="Times New Roman"/>
          <w:bCs/>
          <w:noProof/>
          <w:sz w:val="24"/>
          <w:szCs w:val="24"/>
        </w:rPr>
        <w:t xml:space="preserve">(1), 158-162. </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 xml:space="preserve">109. </w:t>
      </w:r>
      <w:r w:rsidRPr="00DD52BF">
        <w:rPr>
          <w:rFonts w:ascii="Times New Roman" w:eastAsia="Calibri" w:hAnsi="Times New Roman" w:cs="Times New Roman"/>
          <w:bCs/>
          <w:noProof/>
          <w:sz w:val="24"/>
          <w:szCs w:val="24"/>
        </w:rPr>
        <w:tab/>
        <w:t>Friedman, S., and Gots, J. S. (</w:t>
      </w:r>
      <w:r w:rsidRPr="00DD52BF">
        <w:rPr>
          <w:rFonts w:ascii="Times New Roman" w:eastAsia="Calibri" w:hAnsi="Times New Roman" w:cs="Times New Roman"/>
          <w:b/>
          <w:bCs/>
          <w:noProof/>
          <w:sz w:val="24"/>
          <w:szCs w:val="24"/>
        </w:rPr>
        <w:t>1953</w:t>
      </w:r>
      <w:r w:rsidRPr="00DD52BF">
        <w:rPr>
          <w:rFonts w:ascii="Times New Roman" w:eastAsia="Calibri" w:hAnsi="Times New Roman" w:cs="Times New Roman"/>
          <w:bCs/>
          <w:noProof/>
          <w:sz w:val="24"/>
          <w:szCs w:val="24"/>
        </w:rPr>
        <w:t xml:space="preserve">) The purine and pyrimidine metabolism of normal and phage infected Escherichia coli, </w:t>
      </w:r>
      <w:r w:rsidRPr="00DD52BF">
        <w:rPr>
          <w:rFonts w:ascii="Times New Roman" w:eastAsia="Calibri" w:hAnsi="Times New Roman" w:cs="Times New Roman"/>
          <w:bCs/>
          <w:i/>
          <w:noProof/>
          <w:sz w:val="24"/>
          <w:szCs w:val="24"/>
        </w:rPr>
        <w:t>Journal of Biological Chemistry 201</w:t>
      </w:r>
      <w:r w:rsidRPr="00DD52BF">
        <w:rPr>
          <w:rFonts w:ascii="Times New Roman" w:eastAsia="Calibri" w:hAnsi="Times New Roman" w:cs="Times New Roman"/>
          <w:bCs/>
          <w:noProof/>
          <w:sz w:val="24"/>
          <w:szCs w:val="24"/>
        </w:rPr>
        <w:t xml:space="preserve">(1), 125-135. </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18" w:name="_ENREF_46"/>
      <w:r w:rsidRPr="00DD52BF">
        <w:rPr>
          <w:rFonts w:ascii="Times New Roman" w:eastAsia="Calibri" w:hAnsi="Times New Roman" w:cs="Times New Roman"/>
          <w:bCs/>
          <w:noProof/>
          <w:sz w:val="24"/>
          <w:szCs w:val="24"/>
        </w:rPr>
        <w:t>110.</w:t>
      </w:r>
      <w:r w:rsidRPr="00DD52BF">
        <w:rPr>
          <w:rFonts w:ascii="Times New Roman" w:eastAsia="Calibri" w:hAnsi="Times New Roman" w:cs="Times New Roman"/>
          <w:bCs/>
          <w:noProof/>
          <w:sz w:val="24"/>
          <w:szCs w:val="24"/>
        </w:rPr>
        <w:tab/>
        <w:t>Thompson, L. R., Zeng, Q., Kelly, L., Huang, K. H., Singer, A. U., Stubbe, J., and Chisholm, S. W. (</w:t>
      </w:r>
      <w:r w:rsidRPr="00DD52BF">
        <w:rPr>
          <w:rFonts w:ascii="Times New Roman" w:eastAsia="Calibri" w:hAnsi="Times New Roman" w:cs="Times New Roman"/>
          <w:b/>
          <w:bCs/>
          <w:noProof/>
          <w:sz w:val="24"/>
          <w:szCs w:val="24"/>
        </w:rPr>
        <w:t>2011</w:t>
      </w:r>
      <w:r w:rsidRPr="00DD52BF">
        <w:rPr>
          <w:rFonts w:ascii="Times New Roman" w:eastAsia="Calibri" w:hAnsi="Times New Roman" w:cs="Times New Roman"/>
          <w:bCs/>
          <w:noProof/>
          <w:sz w:val="24"/>
          <w:szCs w:val="24"/>
        </w:rPr>
        <w:t xml:space="preserve">) Phage auxiliary metabolic genes and the redirection of cyanobacterial host carbon metabolism, </w:t>
      </w:r>
      <w:r w:rsidRPr="00DD52BF">
        <w:rPr>
          <w:rFonts w:ascii="Times New Roman" w:eastAsia="Calibri" w:hAnsi="Times New Roman" w:cs="Times New Roman"/>
          <w:bCs/>
          <w:i/>
          <w:noProof/>
          <w:sz w:val="24"/>
          <w:szCs w:val="24"/>
        </w:rPr>
        <w:t>Proceedings of the National Academy of Sciences 108(39)</w:t>
      </w:r>
      <w:r w:rsidRPr="00DD52BF">
        <w:rPr>
          <w:rFonts w:ascii="Times New Roman" w:eastAsia="Calibri" w:hAnsi="Times New Roman" w:cs="Times New Roman"/>
          <w:bCs/>
          <w:noProof/>
          <w:sz w:val="24"/>
          <w:szCs w:val="24"/>
        </w:rPr>
        <w:t xml:space="preserve">, E757–E764. </w:t>
      </w:r>
      <w:bookmarkEnd w:id="18"/>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111.</w:t>
      </w:r>
      <w:r w:rsidRPr="00DD52BF">
        <w:rPr>
          <w:rFonts w:ascii="Times New Roman" w:eastAsia="Calibri" w:hAnsi="Times New Roman" w:cs="Times New Roman"/>
          <w:bCs/>
          <w:noProof/>
          <w:sz w:val="24"/>
          <w:szCs w:val="24"/>
        </w:rPr>
        <w:tab/>
        <w:t>Steward, G. F., Fandino, L. B., Hollibaugh, J. T., Whitledge, T. E., and Azam, F. (</w:t>
      </w:r>
      <w:r w:rsidRPr="00DD52BF">
        <w:rPr>
          <w:rFonts w:ascii="Times New Roman" w:eastAsia="Calibri" w:hAnsi="Times New Roman" w:cs="Times New Roman"/>
          <w:b/>
          <w:bCs/>
          <w:noProof/>
          <w:sz w:val="24"/>
          <w:szCs w:val="24"/>
        </w:rPr>
        <w:t>2007</w:t>
      </w:r>
      <w:r w:rsidRPr="00DD52BF">
        <w:rPr>
          <w:rFonts w:ascii="Times New Roman" w:eastAsia="Calibri" w:hAnsi="Times New Roman" w:cs="Times New Roman"/>
          <w:bCs/>
          <w:noProof/>
          <w:sz w:val="24"/>
          <w:szCs w:val="24"/>
        </w:rPr>
        <w:t xml:space="preserve">) Microbial biomass and viral infections of heterotrophic prokaryotes in the sub-surface layer of the central Arctic Ocean, </w:t>
      </w:r>
      <w:r w:rsidRPr="00DD52BF">
        <w:rPr>
          <w:rFonts w:ascii="Times New Roman" w:eastAsia="Calibri" w:hAnsi="Times New Roman" w:cs="Times New Roman"/>
          <w:bCs/>
          <w:i/>
          <w:noProof/>
          <w:sz w:val="24"/>
          <w:szCs w:val="24"/>
        </w:rPr>
        <w:t>Deep Sea Research Part I: Oceanographic Research Papers 54(10)</w:t>
      </w:r>
      <w:r w:rsidRPr="00DD52BF">
        <w:rPr>
          <w:rFonts w:ascii="Times New Roman" w:eastAsia="Calibri" w:hAnsi="Times New Roman" w:cs="Times New Roman"/>
          <w:bCs/>
          <w:noProof/>
          <w:sz w:val="24"/>
          <w:szCs w:val="24"/>
        </w:rPr>
        <w:t xml:space="preserve">, 1744-1757. </w:t>
      </w:r>
    </w:p>
    <w:p w:rsidR="00913B58" w:rsidRPr="00DD52BF" w:rsidRDefault="00913B58" w:rsidP="00913B58">
      <w:pPr>
        <w:spacing w:after="0" w:line="240" w:lineRule="auto"/>
        <w:jc w:val="both"/>
        <w:rPr>
          <w:rFonts w:ascii="Times New Roman" w:eastAsia="Calibri" w:hAnsi="Times New Roman" w:cs="Times New Roman"/>
          <w:bCs/>
          <w:noProof/>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112.</w:t>
      </w:r>
      <w:r w:rsidRPr="00DD52BF">
        <w:rPr>
          <w:rFonts w:ascii="Times New Roman" w:eastAsia="Calibri" w:hAnsi="Times New Roman" w:cs="Times New Roman"/>
          <w:bCs/>
          <w:noProof/>
          <w:sz w:val="24"/>
          <w:szCs w:val="24"/>
        </w:rPr>
        <w:tab/>
        <w:t>Typas, A., Banzhaf, M., Gross, C. A., and Vollmer, W. (</w:t>
      </w:r>
      <w:r w:rsidRPr="00DD52BF">
        <w:rPr>
          <w:rFonts w:ascii="Times New Roman" w:eastAsia="Calibri" w:hAnsi="Times New Roman" w:cs="Times New Roman"/>
          <w:b/>
          <w:bCs/>
          <w:noProof/>
          <w:sz w:val="24"/>
          <w:szCs w:val="24"/>
        </w:rPr>
        <w:t>2012</w:t>
      </w:r>
      <w:r w:rsidRPr="00DD52BF">
        <w:rPr>
          <w:rFonts w:ascii="Times New Roman" w:eastAsia="Calibri" w:hAnsi="Times New Roman" w:cs="Times New Roman"/>
          <w:bCs/>
          <w:noProof/>
          <w:sz w:val="24"/>
          <w:szCs w:val="24"/>
        </w:rPr>
        <w:t xml:space="preserve">) From the regulation of peptidoglycan synthesis to bacterial growth and morphology, </w:t>
      </w:r>
      <w:r w:rsidRPr="00DD52BF">
        <w:rPr>
          <w:rFonts w:ascii="Times New Roman" w:eastAsia="Calibri" w:hAnsi="Times New Roman" w:cs="Times New Roman"/>
          <w:bCs/>
          <w:i/>
          <w:noProof/>
          <w:sz w:val="24"/>
          <w:szCs w:val="24"/>
        </w:rPr>
        <w:t>Nat Rev Micro 10(2)</w:t>
      </w:r>
      <w:r w:rsidRPr="00DD52BF">
        <w:rPr>
          <w:rFonts w:ascii="Times New Roman" w:eastAsia="Calibri" w:hAnsi="Times New Roman" w:cs="Times New Roman"/>
          <w:bCs/>
          <w:noProof/>
          <w:sz w:val="24"/>
          <w:szCs w:val="24"/>
        </w:rPr>
        <w:t xml:space="preserve">, 123-136. </w:t>
      </w:r>
    </w:p>
    <w:p w:rsidR="00913B58" w:rsidRPr="00DD52BF" w:rsidRDefault="00913B58" w:rsidP="00913B58">
      <w:pPr>
        <w:spacing w:after="0" w:line="240" w:lineRule="auto"/>
        <w:jc w:val="both"/>
        <w:rPr>
          <w:rFonts w:ascii="Times New Roman" w:eastAsia="Calibri" w:hAnsi="Times New Roman" w:cs="Times New Roman"/>
          <w:bCs/>
          <w:noProof/>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113.</w:t>
      </w:r>
      <w:r w:rsidRPr="00DD52BF">
        <w:rPr>
          <w:rFonts w:ascii="Times New Roman" w:eastAsia="Calibri" w:hAnsi="Times New Roman" w:cs="Times New Roman"/>
          <w:bCs/>
          <w:noProof/>
          <w:sz w:val="24"/>
          <w:szCs w:val="24"/>
        </w:rPr>
        <w:tab/>
        <w:t>Yuan, J., Bennett, B.D., and Rabinowitz, J.D. (</w:t>
      </w:r>
      <w:r w:rsidRPr="00DD52BF">
        <w:rPr>
          <w:rFonts w:ascii="Times New Roman" w:eastAsia="Calibri" w:hAnsi="Times New Roman" w:cs="Times New Roman"/>
          <w:b/>
          <w:bCs/>
          <w:noProof/>
          <w:sz w:val="24"/>
          <w:szCs w:val="24"/>
        </w:rPr>
        <w:t>2008</w:t>
      </w:r>
      <w:r w:rsidRPr="00DD52BF">
        <w:rPr>
          <w:rFonts w:ascii="Times New Roman" w:eastAsia="Calibri" w:hAnsi="Times New Roman" w:cs="Times New Roman"/>
          <w:bCs/>
          <w:noProof/>
          <w:sz w:val="24"/>
          <w:szCs w:val="24"/>
        </w:rPr>
        <w:t xml:space="preserve">) Kinetic flux profiling for quantitation of cellular metabolic fluxes, </w:t>
      </w:r>
      <w:r w:rsidRPr="00DD52BF">
        <w:rPr>
          <w:rFonts w:ascii="Times New Roman" w:eastAsia="Calibri" w:hAnsi="Times New Roman" w:cs="Times New Roman"/>
          <w:bCs/>
          <w:i/>
          <w:noProof/>
          <w:sz w:val="24"/>
          <w:szCs w:val="24"/>
        </w:rPr>
        <w:t>Nature protocols 3(8)</w:t>
      </w:r>
      <w:r w:rsidRPr="00DD52BF">
        <w:rPr>
          <w:rFonts w:ascii="Times New Roman" w:eastAsia="Calibri" w:hAnsi="Times New Roman" w:cs="Times New Roman"/>
          <w:bCs/>
          <w:noProof/>
          <w:sz w:val="24"/>
          <w:szCs w:val="24"/>
        </w:rPr>
        <w:t xml:space="preserve">, 1328-1340. </w:t>
      </w:r>
    </w:p>
    <w:p w:rsidR="00913B58"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bookmarkStart w:id="19" w:name="_ENREF_24"/>
      <w:r w:rsidRPr="00DD52BF">
        <w:rPr>
          <w:rFonts w:ascii="Times New Roman" w:eastAsia="Calibri" w:hAnsi="Times New Roman" w:cs="Times New Roman"/>
          <w:bCs/>
          <w:noProof/>
          <w:sz w:val="24"/>
          <w:szCs w:val="24"/>
        </w:rPr>
        <w:t>114.</w:t>
      </w:r>
      <w:r w:rsidRPr="00DD52BF">
        <w:rPr>
          <w:rFonts w:ascii="Times New Roman" w:eastAsia="Calibri" w:hAnsi="Times New Roman" w:cs="Times New Roman"/>
          <w:bCs/>
          <w:noProof/>
          <w:sz w:val="24"/>
          <w:szCs w:val="24"/>
        </w:rPr>
        <w:tab/>
        <w:t>Kirchman, D. L., Keil, R. G., and Wheeler, P. A. (</w:t>
      </w:r>
      <w:r w:rsidRPr="00DD52BF">
        <w:rPr>
          <w:rFonts w:ascii="Times New Roman" w:eastAsia="Calibri" w:hAnsi="Times New Roman" w:cs="Times New Roman"/>
          <w:b/>
          <w:bCs/>
          <w:noProof/>
          <w:sz w:val="24"/>
          <w:szCs w:val="24"/>
        </w:rPr>
        <w:t>1989</w:t>
      </w:r>
      <w:r w:rsidRPr="00DD52BF">
        <w:rPr>
          <w:rFonts w:ascii="Times New Roman" w:eastAsia="Calibri" w:hAnsi="Times New Roman" w:cs="Times New Roman"/>
          <w:bCs/>
          <w:noProof/>
          <w:sz w:val="24"/>
          <w:szCs w:val="24"/>
        </w:rPr>
        <w:t xml:space="preserve">) The effect of amino acid on ammonium utilization and regeneration by heterotrophic bacteria in the sub-arctic pacific, </w:t>
      </w:r>
      <w:r w:rsidRPr="00DD52BF">
        <w:rPr>
          <w:rFonts w:ascii="Times New Roman" w:eastAsia="Calibri" w:hAnsi="Times New Roman" w:cs="Times New Roman"/>
          <w:bCs/>
          <w:i/>
          <w:noProof/>
          <w:sz w:val="24"/>
          <w:szCs w:val="24"/>
        </w:rPr>
        <w:t>Deep-Sea Research Part a-Oceanographic Research Papers 36</w:t>
      </w:r>
      <w:r w:rsidRPr="00DD52BF">
        <w:rPr>
          <w:rFonts w:ascii="Times New Roman" w:eastAsia="Calibri" w:hAnsi="Times New Roman" w:cs="Times New Roman"/>
          <w:bCs/>
          <w:noProof/>
          <w:sz w:val="24"/>
          <w:szCs w:val="24"/>
        </w:rPr>
        <w:t xml:space="preserve">(11), 1763-1776. </w:t>
      </w:r>
      <w:bookmarkEnd w:id="19"/>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115.</w:t>
      </w:r>
      <w:r w:rsidRPr="00DD52BF">
        <w:rPr>
          <w:rFonts w:ascii="Times New Roman" w:eastAsia="Calibri" w:hAnsi="Times New Roman" w:cs="Times New Roman"/>
          <w:bCs/>
          <w:noProof/>
          <w:sz w:val="24"/>
          <w:szCs w:val="24"/>
        </w:rPr>
        <w:tab/>
        <w:t>Middelboe, M., Jorgensen, N., and Kroer, N. (</w:t>
      </w:r>
      <w:r w:rsidRPr="00DD52BF">
        <w:rPr>
          <w:rFonts w:ascii="Times New Roman" w:eastAsia="Calibri" w:hAnsi="Times New Roman" w:cs="Times New Roman"/>
          <w:b/>
          <w:bCs/>
          <w:noProof/>
          <w:sz w:val="24"/>
          <w:szCs w:val="24"/>
        </w:rPr>
        <w:t>1996</w:t>
      </w:r>
      <w:r w:rsidRPr="00DD52BF">
        <w:rPr>
          <w:rFonts w:ascii="Times New Roman" w:eastAsia="Calibri" w:hAnsi="Times New Roman" w:cs="Times New Roman"/>
          <w:bCs/>
          <w:noProof/>
          <w:sz w:val="24"/>
          <w:szCs w:val="24"/>
        </w:rPr>
        <w:t xml:space="preserve">) Effects of viruses on nutrient turnover and growth efficiency of noninfected marine bacterioplankton, </w:t>
      </w:r>
      <w:r w:rsidRPr="00DD52BF">
        <w:rPr>
          <w:rFonts w:ascii="Times New Roman" w:eastAsia="Calibri" w:hAnsi="Times New Roman" w:cs="Times New Roman"/>
          <w:bCs/>
          <w:i/>
          <w:noProof/>
          <w:sz w:val="24"/>
          <w:szCs w:val="24"/>
        </w:rPr>
        <w:t>Applied and Environmental Microbiology 62</w:t>
      </w:r>
      <w:r w:rsidRPr="00DD52BF">
        <w:rPr>
          <w:rFonts w:ascii="Times New Roman" w:eastAsia="Calibri" w:hAnsi="Times New Roman" w:cs="Times New Roman"/>
          <w:bCs/>
          <w:noProof/>
          <w:sz w:val="24"/>
          <w:szCs w:val="24"/>
        </w:rPr>
        <w:t xml:space="preserve">(6), 1991-1997. </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r w:rsidRPr="00DD52BF">
        <w:rPr>
          <w:rFonts w:ascii="Times New Roman" w:eastAsia="Calibri" w:hAnsi="Times New Roman" w:cs="Times New Roman"/>
          <w:bCs/>
          <w:noProof/>
          <w:sz w:val="24"/>
          <w:szCs w:val="24"/>
        </w:rPr>
        <w:t>116.</w:t>
      </w:r>
      <w:r w:rsidRPr="00DD52BF">
        <w:rPr>
          <w:rFonts w:ascii="Times New Roman" w:eastAsia="Calibri" w:hAnsi="Times New Roman" w:cs="Times New Roman"/>
          <w:bCs/>
          <w:noProof/>
          <w:sz w:val="24"/>
          <w:szCs w:val="24"/>
        </w:rPr>
        <w:tab/>
        <w:t>Bennett, B.D., Kimball, E.H., Gao, M., Osterhout, R., Van Dien, S.J., and Rabinowitz, J.D. (</w:t>
      </w:r>
      <w:r w:rsidRPr="00DD52BF">
        <w:rPr>
          <w:rFonts w:ascii="Times New Roman" w:eastAsia="Calibri" w:hAnsi="Times New Roman" w:cs="Times New Roman"/>
          <w:b/>
          <w:bCs/>
          <w:noProof/>
          <w:sz w:val="24"/>
          <w:szCs w:val="24"/>
        </w:rPr>
        <w:t>2009</w:t>
      </w:r>
      <w:r w:rsidRPr="00DD52BF">
        <w:rPr>
          <w:rFonts w:ascii="Times New Roman" w:eastAsia="Calibri" w:hAnsi="Times New Roman" w:cs="Times New Roman"/>
          <w:bCs/>
          <w:noProof/>
          <w:sz w:val="24"/>
          <w:szCs w:val="24"/>
        </w:rPr>
        <w:t xml:space="preserve">) Absolute metabolite concentrations and implied enzyme active site occupancy in Escherichia coli, </w:t>
      </w:r>
      <w:r w:rsidRPr="00DD52BF">
        <w:rPr>
          <w:rFonts w:ascii="Times New Roman" w:eastAsia="Calibri" w:hAnsi="Times New Roman" w:cs="Times New Roman"/>
          <w:bCs/>
          <w:i/>
          <w:noProof/>
          <w:sz w:val="24"/>
          <w:szCs w:val="24"/>
        </w:rPr>
        <w:t>Nature chemical biology 5</w:t>
      </w:r>
      <w:r w:rsidRPr="00DD52BF">
        <w:rPr>
          <w:rFonts w:ascii="Times New Roman" w:eastAsia="Calibri" w:hAnsi="Times New Roman" w:cs="Times New Roman"/>
          <w:bCs/>
          <w:noProof/>
          <w:sz w:val="24"/>
          <w:szCs w:val="24"/>
        </w:rPr>
        <w:t>(8), 593-599.</w:t>
      </w: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bCs/>
          <w:noProof/>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eastAsia="Calibri" w:hAnsi="Times New Roman" w:cs="Times New Roman"/>
          <w:bCs/>
          <w:noProof/>
          <w:sz w:val="24"/>
          <w:szCs w:val="24"/>
        </w:rPr>
        <w:t>117.</w:t>
      </w:r>
      <w:r w:rsidRPr="00DD52BF">
        <w:rPr>
          <w:rFonts w:ascii="Times New Roman" w:eastAsia="Calibri" w:hAnsi="Times New Roman" w:cs="Times New Roman"/>
          <w:bCs/>
          <w:noProof/>
          <w:sz w:val="24"/>
          <w:szCs w:val="24"/>
        </w:rPr>
        <w:tab/>
        <w:t>Flynn, K.J., Dickson, D.M.J., and Al-Amoudi, O.A. (</w:t>
      </w:r>
      <w:r w:rsidRPr="00DD52BF">
        <w:rPr>
          <w:rFonts w:ascii="Times New Roman" w:eastAsia="Calibri" w:hAnsi="Times New Roman" w:cs="Times New Roman"/>
          <w:b/>
          <w:bCs/>
          <w:noProof/>
          <w:sz w:val="24"/>
          <w:szCs w:val="24"/>
        </w:rPr>
        <w:t>1989</w:t>
      </w:r>
      <w:r w:rsidRPr="00DD52BF">
        <w:rPr>
          <w:rFonts w:ascii="Times New Roman" w:eastAsia="Calibri" w:hAnsi="Times New Roman" w:cs="Times New Roman"/>
          <w:bCs/>
          <w:noProof/>
          <w:sz w:val="24"/>
          <w:szCs w:val="24"/>
        </w:rPr>
        <w:t xml:space="preserve">) The ratio of glutamine: glutamate in microalgae: a biomarker for N-status suitable for use at natural cell densities, </w:t>
      </w:r>
      <w:r w:rsidRPr="00DD52BF">
        <w:rPr>
          <w:rFonts w:ascii="Times New Roman" w:eastAsia="Calibri" w:hAnsi="Times New Roman" w:cs="Times New Roman"/>
          <w:bCs/>
          <w:i/>
          <w:noProof/>
          <w:sz w:val="24"/>
          <w:szCs w:val="24"/>
        </w:rPr>
        <w:t>Journal of plankton research 11</w:t>
      </w:r>
      <w:r w:rsidRPr="00DD52BF">
        <w:rPr>
          <w:rFonts w:ascii="Times New Roman" w:eastAsia="Calibri" w:hAnsi="Times New Roman" w:cs="Times New Roman"/>
          <w:bCs/>
          <w:noProof/>
          <w:sz w:val="24"/>
          <w:szCs w:val="24"/>
        </w:rPr>
        <w:t>(1), 165-170.</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contextualSpacing/>
        <w:jc w:val="both"/>
        <w:rPr>
          <w:rFonts w:ascii="Times New Roman" w:hAnsi="Times New Roman" w:cs="Times New Roman"/>
          <w:noProof/>
          <w:sz w:val="24"/>
          <w:szCs w:val="24"/>
        </w:rPr>
      </w:pPr>
      <w:r w:rsidRPr="00DD52BF">
        <w:rPr>
          <w:rFonts w:ascii="Times New Roman" w:eastAsia="Times New Roman" w:hAnsi="Times New Roman" w:cs="Times New Roman"/>
          <w:noProof/>
          <w:sz w:val="24"/>
          <w:szCs w:val="24"/>
        </w:rPr>
        <w:lastRenderedPageBreak/>
        <w:t xml:space="preserve">118. </w:t>
      </w:r>
      <w:bookmarkStart w:id="20" w:name="_ENREF_39"/>
      <w:r w:rsidRPr="00DD52BF">
        <w:rPr>
          <w:rFonts w:ascii="Times New Roman" w:eastAsia="Times New Roman" w:hAnsi="Times New Roman" w:cs="Times New Roman"/>
          <w:noProof/>
          <w:sz w:val="24"/>
          <w:szCs w:val="24"/>
        </w:rPr>
        <w:tab/>
      </w:r>
      <w:r w:rsidRPr="00DD52BF">
        <w:rPr>
          <w:rFonts w:ascii="Times New Roman" w:hAnsi="Times New Roman" w:cs="Times New Roman"/>
          <w:bCs/>
          <w:noProof/>
          <w:sz w:val="24"/>
          <w:szCs w:val="24"/>
        </w:rPr>
        <w:t>Sambrook, J., and Russel, D.W. (</w:t>
      </w:r>
      <w:r w:rsidRPr="00DD52BF">
        <w:rPr>
          <w:rFonts w:ascii="Times New Roman" w:hAnsi="Times New Roman" w:cs="Times New Roman"/>
          <w:b/>
          <w:bCs/>
          <w:noProof/>
          <w:sz w:val="24"/>
          <w:szCs w:val="24"/>
        </w:rPr>
        <w:t>2001</w:t>
      </w:r>
      <w:r w:rsidRPr="00DD52BF">
        <w:rPr>
          <w:rFonts w:ascii="Times New Roman" w:hAnsi="Times New Roman" w:cs="Times New Roman"/>
          <w:bCs/>
          <w:noProof/>
          <w:sz w:val="24"/>
          <w:szCs w:val="24"/>
        </w:rPr>
        <w:t xml:space="preserve">) Molecular cloning: a laboratory manual (3rd ed.), </w:t>
      </w:r>
      <w:r w:rsidRPr="00DD52BF">
        <w:rPr>
          <w:rFonts w:ascii="Times New Roman" w:hAnsi="Times New Roman" w:cs="Times New Roman"/>
          <w:bCs/>
          <w:i/>
          <w:noProof/>
          <w:sz w:val="24"/>
          <w:szCs w:val="24"/>
        </w:rPr>
        <w:t>Cold Spring Harbor Laboratory Press.</w:t>
      </w:r>
      <w:bookmarkEnd w:id="20"/>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contextualSpacing/>
        <w:jc w:val="both"/>
        <w:rPr>
          <w:rFonts w:ascii="Times New Roman" w:eastAsia="Times New Roman" w:hAnsi="Times New Roman" w:cs="Times New Roman"/>
          <w:noProof/>
          <w:sz w:val="24"/>
          <w:szCs w:val="24"/>
        </w:rPr>
      </w:pPr>
      <w:r w:rsidRPr="00DD52BF">
        <w:rPr>
          <w:rFonts w:ascii="Times New Roman" w:eastAsia="Times New Roman" w:hAnsi="Times New Roman" w:cs="Times New Roman"/>
          <w:noProof/>
          <w:sz w:val="24"/>
          <w:szCs w:val="24"/>
        </w:rPr>
        <w:t>119.</w:t>
      </w:r>
      <w:r w:rsidRPr="00DD52BF">
        <w:rPr>
          <w:rFonts w:ascii="Times New Roman" w:eastAsia="Times New Roman" w:hAnsi="Times New Roman" w:cs="Times New Roman"/>
          <w:noProof/>
          <w:sz w:val="24"/>
          <w:szCs w:val="24"/>
        </w:rPr>
        <w:tab/>
        <w:t>Bennett, B. D., Yuan, J., Kimball, E. H., and Rabinowitz, J. D. (</w:t>
      </w:r>
      <w:r w:rsidRPr="00DD52BF">
        <w:rPr>
          <w:rFonts w:ascii="Times New Roman" w:eastAsia="Times New Roman" w:hAnsi="Times New Roman" w:cs="Times New Roman"/>
          <w:b/>
          <w:noProof/>
          <w:sz w:val="24"/>
          <w:szCs w:val="24"/>
        </w:rPr>
        <w:t>2008</w:t>
      </w:r>
      <w:r w:rsidRPr="00DD52BF">
        <w:rPr>
          <w:rFonts w:ascii="Times New Roman" w:eastAsia="Times New Roman" w:hAnsi="Times New Roman" w:cs="Times New Roman"/>
          <w:noProof/>
          <w:sz w:val="24"/>
          <w:szCs w:val="24"/>
        </w:rPr>
        <w:t xml:space="preserve">) </w:t>
      </w:r>
      <w:r w:rsidRPr="00DD52BF">
        <w:rPr>
          <w:rFonts w:ascii="Times New Roman" w:eastAsia="Times New Roman" w:hAnsi="Times New Roman" w:cs="Times New Roman"/>
          <w:sz w:val="24"/>
          <w:szCs w:val="24"/>
        </w:rPr>
        <w:t>Absolute quantitation of intracellular metabolite concentrations by an isotope ratio-based approach,</w:t>
      </w:r>
      <w:r w:rsidRPr="00DD52BF">
        <w:rPr>
          <w:rFonts w:ascii="Times New Roman" w:eastAsia="Times New Roman" w:hAnsi="Times New Roman" w:cs="Times New Roman"/>
          <w:i/>
          <w:noProof/>
          <w:sz w:val="24"/>
          <w:szCs w:val="24"/>
        </w:rPr>
        <w:t xml:space="preserve"> Nature Protocols</w:t>
      </w:r>
      <w:r w:rsidRPr="00DD52BF">
        <w:rPr>
          <w:rFonts w:ascii="Times New Roman" w:eastAsia="Times New Roman" w:hAnsi="Times New Roman" w:cs="Times New Roman"/>
          <w:noProof/>
          <w:sz w:val="24"/>
          <w:szCs w:val="24"/>
        </w:rPr>
        <w:t xml:space="preserve"> </w:t>
      </w:r>
      <w:r w:rsidRPr="00DD52BF">
        <w:rPr>
          <w:rFonts w:ascii="Times New Roman" w:eastAsia="Times New Roman" w:hAnsi="Times New Roman" w:cs="Times New Roman"/>
          <w:i/>
          <w:noProof/>
          <w:sz w:val="24"/>
          <w:szCs w:val="24"/>
        </w:rPr>
        <w:t>3</w:t>
      </w:r>
      <w:r w:rsidRPr="00DD52BF">
        <w:rPr>
          <w:rFonts w:ascii="Times New Roman" w:eastAsia="Times New Roman" w:hAnsi="Times New Roman" w:cs="Times New Roman"/>
          <w:noProof/>
          <w:sz w:val="24"/>
          <w:szCs w:val="24"/>
        </w:rPr>
        <w:t xml:space="preserve">, 1299.  </w:t>
      </w:r>
    </w:p>
    <w:p w:rsidR="00913B58" w:rsidRPr="00DD52BF" w:rsidRDefault="00913B58" w:rsidP="00913B58">
      <w:pPr>
        <w:spacing w:after="0" w:line="240" w:lineRule="auto"/>
        <w:contextualSpacing/>
        <w:jc w:val="both"/>
        <w:rPr>
          <w:rFonts w:ascii="Times New Roman" w:eastAsia="Times New Roman" w:hAnsi="Times New Roman" w:cs="Times New Roman"/>
          <w:noProof/>
          <w:sz w:val="24"/>
          <w:szCs w:val="24"/>
        </w:rPr>
      </w:pPr>
    </w:p>
    <w:p w:rsidR="00913B58" w:rsidRPr="00DD52BF" w:rsidRDefault="00913B58" w:rsidP="00913B58">
      <w:pPr>
        <w:spacing w:after="0" w:line="240" w:lineRule="auto"/>
        <w:ind w:left="720" w:hanging="720"/>
        <w:contextualSpacing/>
        <w:jc w:val="both"/>
        <w:rPr>
          <w:rFonts w:ascii="Times New Roman" w:eastAsia="Times New Roman" w:hAnsi="Times New Roman" w:cs="Times New Roman"/>
          <w:noProof/>
          <w:sz w:val="24"/>
          <w:szCs w:val="24"/>
        </w:rPr>
      </w:pPr>
      <w:bookmarkStart w:id="21" w:name="_ENREF_32"/>
      <w:r w:rsidRPr="00DD52BF">
        <w:rPr>
          <w:rFonts w:ascii="Times New Roman" w:eastAsia="Times New Roman" w:hAnsi="Times New Roman" w:cs="Times New Roman"/>
          <w:noProof/>
          <w:sz w:val="24"/>
          <w:szCs w:val="24"/>
        </w:rPr>
        <w:t>120.</w:t>
      </w:r>
      <w:r w:rsidRPr="00DD52BF">
        <w:rPr>
          <w:rFonts w:ascii="Times New Roman" w:eastAsia="Times New Roman" w:hAnsi="Times New Roman" w:cs="Times New Roman"/>
          <w:noProof/>
          <w:sz w:val="24"/>
          <w:szCs w:val="24"/>
        </w:rPr>
        <w:tab/>
        <w:t>Lu, W. Y., Clasquin, M. F., Melamud, E., Amador-Noguez, D., Caudy, A. A., and Rabinowitz, J. D. (</w:t>
      </w:r>
      <w:r w:rsidRPr="00DD52BF">
        <w:rPr>
          <w:rFonts w:ascii="Times New Roman" w:eastAsia="Times New Roman" w:hAnsi="Times New Roman" w:cs="Times New Roman"/>
          <w:b/>
          <w:noProof/>
          <w:sz w:val="24"/>
          <w:szCs w:val="24"/>
        </w:rPr>
        <w:t>2010</w:t>
      </w:r>
      <w:r w:rsidRPr="00DD52BF">
        <w:rPr>
          <w:rFonts w:ascii="Times New Roman" w:eastAsia="Times New Roman" w:hAnsi="Times New Roman" w:cs="Times New Roman"/>
          <w:noProof/>
          <w:sz w:val="24"/>
          <w:szCs w:val="24"/>
        </w:rPr>
        <w:t xml:space="preserve">) </w:t>
      </w:r>
      <w:r w:rsidRPr="00DD52BF">
        <w:rPr>
          <w:rFonts w:ascii="Times New Roman" w:eastAsia="Times New Roman" w:hAnsi="Times New Roman" w:cs="Times New Roman"/>
          <w:color w:val="000000" w:themeColor="text1"/>
          <w:sz w:val="24"/>
          <w:szCs w:val="24"/>
        </w:rPr>
        <w:t xml:space="preserve">Metabolomic Analysis via Reversed-Phase Ion-Pairing Liquid Chromatography Coupled to a Stand Alone Orbitrap Mass Spectrometer, </w:t>
      </w:r>
      <w:r w:rsidRPr="00DD52BF">
        <w:rPr>
          <w:rFonts w:ascii="Times New Roman" w:eastAsia="Times New Roman" w:hAnsi="Times New Roman" w:cs="Times New Roman"/>
          <w:i/>
          <w:noProof/>
          <w:sz w:val="24"/>
          <w:szCs w:val="24"/>
        </w:rPr>
        <w:t>Analytical Chemistry</w:t>
      </w:r>
      <w:r w:rsidRPr="00DD52BF">
        <w:rPr>
          <w:rFonts w:ascii="Times New Roman" w:eastAsia="Times New Roman" w:hAnsi="Times New Roman" w:cs="Times New Roman"/>
          <w:noProof/>
          <w:sz w:val="24"/>
          <w:szCs w:val="24"/>
        </w:rPr>
        <w:t xml:space="preserve"> </w:t>
      </w:r>
      <w:r w:rsidRPr="00DD52BF">
        <w:rPr>
          <w:rFonts w:ascii="Times New Roman" w:eastAsia="Times New Roman" w:hAnsi="Times New Roman" w:cs="Times New Roman"/>
          <w:i/>
          <w:noProof/>
          <w:sz w:val="24"/>
          <w:szCs w:val="24"/>
        </w:rPr>
        <w:t>82</w:t>
      </w:r>
      <w:r w:rsidRPr="00DD52BF">
        <w:rPr>
          <w:rFonts w:ascii="Times New Roman" w:eastAsia="Times New Roman" w:hAnsi="Times New Roman" w:cs="Times New Roman"/>
          <w:noProof/>
          <w:sz w:val="24"/>
          <w:szCs w:val="24"/>
        </w:rPr>
        <w:t>, 3212.</w:t>
      </w:r>
      <w:bookmarkEnd w:id="21"/>
      <w:r w:rsidRPr="00DD52BF">
        <w:rPr>
          <w:rFonts w:ascii="Times New Roman" w:eastAsia="Times New Roman" w:hAnsi="Times New Roman" w:cs="Times New Roman"/>
          <w:noProof/>
          <w:sz w:val="24"/>
          <w:szCs w:val="24"/>
        </w:rPr>
        <w:t xml:space="preserve">  </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CD4328" w:rsidRDefault="00913B58" w:rsidP="00913B58">
      <w:pPr>
        <w:spacing w:line="240" w:lineRule="auto"/>
        <w:ind w:left="720" w:hanging="720"/>
        <w:jc w:val="both"/>
        <w:rPr>
          <w:rFonts w:ascii="Times New Roman" w:hAnsi="Times New Roman" w:cs="Times New Roman"/>
          <w:sz w:val="24"/>
          <w:szCs w:val="24"/>
        </w:rPr>
      </w:pPr>
      <w:r w:rsidRPr="00DD52BF">
        <w:rPr>
          <w:rFonts w:ascii="Times New Roman" w:hAnsi="Times New Roman" w:cs="Times New Roman"/>
          <w:sz w:val="24"/>
          <w:szCs w:val="24"/>
        </w:rPr>
        <w:t xml:space="preserve">121.  </w:t>
      </w:r>
      <w:r w:rsidRPr="00DD52BF">
        <w:rPr>
          <w:rFonts w:ascii="Times New Roman" w:hAnsi="Times New Roman" w:cs="Times New Roman"/>
          <w:sz w:val="24"/>
          <w:szCs w:val="24"/>
        </w:rPr>
        <w:tab/>
        <w:t xml:space="preserve">Saldanha, A. J.  </w:t>
      </w:r>
      <w:proofErr w:type="gramStart"/>
      <w:r w:rsidRPr="00DD52BF">
        <w:rPr>
          <w:rFonts w:ascii="Times New Roman" w:hAnsi="Times New Roman" w:cs="Times New Roman"/>
          <w:sz w:val="24"/>
          <w:szCs w:val="24"/>
        </w:rPr>
        <w:t>(</w:t>
      </w:r>
      <w:r w:rsidRPr="00DD52BF">
        <w:rPr>
          <w:rFonts w:ascii="Times New Roman" w:hAnsi="Times New Roman" w:cs="Times New Roman"/>
          <w:b/>
          <w:sz w:val="24"/>
          <w:szCs w:val="24"/>
        </w:rPr>
        <w:t>2004</w:t>
      </w:r>
      <w:r w:rsidRPr="00DD52BF">
        <w:rPr>
          <w:rFonts w:ascii="Times New Roman" w:hAnsi="Times New Roman" w:cs="Times New Roman"/>
          <w:sz w:val="24"/>
          <w:szCs w:val="24"/>
        </w:rPr>
        <w:t xml:space="preserve">) Java Treeview-extensible visualization of microarray data,                                                                                           </w:t>
      </w:r>
      <w:r w:rsidRPr="00DD52BF">
        <w:rPr>
          <w:rFonts w:ascii="Times New Roman" w:hAnsi="Times New Roman" w:cs="Times New Roman"/>
          <w:i/>
          <w:sz w:val="24"/>
          <w:szCs w:val="24"/>
        </w:rPr>
        <w:t>Bioinformatics 20</w:t>
      </w:r>
      <w:r w:rsidRPr="00DD52BF">
        <w:rPr>
          <w:rFonts w:ascii="Times New Roman" w:hAnsi="Times New Roman" w:cs="Times New Roman"/>
          <w:sz w:val="24"/>
          <w:szCs w:val="24"/>
        </w:rPr>
        <w:t>, 3246-3248.</w:t>
      </w:r>
      <w:proofErr w:type="gramEnd"/>
    </w:p>
    <w:p w:rsidR="00913B58" w:rsidRPr="00DD52BF" w:rsidRDefault="00913B58" w:rsidP="00913B58">
      <w:pPr>
        <w:tabs>
          <w:tab w:val="left" w:pos="720"/>
        </w:tabs>
        <w:spacing w:after="0" w:line="240" w:lineRule="auto"/>
        <w:ind w:left="720" w:hanging="720"/>
        <w:jc w:val="both"/>
        <w:rPr>
          <w:rFonts w:ascii="Times New Roman" w:eastAsiaTheme="minorEastAsia" w:hAnsi="Times New Roman" w:cs="Times New Roman"/>
          <w:iCs/>
          <w:sz w:val="24"/>
          <w:szCs w:val="24"/>
        </w:rPr>
      </w:pPr>
      <w:r w:rsidRPr="00DD52BF">
        <w:rPr>
          <w:rFonts w:ascii="Times New Roman" w:eastAsiaTheme="minorEastAsia" w:hAnsi="Times New Roman" w:cs="Times New Roman"/>
          <w:sz w:val="24"/>
          <w:szCs w:val="24"/>
        </w:rPr>
        <w:t>122.</w:t>
      </w:r>
      <w:r w:rsidRPr="00DD52BF">
        <w:rPr>
          <w:rFonts w:ascii="Times New Roman" w:eastAsiaTheme="minorEastAsia" w:hAnsi="Times New Roman" w:cs="Times New Roman"/>
          <w:sz w:val="24"/>
          <w:szCs w:val="24"/>
        </w:rPr>
        <w:tab/>
        <w:t xml:space="preserve">Zom, R. L., Van Baal, J., Goselink, R. M. A., Bakker, J. A., </w:t>
      </w:r>
      <w:r w:rsidRPr="00DD52BF">
        <w:rPr>
          <w:rFonts w:ascii="Times New Roman" w:eastAsiaTheme="minorEastAsia" w:hAnsi="Times New Roman" w:cs="Times New Roman"/>
          <w:bCs/>
          <w:sz w:val="24"/>
          <w:szCs w:val="24"/>
        </w:rPr>
        <w:t>De Veth, M. J.,</w:t>
      </w:r>
      <w:r w:rsidRPr="00DD52BF">
        <w:rPr>
          <w:rFonts w:ascii="Times New Roman" w:eastAsiaTheme="minorEastAsia" w:hAnsi="Times New Roman" w:cs="Times New Roman"/>
          <w:sz w:val="24"/>
          <w:szCs w:val="24"/>
        </w:rPr>
        <w:t xml:space="preserve"> and Van Vuuren, A. M. (</w:t>
      </w:r>
      <w:r w:rsidRPr="00DD52BF">
        <w:rPr>
          <w:rFonts w:ascii="Times New Roman" w:eastAsiaTheme="minorEastAsia" w:hAnsi="Times New Roman" w:cs="Times New Roman"/>
          <w:b/>
          <w:sz w:val="24"/>
          <w:szCs w:val="24"/>
        </w:rPr>
        <w:t>2011</w:t>
      </w:r>
      <w:r w:rsidRPr="00DD52BF">
        <w:rPr>
          <w:rFonts w:ascii="Times New Roman" w:eastAsiaTheme="minorEastAsia" w:hAnsi="Times New Roman" w:cs="Times New Roman"/>
          <w:sz w:val="24"/>
          <w:szCs w:val="24"/>
        </w:rPr>
        <w:t xml:space="preserve">) Effect of rumen-protected choline on performance, blood metabolites, and hepatic triacylglycerols of periparturient dairy cattle, </w:t>
      </w:r>
      <w:r w:rsidRPr="00DD52BF">
        <w:rPr>
          <w:rFonts w:ascii="Times New Roman" w:eastAsiaTheme="minorEastAsia" w:hAnsi="Times New Roman" w:cs="Times New Roman"/>
          <w:i/>
          <w:iCs/>
          <w:sz w:val="24"/>
          <w:szCs w:val="24"/>
        </w:rPr>
        <w:t>J. Dairy Sci. 94</w:t>
      </w:r>
      <w:r w:rsidRPr="00DD52BF">
        <w:rPr>
          <w:rFonts w:ascii="Times New Roman" w:eastAsiaTheme="minorEastAsia" w:hAnsi="Times New Roman" w:cs="Times New Roman"/>
          <w:sz w:val="24"/>
          <w:szCs w:val="24"/>
        </w:rPr>
        <w:t>, 4016-4027</w:t>
      </w:r>
      <w:r w:rsidRPr="00DD52BF">
        <w:rPr>
          <w:rFonts w:ascii="Times New Roman" w:eastAsiaTheme="minorEastAsia" w:hAnsi="Times New Roman" w:cs="Times New Roman"/>
          <w:iCs/>
          <w:sz w:val="24"/>
          <w:szCs w:val="24"/>
        </w:rPr>
        <w:t>.</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Theme="minorEastAsia" w:hAnsi="Times New Roman" w:cs="Times New Roman"/>
          <w:sz w:val="24"/>
          <w:szCs w:val="24"/>
        </w:rPr>
      </w:pPr>
      <w:r w:rsidRPr="00DD52BF">
        <w:rPr>
          <w:rFonts w:ascii="Times New Roman" w:eastAsiaTheme="minorEastAsia" w:hAnsi="Times New Roman" w:cs="Times New Roman"/>
          <w:sz w:val="24"/>
          <w:szCs w:val="24"/>
        </w:rPr>
        <w:t>123.</w:t>
      </w:r>
      <w:r w:rsidRPr="00DD52BF">
        <w:rPr>
          <w:rFonts w:ascii="Times New Roman" w:eastAsiaTheme="minorEastAsia" w:hAnsi="Times New Roman" w:cs="Times New Roman"/>
          <w:sz w:val="24"/>
          <w:szCs w:val="24"/>
        </w:rPr>
        <w:tab/>
        <w:t>Emmanuel, B., and Kennelly, J. J. (</w:t>
      </w:r>
      <w:r w:rsidRPr="00DD52BF">
        <w:rPr>
          <w:rFonts w:ascii="Times New Roman" w:eastAsiaTheme="minorEastAsia" w:hAnsi="Times New Roman" w:cs="Times New Roman"/>
          <w:b/>
          <w:sz w:val="24"/>
          <w:szCs w:val="24"/>
        </w:rPr>
        <w:t>1984</w:t>
      </w:r>
      <w:r w:rsidRPr="00DD52BF">
        <w:rPr>
          <w:rFonts w:ascii="Times New Roman" w:eastAsiaTheme="minorEastAsia" w:hAnsi="Times New Roman" w:cs="Times New Roman"/>
          <w:sz w:val="24"/>
          <w:szCs w:val="24"/>
        </w:rPr>
        <w:t xml:space="preserve">) Kinetics of methionine and choline and their incorporation into plasma lipids and milk components in lactating goats, </w:t>
      </w:r>
      <w:r w:rsidRPr="00DD52BF">
        <w:rPr>
          <w:rFonts w:ascii="Times New Roman" w:eastAsiaTheme="minorEastAsia" w:hAnsi="Times New Roman" w:cs="Times New Roman"/>
          <w:i/>
          <w:iCs/>
          <w:sz w:val="24"/>
          <w:szCs w:val="24"/>
        </w:rPr>
        <w:t>J. Dairy Sci. 67</w:t>
      </w:r>
      <w:r w:rsidRPr="00DD52BF">
        <w:rPr>
          <w:rFonts w:ascii="Times New Roman" w:eastAsiaTheme="minorEastAsia" w:hAnsi="Times New Roman" w:cs="Times New Roman"/>
          <w:sz w:val="24"/>
          <w:szCs w:val="24"/>
        </w:rPr>
        <w:t>, 1912-1918.</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tabs>
          <w:tab w:val="left" w:pos="720"/>
        </w:tabs>
        <w:spacing w:after="0" w:line="240" w:lineRule="auto"/>
        <w:ind w:left="720" w:hanging="720"/>
        <w:jc w:val="both"/>
        <w:rPr>
          <w:rFonts w:ascii="Times New Roman" w:eastAsiaTheme="minorEastAsia" w:hAnsi="Times New Roman" w:cs="Times New Roman"/>
          <w:sz w:val="24"/>
          <w:szCs w:val="24"/>
        </w:rPr>
      </w:pPr>
      <w:r w:rsidRPr="00DD52BF">
        <w:rPr>
          <w:rFonts w:ascii="Times New Roman" w:eastAsiaTheme="minorEastAsia" w:hAnsi="Times New Roman" w:cs="Times New Roman"/>
          <w:sz w:val="24"/>
          <w:szCs w:val="24"/>
        </w:rPr>
        <w:t>124.</w:t>
      </w:r>
      <w:r w:rsidRPr="00DD52BF">
        <w:rPr>
          <w:rFonts w:ascii="Times New Roman" w:eastAsiaTheme="minorEastAsia" w:hAnsi="Times New Roman" w:cs="Times New Roman"/>
          <w:sz w:val="24"/>
          <w:szCs w:val="24"/>
        </w:rPr>
        <w:tab/>
        <w:t>Xue, G., and Snoswell, A. M. (</w:t>
      </w:r>
      <w:r w:rsidRPr="00DD52BF">
        <w:rPr>
          <w:rFonts w:ascii="Times New Roman" w:eastAsiaTheme="minorEastAsia" w:hAnsi="Times New Roman" w:cs="Times New Roman"/>
          <w:b/>
          <w:sz w:val="24"/>
          <w:szCs w:val="24"/>
        </w:rPr>
        <w:t>1986</w:t>
      </w:r>
      <w:r w:rsidRPr="00DD52BF">
        <w:rPr>
          <w:rFonts w:ascii="Times New Roman" w:eastAsiaTheme="minorEastAsia" w:hAnsi="Times New Roman" w:cs="Times New Roman"/>
          <w:sz w:val="24"/>
          <w:szCs w:val="24"/>
        </w:rPr>
        <w:t xml:space="preserve">) Developmental changes in the activities of enzymes related to methyl group metabolism in sheep tissues, </w:t>
      </w:r>
      <w:r w:rsidRPr="00DD52BF">
        <w:rPr>
          <w:rFonts w:ascii="Times New Roman" w:eastAsiaTheme="minorEastAsia" w:hAnsi="Times New Roman" w:cs="Times New Roman"/>
          <w:i/>
          <w:sz w:val="24"/>
          <w:szCs w:val="24"/>
        </w:rPr>
        <w:t>Comp. Biochem. Physiol. 83B</w:t>
      </w:r>
      <w:r w:rsidRPr="00DD52BF">
        <w:rPr>
          <w:rFonts w:ascii="Times New Roman" w:eastAsiaTheme="minorEastAsia" w:hAnsi="Times New Roman" w:cs="Times New Roman"/>
          <w:sz w:val="24"/>
          <w:szCs w:val="24"/>
        </w:rPr>
        <w:t>, 115-120.</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Theme="minorEastAsia" w:hAnsi="Times New Roman" w:cs="Times New Roman"/>
          <w:sz w:val="24"/>
          <w:szCs w:val="24"/>
        </w:rPr>
      </w:pPr>
      <w:r w:rsidRPr="00DD52BF">
        <w:rPr>
          <w:rFonts w:ascii="Times New Roman" w:eastAsiaTheme="minorEastAsia" w:hAnsi="Times New Roman" w:cs="Times New Roman"/>
          <w:sz w:val="24"/>
          <w:szCs w:val="24"/>
        </w:rPr>
        <w:t>125.</w:t>
      </w:r>
      <w:r w:rsidRPr="00DD52BF">
        <w:rPr>
          <w:rFonts w:ascii="Times New Roman" w:eastAsiaTheme="minorEastAsia" w:hAnsi="Times New Roman" w:cs="Times New Roman"/>
          <w:sz w:val="24"/>
          <w:szCs w:val="24"/>
        </w:rPr>
        <w:tab/>
        <w:t>Lambert, B. D., Titgemeyer, E. C., Stokka, G. L., DeBey, B. M., and Loest, C. A. (</w:t>
      </w:r>
      <w:r w:rsidRPr="00DD52BF">
        <w:rPr>
          <w:rFonts w:ascii="Times New Roman" w:eastAsiaTheme="minorEastAsia" w:hAnsi="Times New Roman" w:cs="Times New Roman"/>
          <w:b/>
          <w:sz w:val="24"/>
          <w:szCs w:val="24"/>
        </w:rPr>
        <w:t>2002</w:t>
      </w:r>
      <w:r w:rsidRPr="00DD52BF">
        <w:rPr>
          <w:rFonts w:ascii="Times New Roman" w:eastAsiaTheme="minorEastAsia" w:hAnsi="Times New Roman" w:cs="Times New Roman"/>
          <w:sz w:val="24"/>
          <w:szCs w:val="24"/>
        </w:rPr>
        <w:t xml:space="preserve">) Methionine supply to growing steers affects hepatic activities of methionine synthase and betaine-homocysteine methyltransferase, but not cystathionine synthase, </w:t>
      </w:r>
      <w:r w:rsidRPr="00DD52BF">
        <w:rPr>
          <w:rFonts w:ascii="Times New Roman" w:eastAsiaTheme="minorEastAsia" w:hAnsi="Times New Roman" w:cs="Times New Roman"/>
          <w:i/>
          <w:sz w:val="24"/>
          <w:szCs w:val="24"/>
        </w:rPr>
        <w:t>J. Nutr. 132</w:t>
      </w:r>
      <w:r w:rsidRPr="00DD52BF">
        <w:rPr>
          <w:rFonts w:ascii="Times New Roman" w:eastAsiaTheme="minorEastAsia" w:hAnsi="Times New Roman" w:cs="Times New Roman"/>
          <w:sz w:val="24"/>
          <w:szCs w:val="24"/>
        </w:rPr>
        <w:t>, 2004-2009.</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Theme="minorEastAsia" w:hAnsi="Times New Roman" w:cs="Times New Roman"/>
          <w:sz w:val="24"/>
          <w:szCs w:val="24"/>
        </w:rPr>
      </w:pPr>
      <w:r w:rsidRPr="00DD52BF">
        <w:rPr>
          <w:rFonts w:ascii="Times New Roman" w:eastAsiaTheme="minorEastAsia" w:hAnsi="Times New Roman" w:cs="Times New Roman"/>
          <w:sz w:val="24"/>
          <w:szCs w:val="24"/>
        </w:rPr>
        <w:t>126.</w:t>
      </w:r>
      <w:r w:rsidRPr="00DD52BF">
        <w:rPr>
          <w:rFonts w:ascii="Times New Roman" w:eastAsiaTheme="minorEastAsia" w:hAnsi="Times New Roman" w:cs="Times New Roman"/>
          <w:sz w:val="24"/>
          <w:szCs w:val="24"/>
        </w:rPr>
        <w:tab/>
        <w:t>Preynant, A., Lapierre, H., Thivierge, M. C., Palin, M. F., Cardinault, N., Matte, J. J., Desrochers, A., and Girard, C. L. (</w:t>
      </w:r>
      <w:r w:rsidRPr="00DD52BF">
        <w:rPr>
          <w:rFonts w:ascii="Times New Roman" w:eastAsiaTheme="minorEastAsia" w:hAnsi="Times New Roman" w:cs="Times New Roman"/>
          <w:b/>
          <w:sz w:val="24"/>
          <w:szCs w:val="24"/>
        </w:rPr>
        <w:t>2010</w:t>
      </w:r>
      <w:r w:rsidRPr="00DD52BF">
        <w:rPr>
          <w:rFonts w:ascii="Times New Roman" w:eastAsiaTheme="minorEastAsia" w:hAnsi="Times New Roman" w:cs="Times New Roman"/>
          <w:sz w:val="24"/>
          <w:szCs w:val="24"/>
        </w:rPr>
        <w:t>) Effects of supplementary folic acid and vitamin B12 on hepatic metabolism of dairy cows according to methionine supply</w:t>
      </w:r>
      <w:r w:rsidRPr="00DD52BF">
        <w:rPr>
          <w:rFonts w:ascii="Times New Roman" w:eastAsiaTheme="minorEastAsia" w:hAnsi="Times New Roman" w:cs="Times New Roman"/>
          <w:i/>
          <w:sz w:val="24"/>
          <w:szCs w:val="24"/>
        </w:rPr>
        <w:t xml:space="preserve">, </w:t>
      </w:r>
      <w:r w:rsidRPr="00DD52BF">
        <w:rPr>
          <w:rFonts w:ascii="Times New Roman" w:eastAsiaTheme="minorEastAsia" w:hAnsi="Times New Roman" w:cs="Times New Roman"/>
          <w:i/>
          <w:iCs/>
          <w:sz w:val="24"/>
          <w:szCs w:val="24"/>
        </w:rPr>
        <w:t>J. Dairy Sci. 93</w:t>
      </w:r>
      <w:r w:rsidRPr="00DD52BF">
        <w:rPr>
          <w:rFonts w:ascii="Times New Roman" w:eastAsiaTheme="minorEastAsia" w:hAnsi="Times New Roman" w:cs="Times New Roman"/>
          <w:sz w:val="24"/>
          <w:szCs w:val="24"/>
        </w:rPr>
        <w:t>, 2130-2142.</w:t>
      </w:r>
    </w:p>
    <w:p w:rsidR="00913B58" w:rsidRPr="00DD52BF" w:rsidRDefault="00913B58" w:rsidP="00913B58">
      <w:pPr>
        <w:spacing w:after="0" w:line="240" w:lineRule="auto"/>
        <w:jc w:val="both"/>
        <w:rPr>
          <w:rFonts w:ascii="Times New Roman" w:eastAsiaTheme="minorEastAsia" w:hAnsi="Times New Roman" w:cs="Times New Roman"/>
          <w:sz w:val="24"/>
          <w:szCs w:val="24"/>
        </w:rPr>
      </w:pPr>
    </w:p>
    <w:p w:rsidR="00913B58" w:rsidRPr="00DD52BF" w:rsidRDefault="00913B58" w:rsidP="00913B58">
      <w:pPr>
        <w:spacing w:after="0" w:line="240" w:lineRule="auto"/>
        <w:ind w:left="720" w:hanging="720"/>
        <w:jc w:val="both"/>
        <w:rPr>
          <w:rFonts w:ascii="Times New Roman" w:eastAsiaTheme="minorEastAsia" w:hAnsi="Times New Roman" w:cs="Times New Roman"/>
          <w:sz w:val="24"/>
          <w:szCs w:val="24"/>
        </w:rPr>
      </w:pPr>
      <w:r w:rsidRPr="00DD52BF">
        <w:rPr>
          <w:rFonts w:ascii="Times New Roman" w:eastAsiaTheme="minorEastAsia" w:hAnsi="Times New Roman" w:cs="Times New Roman"/>
          <w:sz w:val="24"/>
          <w:szCs w:val="24"/>
        </w:rPr>
        <w:t>127.</w:t>
      </w:r>
      <w:r w:rsidRPr="00DD52BF">
        <w:rPr>
          <w:rFonts w:ascii="Times New Roman" w:eastAsiaTheme="minorEastAsia" w:hAnsi="Times New Roman" w:cs="Times New Roman"/>
          <w:sz w:val="24"/>
          <w:szCs w:val="24"/>
        </w:rPr>
        <w:tab/>
        <w:t xml:space="preserve">National Research Council. </w:t>
      </w:r>
      <w:proofErr w:type="gramStart"/>
      <w:r w:rsidRPr="00DD52BF">
        <w:rPr>
          <w:rFonts w:ascii="Times New Roman" w:eastAsiaTheme="minorEastAsia" w:hAnsi="Times New Roman" w:cs="Times New Roman"/>
          <w:sz w:val="24"/>
          <w:szCs w:val="24"/>
        </w:rPr>
        <w:t>(</w:t>
      </w:r>
      <w:r w:rsidRPr="00DD52BF">
        <w:rPr>
          <w:rFonts w:ascii="Times New Roman" w:eastAsiaTheme="minorEastAsia" w:hAnsi="Times New Roman" w:cs="Times New Roman"/>
          <w:b/>
          <w:sz w:val="24"/>
          <w:szCs w:val="24"/>
        </w:rPr>
        <w:t>2001</w:t>
      </w:r>
      <w:r w:rsidRPr="00DD52BF">
        <w:rPr>
          <w:rFonts w:ascii="Times New Roman" w:eastAsiaTheme="minorEastAsia" w:hAnsi="Times New Roman" w:cs="Times New Roman"/>
          <w:sz w:val="24"/>
          <w:szCs w:val="24"/>
        </w:rPr>
        <w:t>) Nutrient Requirements of Dairy Cattle.</w:t>
      </w:r>
      <w:proofErr w:type="gramEnd"/>
      <w:r w:rsidRPr="00DD52BF">
        <w:rPr>
          <w:rFonts w:ascii="Times New Roman" w:eastAsiaTheme="minorEastAsia" w:hAnsi="Times New Roman" w:cs="Times New Roman"/>
          <w:sz w:val="24"/>
          <w:szCs w:val="24"/>
        </w:rPr>
        <w:t xml:space="preserve"> </w:t>
      </w:r>
      <w:proofErr w:type="gramStart"/>
      <w:r w:rsidRPr="00DD52BF">
        <w:rPr>
          <w:rFonts w:ascii="Times New Roman" w:eastAsiaTheme="minorEastAsia" w:hAnsi="Times New Roman" w:cs="Times New Roman"/>
          <w:sz w:val="24"/>
          <w:szCs w:val="24"/>
        </w:rPr>
        <w:t>7th rev. ed. Natl. Acad. Sci., Washington, DC.</w:t>
      </w:r>
      <w:proofErr w:type="gramEnd"/>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sz w:val="24"/>
          <w:szCs w:val="24"/>
        </w:rPr>
      </w:pPr>
      <w:r w:rsidRPr="00DD52BF">
        <w:rPr>
          <w:rFonts w:ascii="Times New Roman" w:eastAsiaTheme="minorEastAsia" w:hAnsi="Times New Roman" w:cs="Times New Roman"/>
          <w:sz w:val="24"/>
          <w:szCs w:val="24"/>
        </w:rPr>
        <w:t>128.</w:t>
      </w:r>
      <w:r w:rsidRPr="00DD52BF">
        <w:rPr>
          <w:rFonts w:ascii="Times New Roman" w:eastAsiaTheme="minorEastAsia" w:hAnsi="Times New Roman" w:cs="Times New Roman"/>
          <w:sz w:val="24"/>
          <w:szCs w:val="24"/>
        </w:rPr>
        <w:tab/>
      </w:r>
      <w:r w:rsidRPr="00DD52BF">
        <w:rPr>
          <w:rFonts w:ascii="Times New Roman" w:eastAsia="Calibri" w:hAnsi="Times New Roman" w:cs="Times New Roman"/>
          <w:sz w:val="24"/>
          <w:szCs w:val="24"/>
        </w:rPr>
        <w:t>Kung, L.</w:t>
      </w:r>
      <w:r w:rsidRPr="00DD52BF">
        <w:rPr>
          <w:rFonts w:ascii="Times New Roman" w:eastAsiaTheme="minorEastAsia" w:hAnsi="Times New Roman" w:cs="Times New Roman"/>
          <w:sz w:val="24"/>
          <w:szCs w:val="24"/>
        </w:rPr>
        <w:t xml:space="preserve">, </w:t>
      </w:r>
      <w:r w:rsidRPr="00DD52BF">
        <w:rPr>
          <w:rFonts w:ascii="Times New Roman" w:eastAsia="Calibri" w:hAnsi="Times New Roman" w:cs="Times New Roman"/>
          <w:sz w:val="24"/>
          <w:szCs w:val="24"/>
        </w:rPr>
        <w:t>Putnam, D., and Garrett, J. E. (</w:t>
      </w:r>
      <w:r w:rsidRPr="00DD52BF">
        <w:rPr>
          <w:rFonts w:ascii="Times New Roman" w:eastAsiaTheme="minorEastAsia" w:hAnsi="Times New Roman" w:cs="Times New Roman"/>
          <w:b/>
          <w:sz w:val="24"/>
          <w:szCs w:val="24"/>
        </w:rPr>
        <w:t>2003</w:t>
      </w:r>
      <w:r w:rsidRPr="00DD52BF">
        <w:rPr>
          <w:rFonts w:ascii="Times New Roman" w:eastAsiaTheme="minorEastAsia" w:hAnsi="Times New Roman" w:cs="Times New Roman"/>
          <w:sz w:val="24"/>
          <w:szCs w:val="24"/>
        </w:rPr>
        <w:t xml:space="preserve">) </w:t>
      </w:r>
      <w:r w:rsidRPr="00DD52BF">
        <w:rPr>
          <w:rFonts w:ascii="Times New Roman" w:eastAsia="Calibri" w:hAnsi="Times New Roman" w:cs="Times New Roman"/>
          <w:sz w:val="24"/>
          <w:szCs w:val="24"/>
        </w:rPr>
        <w:t xml:space="preserve">Comparison </w:t>
      </w:r>
      <w:r w:rsidRPr="00DD52BF">
        <w:rPr>
          <w:rFonts w:ascii="Times New Roman" w:eastAsiaTheme="minorEastAsia" w:hAnsi="Times New Roman" w:cs="Times New Roman"/>
          <w:sz w:val="24"/>
          <w:szCs w:val="24"/>
        </w:rPr>
        <w:t>of commercially available rumen-stable choline produ</w:t>
      </w:r>
      <w:r w:rsidRPr="00DD52BF">
        <w:rPr>
          <w:rFonts w:ascii="Times New Roman" w:eastAsia="Calibri" w:hAnsi="Times New Roman" w:cs="Times New Roman"/>
          <w:sz w:val="24"/>
          <w:szCs w:val="24"/>
        </w:rPr>
        <w:t xml:space="preserve">cts, </w:t>
      </w:r>
      <w:r w:rsidRPr="00DD52BF">
        <w:rPr>
          <w:rFonts w:ascii="Times New Roman" w:eastAsia="Calibri" w:hAnsi="Times New Roman" w:cs="Times New Roman"/>
          <w:i/>
          <w:sz w:val="24"/>
          <w:szCs w:val="24"/>
        </w:rPr>
        <w:t>J. Dairy Sci. 86(Suppl. 1)</w:t>
      </w:r>
      <w:r w:rsidRPr="00DD52BF">
        <w:rPr>
          <w:rFonts w:ascii="Times New Roman" w:eastAsiaTheme="minorEastAsia" w:hAnsi="Times New Roman" w:cs="Times New Roman"/>
          <w:i/>
          <w:sz w:val="24"/>
          <w:szCs w:val="24"/>
        </w:rPr>
        <w:t xml:space="preserve">, </w:t>
      </w:r>
      <w:r w:rsidRPr="00DD52BF">
        <w:rPr>
          <w:rFonts w:ascii="Times New Roman" w:eastAsia="Calibri" w:hAnsi="Times New Roman" w:cs="Times New Roman"/>
          <w:sz w:val="24"/>
          <w:szCs w:val="24"/>
        </w:rPr>
        <w:t>275</w:t>
      </w:r>
      <w:r w:rsidRPr="00DD52BF">
        <w:rPr>
          <w:rFonts w:ascii="Times New Roman" w:eastAsiaTheme="minorEastAsia" w:hAnsi="Times New Roman" w:cs="Times New Roman"/>
          <w:sz w:val="24"/>
          <w:szCs w:val="24"/>
        </w:rPr>
        <w:t>.</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eastAsiaTheme="minorEastAsia" w:hAnsi="Times New Roman" w:cs="Times New Roman"/>
          <w:sz w:val="24"/>
          <w:szCs w:val="24"/>
        </w:rPr>
      </w:pPr>
      <w:r w:rsidRPr="00DD52BF">
        <w:rPr>
          <w:rFonts w:ascii="Times New Roman" w:eastAsiaTheme="minorEastAsia" w:hAnsi="Times New Roman" w:cs="Times New Roman"/>
          <w:sz w:val="24"/>
          <w:szCs w:val="24"/>
        </w:rPr>
        <w:t>129.</w:t>
      </w:r>
      <w:r w:rsidRPr="00DD52BF">
        <w:rPr>
          <w:rFonts w:ascii="Times New Roman" w:eastAsiaTheme="minorEastAsia" w:hAnsi="Times New Roman" w:cs="Times New Roman"/>
          <w:sz w:val="24"/>
          <w:szCs w:val="24"/>
        </w:rPr>
        <w:tab/>
        <w:t>Elek, P., and Husveth, F. (</w:t>
      </w:r>
      <w:r w:rsidRPr="00DD52BF">
        <w:rPr>
          <w:rFonts w:ascii="Times New Roman" w:eastAsiaTheme="minorEastAsia" w:hAnsi="Times New Roman" w:cs="Times New Roman"/>
          <w:b/>
          <w:sz w:val="24"/>
          <w:szCs w:val="24"/>
        </w:rPr>
        <w:t>2007</w:t>
      </w:r>
      <w:r w:rsidRPr="00DD52BF">
        <w:rPr>
          <w:rFonts w:ascii="Times New Roman" w:eastAsiaTheme="minorEastAsia" w:hAnsi="Times New Roman" w:cs="Times New Roman"/>
          <w:sz w:val="24"/>
          <w:szCs w:val="24"/>
        </w:rPr>
        <w:t xml:space="preserve">) </w:t>
      </w:r>
      <w:proofErr w:type="gramStart"/>
      <w:r w:rsidRPr="00DD52BF">
        <w:rPr>
          <w:rFonts w:ascii="Times New Roman" w:eastAsiaTheme="minorEastAsia" w:hAnsi="Times New Roman" w:cs="Times New Roman"/>
          <w:sz w:val="24"/>
          <w:szCs w:val="24"/>
        </w:rPr>
        <w:t>In</w:t>
      </w:r>
      <w:proofErr w:type="gramEnd"/>
      <w:r w:rsidRPr="00DD52BF">
        <w:rPr>
          <w:rFonts w:ascii="Times New Roman" w:eastAsiaTheme="minorEastAsia" w:hAnsi="Times New Roman" w:cs="Times New Roman"/>
          <w:sz w:val="24"/>
          <w:szCs w:val="24"/>
        </w:rPr>
        <w:t xml:space="preserve"> situ evaluation of the ruminal stability of different choline products, </w:t>
      </w:r>
      <w:r w:rsidRPr="00DD52BF">
        <w:rPr>
          <w:rFonts w:ascii="Times New Roman" w:eastAsiaTheme="minorEastAsia" w:hAnsi="Times New Roman" w:cs="Times New Roman"/>
          <w:i/>
          <w:sz w:val="24"/>
          <w:szCs w:val="24"/>
        </w:rPr>
        <w:t>Hung. J. Anim. Prod. 56</w:t>
      </w:r>
      <w:r w:rsidRPr="00DD52BF">
        <w:rPr>
          <w:rFonts w:ascii="Times New Roman" w:eastAsiaTheme="minorEastAsia" w:hAnsi="Times New Roman" w:cs="Times New Roman"/>
          <w:sz w:val="24"/>
          <w:szCs w:val="24"/>
        </w:rPr>
        <w:t>, 589–595.</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eastAsiaTheme="minorEastAsia" w:hAnsi="Times New Roman" w:cs="Times New Roman"/>
          <w:sz w:val="24"/>
          <w:szCs w:val="24"/>
        </w:rPr>
      </w:pPr>
      <w:r w:rsidRPr="00DD52BF">
        <w:rPr>
          <w:rFonts w:ascii="Times New Roman" w:eastAsiaTheme="minorEastAsia" w:hAnsi="Times New Roman" w:cs="Times New Roman"/>
          <w:sz w:val="24"/>
          <w:szCs w:val="24"/>
        </w:rPr>
        <w:lastRenderedPageBreak/>
        <w:t>130.</w:t>
      </w:r>
      <w:r w:rsidRPr="00DD52BF">
        <w:rPr>
          <w:rFonts w:ascii="Times New Roman" w:eastAsiaTheme="minorEastAsia" w:hAnsi="Times New Roman" w:cs="Times New Roman"/>
          <w:sz w:val="24"/>
          <w:szCs w:val="24"/>
        </w:rPr>
        <w:tab/>
        <w:t>Borucki Castro, S. I., Lapierre, H., Phillip, L. E., Jardon, P.W., and Berthiaume, R. (</w:t>
      </w:r>
      <w:r w:rsidRPr="00DD52BF">
        <w:rPr>
          <w:rFonts w:ascii="Times New Roman" w:eastAsiaTheme="minorEastAsia" w:hAnsi="Times New Roman" w:cs="Times New Roman"/>
          <w:b/>
          <w:sz w:val="24"/>
          <w:szCs w:val="24"/>
        </w:rPr>
        <w:t>2008</w:t>
      </w:r>
      <w:r w:rsidRPr="00DD52BF">
        <w:rPr>
          <w:rFonts w:ascii="Times New Roman" w:eastAsiaTheme="minorEastAsia" w:hAnsi="Times New Roman" w:cs="Times New Roman"/>
          <w:sz w:val="24"/>
          <w:szCs w:val="24"/>
        </w:rPr>
        <w:t xml:space="preserve">) Towards non-invasive methods to determine the effect of treatment of soya-bean meal on lysine availability in dairy cows, </w:t>
      </w:r>
      <w:r w:rsidRPr="00DD52BF">
        <w:rPr>
          <w:rFonts w:ascii="Times New Roman" w:eastAsiaTheme="minorEastAsia" w:hAnsi="Times New Roman" w:cs="Times New Roman"/>
          <w:i/>
          <w:sz w:val="24"/>
          <w:szCs w:val="24"/>
        </w:rPr>
        <w:t>Animal. 2</w:t>
      </w:r>
      <w:r w:rsidRPr="00DD52BF">
        <w:rPr>
          <w:rFonts w:ascii="Times New Roman" w:eastAsiaTheme="minorEastAsia" w:hAnsi="Times New Roman" w:cs="Times New Roman"/>
          <w:sz w:val="24"/>
          <w:szCs w:val="24"/>
        </w:rPr>
        <w:t>, 224-234.</w:t>
      </w:r>
    </w:p>
    <w:p w:rsidR="00913B58" w:rsidRPr="00DD52BF" w:rsidRDefault="00913B58" w:rsidP="00913B58">
      <w:pPr>
        <w:spacing w:after="0" w:line="240" w:lineRule="auto"/>
        <w:jc w:val="both"/>
        <w:rPr>
          <w:rFonts w:ascii="Times New Roman" w:eastAsiaTheme="minorEastAsia" w:hAnsi="Times New Roman" w:cs="Times New Roman"/>
          <w:sz w:val="24"/>
          <w:szCs w:val="24"/>
        </w:rPr>
      </w:pPr>
    </w:p>
    <w:p w:rsidR="00913B58" w:rsidRPr="00DD52BF" w:rsidRDefault="00913B58" w:rsidP="00913B58">
      <w:pPr>
        <w:spacing w:after="0" w:line="240" w:lineRule="auto"/>
        <w:ind w:left="720" w:hanging="720"/>
        <w:jc w:val="both"/>
        <w:rPr>
          <w:rFonts w:ascii="Times New Roman" w:eastAsiaTheme="minorEastAsia" w:hAnsi="Times New Roman" w:cs="Times New Roman"/>
          <w:bCs/>
          <w:sz w:val="24"/>
          <w:szCs w:val="24"/>
        </w:rPr>
      </w:pPr>
      <w:r w:rsidRPr="00DD52BF">
        <w:rPr>
          <w:rFonts w:ascii="Times New Roman" w:eastAsiaTheme="minorEastAsia" w:hAnsi="Times New Roman" w:cs="Times New Roman"/>
          <w:sz w:val="24"/>
          <w:szCs w:val="24"/>
        </w:rPr>
        <w:t>131.</w:t>
      </w:r>
      <w:r w:rsidRPr="00DD52BF">
        <w:rPr>
          <w:rFonts w:ascii="Times New Roman" w:eastAsiaTheme="minorEastAsia" w:hAnsi="Times New Roman" w:cs="Times New Roman"/>
          <w:sz w:val="24"/>
          <w:szCs w:val="24"/>
        </w:rPr>
        <w:tab/>
        <w:t>Hanigan, M. D., Becvar, O., Umberger, C., Vanderhoof, C., Garbade, S., and De Veth, M. J. (</w:t>
      </w:r>
      <w:r w:rsidRPr="00DD52BF">
        <w:rPr>
          <w:rFonts w:ascii="Times New Roman" w:eastAsiaTheme="minorEastAsia" w:hAnsi="Times New Roman" w:cs="Times New Roman"/>
          <w:b/>
          <w:sz w:val="24"/>
          <w:szCs w:val="24"/>
        </w:rPr>
        <w:t>2009</w:t>
      </w:r>
      <w:r w:rsidRPr="00DD52BF">
        <w:rPr>
          <w:rFonts w:ascii="Times New Roman" w:eastAsiaTheme="minorEastAsia" w:hAnsi="Times New Roman" w:cs="Times New Roman"/>
          <w:sz w:val="24"/>
          <w:szCs w:val="24"/>
        </w:rPr>
        <w:t xml:space="preserve">) </w:t>
      </w:r>
      <w:r w:rsidRPr="00DD52BF">
        <w:rPr>
          <w:rFonts w:ascii="Times New Roman" w:eastAsiaTheme="minorEastAsia" w:hAnsi="Times New Roman" w:cs="Times New Roman"/>
          <w:bCs/>
          <w:sz w:val="24"/>
          <w:szCs w:val="24"/>
        </w:rPr>
        <w:t xml:space="preserve">In vivo determination of lysine bioavailability of rumen protected lysine in lactating dairy cows, </w:t>
      </w:r>
      <w:r w:rsidRPr="00DD52BF">
        <w:rPr>
          <w:rFonts w:ascii="Times New Roman" w:eastAsiaTheme="minorEastAsia" w:hAnsi="Times New Roman" w:cs="Times New Roman"/>
          <w:bCs/>
          <w:i/>
          <w:sz w:val="24"/>
          <w:szCs w:val="24"/>
        </w:rPr>
        <w:t xml:space="preserve">J. Dairy Sci. 92(E-Suppl. 1), </w:t>
      </w:r>
      <w:r w:rsidRPr="00DD52BF">
        <w:rPr>
          <w:rFonts w:ascii="Times New Roman" w:eastAsiaTheme="minorEastAsia" w:hAnsi="Times New Roman" w:cs="Times New Roman"/>
          <w:bCs/>
          <w:sz w:val="24"/>
          <w:szCs w:val="24"/>
        </w:rPr>
        <w:t>290.</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jc w:val="both"/>
        <w:rPr>
          <w:rFonts w:ascii="Times New Roman" w:eastAsia="Times New Roman" w:hAnsi="Times New Roman" w:cs="Times New Roman"/>
          <w:sz w:val="24"/>
          <w:szCs w:val="24"/>
        </w:rPr>
      </w:pPr>
      <w:r w:rsidRPr="00DD52BF">
        <w:rPr>
          <w:rFonts w:ascii="Times New Roman" w:eastAsiaTheme="minorEastAsia" w:hAnsi="Times New Roman" w:cs="Times New Roman"/>
          <w:sz w:val="24"/>
          <w:szCs w:val="24"/>
        </w:rPr>
        <w:t>132.</w:t>
      </w:r>
      <w:r w:rsidRPr="00DD52BF">
        <w:rPr>
          <w:rFonts w:ascii="Times New Roman" w:eastAsiaTheme="minorEastAsia" w:hAnsi="Times New Roman" w:cs="Times New Roman"/>
          <w:sz w:val="24"/>
          <w:szCs w:val="24"/>
        </w:rPr>
        <w:tab/>
      </w:r>
      <w:r w:rsidRPr="00DD52BF">
        <w:rPr>
          <w:rFonts w:ascii="Times New Roman" w:eastAsia="Times New Roman" w:hAnsi="Times New Roman" w:cs="Times New Roman"/>
          <w:sz w:val="24"/>
          <w:szCs w:val="24"/>
        </w:rPr>
        <w:t>Deuchler, K. N., Piperova, L. S., and Erdman, R. A. (</w:t>
      </w:r>
      <w:r w:rsidRPr="00DD52BF">
        <w:rPr>
          <w:rFonts w:ascii="Times New Roman" w:eastAsia="Times New Roman" w:hAnsi="Times New Roman" w:cs="Times New Roman"/>
          <w:b/>
          <w:sz w:val="24"/>
          <w:szCs w:val="24"/>
        </w:rPr>
        <w:t>1996</w:t>
      </w:r>
      <w:r w:rsidRPr="00DD52BF">
        <w:rPr>
          <w:rFonts w:ascii="Times New Roman" w:eastAsia="Times New Roman" w:hAnsi="Times New Roman" w:cs="Times New Roman"/>
          <w:sz w:val="24"/>
          <w:szCs w:val="24"/>
        </w:rPr>
        <w:t xml:space="preserve">) Milk choline secretion as an </w:t>
      </w:r>
    </w:p>
    <w:p w:rsidR="00913B58" w:rsidRPr="00DD52BF" w:rsidRDefault="00913B58" w:rsidP="00913B58">
      <w:pPr>
        <w:spacing w:after="0" w:line="240" w:lineRule="auto"/>
        <w:ind w:firstLine="720"/>
        <w:jc w:val="both"/>
        <w:rPr>
          <w:rFonts w:ascii="Times New Roman" w:eastAsia="Times New Roman" w:hAnsi="Times New Roman" w:cs="Times New Roman"/>
          <w:sz w:val="24"/>
          <w:szCs w:val="24"/>
        </w:rPr>
      </w:pPr>
      <w:proofErr w:type="gramStart"/>
      <w:r w:rsidRPr="00DD52BF">
        <w:rPr>
          <w:rFonts w:ascii="Times New Roman" w:eastAsia="Times New Roman" w:hAnsi="Times New Roman" w:cs="Times New Roman"/>
          <w:sz w:val="24"/>
          <w:szCs w:val="24"/>
        </w:rPr>
        <w:t>indirect</w:t>
      </w:r>
      <w:proofErr w:type="gramEnd"/>
      <w:r w:rsidRPr="00DD52BF">
        <w:rPr>
          <w:rFonts w:ascii="Times New Roman" w:eastAsia="Times New Roman" w:hAnsi="Times New Roman" w:cs="Times New Roman"/>
          <w:sz w:val="24"/>
          <w:szCs w:val="24"/>
        </w:rPr>
        <w:t xml:space="preserve"> indicator of postruminal choline supply, </w:t>
      </w:r>
      <w:r w:rsidRPr="00DD52BF">
        <w:rPr>
          <w:rFonts w:ascii="Times New Roman" w:eastAsia="Times New Roman" w:hAnsi="Times New Roman" w:cs="Times New Roman"/>
          <w:i/>
          <w:sz w:val="24"/>
          <w:szCs w:val="24"/>
        </w:rPr>
        <w:t>J. Dairy Sci. 81</w:t>
      </w:r>
      <w:r w:rsidRPr="00DD52BF">
        <w:rPr>
          <w:rFonts w:ascii="Times New Roman" w:eastAsia="Times New Roman" w:hAnsi="Times New Roman" w:cs="Times New Roman"/>
          <w:sz w:val="24"/>
          <w:szCs w:val="24"/>
        </w:rPr>
        <w:t xml:space="preserve">, 238-242. </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line="240" w:lineRule="auto"/>
        <w:ind w:left="720" w:hanging="720"/>
        <w:jc w:val="both"/>
        <w:rPr>
          <w:rFonts w:ascii="Times New Roman" w:eastAsia="Times New Roman" w:hAnsi="Times New Roman" w:cs="Times New Roman"/>
          <w:color w:val="000000" w:themeColor="text1"/>
          <w:sz w:val="24"/>
          <w:szCs w:val="24"/>
        </w:rPr>
      </w:pPr>
      <w:r w:rsidRPr="00DD52BF">
        <w:rPr>
          <w:rFonts w:ascii="Times New Roman" w:eastAsiaTheme="minorEastAsia" w:hAnsi="Times New Roman" w:cs="Times New Roman"/>
          <w:sz w:val="24"/>
          <w:szCs w:val="24"/>
        </w:rPr>
        <w:t>133.</w:t>
      </w:r>
      <w:r w:rsidRPr="00DD52BF">
        <w:rPr>
          <w:rFonts w:ascii="Times New Roman" w:eastAsiaTheme="minorEastAsia" w:hAnsi="Times New Roman" w:cs="Times New Roman"/>
          <w:sz w:val="24"/>
          <w:szCs w:val="24"/>
        </w:rPr>
        <w:tab/>
        <w:t>Pinotti, L., Baldi, A., and Dell’Orto, V. (</w:t>
      </w:r>
      <w:r w:rsidRPr="00DD52BF">
        <w:rPr>
          <w:rFonts w:ascii="Times New Roman" w:eastAsiaTheme="minorEastAsia" w:hAnsi="Times New Roman" w:cs="Times New Roman"/>
          <w:b/>
          <w:sz w:val="24"/>
          <w:szCs w:val="24"/>
        </w:rPr>
        <w:t>2002</w:t>
      </w:r>
      <w:r w:rsidRPr="00DD52BF">
        <w:rPr>
          <w:rFonts w:ascii="Times New Roman" w:eastAsiaTheme="minorEastAsia" w:hAnsi="Times New Roman" w:cs="Times New Roman"/>
          <w:sz w:val="24"/>
          <w:szCs w:val="24"/>
        </w:rPr>
        <w:t xml:space="preserve">) </w:t>
      </w:r>
      <w:r w:rsidRPr="00DD52BF">
        <w:rPr>
          <w:rFonts w:ascii="Times New Roman" w:eastAsia="Times New Roman" w:hAnsi="Times New Roman" w:cs="Times New Roman"/>
          <w:color w:val="000000" w:themeColor="text1"/>
          <w:sz w:val="24"/>
          <w:szCs w:val="24"/>
        </w:rPr>
        <w:t xml:space="preserve">Comparative mammalian choline metabolism with emphasis on the high-yielding dairy cow, </w:t>
      </w:r>
      <w:r w:rsidRPr="00DD52BF">
        <w:rPr>
          <w:rFonts w:ascii="Times New Roman" w:eastAsia="Times New Roman" w:hAnsi="Times New Roman" w:cs="Times New Roman"/>
          <w:i/>
          <w:color w:val="000000" w:themeColor="text1"/>
          <w:sz w:val="24"/>
          <w:szCs w:val="24"/>
        </w:rPr>
        <w:t>N. Research Reviews 15</w:t>
      </w:r>
      <w:r w:rsidRPr="00DD52BF">
        <w:rPr>
          <w:rFonts w:ascii="Times New Roman" w:eastAsia="Times New Roman" w:hAnsi="Times New Roman" w:cs="Times New Roman"/>
          <w:color w:val="000000" w:themeColor="text1"/>
          <w:sz w:val="24"/>
          <w:szCs w:val="24"/>
        </w:rPr>
        <w:t>, 315-332.</w:t>
      </w: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134.</w:t>
      </w:r>
      <w:r w:rsidRPr="00DD52BF">
        <w:rPr>
          <w:rFonts w:ascii="Times New Roman" w:hAnsi="Times New Roman" w:cs="Times New Roman"/>
          <w:bCs/>
          <w:sz w:val="24"/>
          <w:szCs w:val="24"/>
        </w:rPr>
        <w:tab/>
        <w:t>Dolan, J. W. (</w:t>
      </w:r>
      <w:r w:rsidRPr="00DD52BF">
        <w:rPr>
          <w:rFonts w:ascii="Times New Roman" w:hAnsi="Times New Roman" w:cs="Times New Roman"/>
          <w:b/>
          <w:bCs/>
          <w:sz w:val="24"/>
          <w:szCs w:val="24"/>
        </w:rPr>
        <w:t>2012</w:t>
      </w:r>
      <w:r w:rsidRPr="00DD52BF">
        <w:rPr>
          <w:rFonts w:ascii="Times New Roman" w:hAnsi="Times New Roman" w:cs="Times New Roman"/>
          <w:bCs/>
          <w:sz w:val="24"/>
          <w:szCs w:val="24"/>
        </w:rPr>
        <w:t xml:space="preserve">) When Should an Internal Standard Be Used, </w:t>
      </w:r>
      <w:r w:rsidRPr="00DD52BF">
        <w:rPr>
          <w:rFonts w:ascii="Times New Roman" w:hAnsi="Times New Roman" w:cs="Times New Roman"/>
          <w:bCs/>
          <w:i/>
          <w:sz w:val="24"/>
          <w:szCs w:val="24"/>
        </w:rPr>
        <w:t>LCGC Europe</w:t>
      </w:r>
      <w:r w:rsidRPr="00DD52BF">
        <w:rPr>
          <w:rFonts w:ascii="Times New Roman" w:hAnsi="Times New Roman" w:cs="Times New Roman"/>
          <w:bCs/>
          <w:sz w:val="24"/>
          <w:szCs w:val="24"/>
        </w:rPr>
        <w:t>, 316-322.</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bCs/>
          <w:sz w:val="24"/>
          <w:szCs w:val="24"/>
        </w:rPr>
        <w:t>135.</w:t>
      </w:r>
      <w:r w:rsidRPr="00DD52BF">
        <w:rPr>
          <w:rFonts w:ascii="Times New Roman" w:hAnsi="Times New Roman" w:cs="Times New Roman"/>
          <w:bCs/>
          <w:sz w:val="24"/>
          <w:szCs w:val="24"/>
        </w:rPr>
        <w:tab/>
        <w:t>Getting Productive: Quantitative Analysis, Revision A, (</w:t>
      </w:r>
      <w:r w:rsidRPr="00DD52BF">
        <w:rPr>
          <w:rFonts w:ascii="Times New Roman" w:hAnsi="Times New Roman" w:cs="Times New Roman"/>
          <w:b/>
          <w:bCs/>
          <w:sz w:val="24"/>
          <w:szCs w:val="24"/>
        </w:rPr>
        <w:t>2003</w:t>
      </w:r>
      <w:r w:rsidRPr="00DD52BF">
        <w:rPr>
          <w:rFonts w:ascii="Times New Roman" w:hAnsi="Times New Roman" w:cs="Times New Roman"/>
          <w:bCs/>
          <w:sz w:val="24"/>
          <w:szCs w:val="24"/>
        </w:rPr>
        <w:t xml:space="preserve">) </w:t>
      </w:r>
      <w:r w:rsidRPr="00DD52BF">
        <w:rPr>
          <w:rFonts w:ascii="Times New Roman" w:hAnsi="Times New Roman" w:cs="Times New Roman"/>
          <w:bCs/>
          <w:i/>
          <w:sz w:val="24"/>
          <w:szCs w:val="24"/>
        </w:rPr>
        <w:t>Thermo Electron Corporation.</w:t>
      </w:r>
    </w:p>
    <w:p w:rsidR="00913B58" w:rsidRPr="00DD52BF" w:rsidRDefault="00913B58" w:rsidP="00913B58">
      <w:pPr>
        <w:autoSpaceDE w:val="0"/>
        <w:autoSpaceDN w:val="0"/>
        <w:adjustRightInd w:val="0"/>
        <w:spacing w:after="0" w:line="240" w:lineRule="auto"/>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color w:val="000000"/>
          <w:sz w:val="24"/>
          <w:szCs w:val="24"/>
        </w:rPr>
      </w:pPr>
      <w:r w:rsidRPr="00DD52BF">
        <w:rPr>
          <w:rFonts w:ascii="Times New Roman" w:hAnsi="Times New Roman" w:cs="Times New Roman"/>
          <w:color w:val="000000"/>
          <w:sz w:val="24"/>
          <w:szCs w:val="24"/>
        </w:rPr>
        <w:t>136.</w:t>
      </w:r>
      <w:r w:rsidRPr="00DD52BF">
        <w:rPr>
          <w:rFonts w:ascii="Times New Roman" w:hAnsi="Times New Roman" w:cs="Times New Roman"/>
          <w:color w:val="000000"/>
          <w:sz w:val="24"/>
          <w:szCs w:val="24"/>
        </w:rPr>
        <w:tab/>
        <w:t>Kamphorst, J. J., Fan, J., Lu, W., White, E., and Rabinowitz, J.D. (</w:t>
      </w:r>
      <w:r w:rsidRPr="00DD52BF">
        <w:rPr>
          <w:rFonts w:ascii="Times New Roman" w:hAnsi="Times New Roman" w:cs="Times New Roman"/>
          <w:b/>
          <w:color w:val="000000"/>
          <w:sz w:val="24"/>
          <w:szCs w:val="24"/>
        </w:rPr>
        <w:t>2011</w:t>
      </w:r>
      <w:r w:rsidRPr="00DD52BF">
        <w:rPr>
          <w:rFonts w:ascii="Times New Roman" w:hAnsi="Times New Roman" w:cs="Times New Roman"/>
          <w:color w:val="000000"/>
          <w:sz w:val="24"/>
          <w:szCs w:val="24"/>
        </w:rPr>
        <w:t xml:space="preserve">) Liquid Chromatography-High Resolution Mass Spectrometry Analysis of Fatty Acid Metabolism, </w:t>
      </w:r>
      <w:r w:rsidRPr="00DD52BF">
        <w:rPr>
          <w:rFonts w:ascii="Times New Roman" w:hAnsi="Times New Roman" w:cs="Times New Roman"/>
          <w:i/>
          <w:color w:val="000000"/>
          <w:sz w:val="24"/>
          <w:szCs w:val="24"/>
        </w:rPr>
        <w:t xml:space="preserve">Anal. </w:t>
      </w:r>
      <w:proofErr w:type="gramStart"/>
      <w:r w:rsidRPr="00DD52BF">
        <w:rPr>
          <w:rFonts w:ascii="Times New Roman" w:hAnsi="Times New Roman" w:cs="Times New Roman"/>
          <w:i/>
          <w:color w:val="000000"/>
          <w:sz w:val="24"/>
          <w:szCs w:val="24"/>
        </w:rPr>
        <w:t>Chem. 83</w:t>
      </w:r>
      <w:r w:rsidRPr="00DD52BF">
        <w:rPr>
          <w:rFonts w:ascii="Times New Roman" w:hAnsi="Times New Roman" w:cs="Times New Roman"/>
          <w:color w:val="000000"/>
          <w:sz w:val="24"/>
          <w:szCs w:val="24"/>
        </w:rPr>
        <w:t>, 9114-9122.</w:t>
      </w:r>
      <w:proofErr w:type="gramEnd"/>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r w:rsidRPr="00DD52BF">
        <w:rPr>
          <w:rFonts w:ascii="Times New Roman" w:hAnsi="Times New Roman" w:cs="Times New Roman"/>
          <w:sz w:val="24"/>
          <w:szCs w:val="24"/>
        </w:rPr>
        <w:t>137.</w:t>
      </w:r>
      <w:r w:rsidRPr="00DD52BF">
        <w:rPr>
          <w:rFonts w:ascii="Times New Roman" w:hAnsi="Times New Roman" w:cs="Times New Roman"/>
          <w:sz w:val="24"/>
          <w:szCs w:val="24"/>
        </w:rPr>
        <w:tab/>
        <w:t>Sojo, L. E., Lum, G., and Chee, P. (</w:t>
      </w:r>
      <w:r w:rsidRPr="00DD52BF">
        <w:rPr>
          <w:rFonts w:ascii="Times New Roman" w:hAnsi="Times New Roman" w:cs="Times New Roman"/>
          <w:b/>
          <w:sz w:val="24"/>
          <w:szCs w:val="24"/>
        </w:rPr>
        <w:t>2003</w:t>
      </w:r>
      <w:r w:rsidRPr="00DD52BF">
        <w:rPr>
          <w:rFonts w:ascii="Times New Roman" w:hAnsi="Times New Roman" w:cs="Times New Roman"/>
          <w:sz w:val="24"/>
          <w:szCs w:val="24"/>
        </w:rPr>
        <w:t xml:space="preserve">) </w:t>
      </w:r>
      <w:proofErr w:type="gramStart"/>
      <w:r w:rsidRPr="00DD52BF">
        <w:rPr>
          <w:rFonts w:ascii="Times New Roman" w:hAnsi="Times New Roman" w:cs="Times New Roman"/>
          <w:bCs/>
          <w:sz w:val="24"/>
          <w:szCs w:val="24"/>
        </w:rPr>
        <w:t>Internal</w:t>
      </w:r>
      <w:proofErr w:type="gramEnd"/>
      <w:r w:rsidRPr="00DD52BF">
        <w:rPr>
          <w:rFonts w:ascii="Times New Roman" w:hAnsi="Times New Roman" w:cs="Times New Roman"/>
          <w:bCs/>
          <w:sz w:val="24"/>
          <w:szCs w:val="24"/>
        </w:rPr>
        <w:t xml:space="preserve"> standard signal suppression by co-                    eluting analyte in isotope dilution LC-ESI-MS, </w:t>
      </w:r>
      <w:r w:rsidRPr="00DD52BF">
        <w:rPr>
          <w:rFonts w:ascii="Times New Roman" w:hAnsi="Times New Roman" w:cs="Times New Roman"/>
          <w:bCs/>
          <w:i/>
          <w:sz w:val="24"/>
          <w:szCs w:val="24"/>
        </w:rPr>
        <w:t>Analyst 128</w:t>
      </w:r>
      <w:r w:rsidRPr="00DD52BF">
        <w:rPr>
          <w:rFonts w:ascii="Times New Roman" w:hAnsi="Times New Roman" w:cs="Times New Roman"/>
          <w:bCs/>
          <w:sz w:val="24"/>
          <w:szCs w:val="24"/>
        </w:rPr>
        <w:t>, 51-54.</w:t>
      </w: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spacing w:after="0" w:line="240" w:lineRule="auto"/>
        <w:ind w:left="720" w:hanging="720"/>
        <w:contextualSpacing/>
        <w:jc w:val="both"/>
        <w:rPr>
          <w:rFonts w:ascii="Times New Roman" w:eastAsia="Times New Roman" w:hAnsi="Times New Roman" w:cs="Times New Roman"/>
          <w:noProof/>
          <w:sz w:val="24"/>
          <w:szCs w:val="24"/>
        </w:rPr>
      </w:pPr>
    </w:p>
    <w:p w:rsidR="00913B58" w:rsidRPr="00DD52BF" w:rsidRDefault="00913B58" w:rsidP="00913B58">
      <w:pPr>
        <w:spacing w:after="0" w:line="240" w:lineRule="auto"/>
        <w:ind w:left="720" w:hanging="720"/>
        <w:jc w:val="both"/>
        <w:rPr>
          <w:rFonts w:ascii="Times New Roman" w:eastAsia="Calibri" w:hAnsi="Times New Roman" w:cs="Times New Roman"/>
          <w:sz w:val="24"/>
          <w:szCs w:val="24"/>
        </w:rPr>
      </w:pPr>
    </w:p>
    <w:p w:rsidR="00913B58" w:rsidRPr="00DD52BF" w:rsidRDefault="00913B58" w:rsidP="00913B58">
      <w:pPr>
        <w:spacing w:after="0" w:line="240" w:lineRule="auto"/>
        <w:ind w:left="720" w:hanging="720"/>
        <w:jc w:val="both"/>
        <w:rPr>
          <w:rFonts w:ascii="Times New Roman" w:eastAsiaTheme="minorEastAsia" w:hAnsi="Times New Roman" w:cs="Times New Roman"/>
          <w:sz w:val="24"/>
          <w:szCs w:val="24"/>
        </w:rPr>
      </w:pPr>
    </w:p>
    <w:p w:rsidR="00913B58" w:rsidRPr="00DD52BF" w:rsidRDefault="00913B58" w:rsidP="00913B58">
      <w:pPr>
        <w:spacing w:after="0" w:line="240" w:lineRule="auto"/>
        <w:ind w:left="720" w:hanging="720"/>
        <w:jc w:val="both"/>
        <w:rPr>
          <w:rFonts w:ascii="Times New Roman" w:eastAsiaTheme="minorEastAsia" w:hAnsi="Times New Roman" w:cs="Times New Roman"/>
          <w:sz w:val="24"/>
          <w:szCs w:val="24"/>
        </w:rPr>
      </w:pPr>
    </w:p>
    <w:p w:rsidR="00913B58" w:rsidRPr="00DD52BF" w:rsidRDefault="00913B58" w:rsidP="00913B58">
      <w:pPr>
        <w:tabs>
          <w:tab w:val="left" w:pos="720"/>
        </w:tabs>
        <w:spacing w:after="0" w:line="240" w:lineRule="auto"/>
        <w:ind w:left="720" w:hanging="720"/>
        <w:jc w:val="both"/>
        <w:rPr>
          <w:rFonts w:ascii="Times New Roman" w:eastAsiaTheme="minorEastAsia" w:hAnsi="Times New Roman" w:cs="Times New Roman"/>
          <w:sz w:val="24"/>
          <w:szCs w:val="24"/>
        </w:rPr>
      </w:pPr>
      <w:r w:rsidRPr="00DD52BF">
        <w:rPr>
          <w:rFonts w:ascii="Times New Roman" w:eastAsiaTheme="minorEastAsia" w:hAnsi="Times New Roman" w:cs="Times New Roman"/>
          <w:sz w:val="24"/>
          <w:szCs w:val="24"/>
        </w:rPr>
        <w:tab/>
      </w:r>
    </w:p>
    <w:p w:rsidR="00913B58" w:rsidRPr="00DD52BF" w:rsidRDefault="00913B58" w:rsidP="00913B58">
      <w:pPr>
        <w:tabs>
          <w:tab w:val="left" w:pos="720"/>
        </w:tabs>
        <w:spacing w:after="0" w:line="240" w:lineRule="auto"/>
        <w:ind w:left="720" w:hanging="720"/>
        <w:jc w:val="both"/>
        <w:rPr>
          <w:rFonts w:ascii="Times New Roman" w:eastAsiaTheme="minorEastAsia" w:hAnsi="Times New Roman" w:cs="Times New Roman"/>
          <w:iCs/>
          <w:sz w:val="24"/>
          <w:szCs w:val="24"/>
        </w:rPr>
      </w:pPr>
    </w:p>
    <w:p w:rsidR="00913B58" w:rsidRPr="00DD52BF" w:rsidRDefault="00913B58" w:rsidP="00913B58">
      <w:pPr>
        <w:spacing w:line="240" w:lineRule="auto"/>
        <w:jc w:val="both"/>
        <w:rPr>
          <w:rFonts w:ascii="Times New Roman" w:hAnsi="Times New Roman" w:cs="Times New Roman"/>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Default="00913B58" w:rsidP="00913B58">
      <w:pPr>
        <w:autoSpaceDE w:val="0"/>
        <w:autoSpaceDN w:val="0"/>
        <w:adjustRightInd w:val="0"/>
        <w:spacing w:after="0" w:line="240" w:lineRule="auto"/>
        <w:ind w:left="720" w:hanging="720"/>
        <w:jc w:val="both"/>
        <w:rPr>
          <w:rFonts w:ascii="Times New Roman" w:hAnsi="Times New Roman" w:cs="Times New Roman"/>
          <w:bCs/>
          <w:sz w:val="24"/>
          <w:szCs w:val="24"/>
        </w:rPr>
      </w:pPr>
    </w:p>
    <w:p w:rsidR="00913B58" w:rsidRPr="00DD52BF" w:rsidRDefault="00913B58" w:rsidP="00913B58">
      <w:pPr>
        <w:widowControl w:val="0"/>
        <w:spacing w:after="100" w:line="240" w:lineRule="auto"/>
        <w:jc w:val="both"/>
        <w:rPr>
          <w:rFonts w:ascii="Times New Roman" w:hAnsi="Times New Roman" w:cs="Times New Roman"/>
          <w:sz w:val="24"/>
          <w:szCs w:val="24"/>
        </w:rPr>
      </w:pPr>
    </w:p>
    <w:p w:rsidR="007147B8" w:rsidRPr="00F97996" w:rsidRDefault="007147B8" w:rsidP="007147B8">
      <w:pPr>
        <w:jc w:val="center"/>
        <w:rPr>
          <w:rFonts w:ascii="Times New Roman" w:hAnsi="Times New Roman" w:cs="Times New Roman"/>
          <w:b/>
          <w:sz w:val="28"/>
          <w:szCs w:val="28"/>
        </w:rPr>
      </w:pPr>
      <w:r>
        <w:rPr>
          <w:rFonts w:ascii="Times New Roman" w:hAnsi="Times New Roman" w:cs="Times New Roman"/>
          <w:b/>
          <w:sz w:val="28"/>
          <w:szCs w:val="28"/>
        </w:rPr>
        <w:lastRenderedPageBreak/>
        <w:t>Appendix</w:t>
      </w:r>
    </w:p>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tbl>
      <w:tblPr>
        <w:tblW w:w="5000" w:type="pct"/>
        <w:tblLook w:val="04A0" w:firstRow="1" w:lastRow="0" w:firstColumn="1" w:lastColumn="0" w:noHBand="0" w:noVBand="1"/>
      </w:tblPr>
      <w:tblGrid>
        <w:gridCol w:w="4977"/>
        <w:gridCol w:w="657"/>
        <w:gridCol w:w="657"/>
        <w:gridCol w:w="657"/>
        <w:gridCol w:w="657"/>
        <w:gridCol w:w="657"/>
        <w:gridCol w:w="657"/>
        <w:gridCol w:w="657"/>
      </w:tblGrid>
      <w:tr w:rsidR="007147B8" w:rsidTr="00E613FF">
        <w:trPr>
          <w:trHeight w:val="225"/>
        </w:trPr>
        <w:tc>
          <w:tcPr>
            <w:tcW w:w="5000" w:type="pct"/>
            <w:gridSpan w:val="8"/>
            <w:noWrap/>
            <w:vAlign w:val="center"/>
            <w:hideMark/>
          </w:tcPr>
          <w:p w:rsidR="007147B8"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Table 4</w:t>
            </w:r>
            <w:r w:rsidR="00A866B6">
              <w:rPr>
                <w:rFonts w:ascii="Times New Roman" w:eastAsia="Times New Roman" w:hAnsi="Times New Roman" w:cs="Times New Roman"/>
                <w:b/>
                <w:bCs/>
                <w:color w:val="000000"/>
                <w:sz w:val="16"/>
                <w:szCs w:val="16"/>
              </w:rPr>
              <w:t>A</w:t>
            </w:r>
            <w:r w:rsidR="007147B8">
              <w:rPr>
                <w:rFonts w:ascii="Times New Roman" w:eastAsia="Times New Roman" w:hAnsi="Times New Roman" w:cs="Times New Roman"/>
                <w:b/>
                <w:bCs/>
                <w:color w:val="000000"/>
                <w:sz w:val="16"/>
                <w:szCs w:val="16"/>
              </w:rPr>
              <w:t xml:space="preserve">: Fold Change of Intracellular Metabolites of Phage Amended and Control </w:t>
            </w:r>
            <w:r w:rsidR="007147B8">
              <w:rPr>
                <w:rFonts w:ascii="Times New Roman" w:eastAsia="Times New Roman" w:hAnsi="Times New Roman" w:cs="Times New Roman"/>
                <w:b/>
                <w:bCs/>
                <w:i/>
                <w:iCs/>
                <w:color w:val="000000"/>
                <w:sz w:val="16"/>
                <w:szCs w:val="16"/>
              </w:rPr>
              <w:t>Sulfitobacter</w:t>
            </w:r>
            <w:r w:rsidR="007147B8">
              <w:rPr>
                <w:rFonts w:ascii="Times New Roman" w:eastAsia="Times New Roman" w:hAnsi="Times New Roman" w:cs="Times New Roman"/>
                <w:b/>
                <w:bCs/>
                <w:color w:val="000000"/>
                <w:sz w:val="16"/>
                <w:szCs w:val="16"/>
              </w:rPr>
              <w:t xml:space="preserve"> sp. 2047 Populations</w:t>
            </w:r>
          </w:p>
        </w:tc>
      </w:tr>
      <w:tr w:rsidR="007147B8" w:rsidTr="00E613FF">
        <w:trPr>
          <w:trHeight w:val="225"/>
        </w:trPr>
        <w:tc>
          <w:tcPr>
            <w:tcW w:w="2942" w:type="pct"/>
            <w:gridSpan w:val="2"/>
            <w:noWrap/>
            <w:vAlign w:val="center"/>
            <w:hideMark/>
          </w:tcPr>
          <w:p w:rsidR="007147B8" w:rsidRDefault="0014556E"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w:t>
            </w:r>
            <w:r w:rsidR="007147B8">
              <w:rPr>
                <w:rFonts w:ascii="Times New Roman" w:eastAsia="Times New Roman" w:hAnsi="Times New Roman" w:cs="Times New Roman"/>
                <w:b/>
                <w:bCs/>
                <w:color w:val="000000"/>
                <w:sz w:val="16"/>
                <w:szCs w:val="16"/>
              </w:rPr>
              <w:t>ith Cell Normalization Used in Figure 2a</w:t>
            </w:r>
          </w:p>
        </w:tc>
        <w:tc>
          <w:tcPr>
            <w:tcW w:w="343" w:type="pct"/>
            <w:noWrap/>
            <w:vAlign w:val="center"/>
            <w:hideMark/>
          </w:tcPr>
          <w:p w:rsidR="007147B8" w:rsidRDefault="007147B8" w:rsidP="00E613FF">
            <w:pPr>
              <w:spacing w:after="0"/>
              <w:rPr>
                <w:rFonts w:cs="Times New Roman"/>
              </w:rPr>
            </w:pPr>
          </w:p>
        </w:tc>
        <w:tc>
          <w:tcPr>
            <w:tcW w:w="343" w:type="pct"/>
            <w:noWrap/>
            <w:vAlign w:val="center"/>
            <w:hideMark/>
          </w:tcPr>
          <w:p w:rsidR="007147B8" w:rsidRDefault="007147B8" w:rsidP="00E613FF">
            <w:pPr>
              <w:spacing w:after="0"/>
              <w:rPr>
                <w:rFonts w:cs="Times New Roman"/>
              </w:rPr>
            </w:pPr>
          </w:p>
        </w:tc>
        <w:tc>
          <w:tcPr>
            <w:tcW w:w="343" w:type="pct"/>
            <w:noWrap/>
            <w:vAlign w:val="center"/>
            <w:hideMark/>
          </w:tcPr>
          <w:p w:rsidR="007147B8" w:rsidRDefault="007147B8" w:rsidP="00E613FF">
            <w:pPr>
              <w:spacing w:after="0"/>
              <w:rPr>
                <w:rFonts w:cs="Times New Roman"/>
              </w:rPr>
            </w:pPr>
          </w:p>
        </w:tc>
        <w:tc>
          <w:tcPr>
            <w:tcW w:w="343" w:type="pct"/>
            <w:noWrap/>
            <w:vAlign w:val="center"/>
            <w:hideMark/>
          </w:tcPr>
          <w:p w:rsidR="007147B8" w:rsidRDefault="007147B8" w:rsidP="00E613FF">
            <w:pPr>
              <w:spacing w:after="0"/>
              <w:rPr>
                <w:rFonts w:cs="Times New Roman"/>
              </w:rPr>
            </w:pPr>
          </w:p>
        </w:tc>
        <w:tc>
          <w:tcPr>
            <w:tcW w:w="343" w:type="pct"/>
            <w:noWrap/>
            <w:vAlign w:val="center"/>
            <w:hideMark/>
          </w:tcPr>
          <w:p w:rsidR="007147B8" w:rsidRDefault="007147B8" w:rsidP="00E613FF">
            <w:pPr>
              <w:spacing w:after="0"/>
              <w:rPr>
                <w:rFonts w:cs="Times New Roman"/>
              </w:rPr>
            </w:pPr>
          </w:p>
        </w:tc>
        <w:tc>
          <w:tcPr>
            <w:tcW w:w="343" w:type="pct"/>
            <w:noWrap/>
            <w:vAlign w:val="center"/>
            <w:hideMark/>
          </w:tcPr>
          <w:p w:rsidR="007147B8" w:rsidRDefault="007147B8" w:rsidP="00E613FF">
            <w:pPr>
              <w:spacing w:after="0"/>
              <w:rPr>
                <w:rFonts w:cs="Times New Roman"/>
              </w:rPr>
            </w:pPr>
          </w:p>
        </w:tc>
      </w:tr>
      <w:tr w:rsidR="007147B8" w:rsidTr="00E613FF">
        <w:trPr>
          <w:trHeight w:val="225"/>
        </w:trPr>
        <w:tc>
          <w:tcPr>
            <w:tcW w:w="2599"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2401" w:type="pct"/>
            <w:gridSpan w:val="7"/>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Control at Corresponding Time Point</w:t>
            </w:r>
          </w:p>
        </w:tc>
      </w:tr>
      <w:tr w:rsidR="007147B8" w:rsidTr="00E613FF">
        <w:trPr>
          <w:trHeight w:val="225"/>
        </w:trPr>
        <w:tc>
          <w:tcPr>
            <w:tcW w:w="2599" w:type="pct"/>
            <w:noWrap/>
            <w:vAlign w:val="bottom"/>
            <w:hideMark/>
          </w:tcPr>
          <w:p w:rsidR="007147B8" w:rsidRDefault="007147B8" w:rsidP="00E613FF">
            <w:pPr>
              <w:spacing w:after="0"/>
              <w:rPr>
                <w:rFonts w:cs="Times New Roman"/>
              </w:rPr>
            </w:pPr>
          </w:p>
        </w:tc>
        <w:tc>
          <w:tcPr>
            <w:tcW w:w="2401" w:type="pct"/>
            <w:gridSpan w:val="7"/>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Time Point in Minutes Post Infection</w:t>
            </w:r>
          </w:p>
        </w:tc>
      </w:tr>
      <w:tr w:rsidR="007147B8" w:rsidTr="00E613FF">
        <w:trPr>
          <w:trHeight w:val="225"/>
        </w:trPr>
        <w:tc>
          <w:tcPr>
            <w:tcW w:w="259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Metabolite</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30</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60</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120</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240</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360</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480</w:t>
            </w:r>
          </w:p>
        </w:tc>
      </w:tr>
      <w:tr w:rsidR="007147B8" w:rsidTr="00E613FF">
        <w:trPr>
          <w:trHeight w:val="225"/>
        </w:trPr>
        <w:tc>
          <w:tcPr>
            <w:tcW w:w="259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 &amp; 2,3 Diphosphoglycerate</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1.443</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1.451</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1.190</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1.506</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2.286</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2.412</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3.417</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1-Methylhistidine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3.480</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3-Phosphoglycerate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1.696</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4-Hydroxybenzoate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5-Methyltetrahydrofolate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3.898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5.944</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5'-Methylthioadenosine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2.613</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Acetyl CoA</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1.417</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Acetyl Phosphate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4.742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0.168</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ADP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1.740</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Alanine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3.728</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AMP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1.921</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Asparagine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3.236</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Aspartate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1.710</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ATP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1.585</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Betaine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3.003</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Ceramide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1.956</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Choline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3.422</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Citrate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2.220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2.413</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CoA</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2.651</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Cysteine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2.500</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dCDP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3.545</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dGTP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1.492</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DL-Pipecolic Acid</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3.316</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dUTP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Erythrose-4-Phosphate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Ethanolamine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2.775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4.218</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FAD</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Farnesylpyrophosphate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4.983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6.030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4.424</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Fructose-1,6-Bisphosphate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Fumarate, Maleate, &amp; Isoketovalerate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Glucono-1,5-Lactone-6-Phosphate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11.238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3.549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Glutamate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1.575</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Glutamine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3.918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5.012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6.171</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Glycerophosphocholine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1.155</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GMP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2.727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2.406</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0.305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0.722</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Hexose Phosphate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2.953</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Histidinol</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0.670</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Homoserine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3.298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2.672</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Lysine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2.404</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Malonyl CoA</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Methylmalonic Acid</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3.243</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N-Acetylglucosamine-1-Phosphate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N-Acetylglutamate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N-Acetylglutamine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N-Acetyllysine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1.638</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NAD</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2.998</w:t>
            </w:r>
          </w:p>
        </w:tc>
      </w:tr>
      <w:tr w:rsidR="007147B8" w:rsidTr="00E613FF">
        <w:trPr>
          <w:trHeight w:val="225"/>
        </w:trPr>
        <w:tc>
          <w:tcPr>
            <w:tcW w:w="2942" w:type="pct"/>
            <w:gridSpan w:val="2"/>
            <w:tcBorders>
              <w:top w:val="nil"/>
              <w:left w:val="nil"/>
              <w:bottom w:val="single" w:sz="4" w:space="0" w:color="000000" w:themeColor="text1"/>
              <w:right w:val="nil"/>
            </w:tcBorders>
            <w:noWrap/>
            <w:vAlign w:val="center"/>
          </w:tcPr>
          <w:p w:rsidR="007147B8" w:rsidRDefault="007147B8" w:rsidP="00E613FF">
            <w:pPr>
              <w:spacing w:after="0" w:line="240" w:lineRule="atLeast"/>
              <w:rPr>
                <w:rFonts w:ascii="Times New Roman" w:eastAsia="Times New Roman" w:hAnsi="Times New Roman" w:cs="Times New Roman"/>
                <w:b/>
                <w:bCs/>
                <w:color w:val="000000"/>
                <w:sz w:val="16"/>
                <w:szCs w:val="16"/>
              </w:rPr>
            </w:pPr>
          </w:p>
          <w:p w:rsidR="007147B8"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Table 4</w:t>
            </w:r>
            <w:r w:rsidR="00A866B6">
              <w:rPr>
                <w:rFonts w:ascii="Times New Roman" w:eastAsia="Times New Roman" w:hAnsi="Times New Roman" w:cs="Times New Roman"/>
                <w:b/>
                <w:bCs/>
                <w:color w:val="000000"/>
                <w:sz w:val="16"/>
                <w:szCs w:val="16"/>
              </w:rPr>
              <w:t>A</w:t>
            </w:r>
            <w:r w:rsidR="007147B8">
              <w:rPr>
                <w:rFonts w:ascii="Times New Roman" w:eastAsia="Times New Roman" w:hAnsi="Times New Roman" w:cs="Times New Roman"/>
                <w:b/>
                <w:bCs/>
                <w:color w:val="000000"/>
                <w:sz w:val="16"/>
                <w:szCs w:val="16"/>
              </w:rPr>
              <w:t>: Continued</w:t>
            </w:r>
          </w:p>
        </w:tc>
        <w:tc>
          <w:tcPr>
            <w:tcW w:w="343"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43"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43"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43"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43"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43"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r>
      <w:tr w:rsidR="007147B8" w:rsidTr="00E613FF">
        <w:trPr>
          <w:trHeight w:val="225"/>
        </w:trPr>
        <w:tc>
          <w:tcPr>
            <w:tcW w:w="2599"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2401" w:type="pct"/>
            <w:gridSpan w:val="7"/>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Control at Corresponding Time Point</w:t>
            </w:r>
          </w:p>
        </w:tc>
      </w:tr>
      <w:tr w:rsidR="007147B8" w:rsidTr="00E613FF">
        <w:trPr>
          <w:trHeight w:val="225"/>
        </w:trPr>
        <w:tc>
          <w:tcPr>
            <w:tcW w:w="2599" w:type="pct"/>
            <w:noWrap/>
            <w:vAlign w:val="bottom"/>
            <w:hideMark/>
          </w:tcPr>
          <w:p w:rsidR="007147B8" w:rsidRDefault="007147B8" w:rsidP="00E613FF">
            <w:pPr>
              <w:spacing w:after="0"/>
              <w:rPr>
                <w:rFonts w:cs="Times New Roman"/>
              </w:rPr>
            </w:pPr>
          </w:p>
        </w:tc>
        <w:tc>
          <w:tcPr>
            <w:tcW w:w="2401" w:type="pct"/>
            <w:gridSpan w:val="7"/>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Time Point in Minutes Post Infection</w:t>
            </w:r>
          </w:p>
        </w:tc>
      </w:tr>
      <w:tr w:rsidR="007147B8" w:rsidTr="00E613FF">
        <w:trPr>
          <w:trHeight w:val="225"/>
        </w:trPr>
        <w:tc>
          <w:tcPr>
            <w:tcW w:w="259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Metabolite</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30</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60</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120</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240</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360</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480</w:t>
            </w:r>
          </w:p>
        </w:tc>
      </w:tr>
      <w:tr w:rsidR="007147B8" w:rsidTr="00E613FF">
        <w:trPr>
          <w:trHeight w:val="225"/>
        </w:trPr>
        <w:tc>
          <w:tcPr>
            <w:tcW w:w="259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NADH</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1.226</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1.508</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0.844</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2.585</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1.557</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1.584</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6.889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NADP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NADPH</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2.727</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Nicotinate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3.477</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O-Acetylserine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5.401</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Orotate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4.641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3.338</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Orotidine Phosphate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4.491</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Oxidized Glutathione (GSSG)</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1.960</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Palmitate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4.763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2.806</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Pentose Phosphate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Phenylpropiolic Acid</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3.785</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Phosphatidylcholine &amp; Phosphatidylethanolamine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1.575</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Phosphoenolpyruvate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1.546</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Proline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2.892</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Propionyl CoA</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3.162</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Pyridoxine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3.562</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Reduced Glutathione (GSH)</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2.087</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Ribulose-1,5-Bisphosphate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‡0.001</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S-Adenosylmethionine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3.923</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Sarcosine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3.108</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Sedoheptulose-7-Phosphate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3.756</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Serine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2.407</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Succinate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3.256</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Succinyl CoA</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7.946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2.643</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TDP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4.242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3.508</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Thiamine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3.548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Threonine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3.203</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Tryptophan</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4.272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1.339</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UDP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3.058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3.922</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UDP-D-Glucose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2.337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1.997</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UDP-D-Glucuronate &amp; Galacturonate</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8.627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12.732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9.192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10.151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7.182</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UDP-N-Acetylglucosamine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0.902</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Urea</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4.227</w:t>
            </w:r>
          </w:p>
        </w:tc>
      </w:tr>
      <w:tr w:rsidR="007147B8" w:rsidTr="00E613FF">
        <w:trPr>
          <w:trHeight w:val="225"/>
        </w:trPr>
        <w:tc>
          <w:tcPr>
            <w:tcW w:w="2599"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UTP</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1.396</w:t>
            </w:r>
          </w:p>
        </w:tc>
      </w:tr>
      <w:tr w:rsidR="007147B8" w:rsidTr="00E613FF">
        <w:trPr>
          <w:trHeight w:val="225"/>
        </w:trPr>
        <w:tc>
          <w:tcPr>
            <w:tcW w:w="259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Valine</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1.327</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3.079</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1.229</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2.591</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2.690</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2.531</w:t>
            </w:r>
          </w:p>
        </w:tc>
      </w:tr>
      <w:tr w:rsidR="007147B8" w:rsidTr="00E613FF">
        <w:trPr>
          <w:trHeight w:val="225"/>
        </w:trPr>
        <w:tc>
          <w:tcPr>
            <w:tcW w:w="259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 value of 1000 is used when only measured in infected</w:t>
            </w: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343"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225"/>
        </w:trPr>
        <w:tc>
          <w:tcPr>
            <w:tcW w:w="2942" w:type="pct"/>
            <w:gridSpan w:val="2"/>
            <w:tcBorders>
              <w:top w:val="nil"/>
              <w:left w:val="nil"/>
              <w:bottom w:val="single" w:sz="4" w:space="0" w:color="000000" w:themeColor="text1"/>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 value of 0.001 is used when only measured in control</w:t>
            </w: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343"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tbl>
      <w:tblPr>
        <w:tblW w:w="5000" w:type="pct"/>
        <w:tblLook w:val="04A0" w:firstRow="1" w:lastRow="0" w:firstColumn="1" w:lastColumn="0" w:noHBand="0" w:noVBand="1"/>
      </w:tblPr>
      <w:tblGrid>
        <w:gridCol w:w="3920"/>
        <w:gridCol w:w="808"/>
        <w:gridCol w:w="808"/>
        <w:gridCol w:w="808"/>
        <w:gridCol w:w="808"/>
        <w:gridCol w:w="808"/>
        <w:gridCol w:w="808"/>
        <w:gridCol w:w="808"/>
      </w:tblGrid>
      <w:tr w:rsidR="007147B8" w:rsidTr="00E613FF">
        <w:trPr>
          <w:trHeight w:val="225"/>
        </w:trPr>
        <w:tc>
          <w:tcPr>
            <w:tcW w:w="5000" w:type="pct"/>
            <w:gridSpan w:val="8"/>
            <w:noWrap/>
            <w:vAlign w:val="center"/>
            <w:hideMark/>
          </w:tcPr>
          <w:p w:rsidR="007147B8"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Table 4</w:t>
            </w:r>
            <w:r w:rsidR="00A866B6">
              <w:rPr>
                <w:rFonts w:ascii="Times New Roman" w:eastAsia="Times New Roman" w:hAnsi="Times New Roman" w:cs="Times New Roman"/>
                <w:b/>
                <w:bCs/>
                <w:color w:val="000000"/>
                <w:sz w:val="16"/>
                <w:szCs w:val="16"/>
              </w:rPr>
              <w:t>B</w:t>
            </w:r>
            <w:r w:rsidR="007147B8">
              <w:rPr>
                <w:rFonts w:ascii="Times New Roman" w:eastAsia="Times New Roman" w:hAnsi="Times New Roman" w:cs="Times New Roman"/>
                <w:b/>
                <w:bCs/>
                <w:color w:val="000000"/>
                <w:sz w:val="16"/>
                <w:szCs w:val="16"/>
              </w:rPr>
              <w:t xml:space="preserve">: P-value of Intracellular Metabolites of Phage Amended and Control </w:t>
            </w:r>
            <w:r w:rsidR="007147B8">
              <w:rPr>
                <w:rFonts w:ascii="Times New Roman" w:eastAsia="Times New Roman" w:hAnsi="Times New Roman" w:cs="Times New Roman"/>
                <w:b/>
                <w:bCs/>
                <w:i/>
                <w:iCs/>
                <w:color w:val="000000"/>
                <w:sz w:val="16"/>
                <w:szCs w:val="16"/>
              </w:rPr>
              <w:t>Sulfitobacter</w:t>
            </w:r>
            <w:r w:rsidR="007147B8">
              <w:rPr>
                <w:rFonts w:ascii="Times New Roman" w:eastAsia="Times New Roman" w:hAnsi="Times New Roman" w:cs="Times New Roman"/>
                <w:b/>
                <w:bCs/>
                <w:color w:val="000000"/>
                <w:sz w:val="16"/>
                <w:szCs w:val="16"/>
              </w:rPr>
              <w:t xml:space="preserve"> sp. 2047 Populations</w:t>
            </w:r>
          </w:p>
        </w:tc>
      </w:tr>
      <w:tr w:rsidR="007147B8" w:rsidTr="00E613FF">
        <w:trPr>
          <w:trHeight w:val="225"/>
        </w:trPr>
        <w:tc>
          <w:tcPr>
            <w:tcW w:w="2665" w:type="pct"/>
            <w:gridSpan w:val="2"/>
            <w:tcBorders>
              <w:top w:val="nil"/>
              <w:left w:val="nil"/>
              <w:bottom w:val="single" w:sz="4" w:space="0" w:color="000000" w:themeColor="text1"/>
              <w:right w:val="nil"/>
            </w:tcBorders>
            <w:noWrap/>
            <w:vAlign w:val="center"/>
            <w:hideMark/>
          </w:tcPr>
          <w:p w:rsidR="007147B8" w:rsidRDefault="00FB32FD"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w:t>
            </w:r>
            <w:r w:rsidR="007147B8">
              <w:rPr>
                <w:rFonts w:ascii="Times New Roman" w:eastAsia="Times New Roman" w:hAnsi="Times New Roman" w:cs="Times New Roman"/>
                <w:b/>
                <w:bCs/>
                <w:color w:val="000000"/>
                <w:sz w:val="16"/>
                <w:szCs w:val="16"/>
              </w:rPr>
              <w:t>ith Cell Normalization Used in Figure 2a</w:t>
            </w: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r>
      <w:tr w:rsidR="007147B8" w:rsidTr="00E613FF">
        <w:trPr>
          <w:trHeight w:val="225"/>
        </w:trPr>
        <w:tc>
          <w:tcPr>
            <w:tcW w:w="2276"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2724" w:type="pct"/>
            <w:gridSpan w:val="7"/>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p-values</w:t>
            </w:r>
          </w:p>
        </w:tc>
      </w:tr>
      <w:tr w:rsidR="007147B8" w:rsidTr="00E613FF">
        <w:trPr>
          <w:trHeight w:val="225"/>
        </w:trPr>
        <w:tc>
          <w:tcPr>
            <w:tcW w:w="2276" w:type="pct"/>
            <w:noWrap/>
            <w:vAlign w:val="bottom"/>
            <w:hideMark/>
          </w:tcPr>
          <w:p w:rsidR="007147B8" w:rsidRDefault="007147B8" w:rsidP="00E613FF">
            <w:pPr>
              <w:spacing w:after="0"/>
              <w:rPr>
                <w:rFonts w:cs="Times New Roman"/>
              </w:rPr>
            </w:pPr>
          </w:p>
        </w:tc>
        <w:tc>
          <w:tcPr>
            <w:tcW w:w="2724" w:type="pct"/>
            <w:gridSpan w:val="7"/>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Time Point in Minutes Post Infection</w:t>
            </w:r>
          </w:p>
        </w:tc>
      </w:tr>
      <w:tr w:rsidR="007147B8" w:rsidTr="00E613FF">
        <w:trPr>
          <w:trHeight w:val="225"/>
        </w:trPr>
        <w:tc>
          <w:tcPr>
            <w:tcW w:w="2276"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Metabolite</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30</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60</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120</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240</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360</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480</w:t>
            </w:r>
          </w:p>
        </w:tc>
      </w:tr>
      <w:tr w:rsidR="007147B8" w:rsidTr="00E613FF">
        <w:trPr>
          <w:trHeight w:val="225"/>
        </w:trPr>
        <w:tc>
          <w:tcPr>
            <w:tcW w:w="2276"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 &amp; 2,3 Diphosphoglycerate</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5.81E-03</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1.57E-02</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1.47E-01</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1.06E-01</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1.32E-01</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3.90E-03</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1-Methylhistidine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5.35E-04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6.02E-02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3-Phosphoglycerate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4.91E-02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5.74E-03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4-Hydroxybenzoate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3.91E-02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1.16E-04</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5-Methyltetrahydrofolate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7.06E-02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5'-Methylthioadenosine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Acetyl CoA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3.47E-02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Acetyl Phosphate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ADP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8.34E-03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Alanine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8.98E-03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6.43E-03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2.09E-04</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AMP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7.71E-02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Asparagine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4.09E-03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4.90E-03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Aspartate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6.86E-03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4.09E-03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ATP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1.51E-01</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Betaine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6.58E-04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4.05E-04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4.67E-05</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3.52E-03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1.48E-04</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Ceramide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Choline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5.98E-03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9.19E-03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5.49E-04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Citrate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CoA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7.27E-04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5.13E-03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Cysteine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4.70E-04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dCDP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3.75E-06</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dGTP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1.26E-01</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DL-Pipecolic Acid</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6.75E-03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4.98E-04</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dUTP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3.46E-02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Erythrose-4-Phosphate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Ethanolamine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6.87E-03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FAD</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8.04E-03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4.13E-03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Farnesylpyrophosphate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1.64E-01</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Fructose-1,6-Bisphosphate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7.22E-02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9.53E-03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Fumarate, Maleate, &amp; Isoketovalerate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5.32E-02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5.42E-02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Glucono-1,5-Lactone-6-Phosphate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8.13E-03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Glutamate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5.51E-02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9.60E-03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8.05E-03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3.07E-04</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Glutamine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3.52E-03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9.99E-05</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1.04E-06</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Glycerophosphocholine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GMP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4.35E-03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GTP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5.64E-01</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Hexose Phosphate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7.90E-02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Histidinol</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2.72E-02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Homoserine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8.31E-02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Lysine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2.01E-04</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7.02E-03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6.98E-03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Malonyl CoA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Methylmalonic Acid</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6.58E-03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N-Acetylglucosamine-1-Phosphate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N-Acetylglutamate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N-Acetylglutamine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8.13E-03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N-Acetyllysine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3.17E-03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NAD</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2.63E-04</w:t>
            </w:r>
          </w:p>
        </w:tc>
      </w:tr>
      <w:tr w:rsidR="007147B8" w:rsidTr="00E613FF">
        <w:trPr>
          <w:trHeight w:val="225"/>
        </w:trPr>
        <w:tc>
          <w:tcPr>
            <w:tcW w:w="2665" w:type="pct"/>
            <w:gridSpan w:val="2"/>
            <w:tcBorders>
              <w:top w:val="nil"/>
              <w:left w:val="nil"/>
              <w:bottom w:val="single" w:sz="4" w:space="0" w:color="000000" w:themeColor="text1"/>
              <w:right w:val="nil"/>
            </w:tcBorders>
            <w:noWrap/>
            <w:vAlign w:val="center"/>
          </w:tcPr>
          <w:p w:rsidR="007147B8" w:rsidRDefault="007147B8" w:rsidP="00E613FF">
            <w:pPr>
              <w:spacing w:after="0" w:line="240" w:lineRule="atLeast"/>
              <w:rPr>
                <w:rFonts w:ascii="Times New Roman" w:eastAsia="Times New Roman" w:hAnsi="Times New Roman" w:cs="Times New Roman"/>
                <w:b/>
                <w:bCs/>
                <w:color w:val="000000"/>
                <w:sz w:val="16"/>
                <w:szCs w:val="16"/>
              </w:rPr>
            </w:pPr>
          </w:p>
          <w:p w:rsidR="007147B8"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Table 4</w:t>
            </w:r>
            <w:r w:rsidR="00A866B6">
              <w:rPr>
                <w:rFonts w:ascii="Times New Roman" w:eastAsia="Times New Roman" w:hAnsi="Times New Roman" w:cs="Times New Roman"/>
                <w:b/>
                <w:bCs/>
                <w:color w:val="000000"/>
                <w:sz w:val="16"/>
                <w:szCs w:val="16"/>
              </w:rPr>
              <w:t>B</w:t>
            </w:r>
            <w:r w:rsidR="007147B8">
              <w:rPr>
                <w:rFonts w:ascii="Times New Roman" w:eastAsia="Times New Roman" w:hAnsi="Times New Roman" w:cs="Times New Roman"/>
                <w:b/>
                <w:bCs/>
                <w:color w:val="000000"/>
                <w:sz w:val="16"/>
                <w:szCs w:val="16"/>
              </w:rPr>
              <w:t>: Continued</w:t>
            </w: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c>
          <w:tcPr>
            <w:tcW w:w="389" w:type="pct"/>
            <w:tcBorders>
              <w:top w:val="nil"/>
              <w:left w:val="nil"/>
              <w:bottom w:val="single" w:sz="4" w:space="0" w:color="000000" w:themeColor="text1"/>
              <w:right w:val="nil"/>
            </w:tcBorders>
            <w:noWrap/>
            <w:vAlign w:val="center"/>
            <w:hideMark/>
          </w:tcPr>
          <w:p w:rsidR="007147B8" w:rsidRDefault="007147B8" w:rsidP="00E613FF">
            <w:pPr>
              <w:spacing w:after="0"/>
              <w:rPr>
                <w:rFonts w:cs="Times New Roman"/>
              </w:rPr>
            </w:pPr>
          </w:p>
        </w:tc>
      </w:tr>
      <w:tr w:rsidR="007147B8" w:rsidTr="00E613FF">
        <w:trPr>
          <w:trHeight w:val="225"/>
        </w:trPr>
        <w:tc>
          <w:tcPr>
            <w:tcW w:w="2276"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2724" w:type="pct"/>
            <w:gridSpan w:val="7"/>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p-values</w:t>
            </w:r>
          </w:p>
        </w:tc>
      </w:tr>
      <w:tr w:rsidR="007147B8" w:rsidTr="00E613FF">
        <w:trPr>
          <w:trHeight w:val="225"/>
        </w:trPr>
        <w:tc>
          <w:tcPr>
            <w:tcW w:w="2276" w:type="pct"/>
            <w:noWrap/>
            <w:vAlign w:val="bottom"/>
            <w:hideMark/>
          </w:tcPr>
          <w:p w:rsidR="007147B8" w:rsidRDefault="007147B8" w:rsidP="00E613FF">
            <w:pPr>
              <w:spacing w:after="0"/>
              <w:rPr>
                <w:rFonts w:cs="Times New Roman"/>
              </w:rPr>
            </w:pPr>
          </w:p>
        </w:tc>
        <w:tc>
          <w:tcPr>
            <w:tcW w:w="2724" w:type="pct"/>
            <w:gridSpan w:val="7"/>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Time Point in Minutes Post Infection</w:t>
            </w:r>
          </w:p>
        </w:tc>
      </w:tr>
      <w:tr w:rsidR="007147B8" w:rsidTr="00E613FF">
        <w:trPr>
          <w:trHeight w:val="225"/>
        </w:trPr>
        <w:tc>
          <w:tcPr>
            <w:tcW w:w="2276"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Metabolite</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15</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30</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60</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120</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240</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360</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480</w:t>
            </w:r>
          </w:p>
        </w:tc>
      </w:tr>
      <w:tr w:rsidR="007147B8" w:rsidTr="00E613FF">
        <w:trPr>
          <w:trHeight w:val="225"/>
        </w:trPr>
        <w:tc>
          <w:tcPr>
            <w:tcW w:w="2276"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NADH</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5.60E-01</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2.60E-01</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5.79E-01</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6.71E-02</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5.98E-02</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2.62E-01</w:t>
            </w:r>
          </w:p>
        </w:tc>
        <w:tc>
          <w:tcPr>
            <w:tcW w:w="38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4.07E-02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NADP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NADPH</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6.48E-03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2.04E-04</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Nicotinate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5.12E-03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7.08E-04</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O-Acetylserine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Orotate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Orotidine Phosphate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Oxidized Glutathione (GSSG)</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9.51E-03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1.23E-01</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Palmitate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Pentose Phosphate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Phenylpropiolic Acid</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5.91E-03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1.29E-04</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Phosphatidylcholine &amp; Phosphatidylethanolamine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8.80E-04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Phosphoenolpyruvate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Proline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9.24E-03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4.50E-05</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Propionyl CoA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Pyridoxine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6.67E-03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9.80E-03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2.53E-04</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Reduced Glutathione (GSH)</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3.84E-03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9.53E-03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1.22E-01</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Ribulose-1,5-Bisphosphate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S-Adenosylmethionine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Sarcosine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4.81E-03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4.73E-04</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Sedoheptulose-7-Phosphate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1.40E-01</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Serine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4.48E-03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Succinate </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9.99E-04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5.94E-04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3.98E-03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6.84E-03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Succinyl CoA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7.20E-03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TDP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Thiamine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6.58E-02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3.32E-02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5.10E-02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Threonine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3.81E-02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7.40E-03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3.28E-08</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Tryptophan</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2.43E-01</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UDP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UDP-D-Glucose </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8.71E-05</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4.85E-03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UDP-D-Glucuronate &amp; Galacturonate</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6.70E-03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6.54E-03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4.19E-05</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4.43E-02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1.02E-03</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UDP-N-Acetylglucosamine </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9.75E-02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9.66E-03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4.64E-02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5.03E-04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4.15E-01</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Urea</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6.72E-01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5.49E-03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1.07E-02</w:t>
            </w:r>
          </w:p>
        </w:tc>
      </w:tr>
      <w:tr w:rsidR="007147B8" w:rsidTr="00E613FF">
        <w:trPr>
          <w:trHeight w:val="225"/>
        </w:trPr>
        <w:tc>
          <w:tcPr>
            <w:tcW w:w="227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UTP</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5.89E-01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6.07E-01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3.77E-02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6.73E-01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1.90E-01</w:t>
            </w:r>
          </w:p>
        </w:tc>
      </w:tr>
      <w:tr w:rsidR="007147B8" w:rsidTr="00E613FF">
        <w:trPr>
          <w:trHeight w:val="225"/>
        </w:trPr>
        <w:tc>
          <w:tcPr>
            <w:tcW w:w="2276"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Valine</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1.50E-01</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1.68E-02</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1.20E-01</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3.09E-01</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6.01E-03</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2.18E-04</w:t>
            </w:r>
          </w:p>
        </w:tc>
        <w:tc>
          <w:tcPr>
            <w:tcW w:w="389" w:type="pct"/>
            <w:tcBorders>
              <w:top w:val="nil"/>
              <w:left w:val="nil"/>
              <w:bottom w:val="single" w:sz="4" w:space="0" w:color="000000" w:themeColor="text1"/>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2.64E-03</w:t>
            </w:r>
          </w:p>
        </w:tc>
      </w:tr>
      <w:tr w:rsidR="007147B8" w:rsidTr="00E613FF">
        <w:trPr>
          <w:trHeight w:val="225"/>
        </w:trPr>
        <w:tc>
          <w:tcPr>
            <w:tcW w:w="2276"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N/A is result of an insufficient number of measurements </w:t>
            </w:r>
          </w:p>
        </w:tc>
        <w:tc>
          <w:tcPr>
            <w:tcW w:w="389"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389"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389"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389"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389"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389"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389"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tbl>
      <w:tblPr>
        <w:tblW w:w="5000" w:type="pct"/>
        <w:tblLook w:val="04A0" w:firstRow="1" w:lastRow="0" w:firstColumn="1" w:lastColumn="0" w:noHBand="0" w:noVBand="1"/>
      </w:tblPr>
      <w:tblGrid>
        <w:gridCol w:w="4965"/>
        <w:gridCol w:w="1304"/>
        <w:gridCol w:w="1241"/>
        <w:gridCol w:w="1034"/>
        <w:gridCol w:w="1032"/>
      </w:tblGrid>
      <w:tr w:rsidR="007147B8" w:rsidTr="00E613FF">
        <w:trPr>
          <w:trHeight w:val="300"/>
        </w:trPr>
        <w:tc>
          <w:tcPr>
            <w:tcW w:w="5000" w:type="pct"/>
            <w:gridSpan w:val="5"/>
            <w:tcBorders>
              <w:top w:val="nil"/>
              <w:left w:val="nil"/>
              <w:bottom w:val="single" w:sz="4" w:space="0" w:color="auto"/>
              <w:right w:val="nil"/>
            </w:tcBorders>
            <w:vAlign w:val="bottom"/>
            <w:hideMark/>
          </w:tcPr>
          <w:p w:rsidR="007147B8"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Table 5</w:t>
            </w:r>
            <w:r w:rsidR="00A866B6">
              <w:rPr>
                <w:rFonts w:ascii="Times New Roman" w:eastAsia="Times New Roman" w:hAnsi="Times New Roman" w:cs="Times New Roman"/>
                <w:b/>
                <w:bCs/>
                <w:color w:val="000000"/>
                <w:sz w:val="16"/>
                <w:szCs w:val="16"/>
              </w:rPr>
              <w:t>A</w:t>
            </w:r>
            <w:r w:rsidR="007147B8">
              <w:rPr>
                <w:rFonts w:ascii="Times New Roman" w:eastAsia="Times New Roman" w:hAnsi="Times New Roman" w:cs="Times New Roman"/>
                <w:b/>
                <w:bCs/>
                <w:color w:val="000000"/>
                <w:sz w:val="16"/>
                <w:szCs w:val="16"/>
              </w:rPr>
              <w:t>: Virus (Φ2047) Counts Used in Figure 2b</w:t>
            </w:r>
          </w:p>
        </w:tc>
      </w:tr>
      <w:tr w:rsidR="007147B8" w:rsidTr="00E613FF">
        <w:trPr>
          <w:trHeight w:val="300"/>
        </w:trPr>
        <w:tc>
          <w:tcPr>
            <w:tcW w:w="2592" w:type="pct"/>
            <w:tcBorders>
              <w:top w:val="single" w:sz="4" w:space="0" w:color="auto"/>
              <w:left w:val="nil"/>
              <w:bottom w:val="nil"/>
              <w:right w:val="nil"/>
            </w:tcBorders>
            <w:vAlign w:val="bottom"/>
            <w:hideMark/>
          </w:tcPr>
          <w:p w:rsidR="007147B8" w:rsidRDefault="007147B8" w:rsidP="00E613FF">
            <w:pPr>
              <w:spacing w:after="0"/>
              <w:rPr>
                <w:rFonts w:cs="Times New Roman"/>
              </w:rPr>
            </w:pPr>
          </w:p>
        </w:tc>
        <w:tc>
          <w:tcPr>
            <w:tcW w:w="2408" w:type="pct"/>
            <w:gridSpan w:val="4"/>
            <w:tcBorders>
              <w:top w:val="single" w:sz="4" w:space="0" w:color="auto"/>
              <w:left w:val="nil"/>
              <w:bottom w:val="nil"/>
              <w:right w:val="nil"/>
            </w:tcBorders>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Virus Counts </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Time Post Infection in Minutes</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Replicate 1</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Replicate 2</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Range</w:t>
            </w:r>
          </w:p>
        </w:tc>
      </w:tr>
      <w:tr w:rsidR="007147B8" w:rsidTr="00E613FF">
        <w:trPr>
          <w:trHeight w:val="300"/>
        </w:trPr>
        <w:tc>
          <w:tcPr>
            <w:tcW w:w="2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68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1.40E+09</w:t>
            </w:r>
          </w:p>
        </w:tc>
        <w:tc>
          <w:tcPr>
            <w:tcW w:w="64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1.79E+09</w:t>
            </w:r>
          </w:p>
        </w:tc>
        <w:tc>
          <w:tcPr>
            <w:tcW w:w="54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1.60E+09</w:t>
            </w:r>
          </w:p>
        </w:tc>
        <w:tc>
          <w:tcPr>
            <w:tcW w:w="54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3.90E+08</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1.09E+09</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1.95E+09</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1.52E+09</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8.60E+08</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9.07E+08</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1.38E+09</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1.15E+09</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4.80E+08</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1.13E+10</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1.41E+10</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1.27E+10</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2.40E+09</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9.91E+10</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1.13E+11</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1.06E+11</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1.40E+10</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1.99E+11</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2.41E+11</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2.20E+11</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4.10E+10</w:t>
            </w:r>
          </w:p>
        </w:tc>
      </w:tr>
      <w:tr w:rsidR="007147B8" w:rsidTr="00E613FF">
        <w:trPr>
          <w:trHeight w:val="300"/>
        </w:trPr>
        <w:tc>
          <w:tcPr>
            <w:tcW w:w="2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w:t>
            </w:r>
          </w:p>
        </w:tc>
        <w:tc>
          <w:tcPr>
            <w:tcW w:w="68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3.62E+11</w:t>
            </w:r>
          </w:p>
        </w:tc>
        <w:tc>
          <w:tcPr>
            <w:tcW w:w="64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3.47E+11</w:t>
            </w:r>
          </w:p>
        </w:tc>
        <w:tc>
          <w:tcPr>
            <w:tcW w:w="54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3.55E+11</w:t>
            </w:r>
          </w:p>
        </w:tc>
        <w:tc>
          <w:tcPr>
            <w:tcW w:w="54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1.50E+10</w:t>
            </w:r>
          </w:p>
        </w:tc>
      </w:tr>
      <w:tr w:rsidR="007147B8" w:rsidTr="00E613FF">
        <w:trPr>
          <w:trHeight w:val="255"/>
        </w:trPr>
        <w:tc>
          <w:tcPr>
            <w:tcW w:w="2592"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681"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648"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540"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540"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30"/>
        </w:trPr>
        <w:tc>
          <w:tcPr>
            <w:tcW w:w="2592" w:type="pct"/>
            <w:tcBorders>
              <w:top w:val="single" w:sz="4" w:space="0" w:color="auto"/>
              <w:left w:val="nil"/>
              <w:bottom w:val="nil"/>
              <w:right w:val="nil"/>
            </w:tcBorders>
            <w:noWrap/>
            <w:vAlign w:val="bottom"/>
          </w:tcPr>
          <w:p w:rsidR="007147B8" w:rsidRDefault="007147B8" w:rsidP="00E613FF">
            <w:pPr>
              <w:spacing w:after="0" w:line="240" w:lineRule="atLeast"/>
              <w:rPr>
                <w:rFonts w:ascii="Times New Roman" w:eastAsia="Times New Roman" w:hAnsi="Times New Roman" w:cs="Times New Roman"/>
                <w:color w:val="000000"/>
                <w:sz w:val="16"/>
                <w:szCs w:val="16"/>
              </w:rPr>
            </w:pPr>
          </w:p>
        </w:tc>
        <w:tc>
          <w:tcPr>
            <w:tcW w:w="681" w:type="pct"/>
            <w:tcBorders>
              <w:top w:val="single" w:sz="4" w:space="0" w:color="auto"/>
              <w:left w:val="nil"/>
              <w:bottom w:val="nil"/>
              <w:right w:val="nil"/>
            </w:tcBorders>
            <w:noWrap/>
            <w:vAlign w:val="bottom"/>
          </w:tcPr>
          <w:p w:rsidR="007147B8" w:rsidRDefault="007147B8" w:rsidP="00E613FF">
            <w:pPr>
              <w:spacing w:after="0" w:line="240" w:lineRule="atLeast"/>
              <w:rPr>
                <w:rFonts w:ascii="Times New Roman" w:eastAsia="Times New Roman" w:hAnsi="Times New Roman" w:cs="Times New Roman"/>
                <w:color w:val="000000"/>
                <w:sz w:val="16"/>
                <w:szCs w:val="16"/>
              </w:rPr>
            </w:pPr>
          </w:p>
        </w:tc>
        <w:tc>
          <w:tcPr>
            <w:tcW w:w="648" w:type="pct"/>
            <w:tcBorders>
              <w:top w:val="single" w:sz="4" w:space="0" w:color="auto"/>
              <w:left w:val="nil"/>
              <w:bottom w:val="nil"/>
              <w:right w:val="nil"/>
            </w:tcBorders>
            <w:noWrap/>
            <w:vAlign w:val="bottom"/>
          </w:tcPr>
          <w:p w:rsidR="007147B8" w:rsidRDefault="007147B8" w:rsidP="00E613FF">
            <w:pPr>
              <w:spacing w:after="0" w:line="240" w:lineRule="atLeast"/>
              <w:rPr>
                <w:rFonts w:ascii="Times New Roman" w:eastAsia="Times New Roman" w:hAnsi="Times New Roman" w:cs="Times New Roman"/>
                <w:color w:val="000000"/>
                <w:sz w:val="16"/>
                <w:szCs w:val="16"/>
              </w:rPr>
            </w:pPr>
          </w:p>
        </w:tc>
        <w:tc>
          <w:tcPr>
            <w:tcW w:w="540" w:type="pct"/>
            <w:tcBorders>
              <w:top w:val="single" w:sz="4" w:space="0" w:color="auto"/>
              <w:left w:val="nil"/>
              <w:bottom w:val="nil"/>
              <w:right w:val="nil"/>
            </w:tcBorders>
            <w:noWrap/>
            <w:vAlign w:val="bottom"/>
          </w:tcPr>
          <w:p w:rsidR="007147B8" w:rsidRDefault="007147B8" w:rsidP="00E613FF">
            <w:pPr>
              <w:spacing w:after="0" w:line="240" w:lineRule="atLeast"/>
              <w:rPr>
                <w:rFonts w:ascii="Times New Roman" w:eastAsia="Times New Roman" w:hAnsi="Times New Roman" w:cs="Times New Roman"/>
                <w:color w:val="000000"/>
                <w:sz w:val="16"/>
                <w:szCs w:val="16"/>
              </w:rPr>
            </w:pPr>
          </w:p>
        </w:tc>
        <w:tc>
          <w:tcPr>
            <w:tcW w:w="540" w:type="pct"/>
            <w:tcBorders>
              <w:top w:val="single" w:sz="4" w:space="0" w:color="auto"/>
              <w:left w:val="nil"/>
              <w:bottom w:val="nil"/>
              <w:right w:val="nil"/>
            </w:tcBorders>
            <w:noWrap/>
            <w:vAlign w:val="bottom"/>
          </w:tcPr>
          <w:p w:rsidR="007147B8" w:rsidRDefault="007147B8" w:rsidP="00E613FF">
            <w:pPr>
              <w:spacing w:after="0" w:line="240" w:lineRule="atLeast"/>
              <w:rPr>
                <w:rFonts w:ascii="Times New Roman" w:eastAsia="Times New Roman" w:hAnsi="Times New Roman" w:cs="Times New Roman"/>
                <w:color w:val="000000"/>
                <w:sz w:val="16"/>
                <w:szCs w:val="16"/>
              </w:rPr>
            </w:pPr>
          </w:p>
        </w:tc>
      </w:tr>
      <w:tr w:rsidR="007147B8" w:rsidTr="00E613FF">
        <w:trPr>
          <w:trHeight w:val="300"/>
        </w:trPr>
        <w:tc>
          <w:tcPr>
            <w:tcW w:w="2592" w:type="pct"/>
            <w:noWrap/>
            <w:vAlign w:val="bottom"/>
          </w:tcPr>
          <w:p w:rsidR="007147B8" w:rsidRDefault="007147B8" w:rsidP="00E613FF">
            <w:pPr>
              <w:spacing w:after="0" w:line="240" w:lineRule="atLeast"/>
              <w:rPr>
                <w:rFonts w:ascii="Times New Roman" w:eastAsia="Times New Roman" w:hAnsi="Times New Roman" w:cs="Times New Roman"/>
                <w:color w:val="000000"/>
                <w:sz w:val="16"/>
                <w:szCs w:val="16"/>
              </w:rPr>
            </w:pPr>
          </w:p>
        </w:tc>
        <w:tc>
          <w:tcPr>
            <w:tcW w:w="681" w:type="pct"/>
            <w:noWrap/>
            <w:vAlign w:val="bottom"/>
            <w:hideMark/>
          </w:tcPr>
          <w:p w:rsidR="007147B8" w:rsidRDefault="007147B8" w:rsidP="00E613FF">
            <w:pPr>
              <w:spacing w:after="0"/>
              <w:rPr>
                <w:rFonts w:cs="Times New Roman"/>
              </w:rPr>
            </w:pPr>
          </w:p>
        </w:tc>
        <w:tc>
          <w:tcPr>
            <w:tcW w:w="648" w:type="pct"/>
            <w:noWrap/>
            <w:vAlign w:val="bottom"/>
            <w:hideMark/>
          </w:tcPr>
          <w:p w:rsidR="007147B8" w:rsidRDefault="007147B8" w:rsidP="00E613FF">
            <w:pPr>
              <w:spacing w:after="0"/>
              <w:rPr>
                <w:rFonts w:cs="Times New Roman"/>
              </w:rPr>
            </w:pPr>
          </w:p>
        </w:tc>
        <w:tc>
          <w:tcPr>
            <w:tcW w:w="540" w:type="pct"/>
            <w:noWrap/>
            <w:vAlign w:val="bottom"/>
            <w:hideMark/>
          </w:tcPr>
          <w:p w:rsidR="007147B8" w:rsidRDefault="007147B8" w:rsidP="00E613FF">
            <w:pPr>
              <w:spacing w:after="0"/>
              <w:rPr>
                <w:rFonts w:cs="Times New Roman"/>
              </w:rPr>
            </w:pPr>
          </w:p>
        </w:tc>
        <w:tc>
          <w:tcPr>
            <w:tcW w:w="540" w:type="pct"/>
            <w:noWrap/>
            <w:vAlign w:val="bottom"/>
            <w:hideMark/>
          </w:tcPr>
          <w:p w:rsidR="007147B8" w:rsidRDefault="007147B8" w:rsidP="00E613FF">
            <w:pPr>
              <w:spacing w:after="0"/>
              <w:rPr>
                <w:rFonts w:cs="Times New Roman"/>
              </w:rPr>
            </w:pPr>
          </w:p>
        </w:tc>
      </w:tr>
      <w:tr w:rsidR="007147B8" w:rsidTr="00E613FF">
        <w:trPr>
          <w:trHeight w:val="300"/>
        </w:trPr>
        <w:tc>
          <w:tcPr>
            <w:tcW w:w="2592" w:type="pct"/>
            <w:noWrap/>
            <w:vAlign w:val="bottom"/>
            <w:hideMark/>
          </w:tcPr>
          <w:p w:rsidR="007147B8" w:rsidRDefault="007147B8" w:rsidP="00E613FF">
            <w:pPr>
              <w:spacing w:after="0"/>
              <w:rPr>
                <w:rFonts w:cs="Times New Roman"/>
              </w:rPr>
            </w:pPr>
          </w:p>
        </w:tc>
        <w:tc>
          <w:tcPr>
            <w:tcW w:w="681" w:type="pct"/>
            <w:noWrap/>
            <w:vAlign w:val="bottom"/>
            <w:hideMark/>
          </w:tcPr>
          <w:p w:rsidR="007147B8" w:rsidRDefault="007147B8" w:rsidP="00E613FF">
            <w:pPr>
              <w:spacing w:after="0"/>
              <w:rPr>
                <w:rFonts w:cs="Times New Roman"/>
              </w:rPr>
            </w:pPr>
          </w:p>
        </w:tc>
        <w:tc>
          <w:tcPr>
            <w:tcW w:w="648" w:type="pct"/>
            <w:noWrap/>
            <w:vAlign w:val="bottom"/>
            <w:hideMark/>
          </w:tcPr>
          <w:p w:rsidR="007147B8" w:rsidRDefault="007147B8" w:rsidP="00E613FF">
            <w:pPr>
              <w:spacing w:after="0"/>
              <w:rPr>
                <w:rFonts w:cs="Times New Roman"/>
              </w:rPr>
            </w:pPr>
          </w:p>
        </w:tc>
        <w:tc>
          <w:tcPr>
            <w:tcW w:w="540" w:type="pct"/>
            <w:noWrap/>
            <w:vAlign w:val="bottom"/>
            <w:hideMark/>
          </w:tcPr>
          <w:p w:rsidR="007147B8" w:rsidRDefault="007147B8" w:rsidP="00E613FF">
            <w:pPr>
              <w:spacing w:after="0"/>
              <w:rPr>
                <w:rFonts w:cs="Times New Roman"/>
              </w:rPr>
            </w:pPr>
          </w:p>
        </w:tc>
        <w:tc>
          <w:tcPr>
            <w:tcW w:w="540" w:type="pct"/>
            <w:noWrap/>
            <w:vAlign w:val="bottom"/>
            <w:hideMark/>
          </w:tcPr>
          <w:p w:rsidR="007147B8" w:rsidRDefault="007147B8" w:rsidP="00E613FF">
            <w:pPr>
              <w:spacing w:after="0"/>
              <w:rPr>
                <w:rFonts w:cs="Times New Roman"/>
              </w:rPr>
            </w:pPr>
          </w:p>
        </w:tc>
      </w:tr>
      <w:tr w:rsidR="007147B8" w:rsidTr="00E613FF">
        <w:trPr>
          <w:trHeight w:val="300"/>
        </w:trPr>
        <w:tc>
          <w:tcPr>
            <w:tcW w:w="5000" w:type="pct"/>
            <w:gridSpan w:val="5"/>
            <w:tcBorders>
              <w:top w:val="nil"/>
              <w:left w:val="nil"/>
              <w:bottom w:val="single" w:sz="4" w:space="0" w:color="auto"/>
              <w:right w:val="nil"/>
            </w:tcBorders>
            <w:vAlign w:val="bottom"/>
            <w:hideMark/>
          </w:tcPr>
          <w:p w:rsidR="007147B8"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Table 5</w:t>
            </w:r>
            <w:r w:rsidR="00A866B6">
              <w:rPr>
                <w:rFonts w:ascii="Times New Roman" w:eastAsia="Times New Roman" w:hAnsi="Times New Roman" w:cs="Times New Roman"/>
                <w:b/>
                <w:bCs/>
                <w:color w:val="000000"/>
                <w:sz w:val="16"/>
                <w:szCs w:val="16"/>
              </w:rPr>
              <w:t>B</w:t>
            </w:r>
            <w:r w:rsidR="007147B8">
              <w:rPr>
                <w:rFonts w:ascii="Times New Roman" w:eastAsia="Times New Roman" w:hAnsi="Times New Roman" w:cs="Times New Roman"/>
                <w:b/>
                <w:bCs/>
                <w:color w:val="000000"/>
                <w:sz w:val="16"/>
                <w:szCs w:val="16"/>
              </w:rPr>
              <w:t xml:space="preserve">: </w:t>
            </w:r>
            <w:r w:rsidR="007147B8">
              <w:rPr>
                <w:rFonts w:ascii="Times New Roman" w:eastAsia="Times New Roman" w:hAnsi="Times New Roman" w:cs="Times New Roman"/>
                <w:b/>
                <w:bCs/>
                <w:i/>
                <w:iCs/>
                <w:color w:val="000000"/>
                <w:sz w:val="16"/>
                <w:szCs w:val="16"/>
              </w:rPr>
              <w:t>Sulfitobacter</w:t>
            </w:r>
            <w:r w:rsidR="007147B8">
              <w:rPr>
                <w:rFonts w:ascii="Times New Roman" w:eastAsia="Times New Roman" w:hAnsi="Times New Roman" w:cs="Times New Roman"/>
                <w:b/>
                <w:bCs/>
                <w:color w:val="000000"/>
                <w:sz w:val="16"/>
                <w:szCs w:val="16"/>
              </w:rPr>
              <w:t xml:space="preserve"> sp. CB2047 Grown on 10mM Acetate Infected With Virus Used in Figure 2b</w:t>
            </w:r>
          </w:p>
        </w:tc>
      </w:tr>
      <w:tr w:rsidR="007147B8" w:rsidTr="00E613FF">
        <w:trPr>
          <w:trHeight w:val="300"/>
        </w:trPr>
        <w:tc>
          <w:tcPr>
            <w:tcW w:w="2592" w:type="pct"/>
            <w:tcBorders>
              <w:top w:val="single" w:sz="4" w:space="0" w:color="auto"/>
              <w:left w:val="nil"/>
              <w:bottom w:val="nil"/>
              <w:right w:val="nil"/>
            </w:tcBorders>
            <w:vAlign w:val="bottom"/>
            <w:hideMark/>
          </w:tcPr>
          <w:p w:rsidR="007147B8" w:rsidRDefault="007147B8" w:rsidP="00E613FF">
            <w:pPr>
              <w:spacing w:after="0"/>
              <w:rPr>
                <w:rFonts w:cs="Times New Roman"/>
              </w:rPr>
            </w:pPr>
          </w:p>
        </w:tc>
        <w:tc>
          <w:tcPr>
            <w:tcW w:w="2408" w:type="pct"/>
            <w:gridSpan w:val="4"/>
            <w:tcBorders>
              <w:top w:val="single" w:sz="4" w:space="0" w:color="auto"/>
              <w:left w:val="nil"/>
              <w:bottom w:val="nil"/>
              <w:right w:val="nil"/>
            </w:tcBorders>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Cell Density at OD</w:t>
            </w:r>
            <w:r>
              <w:rPr>
                <w:rFonts w:ascii="Times New Roman" w:eastAsia="Times New Roman" w:hAnsi="Times New Roman" w:cs="Times New Roman"/>
                <w:b/>
                <w:bCs/>
                <w:color w:val="000000"/>
                <w:sz w:val="16"/>
                <w:szCs w:val="16"/>
                <w:vertAlign w:val="subscript"/>
              </w:rPr>
              <w:t>540</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Time Post Infection in Minutes</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 Replicate 1 </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Replicate 2</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Average </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Range</w:t>
            </w:r>
          </w:p>
        </w:tc>
      </w:tr>
      <w:tr w:rsidR="007147B8" w:rsidTr="00E613FF">
        <w:trPr>
          <w:trHeight w:val="300"/>
        </w:trPr>
        <w:tc>
          <w:tcPr>
            <w:tcW w:w="2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68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0.144</w:t>
            </w:r>
          </w:p>
        </w:tc>
        <w:tc>
          <w:tcPr>
            <w:tcW w:w="64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0.157</w:t>
            </w:r>
          </w:p>
        </w:tc>
        <w:tc>
          <w:tcPr>
            <w:tcW w:w="54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0.151</w:t>
            </w:r>
          </w:p>
        </w:tc>
        <w:tc>
          <w:tcPr>
            <w:tcW w:w="54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0.013</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0.158</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0.162</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0.160</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0.004</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0.153</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0.168</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0.161</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0.015</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0.179</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0.156</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0.168</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0.023</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0.185</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0.208</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0.197</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0.023</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0.212</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0.254</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0.233</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0.042</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0.208</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0.191</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0.200</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0.017</w:t>
            </w:r>
          </w:p>
        </w:tc>
      </w:tr>
      <w:tr w:rsidR="007147B8" w:rsidTr="00E613FF">
        <w:trPr>
          <w:trHeight w:val="300"/>
        </w:trPr>
        <w:tc>
          <w:tcPr>
            <w:tcW w:w="2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w:t>
            </w:r>
          </w:p>
        </w:tc>
        <w:tc>
          <w:tcPr>
            <w:tcW w:w="68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0.181</w:t>
            </w:r>
          </w:p>
        </w:tc>
        <w:tc>
          <w:tcPr>
            <w:tcW w:w="64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0.180</w:t>
            </w:r>
          </w:p>
        </w:tc>
        <w:tc>
          <w:tcPr>
            <w:tcW w:w="54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0.181</w:t>
            </w:r>
          </w:p>
        </w:tc>
        <w:tc>
          <w:tcPr>
            <w:tcW w:w="54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0.001</w:t>
            </w:r>
          </w:p>
        </w:tc>
      </w:tr>
      <w:tr w:rsidR="007147B8" w:rsidTr="00E613FF">
        <w:trPr>
          <w:trHeight w:val="300"/>
        </w:trPr>
        <w:tc>
          <w:tcPr>
            <w:tcW w:w="2592"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681"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648"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540"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540"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2592"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681"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648"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540"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540"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2592" w:type="pct"/>
            <w:noWrap/>
            <w:vAlign w:val="bottom"/>
          </w:tcPr>
          <w:p w:rsidR="007147B8" w:rsidRDefault="007147B8" w:rsidP="00E613FF">
            <w:pPr>
              <w:spacing w:after="0" w:line="240" w:lineRule="atLeast"/>
              <w:rPr>
                <w:rFonts w:ascii="Times New Roman" w:eastAsia="Times New Roman" w:hAnsi="Times New Roman" w:cs="Times New Roman"/>
                <w:color w:val="000000"/>
                <w:sz w:val="16"/>
                <w:szCs w:val="16"/>
              </w:rPr>
            </w:pPr>
          </w:p>
          <w:p w:rsidR="007147B8" w:rsidRDefault="007147B8" w:rsidP="00E613FF">
            <w:pPr>
              <w:spacing w:after="0" w:line="240" w:lineRule="atLeast"/>
              <w:rPr>
                <w:rFonts w:ascii="Times New Roman" w:eastAsia="Times New Roman" w:hAnsi="Times New Roman" w:cs="Times New Roman"/>
                <w:color w:val="000000"/>
                <w:sz w:val="16"/>
                <w:szCs w:val="16"/>
              </w:rPr>
            </w:pPr>
          </w:p>
        </w:tc>
        <w:tc>
          <w:tcPr>
            <w:tcW w:w="681" w:type="pct"/>
            <w:noWrap/>
            <w:vAlign w:val="bottom"/>
            <w:hideMark/>
          </w:tcPr>
          <w:p w:rsidR="007147B8" w:rsidRDefault="007147B8" w:rsidP="00E613FF">
            <w:pPr>
              <w:spacing w:after="0"/>
              <w:rPr>
                <w:rFonts w:cs="Times New Roman"/>
              </w:rPr>
            </w:pPr>
          </w:p>
        </w:tc>
        <w:tc>
          <w:tcPr>
            <w:tcW w:w="648" w:type="pct"/>
            <w:noWrap/>
            <w:vAlign w:val="bottom"/>
            <w:hideMark/>
          </w:tcPr>
          <w:p w:rsidR="007147B8" w:rsidRDefault="007147B8" w:rsidP="00E613FF">
            <w:pPr>
              <w:spacing w:after="0"/>
              <w:rPr>
                <w:rFonts w:cs="Times New Roman"/>
              </w:rPr>
            </w:pPr>
          </w:p>
        </w:tc>
        <w:tc>
          <w:tcPr>
            <w:tcW w:w="540" w:type="pct"/>
            <w:noWrap/>
            <w:vAlign w:val="bottom"/>
            <w:hideMark/>
          </w:tcPr>
          <w:p w:rsidR="007147B8" w:rsidRDefault="007147B8" w:rsidP="00E613FF">
            <w:pPr>
              <w:spacing w:after="0"/>
              <w:rPr>
                <w:rFonts w:cs="Times New Roman"/>
              </w:rPr>
            </w:pPr>
          </w:p>
        </w:tc>
        <w:tc>
          <w:tcPr>
            <w:tcW w:w="540" w:type="pct"/>
            <w:noWrap/>
            <w:vAlign w:val="bottom"/>
            <w:hideMark/>
          </w:tcPr>
          <w:p w:rsidR="007147B8" w:rsidRDefault="007147B8" w:rsidP="00E613FF">
            <w:pPr>
              <w:spacing w:after="0"/>
              <w:rPr>
                <w:rFonts w:cs="Times New Roman"/>
              </w:rPr>
            </w:pPr>
          </w:p>
        </w:tc>
      </w:tr>
      <w:tr w:rsidR="007147B8" w:rsidTr="00E613FF">
        <w:trPr>
          <w:trHeight w:val="300"/>
        </w:trPr>
        <w:tc>
          <w:tcPr>
            <w:tcW w:w="5000" w:type="pct"/>
            <w:gridSpan w:val="5"/>
            <w:tcBorders>
              <w:top w:val="nil"/>
              <w:left w:val="nil"/>
              <w:bottom w:val="single" w:sz="4" w:space="0" w:color="auto"/>
              <w:right w:val="nil"/>
            </w:tcBorders>
            <w:vAlign w:val="bottom"/>
            <w:hideMark/>
          </w:tcPr>
          <w:p w:rsidR="007147B8"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Table 5</w:t>
            </w:r>
            <w:r w:rsidR="00A866B6">
              <w:rPr>
                <w:rFonts w:ascii="Times New Roman" w:eastAsia="Times New Roman" w:hAnsi="Times New Roman" w:cs="Times New Roman"/>
                <w:b/>
                <w:bCs/>
                <w:color w:val="000000"/>
                <w:sz w:val="16"/>
                <w:szCs w:val="16"/>
              </w:rPr>
              <w:t>C</w:t>
            </w:r>
            <w:r w:rsidR="007147B8">
              <w:rPr>
                <w:rFonts w:ascii="Times New Roman" w:eastAsia="Times New Roman" w:hAnsi="Times New Roman" w:cs="Times New Roman"/>
                <w:b/>
                <w:bCs/>
                <w:color w:val="000000"/>
                <w:sz w:val="16"/>
                <w:szCs w:val="16"/>
              </w:rPr>
              <w:t xml:space="preserve">: </w:t>
            </w:r>
            <w:r w:rsidR="007147B8">
              <w:rPr>
                <w:rFonts w:ascii="Times New Roman" w:eastAsia="Times New Roman" w:hAnsi="Times New Roman" w:cs="Times New Roman"/>
                <w:b/>
                <w:bCs/>
                <w:i/>
                <w:iCs/>
                <w:color w:val="000000"/>
                <w:sz w:val="16"/>
                <w:szCs w:val="16"/>
              </w:rPr>
              <w:t>Sulfitobacter</w:t>
            </w:r>
            <w:r w:rsidR="007147B8">
              <w:rPr>
                <w:rFonts w:ascii="Times New Roman" w:eastAsia="Times New Roman" w:hAnsi="Times New Roman" w:cs="Times New Roman"/>
                <w:b/>
                <w:bCs/>
                <w:color w:val="000000"/>
                <w:sz w:val="16"/>
                <w:szCs w:val="16"/>
              </w:rPr>
              <w:t xml:space="preserve"> sp. CB2047 Controls Grown on 10mM Acetate Used in Figure 2b</w:t>
            </w:r>
          </w:p>
        </w:tc>
      </w:tr>
      <w:tr w:rsidR="007147B8" w:rsidTr="00E613FF">
        <w:trPr>
          <w:trHeight w:val="300"/>
        </w:trPr>
        <w:tc>
          <w:tcPr>
            <w:tcW w:w="2592" w:type="pct"/>
            <w:tcBorders>
              <w:top w:val="single" w:sz="4" w:space="0" w:color="auto"/>
              <w:left w:val="nil"/>
              <w:bottom w:val="nil"/>
              <w:right w:val="nil"/>
            </w:tcBorders>
            <w:vAlign w:val="bottom"/>
            <w:hideMark/>
          </w:tcPr>
          <w:p w:rsidR="007147B8" w:rsidRDefault="007147B8" w:rsidP="00E613FF">
            <w:pPr>
              <w:spacing w:after="0"/>
              <w:rPr>
                <w:rFonts w:cs="Times New Roman"/>
              </w:rPr>
            </w:pPr>
          </w:p>
        </w:tc>
        <w:tc>
          <w:tcPr>
            <w:tcW w:w="2408" w:type="pct"/>
            <w:gridSpan w:val="4"/>
            <w:tcBorders>
              <w:top w:val="single" w:sz="4" w:space="0" w:color="auto"/>
              <w:left w:val="nil"/>
              <w:bottom w:val="nil"/>
              <w:right w:val="nil"/>
            </w:tcBorders>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Cell Density at OD</w:t>
            </w:r>
            <w:r>
              <w:rPr>
                <w:rFonts w:ascii="Times New Roman" w:eastAsia="Times New Roman" w:hAnsi="Times New Roman" w:cs="Times New Roman"/>
                <w:b/>
                <w:bCs/>
                <w:color w:val="000000"/>
                <w:sz w:val="16"/>
                <w:szCs w:val="16"/>
                <w:vertAlign w:val="subscript"/>
              </w:rPr>
              <w:t>540</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Time Post Infection in Minutes</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 Replicate 1 </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Replicate 2</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Average </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Range</w:t>
            </w:r>
          </w:p>
        </w:tc>
      </w:tr>
      <w:tr w:rsidR="007147B8" w:rsidTr="00E613FF">
        <w:trPr>
          <w:trHeight w:val="300"/>
        </w:trPr>
        <w:tc>
          <w:tcPr>
            <w:tcW w:w="2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w:t>
            </w:r>
          </w:p>
        </w:tc>
        <w:tc>
          <w:tcPr>
            <w:tcW w:w="68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0.157</w:t>
            </w:r>
          </w:p>
        </w:tc>
        <w:tc>
          <w:tcPr>
            <w:tcW w:w="64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0.163</w:t>
            </w:r>
          </w:p>
        </w:tc>
        <w:tc>
          <w:tcPr>
            <w:tcW w:w="54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0.160</w:t>
            </w:r>
          </w:p>
        </w:tc>
        <w:tc>
          <w:tcPr>
            <w:tcW w:w="54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0.003</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0.155</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0.158</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0.157</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0.003</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0.184</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0.155</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0.170</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0.029</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0.173</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0.166</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0.170</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0.007</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0.196</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0.197</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0.197</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0.001</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0.228</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0.239</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0.234</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0.011</w:t>
            </w:r>
          </w:p>
        </w:tc>
      </w:tr>
      <w:tr w:rsidR="007147B8" w:rsidTr="00E613FF">
        <w:trPr>
          <w:trHeight w:val="300"/>
        </w:trPr>
        <w:tc>
          <w:tcPr>
            <w:tcW w:w="2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6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0.262</w:t>
            </w:r>
          </w:p>
        </w:tc>
        <w:tc>
          <w:tcPr>
            <w:tcW w:w="6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0.266</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0.264</w:t>
            </w:r>
          </w:p>
        </w:tc>
        <w:tc>
          <w:tcPr>
            <w:tcW w:w="54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0.004</w:t>
            </w:r>
          </w:p>
        </w:tc>
      </w:tr>
      <w:tr w:rsidR="007147B8" w:rsidTr="00E613FF">
        <w:trPr>
          <w:trHeight w:val="300"/>
        </w:trPr>
        <w:tc>
          <w:tcPr>
            <w:tcW w:w="2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w:t>
            </w:r>
          </w:p>
        </w:tc>
        <w:tc>
          <w:tcPr>
            <w:tcW w:w="68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0.305</w:t>
            </w:r>
          </w:p>
        </w:tc>
        <w:tc>
          <w:tcPr>
            <w:tcW w:w="64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0.336</w:t>
            </w:r>
          </w:p>
        </w:tc>
        <w:tc>
          <w:tcPr>
            <w:tcW w:w="54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0.321</w:t>
            </w:r>
          </w:p>
        </w:tc>
        <w:tc>
          <w:tcPr>
            <w:tcW w:w="54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0.031</w:t>
            </w:r>
          </w:p>
        </w:tc>
      </w:tr>
      <w:tr w:rsidR="007147B8" w:rsidTr="00E613FF">
        <w:trPr>
          <w:trHeight w:val="300"/>
        </w:trPr>
        <w:tc>
          <w:tcPr>
            <w:tcW w:w="2592"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681"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648"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540"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540"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tbl>
      <w:tblPr>
        <w:tblW w:w="5000" w:type="pct"/>
        <w:tblLook w:val="04A0" w:firstRow="1" w:lastRow="0" w:firstColumn="1" w:lastColumn="0" w:noHBand="0" w:noVBand="1"/>
      </w:tblPr>
      <w:tblGrid>
        <w:gridCol w:w="5508"/>
        <w:gridCol w:w="1124"/>
        <w:gridCol w:w="982"/>
        <w:gridCol w:w="1048"/>
        <w:gridCol w:w="914"/>
      </w:tblGrid>
      <w:tr w:rsidR="007147B8" w:rsidTr="00E613FF">
        <w:trPr>
          <w:trHeight w:val="300"/>
        </w:trPr>
        <w:tc>
          <w:tcPr>
            <w:tcW w:w="5000" w:type="pct"/>
            <w:gridSpan w:val="5"/>
            <w:tcBorders>
              <w:top w:val="nil"/>
              <w:left w:val="nil"/>
              <w:bottom w:val="single" w:sz="4" w:space="0" w:color="000000" w:themeColor="text1"/>
              <w:right w:val="nil"/>
            </w:tcBorders>
            <w:vAlign w:val="bottom"/>
            <w:hideMark/>
          </w:tcPr>
          <w:p w:rsidR="007147B8"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Table 6</w:t>
            </w:r>
            <w:r w:rsidR="007147B8">
              <w:rPr>
                <w:rFonts w:ascii="Times New Roman" w:eastAsia="Times New Roman" w:hAnsi="Times New Roman" w:cs="Times New Roman"/>
                <w:b/>
                <w:bCs/>
                <w:color w:val="000000"/>
                <w:sz w:val="16"/>
                <w:szCs w:val="16"/>
              </w:rPr>
              <w:t>: Glutamate and Glutamine Concentrations in Control (fg/cell) Used in Figure 2c</w:t>
            </w:r>
          </w:p>
        </w:tc>
      </w:tr>
      <w:tr w:rsidR="007147B8" w:rsidTr="00E613FF">
        <w:trPr>
          <w:trHeight w:val="300"/>
        </w:trPr>
        <w:tc>
          <w:tcPr>
            <w:tcW w:w="2876" w:type="pct"/>
            <w:tcBorders>
              <w:top w:val="single" w:sz="4" w:space="0" w:color="000000" w:themeColor="text1"/>
              <w:left w:val="nil"/>
              <w:bottom w:val="nil"/>
              <w:right w:val="nil"/>
            </w:tcBorders>
            <w:vAlign w:val="bottom"/>
            <w:hideMark/>
          </w:tcPr>
          <w:p w:rsidR="007147B8" w:rsidRDefault="007147B8" w:rsidP="00E613FF">
            <w:pPr>
              <w:spacing w:after="0"/>
              <w:rPr>
                <w:rFonts w:cs="Times New Roman"/>
              </w:rPr>
            </w:pPr>
          </w:p>
        </w:tc>
        <w:tc>
          <w:tcPr>
            <w:tcW w:w="1100" w:type="pct"/>
            <w:gridSpan w:val="2"/>
            <w:tcBorders>
              <w:top w:val="single" w:sz="4" w:space="0" w:color="000000" w:themeColor="text1"/>
              <w:left w:val="nil"/>
              <w:bottom w:val="nil"/>
              <w:right w:val="nil"/>
            </w:tcBorders>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Glutamate</w:t>
            </w:r>
          </w:p>
        </w:tc>
        <w:tc>
          <w:tcPr>
            <w:tcW w:w="1024" w:type="pct"/>
            <w:gridSpan w:val="2"/>
            <w:tcBorders>
              <w:top w:val="single" w:sz="4" w:space="0" w:color="000000" w:themeColor="text1"/>
              <w:left w:val="nil"/>
              <w:bottom w:val="nil"/>
              <w:right w:val="nil"/>
            </w:tcBorders>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Glutamine</w:t>
            </w:r>
          </w:p>
        </w:tc>
      </w:tr>
      <w:tr w:rsidR="007147B8" w:rsidTr="00E613FF">
        <w:trPr>
          <w:trHeight w:val="300"/>
        </w:trPr>
        <w:tc>
          <w:tcPr>
            <w:tcW w:w="2876"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Time Post Infection in Minutes</w:t>
            </w:r>
          </w:p>
        </w:tc>
        <w:tc>
          <w:tcPr>
            <w:tcW w:w="587"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Control</w:t>
            </w:r>
          </w:p>
        </w:tc>
        <w:tc>
          <w:tcPr>
            <w:tcW w:w="513"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STDev</w:t>
            </w:r>
          </w:p>
        </w:tc>
        <w:tc>
          <w:tcPr>
            <w:tcW w:w="547"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Control</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STDev</w:t>
            </w:r>
          </w:p>
        </w:tc>
      </w:tr>
      <w:tr w:rsidR="007147B8" w:rsidTr="00E613FF">
        <w:trPr>
          <w:trHeight w:val="285"/>
        </w:trPr>
        <w:tc>
          <w:tcPr>
            <w:tcW w:w="287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58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56.66</w:t>
            </w:r>
          </w:p>
        </w:tc>
        <w:tc>
          <w:tcPr>
            <w:tcW w:w="51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10.85</w:t>
            </w:r>
          </w:p>
        </w:tc>
        <w:tc>
          <w:tcPr>
            <w:tcW w:w="54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w:t>
            </w:r>
          </w:p>
        </w:tc>
        <w:tc>
          <w:tcPr>
            <w:tcW w:w="47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r>
      <w:tr w:rsidR="007147B8" w:rsidTr="00E613FF">
        <w:trPr>
          <w:trHeight w:val="285"/>
        </w:trPr>
        <w:tc>
          <w:tcPr>
            <w:tcW w:w="28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58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69.50</w:t>
            </w:r>
          </w:p>
        </w:tc>
        <w:tc>
          <w:tcPr>
            <w:tcW w:w="5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8.38</w:t>
            </w:r>
          </w:p>
        </w:tc>
        <w:tc>
          <w:tcPr>
            <w:tcW w:w="5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5.32</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r>
      <w:tr w:rsidR="007147B8" w:rsidTr="00E613FF">
        <w:trPr>
          <w:trHeight w:val="285"/>
        </w:trPr>
        <w:tc>
          <w:tcPr>
            <w:tcW w:w="28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58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62.70</w:t>
            </w:r>
          </w:p>
        </w:tc>
        <w:tc>
          <w:tcPr>
            <w:tcW w:w="5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5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5.02</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r>
      <w:tr w:rsidR="007147B8" w:rsidTr="00E613FF">
        <w:trPr>
          <w:trHeight w:val="285"/>
        </w:trPr>
        <w:tc>
          <w:tcPr>
            <w:tcW w:w="28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58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54.88</w:t>
            </w:r>
          </w:p>
        </w:tc>
        <w:tc>
          <w:tcPr>
            <w:tcW w:w="5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8.89</w:t>
            </w:r>
          </w:p>
        </w:tc>
        <w:tc>
          <w:tcPr>
            <w:tcW w:w="5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r>
      <w:tr w:rsidR="007147B8" w:rsidTr="00E613FF">
        <w:trPr>
          <w:trHeight w:val="285"/>
        </w:trPr>
        <w:tc>
          <w:tcPr>
            <w:tcW w:w="28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58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65.72</w:t>
            </w:r>
          </w:p>
        </w:tc>
        <w:tc>
          <w:tcPr>
            <w:tcW w:w="5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w:t>
            </w:r>
          </w:p>
        </w:tc>
        <w:tc>
          <w:tcPr>
            <w:tcW w:w="5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r>
      <w:tr w:rsidR="007147B8" w:rsidTr="00E613FF">
        <w:trPr>
          <w:trHeight w:val="285"/>
        </w:trPr>
        <w:tc>
          <w:tcPr>
            <w:tcW w:w="28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58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66.45</w:t>
            </w:r>
          </w:p>
        </w:tc>
        <w:tc>
          <w:tcPr>
            <w:tcW w:w="5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14.93</w:t>
            </w:r>
          </w:p>
        </w:tc>
        <w:tc>
          <w:tcPr>
            <w:tcW w:w="5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r>
      <w:tr w:rsidR="007147B8" w:rsidTr="00E613FF">
        <w:trPr>
          <w:trHeight w:val="285"/>
        </w:trPr>
        <w:tc>
          <w:tcPr>
            <w:tcW w:w="287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w:t>
            </w:r>
          </w:p>
        </w:tc>
        <w:tc>
          <w:tcPr>
            <w:tcW w:w="58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70.84</w:t>
            </w:r>
          </w:p>
        </w:tc>
        <w:tc>
          <w:tcPr>
            <w:tcW w:w="51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3.42</w:t>
            </w:r>
          </w:p>
        </w:tc>
        <w:tc>
          <w:tcPr>
            <w:tcW w:w="54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w:t>
            </w:r>
          </w:p>
        </w:tc>
        <w:tc>
          <w:tcPr>
            <w:tcW w:w="47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w:t>
            </w:r>
          </w:p>
        </w:tc>
      </w:tr>
      <w:tr w:rsidR="007147B8" w:rsidTr="00E613FF">
        <w:trPr>
          <w:trHeight w:val="285"/>
        </w:trPr>
        <w:tc>
          <w:tcPr>
            <w:tcW w:w="2876"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587"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513"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547"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478"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tbl>
      <w:tblPr>
        <w:tblW w:w="5000" w:type="pct"/>
        <w:tblLook w:val="04A0" w:firstRow="1" w:lastRow="0" w:firstColumn="1" w:lastColumn="0" w:noHBand="0" w:noVBand="1"/>
      </w:tblPr>
      <w:tblGrid>
        <w:gridCol w:w="5449"/>
        <w:gridCol w:w="1164"/>
        <w:gridCol w:w="971"/>
        <w:gridCol w:w="1086"/>
        <w:gridCol w:w="906"/>
      </w:tblGrid>
      <w:tr w:rsidR="007147B8" w:rsidTr="00E613FF">
        <w:trPr>
          <w:trHeight w:val="300"/>
        </w:trPr>
        <w:tc>
          <w:tcPr>
            <w:tcW w:w="5000" w:type="pct"/>
            <w:gridSpan w:val="5"/>
            <w:tcBorders>
              <w:top w:val="nil"/>
              <w:left w:val="nil"/>
              <w:bottom w:val="single" w:sz="4" w:space="0" w:color="000000" w:themeColor="text1"/>
              <w:right w:val="nil"/>
            </w:tcBorders>
            <w:vAlign w:val="bottom"/>
            <w:hideMark/>
          </w:tcPr>
          <w:p w:rsidR="007147B8"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Table 7</w:t>
            </w:r>
            <w:r w:rsidR="007147B8">
              <w:rPr>
                <w:rFonts w:ascii="Times New Roman" w:eastAsia="Times New Roman" w:hAnsi="Times New Roman" w:cs="Times New Roman"/>
                <w:b/>
                <w:bCs/>
                <w:color w:val="000000"/>
                <w:sz w:val="16"/>
                <w:szCs w:val="16"/>
              </w:rPr>
              <w:t>: Glutamate and Glutamine Concentrations in Infected (fg/cell) Used in Figure 2d</w:t>
            </w:r>
          </w:p>
        </w:tc>
      </w:tr>
      <w:tr w:rsidR="007147B8" w:rsidTr="00E613FF">
        <w:trPr>
          <w:trHeight w:val="300"/>
        </w:trPr>
        <w:tc>
          <w:tcPr>
            <w:tcW w:w="2845" w:type="pct"/>
            <w:tcBorders>
              <w:top w:val="single" w:sz="4" w:space="0" w:color="000000" w:themeColor="text1"/>
              <w:left w:val="nil"/>
              <w:bottom w:val="nil"/>
              <w:right w:val="nil"/>
            </w:tcBorders>
            <w:vAlign w:val="bottom"/>
            <w:hideMark/>
          </w:tcPr>
          <w:p w:rsidR="007147B8" w:rsidRDefault="007147B8" w:rsidP="00E613FF">
            <w:pPr>
              <w:spacing w:after="0"/>
              <w:rPr>
                <w:rFonts w:cs="Times New Roman"/>
              </w:rPr>
            </w:pPr>
          </w:p>
        </w:tc>
        <w:tc>
          <w:tcPr>
            <w:tcW w:w="1115" w:type="pct"/>
            <w:gridSpan w:val="2"/>
            <w:tcBorders>
              <w:top w:val="single" w:sz="4" w:space="0" w:color="000000" w:themeColor="text1"/>
              <w:left w:val="nil"/>
              <w:bottom w:val="nil"/>
              <w:right w:val="nil"/>
            </w:tcBorders>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Glutamate</w:t>
            </w:r>
          </w:p>
        </w:tc>
        <w:tc>
          <w:tcPr>
            <w:tcW w:w="1039" w:type="pct"/>
            <w:gridSpan w:val="2"/>
            <w:tcBorders>
              <w:top w:val="single" w:sz="4" w:space="0" w:color="000000" w:themeColor="text1"/>
              <w:left w:val="nil"/>
              <w:bottom w:val="nil"/>
              <w:right w:val="nil"/>
            </w:tcBorders>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Glutamine</w:t>
            </w:r>
          </w:p>
        </w:tc>
      </w:tr>
      <w:tr w:rsidR="007147B8" w:rsidTr="00E613FF">
        <w:trPr>
          <w:trHeight w:val="300"/>
        </w:trPr>
        <w:tc>
          <w:tcPr>
            <w:tcW w:w="2845"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Time Post Infection in Minutes</w:t>
            </w:r>
          </w:p>
        </w:tc>
        <w:tc>
          <w:tcPr>
            <w:tcW w:w="608"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Infected</w:t>
            </w:r>
          </w:p>
        </w:tc>
        <w:tc>
          <w:tcPr>
            <w:tcW w:w="507"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STDev</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Infected</w:t>
            </w:r>
          </w:p>
        </w:tc>
        <w:tc>
          <w:tcPr>
            <w:tcW w:w="473"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STDev</w:t>
            </w:r>
          </w:p>
        </w:tc>
      </w:tr>
      <w:tr w:rsidR="007147B8" w:rsidTr="00E613FF">
        <w:trPr>
          <w:trHeight w:val="285"/>
        </w:trPr>
        <w:tc>
          <w:tcPr>
            <w:tcW w:w="2845"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60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77.14</w:t>
            </w:r>
          </w:p>
        </w:tc>
        <w:tc>
          <w:tcPr>
            <w:tcW w:w="50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w:t>
            </w:r>
          </w:p>
        </w:tc>
        <w:tc>
          <w:tcPr>
            <w:tcW w:w="56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5.58</w:t>
            </w:r>
          </w:p>
        </w:tc>
        <w:tc>
          <w:tcPr>
            <w:tcW w:w="47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r>
      <w:tr w:rsidR="007147B8" w:rsidTr="00E613FF">
        <w:trPr>
          <w:trHeight w:val="285"/>
        </w:trPr>
        <w:tc>
          <w:tcPr>
            <w:tcW w:w="284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6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96.68</w:t>
            </w:r>
          </w:p>
        </w:tc>
        <w:tc>
          <w:tcPr>
            <w:tcW w:w="5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10.12</w:t>
            </w:r>
          </w:p>
        </w:tc>
        <w:tc>
          <w:tcPr>
            <w:tcW w:w="4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r>
      <w:tr w:rsidR="007147B8" w:rsidTr="00E613FF">
        <w:trPr>
          <w:trHeight w:val="285"/>
        </w:trPr>
        <w:tc>
          <w:tcPr>
            <w:tcW w:w="284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6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86.13</w:t>
            </w:r>
          </w:p>
        </w:tc>
        <w:tc>
          <w:tcPr>
            <w:tcW w:w="5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14.68</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10.35</w:t>
            </w:r>
          </w:p>
        </w:tc>
        <w:tc>
          <w:tcPr>
            <w:tcW w:w="4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w:t>
            </w:r>
          </w:p>
        </w:tc>
      </w:tr>
      <w:tr w:rsidR="007147B8" w:rsidTr="00E613FF">
        <w:trPr>
          <w:trHeight w:val="285"/>
        </w:trPr>
        <w:tc>
          <w:tcPr>
            <w:tcW w:w="284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6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81.67</w:t>
            </w:r>
          </w:p>
        </w:tc>
        <w:tc>
          <w:tcPr>
            <w:tcW w:w="5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10.36</w:t>
            </w:r>
          </w:p>
        </w:tc>
        <w:tc>
          <w:tcPr>
            <w:tcW w:w="4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r>
      <w:tr w:rsidR="007147B8" w:rsidTr="00E613FF">
        <w:trPr>
          <w:trHeight w:val="285"/>
        </w:trPr>
        <w:tc>
          <w:tcPr>
            <w:tcW w:w="284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6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112.54</w:t>
            </w:r>
          </w:p>
        </w:tc>
        <w:tc>
          <w:tcPr>
            <w:tcW w:w="5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13.90</w:t>
            </w:r>
          </w:p>
        </w:tc>
        <w:tc>
          <w:tcPr>
            <w:tcW w:w="4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r>
      <w:tr w:rsidR="007147B8" w:rsidTr="00E613FF">
        <w:trPr>
          <w:trHeight w:val="285"/>
        </w:trPr>
        <w:tc>
          <w:tcPr>
            <w:tcW w:w="284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6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119.39</w:t>
            </w:r>
          </w:p>
        </w:tc>
        <w:tc>
          <w:tcPr>
            <w:tcW w:w="5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16.61</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13.15</w:t>
            </w:r>
          </w:p>
        </w:tc>
        <w:tc>
          <w:tcPr>
            <w:tcW w:w="4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r>
      <w:tr w:rsidR="007147B8" w:rsidTr="00E613FF">
        <w:trPr>
          <w:trHeight w:val="285"/>
        </w:trPr>
        <w:tc>
          <w:tcPr>
            <w:tcW w:w="284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w:t>
            </w:r>
          </w:p>
        </w:tc>
        <w:tc>
          <w:tcPr>
            <w:tcW w:w="60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137.99</w:t>
            </w:r>
          </w:p>
        </w:tc>
        <w:tc>
          <w:tcPr>
            <w:tcW w:w="50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8.01</w:t>
            </w:r>
          </w:p>
        </w:tc>
        <w:tc>
          <w:tcPr>
            <w:tcW w:w="56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12.27</w:t>
            </w:r>
          </w:p>
        </w:tc>
        <w:tc>
          <w:tcPr>
            <w:tcW w:w="47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w:t>
            </w:r>
          </w:p>
        </w:tc>
      </w:tr>
      <w:tr w:rsidR="007147B8" w:rsidTr="00E613FF">
        <w:trPr>
          <w:trHeight w:val="285"/>
        </w:trPr>
        <w:tc>
          <w:tcPr>
            <w:tcW w:w="2845"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608"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507"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567"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473"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tbl>
      <w:tblPr>
        <w:tblW w:w="5000" w:type="pct"/>
        <w:tblLook w:val="04A0" w:firstRow="1" w:lastRow="0" w:firstColumn="1" w:lastColumn="0" w:noHBand="0" w:noVBand="1"/>
      </w:tblPr>
      <w:tblGrid>
        <w:gridCol w:w="5752"/>
        <w:gridCol w:w="1511"/>
        <w:gridCol w:w="1580"/>
        <w:gridCol w:w="243"/>
        <w:gridCol w:w="243"/>
        <w:gridCol w:w="247"/>
      </w:tblGrid>
      <w:tr w:rsidR="007147B8" w:rsidTr="00E613FF">
        <w:trPr>
          <w:trHeight w:val="285"/>
        </w:trPr>
        <w:tc>
          <w:tcPr>
            <w:tcW w:w="5000" w:type="pct"/>
            <w:gridSpan w:val="6"/>
            <w:tcBorders>
              <w:top w:val="nil"/>
              <w:left w:val="nil"/>
              <w:bottom w:val="single" w:sz="4" w:space="0" w:color="000000" w:themeColor="text1"/>
              <w:right w:val="nil"/>
            </w:tcBorders>
            <w:noWrap/>
            <w:vAlign w:val="bottom"/>
            <w:hideMark/>
          </w:tcPr>
          <w:p w:rsidR="007147B8" w:rsidRDefault="00BB0756" w:rsidP="00E613FF">
            <w:pPr>
              <w:spacing w:after="0" w:line="240" w:lineRule="auto"/>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Table 8</w:t>
            </w:r>
            <w:r w:rsidR="0042122B">
              <w:rPr>
                <w:rFonts w:ascii="Times New Roman" w:eastAsia="Times New Roman" w:hAnsi="Times New Roman" w:cs="Times New Roman"/>
                <w:b/>
                <w:bCs/>
                <w:color w:val="000000"/>
                <w:sz w:val="16"/>
                <w:szCs w:val="16"/>
              </w:rPr>
              <w:t xml:space="preserve">: Glutamate </w:t>
            </w:r>
            <w:r w:rsidR="007147B8">
              <w:rPr>
                <w:rFonts w:ascii="Times New Roman" w:eastAsia="Times New Roman" w:hAnsi="Times New Roman" w:cs="Times New Roman"/>
                <w:b/>
                <w:bCs/>
                <w:color w:val="000000"/>
                <w:sz w:val="16"/>
                <w:szCs w:val="16"/>
              </w:rPr>
              <w:t>to Glutamine Ratios for Control and Infected Used in Figure 2e</w:t>
            </w:r>
          </w:p>
          <w:p w:rsidR="00A22139" w:rsidRDefault="00A22139" w:rsidP="00E613FF">
            <w:pPr>
              <w:spacing w:after="0" w:line="240" w:lineRule="auto"/>
              <w:rPr>
                <w:rFonts w:ascii="Times New Roman" w:eastAsia="Times New Roman" w:hAnsi="Times New Roman" w:cs="Times New Roman"/>
                <w:b/>
                <w:bCs/>
                <w:color w:val="000000"/>
                <w:sz w:val="16"/>
                <w:szCs w:val="16"/>
              </w:rPr>
            </w:pPr>
          </w:p>
        </w:tc>
      </w:tr>
      <w:tr w:rsidR="007147B8" w:rsidTr="00E613FF">
        <w:trPr>
          <w:trHeight w:val="285"/>
        </w:trPr>
        <w:tc>
          <w:tcPr>
            <w:tcW w:w="3003"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Time Post Infection in Minutes</w:t>
            </w:r>
          </w:p>
        </w:tc>
        <w:tc>
          <w:tcPr>
            <w:tcW w:w="789"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Control</w:t>
            </w:r>
          </w:p>
        </w:tc>
        <w:tc>
          <w:tcPr>
            <w:tcW w:w="825"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Infected</w:t>
            </w:r>
          </w:p>
        </w:tc>
        <w:tc>
          <w:tcPr>
            <w:tcW w:w="127"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127"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127"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r>
      <w:tr w:rsidR="007147B8" w:rsidTr="00E613FF">
        <w:trPr>
          <w:trHeight w:val="285"/>
        </w:trPr>
        <w:tc>
          <w:tcPr>
            <w:tcW w:w="3003" w:type="pct"/>
            <w:tcBorders>
              <w:top w:val="single" w:sz="4" w:space="0" w:color="000000" w:themeColor="text1"/>
              <w:left w:val="nil"/>
              <w:bottom w:val="nil"/>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789" w:type="pct"/>
            <w:tcBorders>
              <w:top w:val="single" w:sz="4" w:space="0" w:color="000000" w:themeColor="text1"/>
              <w:left w:val="nil"/>
              <w:bottom w:val="nil"/>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17.76</w:t>
            </w:r>
          </w:p>
        </w:tc>
        <w:tc>
          <w:tcPr>
            <w:tcW w:w="825" w:type="pct"/>
            <w:tcBorders>
              <w:top w:val="single" w:sz="4" w:space="0" w:color="000000" w:themeColor="text1"/>
              <w:left w:val="nil"/>
              <w:bottom w:val="nil"/>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13.82</w:t>
            </w:r>
          </w:p>
        </w:tc>
        <w:tc>
          <w:tcPr>
            <w:tcW w:w="127"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127"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c>
          <w:tcPr>
            <w:tcW w:w="127" w:type="pct"/>
            <w:tcBorders>
              <w:top w:val="single" w:sz="4" w:space="0" w:color="000000" w:themeColor="text1"/>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285"/>
        </w:trPr>
        <w:tc>
          <w:tcPr>
            <w:tcW w:w="3003"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789"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13.07</w:t>
            </w:r>
          </w:p>
        </w:tc>
        <w:tc>
          <w:tcPr>
            <w:tcW w:w="825"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9.56</w:t>
            </w:r>
          </w:p>
        </w:tc>
        <w:tc>
          <w:tcPr>
            <w:tcW w:w="127" w:type="pct"/>
            <w:noWrap/>
            <w:vAlign w:val="bottom"/>
            <w:hideMark/>
          </w:tcPr>
          <w:p w:rsidR="007147B8" w:rsidRDefault="007147B8" w:rsidP="00E613FF">
            <w:pPr>
              <w:spacing w:after="0"/>
              <w:rPr>
                <w:rFonts w:cs="Times New Roman"/>
              </w:rPr>
            </w:pPr>
          </w:p>
        </w:tc>
        <w:tc>
          <w:tcPr>
            <w:tcW w:w="127" w:type="pct"/>
            <w:noWrap/>
            <w:vAlign w:val="bottom"/>
            <w:hideMark/>
          </w:tcPr>
          <w:p w:rsidR="007147B8" w:rsidRDefault="007147B8" w:rsidP="00E613FF">
            <w:pPr>
              <w:spacing w:after="0"/>
              <w:rPr>
                <w:rFonts w:cs="Times New Roman"/>
              </w:rPr>
            </w:pPr>
          </w:p>
        </w:tc>
        <w:tc>
          <w:tcPr>
            <w:tcW w:w="127" w:type="pct"/>
            <w:noWrap/>
            <w:vAlign w:val="bottom"/>
            <w:hideMark/>
          </w:tcPr>
          <w:p w:rsidR="007147B8" w:rsidRDefault="007147B8" w:rsidP="00E613FF">
            <w:pPr>
              <w:spacing w:after="0"/>
              <w:rPr>
                <w:rFonts w:cs="Times New Roman"/>
              </w:rPr>
            </w:pPr>
          </w:p>
        </w:tc>
      </w:tr>
      <w:tr w:rsidR="007147B8" w:rsidTr="00E613FF">
        <w:trPr>
          <w:trHeight w:val="285"/>
        </w:trPr>
        <w:tc>
          <w:tcPr>
            <w:tcW w:w="3003"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789"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12.49</w:t>
            </w:r>
          </w:p>
        </w:tc>
        <w:tc>
          <w:tcPr>
            <w:tcW w:w="825"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8.32</w:t>
            </w:r>
          </w:p>
        </w:tc>
        <w:tc>
          <w:tcPr>
            <w:tcW w:w="127" w:type="pct"/>
            <w:noWrap/>
            <w:vAlign w:val="bottom"/>
            <w:hideMark/>
          </w:tcPr>
          <w:p w:rsidR="007147B8" w:rsidRDefault="007147B8" w:rsidP="00E613FF">
            <w:pPr>
              <w:spacing w:after="0"/>
              <w:rPr>
                <w:rFonts w:cs="Times New Roman"/>
              </w:rPr>
            </w:pPr>
          </w:p>
        </w:tc>
        <w:tc>
          <w:tcPr>
            <w:tcW w:w="127" w:type="pct"/>
            <w:noWrap/>
            <w:vAlign w:val="bottom"/>
            <w:hideMark/>
          </w:tcPr>
          <w:p w:rsidR="007147B8" w:rsidRDefault="007147B8" w:rsidP="00E613FF">
            <w:pPr>
              <w:spacing w:after="0"/>
              <w:rPr>
                <w:rFonts w:cs="Times New Roman"/>
              </w:rPr>
            </w:pPr>
          </w:p>
        </w:tc>
        <w:tc>
          <w:tcPr>
            <w:tcW w:w="127" w:type="pct"/>
            <w:noWrap/>
            <w:vAlign w:val="bottom"/>
            <w:hideMark/>
          </w:tcPr>
          <w:p w:rsidR="007147B8" w:rsidRDefault="007147B8" w:rsidP="00E613FF">
            <w:pPr>
              <w:spacing w:after="0"/>
              <w:rPr>
                <w:rFonts w:cs="Times New Roman"/>
              </w:rPr>
            </w:pPr>
          </w:p>
        </w:tc>
      </w:tr>
      <w:tr w:rsidR="007147B8" w:rsidTr="00E613FF">
        <w:trPr>
          <w:trHeight w:val="285"/>
        </w:trPr>
        <w:tc>
          <w:tcPr>
            <w:tcW w:w="3003"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789"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14.94</w:t>
            </w:r>
          </w:p>
        </w:tc>
        <w:tc>
          <w:tcPr>
            <w:tcW w:w="825"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7.88</w:t>
            </w:r>
          </w:p>
        </w:tc>
        <w:tc>
          <w:tcPr>
            <w:tcW w:w="127" w:type="pct"/>
            <w:noWrap/>
            <w:vAlign w:val="bottom"/>
            <w:hideMark/>
          </w:tcPr>
          <w:p w:rsidR="007147B8" w:rsidRDefault="007147B8" w:rsidP="00E613FF">
            <w:pPr>
              <w:spacing w:after="0"/>
              <w:rPr>
                <w:rFonts w:cs="Times New Roman"/>
              </w:rPr>
            </w:pPr>
          </w:p>
        </w:tc>
        <w:tc>
          <w:tcPr>
            <w:tcW w:w="127" w:type="pct"/>
            <w:noWrap/>
            <w:vAlign w:val="bottom"/>
            <w:hideMark/>
          </w:tcPr>
          <w:p w:rsidR="007147B8" w:rsidRDefault="007147B8" w:rsidP="00E613FF">
            <w:pPr>
              <w:spacing w:after="0"/>
              <w:rPr>
                <w:rFonts w:cs="Times New Roman"/>
              </w:rPr>
            </w:pPr>
          </w:p>
        </w:tc>
        <w:tc>
          <w:tcPr>
            <w:tcW w:w="127" w:type="pct"/>
            <w:noWrap/>
            <w:vAlign w:val="bottom"/>
            <w:hideMark/>
          </w:tcPr>
          <w:p w:rsidR="007147B8" w:rsidRDefault="007147B8" w:rsidP="00E613FF">
            <w:pPr>
              <w:spacing w:after="0"/>
              <w:rPr>
                <w:rFonts w:cs="Times New Roman"/>
              </w:rPr>
            </w:pPr>
          </w:p>
        </w:tc>
      </w:tr>
      <w:tr w:rsidR="007147B8" w:rsidTr="00E613FF">
        <w:trPr>
          <w:trHeight w:val="285"/>
        </w:trPr>
        <w:tc>
          <w:tcPr>
            <w:tcW w:w="3003"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789"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18.21</w:t>
            </w:r>
          </w:p>
        </w:tc>
        <w:tc>
          <w:tcPr>
            <w:tcW w:w="825"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8.10</w:t>
            </w:r>
          </w:p>
        </w:tc>
        <w:tc>
          <w:tcPr>
            <w:tcW w:w="127" w:type="pct"/>
            <w:noWrap/>
            <w:vAlign w:val="bottom"/>
            <w:hideMark/>
          </w:tcPr>
          <w:p w:rsidR="007147B8" w:rsidRDefault="007147B8" w:rsidP="00E613FF">
            <w:pPr>
              <w:spacing w:after="0"/>
              <w:rPr>
                <w:rFonts w:cs="Times New Roman"/>
              </w:rPr>
            </w:pPr>
          </w:p>
        </w:tc>
        <w:tc>
          <w:tcPr>
            <w:tcW w:w="127" w:type="pct"/>
            <w:noWrap/>
            <w:vAlign w:val="bottom"/>
            <w:hideMark/>
          </w:tcPr>
          <w:p w:rsidR="007147B8" w:rsidRDefault="007147B8" w:rsidP="00E613FF">
            <w:pPr>
              <w:spacing w:after="0"/>
              <w:rPr>
                <w:rFonts w:cs="Times New Roman"/>
              </w:rPr>
            </w:pPr>
          </w:p>
        </w:tc>
        <w:tc>
          <w:tcPr>
            <w:tcW w:w="127" w:type="pct"/>
            <w:noWrap/>
            <w:vAlign w:val="bottom"/>
            <w:hideMark/>
          </w:tcPr>
          <w:p w:rsidR="007147B8" w:rsidRDefault="007147B8" w:rsidP="00E613FF">
            <w:pPr>
              <w:spacing w:after="0"/>
              <w:rPr>
                <w:rFonts w:cs="Times New Roman"/>
              </w:rPr>
            </w:pPr>
          </w:p>
        </w:tc>
      </w:tr>
      <w:tr w:rsidR="007147B8" w:rsidTr="00E613FF">
        <w:trPr>
          <w:trHeight w:val="285"/>
        </w:trPr>
        <w:tc>
          <w:tcPr>
            <w:tcW w:w="3003"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789"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24.89</w:t>
            </w:r>
          </w:p>
        </w:tc>
        <w:tc>
          <w:tcPr>
            <w:tcW w:w="825" w:type="pct"/>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9.08</w:t>
            </w:r>
          </w:p>
        </w:tc>
        <w:tc>
          <w:tcPr>
            <w:tcW w:w="127" w:type="pct"/>
            <w:noWrap/>
            <w:vAlign w:val="bottom"/>
            <w:hideMark/>
          </w:tcPr>
          <w:p w:rsidR="007147B8" w:rsidRDefault="007147B8" w:rsidP="00E613FF">
            <w:pPr>
              <w:spacing w:after="0"/>
              <w:rPr>
                <w:rFonts w:cs="Times New Roman"/>
              </w:rPr>
            </w:pPr>
          </w:p>
        </w:tc>
        <w:tc>
          <w:tcPr>
            <w:tcW w:w="127" w:type="pct"/>
            <w:noWrap/>
            <w:vAlign w:val="bottom"/>
            <w:hideMark/>
          </w:tcPr>
          <w:p w:rsidR="007147B8" w:rsidRDefault="007147B8" w:rsidP="00E613FF">
            <w:pPr>
              <w:spacing w:after="0"/>
              <w:rPr>
                <w:rFonts w:cs="Times New Roman"/>
              </w:rPr>
            </w:pPr>
          </w:p>
        </w:tc>
        <w:tc>
          <w:tcPr>
            <w:tcW w:w="127" w:type="pct"/>
            <w:noWrap/>
            <w:vAlign w:val="bottom"/>
            <w:hideMark/>
          </w:tcPr>
          <w:p w:rsidR="007147B8" w:rsidRDefault="007147B8" w:rsidP="00E613FF">
            <w:pPr>
              <w:spacing w:after="0"/>
              <w:rPr>
                <w:rFonts w:cs="Times New Roman"/>
              </w:rPr>
            </w:pPr>
          </w:p>
        </w:tc>
      </w:tr>
      <w:tr w:rsidR="007147B8" w:rsidTr="00E613FF">
        <w:trPr>
          <w:trHeight w:val="285"/>
        </w:trPr>
        <w:tc>
          <w:tcPr>
            <w:tcW w:w="3003" w:type="pct"/>
            <w:tcBorders>
              <w:top w:val="nil"/>
              <w:left w:val="nil"/>
              <w:bottom w:val="single" w:sz="4" w:space="0" w:color="000000" w:themeColor="text1"/>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w:t>
            </w:r>
          </w:p>
        </w:tc>
        <w:tc>
          <w:tcPr>
            <w:tcW w:w="789" w:type="pct"/>
            <w:tcBorders>
              <w:top w:val="nil"/>
              <w:left w:val="nil"/>
              <w:bottom w:val="single" w:sz="4" w:space="0" w:color="000000" w:themeColor="text1"/>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34.97</w:t>
            </w:r>
          </w:p>
        </w:tc>
        <w:tc>
          <w:tcPr>
            <w:tcW w:w="825" w:type="pct"/>
            <w:tcBorders>
              <w:top w:val="nil"/>
              <w:left w:val="nil"/>
              <w:bottom w:val="single" w:sz="4" w:space="0" w:color="000000" w:themeColor="text1"/>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11.25</w:t>
            </w:r>
          </w:p>
        </w:tc>
        <w:tc>
          <w:tcPr>
            <w:tcW w:w="127"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127"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127"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r>
      <w:tr w:rsidR="007147B8" w:rsidTr="00E613FF">
        <w:trPr>
          <w:trHeight w:val="285"/>
        </w:trPr>
        <w:tc>
          <w:tcPr>
            <w:tcW w:w="3003"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789"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825"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127"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127"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127" w:type="pct"/>
            <w:tcBorders>
              <w:top w:val="single" w:sz="4" w:space="0" w:color="000000" w:themeColor="text1"/>
              <w:left w:val="nil"/>
              <w:bottom w:val="single" w:sz="4" w:space="0" w:color="000000" w:themeColor="text1"/>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tbl>
      <w:tblPr>
        <w:tblW w:w="5000" w:type="pct"/>
        <w:tblLook w:val="04A0" w:firstRow="1" w:lastRow="0" w:firstColumn="1" w:lastColumn="0" w:noHBand="0" w:noVBand="1"/>
      </w:tblPr>
      <w:tblGrid>
        <w:gridCol w:w="5269"/>
        <w:gridCol w:w="4307"/>
      </w:tblGrid>
      <w:tr w:rsidR="007147B8" w:rsidTr="00E613FF">
        <w:trPr>
          <w:trHeight w:val="300"/>
        </w:trPr>
        <w:tc>
          <w:tcPr>
            <w:tcW w:w="5000" w:type="pct"/>
            <w:gridSpan w:val="2"/>
            <w:tcBorders>
              <w:top w:val="nil"/>
              <w:left w:val="nil"/>
              <w:bottom w:val="single" w:sz="4" w:space="0" w:color="000000" w:themeColor="text1"/>
              <w:right w:val="nil"/>
            </w:tcBorders>
            <w:vAlign w:val="bottom"/>
            <w:hideMark/>
          </w:tcPr>
          <w:p w:rsidR="007147B8"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Table 9</w:t>
            </w:r>
            <w:r w:rsidR="007147B8">
              <w:rPr>
                <w:rFonts w:ascii="Times New Roman" w:eastAsia="Times New Roman" w:hAnsi="Times New Roman" w:cs="Times New Roman"/>
                <w:b/>
                <w:bCs/>
                <w:color w:val="000000"/>
                <w:sz w:val="16"/>
                <w:szCs w:val="16"/>
              </w:rPr>
              <w:t>: % Significantly Different Metabolites Used in Figure 2f</w:t>
            </w:r>
          </w:p>
        </w:tc>
      </w:tr>
      <w:tr w:rsidR="007147B8" w:rsidTr="00E613FF">
        <w:trPr>
          <w:trHeight w:val="300"/>
        </w:trPr>
        <w:tc>
          <w:tcPr>
            <w:tcW w:w="2751"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Time Post Infection in Minutes</w:t>
            </w:r>
          </w:p>
        </w:tc>
        <w:tc>
          <w:tcPr>
            <w:tcW w:w="2249" w:type="pct"/>
            <w:tcBorders>
              <w:top w:val="single" w:sz="4" w:space="0" w:color="000000" w:themeColor="text1"/>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Significantly Different</w:t>
            </w:r>
          </w:p>
        </w:tc>
      </w:tr>
      <w:tr w:rsidR="007147B8" w:rsidTr="00E613FF">
        <w:trPr>
          <w:trHeight w:val="300"/>
        </w:trPr>
        <w:tc>
          <w:tcPr>
            <w:tcW w:w="27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224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12.05</w:t>
            </w:r>
          </w:p>
        </w:tc>
      </w:tr>
      <w:tr w:rsidR="007147B8" w:rsidTr="00E613FF">
        <w:trPr>
          <w:trHeight w:val="300"/>
        </w:trPr>
        <w:tc>
          <w:tcPr>
            <w:tcW w:w="27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w:t>
            </w:r>
          </w:p>
        </w:tc>
        <w:tc>
          <w:tcPr>
            <w:tcW w:w="22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19.28</w:t>
            </w:r>
          </w:p>
        </w:tc>
      </w:tr>
      <w:tr w:rsidR="007147B8" w:rsidTr="00E613FF">
        <w:trPr>
          <w:trHeight w:val="300"/>
        </w:trPr>
        <w:tc>
          <w:tcPr>
            <w:tcW w:w="27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w:t>
            </w:r>
          </w:p>
        </w:tc>
        <w:tc>
          <w:tcPr>
            <w:tcW w:w="22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14.46</w:t>
            </w:r>
          </w:p>
        </w:tc>
      </w:tr>
      <w:tr w:rsidR="007147B8" w:rsidTr="00E613FF">
        <w:trPr>
          <w:trHeight w:val="300"/>
        </w:trPr>
        <w:tc>
          <w:tcPr>
            <w:tcW w:w="27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22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25.30</w:t>
            </w:r>
          </w:p>
        </w:tc>
      </w:tr>
      <w:tr w:rsidR="007147B8" w:rsidTr="00E613FF">
        <w:trPr>
          <w:trHeight w:val="300"/>
        </w:trPr>
        <w:tc>
          <w:tcPr>
            <w:tcW w:w="27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22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61.45</w:t>
            </w:r>
          </w:p>
        </w:tc>
      </w:tr>
      <w:tr w:rsidR="007147B8" w:rsidTr="00E613FF">
        <w:trPr>
          <w:trHeight w:val="300"/>
        </w:trPr>
        <w:tc>
          <w:tcPr>
            <w:tcW w:w="27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22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65.06</w:t>
            </w:r>
          </w:p>
        </w:tc>
      </w:tr>
      <w:tr w:rsidR="007147B8" w:rsidTr="00E613FF">
        <w:trPr>
          <w:trHeight w:val="300"/>
        </w:trPr>
        <w:tc>
          <w:tcPr>
            <w:tcW w:w="27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w:t>
            </w:r>
          </w:p>
        </w:tc>
        <w:tc>
          <w:tcPr>
            <w:tcW w:w="22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75.90</w:t>
            </w:r>
          </w:p>
        </w:tc>
      </w:tr>
      <w:tr w:rsidR="007147B8" w:rsidTr="00E613FF">
        <w:trPr>
          <w:trHeight w:val="300"/>
        </w:trPr>
        <w:tc>
          <w:tcPr>
            <w:tcW w:w="2751"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c>
          <w:tcPr>
            <w:tcW w:w="2249" w:type="pct"/>
            <w:tcBorders>
              <w:top w:val="nil"/>
              <w:left w:val="nil"/>
              <w:bottom w:val="single" w:sz="4" w:space="0" w:color="000000" w:themeColor="text1"/>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Pr>
        <w:sectPr w:rsidR="007147B8">
          <w:pgSz w:w="12240" w:h="15840"/>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3489"/>
        <w:gridCol w:w="672"/>
        <w:gridCol w:w="601"/>
        <w:gridCol w:w="601"/>
        <w:gridCol w:w="601"/>
        <w:gridCol w:w="601"/>
        <w:gridCol w:w="601"/>
        <w:gridCol w:w="601"/>
        <w:gridCol w:w="601"/>
        <w:gridCol w:w="601"/>
        <w:gridCol w:w="601"/>
        <w:gridCol w:w="601"/>
        <w:gridCol w:w="601"/>
        <w:gridCol w:w="601"/>
        <w:gridCol w:w="601"/>
        <w:gridCol w:w="601"/>
        <w:gridCol w:w="601"/>
      </w:tblGrid>
      <w:tr w:rsidR="007147B8" w:rsidRPr="00F5246E" w:rsidTr="00E613FF">
        <w:trPr>
          <w:trHeight w:val="300"/>
        </w:trPr>
        <w:tc>
          <w:tcPr>
            <w:tcW w:w="5000" w:type="pct"/>
            <w:gridSpan w:val="17"/>
            <w:tcBorders>
              <w:top w:val="nil"/>
              <w:left w:val="nil"/>
              <w:bottom w:val="single" w:sz="4" w:space="0" w:color="auto"/>
              <w:right w:val="nil"/>
            </w:tcBorders>
            <w:shd w:val="clear" w:color="auto" w:fill="auto"/>
            <w:vAlign w:val="bottom"/>
            <w:hideMark/>
          </w:tcPr>
          <w:p w:rsidR="007147B8" w:rsidRPr="00F5246E" w:rsidRDefault="00BB0756" w:rsidP="00E613FF">
            <w:pPr>
              <w:spacing w:after="0" w:line="240" w:lineRule="atLeast"/>
              <w:rPr>
                <w:rFonts w:ascii="Times New Roman" w:eastAsia="Times New Roman" w:hAnsi="Times New Roman" w:cs="Times New Roman"/>
                <w:b/>
                <w:bCs/>
                <w:sz w:val="14"/>
                <w:szCs w:val="14"/>
              </w:rPr>
            </w:pPr>
            <w:r>
              <w:rPr>
                <w:rFonts w:ascii="Times New Roman" w:eastAsia="Times New Roman" w:hAnsi="Times New Roman" w:cs="Times New Roman"/>
                <w:b/>
                <w:bCs/>
                <w:sz w:val="14"/>
                <w:szCs w:val="14"/>
              </w:rPr>
              <w:lastRenderedPageBreak/>
              <w:br/>
              <w:t>Table 10</w:t>
            </w:r>
            <w:r w:rsidR="007147B8" w:rsidRPr="00F5246E">
              <w:rPr>
                <w:rFonts w:ascii="Times New Roman" w:eastAsia="Times New Roman" w:hAnsi="Times New Roman" w:cs="Times New Roman"/>
                <w:b/>
                <w:bCs/>
                <w:sz w:val="14"/>
                <w:szCs w:val="14"/>
              </w:rPr>
              <w:t xml:space="preserve">: </w:t>
            </w:r>
            <w:r w:rsidR="007147B8">
              <w:rPr>
                <w:rFonts w:ascii="Times New Roman" w:eastAsia="Times New Roman" w:hAnsi="Times New Roman" w:cs="Times New Roman"/>
                <w:b/>
                <w:bCs/>
                <w:sz w:val="14"/>
                <w:szCs w:val="14"/>
              </w:rPr>
              <w:t>Fold Change</w:t>
            </w:r>
            <w:r w:rsidR="007147B8" w:rsidRPr="00F5246E">
              <w:rPr>
                <w:rFonts w:ascii="Times New Roman" w:eastAsia="Times New Roman" w:hAnsi="Times New Roman" w:cs="Times New Roman"/>
                <w:b/>
                <w:bCs/>
                <w:sz w:val="14"/>
                <w:szCs w:val="14"/>
              </w:rPr>
              <w:t xml:space="preserve"> of Intracellular Metabolites of Phage Amended and Control </w:t>
            </w:r>
            <w:r w:rsidR="007147B8" w:rsidRPr="00491FC4">
              <w:rPr>
                <w:rFonts w:ascii="Times New Roman" w:eastAsia="Times New Roman" w:hAnsi="Times New Roman" w:cs="Times New Roman"/>
                <w:b/>
                <w:bCs/>
                <w:i/>
                <w:sz w:val="14"/>
                <w:szCs w:val="14"/>
              </w:rPr>
              <w:t>Sulf</w:t>
            </w:r>
            <w:r w:rsidR="00A22139" w:rsidRPr="00491FC4">
              <w:rPr>
                <w:rFonts w:ascii="Times New Roman" w:eastAsia="Times New Roman" w:hAnsi="Times New Roman" w:cs="Times New Roman"/>
                <w:b/>
                <w:bCs/>
                <w:i/>
                <w:sz w:val="14"/>
                <w:szCs w:val="14"/>
              </w:rPr>
              <w:t>itobacter</w:t>
            </w:r>
            <w:r w:rsidR="00A22139">
              <w:rPr>
                <w:rFonts w:ascii="Times New Roman" w:eastAsia="Times New Roman" w:hAnsi="Times New Roman" w:cs="Times New Roman"/>
                <w:b/>
                <w:bCs/>
                <w:sz w:val="14"/>
                <w:szCs w:val="14"/>
              </w:rPr>
              <w:t xml:space="preserve"> sp. 2047 Populations w</w:t>
            </w:r>
            <w:r w:rsidR="007147B8" w:rsidRPr="00F5246E">
              <w:rPr>
                <w:rFonts w:ascii="Times New Roman" w:eastAsia="Times New Roman" w:hAnsi="Times New Roman" w:cs="Times New Roman"/>
                <w:b/>
                <w:bCs/>
                <w:sz w:val="14"/>
                <w:szCs w:val="14"/>
              </w:rPr>
              <w:t>ithout Cell Normalization Used in Figure 3</w:t>
            </w:r>
          </w:p>
        </w:tc>
      </w:tr>
      <w:tr w:rsidR="007147B8" w:rsidRPr="00F5246E" w:rsidTr="00E613FF">
        <w:trPr>
          <w:trHeight w:val="300"/>
        </w:trPr>
        <w:tc>
          <w:tcPr>
            <w:tcW w:w="1589"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b/>
                <w:bCs/>
                <w:sz w:val="14"/>
                <w:szCs w:val="14"/>
              </w:rPr>
            </w:pPr>
          </w:p>
        </w:tc>
        <w:tc>
          <w:tcPr>
            <w:tcW w:w="3411" w:type="pct"/>
            <w:gridSpan w:val="16"/>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Fold Change Relative to Control at Time Point 0</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b/>
                <w:bCs/>
                <w:sz w:val="14"/>
                <w:szCs w:val="14"/>
              </w:rPr>
            </w:pPr>
          </w:p>
        </w:tc>
        <w:tc>
          <w:tcPr>
            <w:tcW w:w="3411" w:type="pct"/>
            <w:gridSpan w:val="16"/>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Time Point in Minutes Post Infection</w:t>
            </w:r>
          </w:p>
        </w:tc>
      </w:tr>
      <w:tr w:rsidR="007147B8" w:rsidRPr="00F5246E" w:rsidTr="00E613FF">
        <w:trPr>
          <w:trHeight w:val="300"/>
        </w:trPr>
        <w:tc>
          <w:tcPr>
            <w:tcW w:w="1589"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Metabolite</w:t>
            </w:r>
          </w:p>
        </w:tc>
        <w:tc>
          <w:tcPr>
            <w:tcW w:w="520"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15</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120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240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480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15</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120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240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480</w:t>
            </w:r>
          </w:p>
        </w:tc>
      </w:tr>
      <w:tr w:rsidR="007147B8" w:rsidRPr="00F5246E" w:rsidTr="00E613FF">
        <w:trPr>
          <w:trHeight w:val="300"/>
        </w:trPr>
        <w:tc>
          <w:tcPr>
            <w:tcW w:w="1589"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 &amp; 2,3 Diphosphoglycerate</w:t>
            </w:r>
          </w:p>
        </w:tc>
        <w:tc>
          <w:tcPr>
            <w:tcW w:w="520"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0.742</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0.763</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0.699</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1.031</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1.581</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1.245</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1.227</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0.929</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0.835</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0.775</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0.628</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1.082</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1.962</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1.199</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1.211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1-Methylhistidine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3.103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4.282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4.742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5.729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2.332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4.112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6.521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4.897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5.777</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3-Phosphoglycerate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1.166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0.773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1.115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1.304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1.207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0.851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0.965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1.097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0.968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0.595</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4-Hydroxybenzoate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0.972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0.834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0.714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1.025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0.892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1.014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0.586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0.656</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5-Methyltetrahydrofolate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1.543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1.743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0.990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0.436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1.438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1.117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1.607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0.504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0.631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5'-Methylthioadenosine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2.613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7.541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2.582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11.057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15.220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29.534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1.415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4.601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5.937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3.543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16.266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14.445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22.044</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Acetyl CoA</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4.542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4.921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3.392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3.692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4.650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6.403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7.141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5.362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4.863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3.783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3.961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4.171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3.993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2.909</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Acetyl Phosphate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0.908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1.232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0.490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0.683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11.034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1.691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2.053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0.588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0.618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0.607</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ADP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1.052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1.239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1.789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1.795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1.099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0.717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1.085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0.893</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Alanine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2.965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4.007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2.376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1.434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1.526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1.831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1.397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3.936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4.575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2.675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1.828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1.596</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AMP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0.739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0.665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1.134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1.728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0.867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0.662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1.234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0.943</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Asparagine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1.084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1.086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0.949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1.108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1.181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Aspartate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2.371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2.574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1.970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3.041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4.228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5.432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0.991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2.041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2.624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1.782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2.663</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ATP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1.807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1.039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1.407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0.870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0.789</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Betaine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5.751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9.519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10.653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9.901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10.981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13.354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1.351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12.932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9.522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10.363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10.143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10.714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10.908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11.703</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Ceramide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0.851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0.667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0.515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0.417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0.404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1.026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0.911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0.226</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Choline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3.363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5.769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6.629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5.581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6.161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7.497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8.026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4.049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6.055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6.610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5.629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6.969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8.084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7.859</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Citrate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0.191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0.176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0.364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0.578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0.616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0.659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0.274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0.257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0.553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0.425</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CoA</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0.866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1.017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0.865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1.382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1.048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0.872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0.806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0.898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0.798</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Cysteine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4.443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7.033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7.547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8.372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9.118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9.732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14.429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1.525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6.300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7.966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7.542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7.857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10.389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11.167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10.556</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dCDP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0.848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2.146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2.668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3.175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3.261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0.849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0.940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3.354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2.872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3.358</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dGTP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1.759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1.902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4.333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7.569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8.536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0.758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0.632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2.528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4.129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3.459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3.699</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DL-Pipecolic Acid</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0.938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1.665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1.568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1.760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0.914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1.358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1.584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1.680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1.688</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dUTP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1.636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2.728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2.902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2.313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0.380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3.799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3.247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2.256</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Erythrose-4-Phosphate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0.684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1.373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0.495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0.566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0.459</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Ethanolamine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15.356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50.442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48.352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43.922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47.158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68.012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56.188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1.453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20.916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40.467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38.939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38.279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58.687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76.596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68.785</w:t>
            </w:r>
          </w:p>
        </w:tc>
      </w:tr>
      <w:tr w:rsidR="007147B8" w:rsidRPr="00F5246E" w:rsidTr="00E613FF">
        <w:trPr>
          <w:trHeight w:val="300"/>
        </w:trPr>
        <w:tc>
          <w:tcPr>
            <w:tcW w:w="1589" w:type="pct"/>
            <w:tcBorders>
              <w:top w:val="nil"/>
              <w:left w:val="nil"/>
              <w:bottom w:val="single" w:sz="4" w:space="0" w:color="auto"/>
              <w:right w:val="nil"/>
            </w:tcBorders>
            <w:shd w:val="clear" w:color="auto" w:fill="auto"/>
            <w:noWrap/>
            <w:vAlign w:val="bottom"/>
            <w:hideMark/>
          </w:tcPr>
          <w:p w:rsidR="007147B8" w:rsidRPr="00F5246E" w:rsidRDefault="00BB0756" w:rsidP="00E613FF">
            <w:pPr>
              <w:spacing w:after="0" w:line="240" w:lineRule="atLeast"/>
              <w:rPr>
                <w:rFonts w:ascii="Times New Roman" w:eastAsia="Times New Roman" w:hAnsi="Times New Roman" w:cs="Times New Roman"/>
                <w:b/>
                <w:bCs/>
                <w:color w:val="000000"/>
                <w:sz w:val="14"/>
                <w:szCs w:val="14"/>
              </w:rPr>
            </w:pPr>
            <w:r>
              <w:rPr>
                <w:rFonts w:ascii="Times New Roman" w:eastAsia="Times New Roman" w:hAnsi="Times New Roman" w:cs="Times New Roman"/>
                <w:b/>
                <w:bCs/>
                <w:color w:val="000000"/>
                <w:sz w:val="14"/>
                <w:szCs w:val="14"/>
              </w:rPr>
              <w:lastRenderedPageBreak/>
              <w:t>Table 10</w:t>
            </w:r>
            <w:r w:rsidR="007147B8" w:rsidRPr="00F5246E">
              <w:rPr>
                <w:rFonts w:ascii="Times New Roman" w:eastAsia="Times New Roman" w:hAnsi="Times New Roman" w:cs="Times New Roman"/>
                <w:b/>
                <w:bCs/>
                <w:color w:val="000000"/>
                <w:sz w:val="14"/>
                <w:szCs w:val="14"/>
              </w:rPr>
              <w:t>: Continued</w:t>
            </w:r>
          </w:p>
        </w:tc>
        <w:tc>
          <w:tcPr>
            <w:tcW w:w="520"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r>
      <w:tr w:rsidR="007147B8" w:rsidRPr="00F5246E" w:rsidTr="00E613FF">
        <w:trPr>
          <w:trHeight w:val="300"/>
        </w:trPr>
        <w:tc>
          <w:tcPr>
            <w:tcW w:w="1589"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b/>
                <w:bCs/>
                <w:sz w:val="14"/>
                <w:szCs w:val="14"/>
              </w:rPr>
            </w:pPr>
          </w:p>
        </w:tc>
        <w:tc>
          <w:tcPr>
            <w:tcW w:w="3411" w:type="pct"/>
            <w:gridSpan w:val="16"/>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Fold Change Relative to Control at Time Point 0</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b/>
                <w:bCs/>
                <w:sz w:val="14"/>
                <w:szCs w:val="14"/>
              </w:rPr>
            </w:pPr>
          </w:p>
        </w:tc>
        <w:tc>
          <w:tcPr>
            <w:tcW w:w="3411" w:type="pct"/>
            <w:gridSpan w:val="16"/>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Time Point in Minutes Post Infection</w:t>
            </w:r>
          </w:p>
        </w:tc>
      </w:tr>
      <w:tr w:rsidR="007147B8" w:rsidRPr="00F5246E" w:rsidTr="00E613FF">
        <w:trPr>
          <w:trHeight w:val="300"/>
        </w:trPr>
        <w:tc>
          <w:tcPr>
            <w:tcW w:w="1589"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Metabolite</w:t>
            </w:r>
          </w:p>
        </w:tc>
        <w:tc>
          <w:tcPr>
            <w:tcW w:w="520"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15</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120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240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480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15</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120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240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480</w:t>
            </w:r>
          </w:p>
        </w:tc>
      </w:tr>
      <w:tr w:rsidR="007147B8" w:rsidRPr="00F5246E" w:rsidTr="00E613FF">
        <w:trPr>
          <w:trHeight w:val="300"/>
        </w:trPr>
        <w:tc>
          <w:tcPr>
            <w:tcW w:w="1589"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FAD</w:t>
            </w:r>
          </w:p>
        </w:tc>
        <w:tc>
          <w:tcPr>
            <w:tcW w:w="520"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0.411</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0.344</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0.340</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0.377</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0.528</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0.755</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0.750</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0.480</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0.416</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0.352</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0.337</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0.342</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0.474</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0.357</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0.402</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Farnesylpyrophosphate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1.507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3.879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3.527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4.732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0.699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2.313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10.072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8.467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6.049</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Fructose-1,6-Bisphosphate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0.843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0.802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0.668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1.286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0.751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0.752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0.497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1.078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1.125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1.131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0.763</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Fumarate, Maleate, &amp; Isoketovalerate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0.988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0.825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0.552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0.467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0.592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0.874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0.892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0.640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0.695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0.486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0.627</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Glucono-1,5-Lactone-6-Phosphate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0.746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0.652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1.093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0.973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0.768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0.766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6.342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1.098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0.987</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Glutamate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1.657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2.345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2.967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4.084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4.799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0.908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1.815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2.293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2.024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2.736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2.619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2.172</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Glutamine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3.585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3.568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2.717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3.015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2.795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2.238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0.693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4.821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5.615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5.452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6.527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5.690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3.950</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Glycerophosphocholine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0.068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0.337</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GMP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0.438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0.474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0.507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0.290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0.559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0.514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0.297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0.508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0.499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0.434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0.392</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GTP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2.908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4.391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9.699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11.537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0.446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3.875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0.592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0.196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1.725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2.164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2.436</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Hexose Phosphate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0.966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2.396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2.906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1.881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0.748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1.611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2.559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2.303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1.782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2.395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1.642</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Histidinol</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2.620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4.759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1.102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0.936</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Homoserine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1.989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1.573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1.948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1.278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1.904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1.544</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Lysine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2.862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2.460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3.301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3.988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4.540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1.015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2.498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2.560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3.419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2.573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2.853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2.830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3.112</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Malate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1.038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1.049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0.793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0.630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0.511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Malonyl CoA</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5.065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7.568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3.575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5.445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7.410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9.601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10.223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3.846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6.637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8.441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6.079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4.656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6.250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5.958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4.968</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Methylmalonic Acid</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0.849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0.896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0.735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0.865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0.698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0.830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0.828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0.984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0.651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N-Acetylglucosamine-1-Phosphate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1.451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0.702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N-Acetylglutamate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2.677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4.079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3.150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3.451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5.305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4.973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5.927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1.283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1.791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3.006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3.388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4.456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3.950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4.126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3.461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N-Acetylglutamine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2.046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3.087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2.835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2.754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3.921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4.758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5.842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2.889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2.764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3.325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3.250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2.671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N-Acetyllysine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3.362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3.095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3.074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4.261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5.352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6.639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3.142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3.304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3.885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3.591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3.128</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NAD</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1.518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1.031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0.682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0.662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1.303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1.202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0.765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0.539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0.572</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NADH</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0.335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0.318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0.196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0.286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0.074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0.573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0.331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0.334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0.163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0.142</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NADP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0.644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1.143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0.582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0.828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0.446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0.561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NADPH</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0.934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1.017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1.059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0.939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0.781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0.836</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Nicotinate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0.979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0.940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0.873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0.897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0.872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0.897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0.925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0.871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O-Acetylserine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1.753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1.718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1.358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2.261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0.544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2.158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1.695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1.211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3.259</w:t>
            </w:r>
          </w:p>
        </w:tc>
      </w:tr>
      <w:tr w:rsidR="007147B8" w:rsidRPr="00F5246E" w:rsidTr="00E613FF">
        <w:trPr>
          <w:trHeight w:val="300"/>
        </w:trPr>
        <w:tc>
          <w:tcPr>
            <w:tcW w:w="1589" w:type="pct"/>
            <w:tcBorders>
              <w:top w:val="nil"/>
              <w:left w:val="nil"/>
              <w:bottom w:val="single" w:sz="4" w:space="0" w:color="auto"/>
              <w:right w:val="nil"/>
            </w:tcBorders>
            <w:shd w:val="clear" w:color="auto" w:fill="auto"/>
            <w:noWrap/>
            <w:vAlign w:val="bottom"/>
            <w:hideMark/>
          </w:tcPr>
          <w:p w:rsidR="007147B8" w:rsidRPr="00F5246E" w:rsidRDefault="00BB0756" w:rsidP="00E613FF">
            <w:pPr>
              <w:spacing w:after="0" w:line="240" w:lineRule="atLeast"/>
              <w:rPr>
                <w:rFonts w:ascii="Times New Roman" w:eastAsia="Times New Roman" w:hAnsi="Times New Roman" w:cs="Times New Roman"/>
                <w:b/>
                <w:bCs/>
                <w:color w:val="000000"/>
                <w:sz w:val="14"/>
                <w:szCs w:val="14"/>
              </w:rPr>
            </w:pPr>
            <w:r>
              <w:rPr>
                <w:rFonts w:ascii="Times New Roman" w:eastAsia="Times New Roman" w:hAnsi="Times New Roman" w:cs="Times New Roman"/>
                <w:b/>
                <w:bCs/>
                <w:color w:val="000000"/>
                <w:sz w:val="14"/>
                <w:szCs w:val="14"/>
              </w:rPr>
              <w:lastRenderedPageBreak/>
              <w:t>Table 10</w:t>
            </w:r>
            <w:r w:rsidR="007147B8" w:rsidRPr="00F5246E">
              <w:rPr>
                <w:rFonts w:ascii="Times New Roman" w:eastAsia="Times New Roman" w:hAnsi="Times New Roman" w:cs="Times New Roman"/>
                <w:b/>
                <w:bCs/>
                <w:color w:val="000000"/>
                <w:sz w:val="14"/>
                <w:szCs w:val="14"/>
              </w:rPr>
              <w:t>: Continued</w:t>
            </w:r>
          </w:p>
        </w:tc>
        <w:tc>
          <w:tcPr>
            <w:tcW w:w="520"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r>
      <w:tr w:rsidR="007147B8" w:rsidRPr="00F5246E" w:rsidTr="00E613FF">
        <w:trPr>
          <w:trHeight w:val="300"/>
        </w:trPr>
        <w:tc>
          <w:tcPr>
            <w:tcW w:w="1589"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b/>
                <w:bCs/>
                <w:sz w:val="14"/>
                <w:szCs w:val="14"/>
              </w:rPr>
            </w:pPr>
          </w:p>
        </w:tc>
        <w:tc>
          <w:tcPr>
            <w:tcW w:w="3411" w:type="pct"/>
            <w:gridSpan w:val="16"/>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Fold Change Relative to Control at Time Point 0</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b/>
                <w:bCs/>
                <w:sz w:val="14"/>
                <w:szCs w:val="14"/>
              </w:rPr>
            </w:pPr>
          </w:p>
        </w:tc>
        <w:tc>
          <w:tcPr>
            <w:tcW w:w="3411" w:type="pct"/>
            <w:gridSpan w:val="16"/>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Time Point in Minutes Post Infection</w:t>
            </w:r>
          </w:p>
        </w:tc>
      </w:tr>
      <w:tr w:rsidR="007147B8" w:rsidRPr="00F5246E" w:rsidTr="00E613FF">
        <w:trPr>
          <w:trHeight w:val="300"/>
        </w:trPr>
        <w:tc>
          <w:tcPr>
            <w:tcW w:w="1589"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Metabolite</w:t>
            </w:r>
          </w:p>
        </w:tc>
        <w:tc>
          <w:tcPr>
            <w:tcW w:w="520"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15</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120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240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480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15</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120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240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480</w:t>
            </w:r>
          </w:p>
        </w:tc>
      </w:tr>
      <w:tr w:rsidR="007147B8" w:rsidRPr="00F5246E" w:rsidTr="00E613FF">
        <w:trPr>
          <w:trHeight w:val="300"/>
        </w:trPr>
        <w:tc>
          <w:tcPr>
            <w:tcW w:w="1589"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Orotate</w:t>
            </w:r>
          </w:p>
        </w:tc>
        <w:tc>
          <w:tcPr>
            <w:tcW w:w="520"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0.952</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1.039</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1.012</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1.122</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0.876</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0.923</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0.914</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1.134</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1.051</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0.983</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0.951</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1.004</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2.137</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0.930</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0.889</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Orotidine Phosphate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0.914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4.940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3.780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3.543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3.137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0.634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4.420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6.680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2.409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3.993</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Oxidized Glutathione (GSSG)</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0.711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0.681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1.132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1.483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1.309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0.598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0.580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0.150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1.257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0.850</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Palmitate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0.844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0.897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1.781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0.874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0.578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0.518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5.796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2.278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1.817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1.488</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Pentose Phosphate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Phenylpropiolic Acid</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0.903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0.860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1.449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1.297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0.890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1.040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0.911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0.803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1.411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1.492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1.413</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Phosphatidylcholine &amp; Phosphatidylethanolamine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0.717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0.794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0.590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0.831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1.078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0.792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0.749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0.574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0.462</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Phosphoenolpyruvate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1.036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1.231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1.259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1.182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0.788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0.751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1.286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0.952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0.634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0.556</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Proline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3.972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4.146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4.621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5.668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5.890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6.113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2.846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4.410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4.870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5.008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5.812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5.681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5.079</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Propionyl CoA</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5.687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5.705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5.114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4.166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7.057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9.247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9.019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3.932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5.711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3.704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3.241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4.384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5.688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7.698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8.140</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Pyridoxine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4.484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7.257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8.325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11.577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12.499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12.520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14.524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6.544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8.514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9.112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12.477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14.700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14.642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14.799</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Reduced Glutathione (GSH)</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1.264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2.891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2.209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3.260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2.694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0.083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1.399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3.619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2.608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2.889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1.585</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Ribulose-1,5-Bisphosphate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2.354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2.114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S-Adenosylmethionine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3.541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4.984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3.721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4.983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5.659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4.162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5.945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0.891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4.124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7.890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4.373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4.118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6.332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5.220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6.733</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Sarcosine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1.467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2.196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1.184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1.508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1.961</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Sedoheptulose-7-Phosphate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0.715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1.040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0.816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0.630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1.192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0.690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0.514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2.038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0.498</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Serine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2.076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3.124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3.045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3.298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3.547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3.498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1.264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3.483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3.133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3.292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2.927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2.449</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 xml:space="preserve">Succinate </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0.849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0.853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0.691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0.918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0.746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0.647</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Succinyl CoA</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0.136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1.438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1.618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1.683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0.687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0.225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0.336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1.735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1.060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0.769</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TDP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1.353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0.680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6.777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7.335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6.186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5.877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0.960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20.703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15.680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6.222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5.918</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Thiamine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3.821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6.323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6.679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5.809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0.681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0.779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1.383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4.952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5.427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6.900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7.477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0.658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1.470</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Threonine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3.704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6.660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8.489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10.229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0.820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4.067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7.493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9.148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9.443</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Tryptophan</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2.271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3.449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4.546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3.629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5.722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6.194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11.444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0.738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3.079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2.791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15.541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3.855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5.190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5.343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4.457</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UDP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0.830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0.565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1.986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3.258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2.715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2.243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0.991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0.907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0.635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4.235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3.945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2.742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2.538</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 xml:space="preserve">UDP-D-Glucose </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0.882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0.838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1.051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1.621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1.813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2.085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0.865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1.533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1.438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1.205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1.302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1.186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1.202</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UDP-D-Glucuronate &amp; Galacturonate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0.735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0.642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0.381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0.398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0.699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1.051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0.982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1.701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2.594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2.508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3.550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3.313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2.841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2.178</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 xml:space="preserve">UDP-N-Acetylglucosamine </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1.017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0.975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1.347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1.967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2.229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2.355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0.815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0.846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0.358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0.414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0.439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0.489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0.485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0.615</w:t>
            </w:r>
          </w:p>
        </w:tc>
      </w:tr>
      <w:tr w:rsidR="007147B8" w:rsidRPr="00F5246E" w:rsidTr="00E613FF">
        <w:trPr>
          <w:trHeight w:val="300"/>
        </w:trPr>
        <w:tc>
          <w:tcPr>
            <w:tcW w:w="1589" w:type="pct"/>
            <w:tcBorders>
              <w:top w:val="nil"/>
              <w:left w:val="nil"/>
              <w:bottom w:val="single" w:sz="4" w:space="0" w:color="auto"/>
              <w:right w:val="nil"/>
            </w:tcBorders>
            <w:shd w:val="clear" w:color="auto" w:fill="auto"/>
            <w:noWrap/>
            <w:vAlign w:val="bottom"/>
            <w:hideMark/>
          </w:tcPr>
          <w:p w:rsidR="007147B8" w:rsidRPr="00F5246E" w:rsidRDefault="00BB0756" w:rsidP="00E613FF">
            <w:pPr>
              <w:spacing w:after="0" w:line="240" w:lineRule="atLeast"/>
              <w:rPr>
                <w:rFonts w:ascii="Times New Roman" w:eastAsia="Times New Roman" w:hAnsi="Times New Roman" w:cs="Times New Roman"/>
                <w:b/>
                <w:bCs/>
                <w:color w:val="000000"/>
                <w:sz w:val="14"/>
                <w:szCs w:val="14"/>
              </w:rPr>
            </w:pPr>
            <w:r>
              <w:rPr>
                <w:rFonts w:ascii="Times New Roman" w:eastAsia="Times New Roman" w:hAnsi="Times New Roman" w:cs="Times New Roman"/>
                <w:b/>
                <w:bCs/>
                <w:color w:val="000000"/>
                <w:sz w:val="14"/>
                <w:szCs w:val="14"/>
              </w:rPr>
              <w:lastRenderedPageBreak/>
              <w:t>Table 10</w:t>
            </w:r>
            <w:r w:rsidR="007147B8" w:rsidRPr="00F5246E">
              <w:rPr>
                <w:rFonts w:ascii="Times New Roman" w:eastAsia="Times New Roman" w:hAnsi="Times New Roman" w:cs="Times New Roman"/>
                <w:b/>
                <w:bCs/>
                <w:color w:val="000000"/>
                <w:sz w:val="14"/>
                <w:szCs w:val="14"/>
              </w:rPr>
              <w:t>: Continued</w:t>
            </w:r>
          </w:p>
        </w:tc>
        <w:tc>
          <w:tcPr>
            <w:tcW w:w="520"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p>
        </w:tc>
      </w:tr>
      <w:tr w:rsidR="007147B8" w:rsidRPr="00F5246E" w:rsidTr="00E613FF">
        <w:trPr>
          <w:trHeight w:val="300"/>
        </w:trPr>
        <w:tc>
          <w:tcPr>
            <w:tcW w:w="1589"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b/>
                <w:bCs/>
                <w:sz w:val="14"/>
                <w:szCs w:val="14"/>
              </w:rPr>
            </w:pPr>
          </w:p>
        </w:tc>
        <w:tc>
          <w:tcPr>
            <w:tcW w:w="3411" w:type="pct"/>
            <w:gridSpan w:val="16"/>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Fold Change Relative to Control at Time Point 0</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b/>
                <w:bCs/>
                <w:sz w:val="14"/>
                <w:szCs w:val="14"/>
              </w:rPr>
            </w:pPr>
          </w:p>
        </w:tc>
        <w:tc>
          <w:tcPr>
            <w:tcW w:w="3411" w:type="pct"/>
            <w:gridSpan w:val="16"/>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Time Point in Minutes Post Infection</w:t>
            </w:r>
          </w:p>
        </w:tc>
      </w:tr>
      <w:tr w:rsidR="007147B8" w:rsidRPr="00F5246E" w:rsidTr="00E613FF">
        <w:trPr>
          <w:trHeight w:val="300"/>
        </w:trPr>
        <w:tc>
          <w:tcPr>
            <w:tcW w:w="1589"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Metabolite</w:t>
            </w:r>
          </w:p>
        </w:tc>
        <w:tc>
          <w:tcPr>
            <w:tcW w:w="520"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15</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120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240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480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15</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120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240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360</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4"/>
                <w:szCs w:val="14"/>
              </w:rPr>
            </w:pPr>
            <w:r w:rsidRPr="00F5246E">
              <w:rPr>
                <w:rFonts w:ascii="Times New Roman" w:eastAsia="Times New Roman" w:hAnsi="Times New Roman" w:cs="Times New Roman"/>
                <w:b/>
                <w:bCs/>
                <w:sz w:val="14"/>
                <w:szCs w:val="14"/>
              </w:rPr>
              <w:t>480</w:t>
            </w:r>
          </w:p>
        </w:tc>
      </w:tr>
      <w:tr w:rsidR="007147B8" w:rsidRPr="00F5246E" w:rsidTr="00E613FF">
        <w:trPr>
          <w:trHeight w:val="300"/>
        </w:trPr>
        <w:tc>
          <w:tcPr>
            <w:tcW w:w="1589"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Urea</w:t>
            </w:r>
          </w:p>
        </w:tc>
        <w:tc>
          <w:tcPr>
            <w:tcW w:w="520"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16.511</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55.658</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52.759</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47.722</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51.333</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73.039</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60.296</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1.512</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22.529</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44.657</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42.526</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41.784</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64.429</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83.592</w:t>
            </w: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73.935</w:t>
            </w:r>
          </w:p>
        </w:tc>
      </w:tr>
      <w:tr w:rsidR="007147B8" w:rsidRPr="00F5246E" w:rsidTr="00E613FF">
        <w:trPr>
          <w:trHeight w:val="300"/>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UTP</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0.737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1.647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0.450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1.604</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4.411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7.665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7.838</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0.562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3.241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0.810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0.456</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2.430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4.623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3.511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3.198</w:t>
            </w:r>
          </w:p>
        </w:tc>
      </w:tr>
      <w:tr w:rsidR="007147B8" w:rsidRPr="00F5246E" w:rsidTr="00E613FF">
        <w:trPr>
          <w:trHeight w:val="315"/>
        </w:trPr>
        <w:tc>
          <w:tcPr>
            <w:tcW w:w="1589"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Valine</w:t>
            </w:r>
          </w:p>
        </w:tc>
        <w:tc>
          <w:tcPr>
            <w:tcW w:w="52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3.313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6.455</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4.403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5.900</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4.869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5.372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6.343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0.772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5.019</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6.001</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10.463</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5.027</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6.912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5.792</w:t>
            </w:r>
          </w:p>
        </w:tc>
        <w:tc>
          <w:tcPr>
            <w:tcW w:w="193"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4.601</w:t>
            </w:r>
          </w:p>
        </w:tc>
      </w:tr>
      <w:tr w:rsidR="007147B8" w:rsidRPr="00F5246E" w:rsidTr="00E613FF">
        <w:trPr>
          <w:trHeight w:val="300"/>
        </w:trPr>
        <w:tc>
          <w:tcPr>
            <w:tcW w:w="1589" w:type="pct"/>
            <w:tcBorders>
              <w:top w:val="single" w:sz="8" w:space="0" w:color="000000"/>
              <w:left w:val="nil"/>
              <w:bottom w:val="nil"/>
              <w:right w:val="nil"/>
            </w:tcBorders>
            <w:shd w:val="clear" w:color="auto" w:fill="auto"/>
            <w:noWrap/>
            <w:vAlign w:val="center"/>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†A value of 1000 is used when only measured in infected</w:t>
            </w:r>
          </w:p>
        </w:tc>
        <w:tc>
          <w:tcPr>
            <w:tcW w:w="520" w:type="pct"/>
            <w:tcBorders>
              <w:top w:val="single" w:sz="4" w:space="0" w:color="auto"/>
              <w:left w:val="nil"/>
              <w:bottom w:val="nil"/>
              <w:right w:val="nil"/>
            </w:tcBorders>
            <w:shd w:val="clear" w:color="auto" w:fill="auto"/>
            <w:vAlign w:val="center"/>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r>
      <w:tr w:rsidR="007147B8" w:rsidRPr="00F5246E" w:rsidTr="00E613FF">
        <w:trPr>
          <w:trHeight w:val="315"/>
        </w:trPr>
        <w:tc>
          <w:tcPr>
            <w:tcW w:w="1589" w:type="pct"/>
            <w:tcBorders>
              <w:top w:val="nil"/>
              <w:left w:val="nil"/>
              <w:bottom w:val="single" w:sz="4" w:space="0" w:color="auto"/>
              <w:right w:val="nil"/>
            </w:tcBorders>
            <w:shd w:val="clear" w:color="auto" w:fill="auto"/>
            <w:noWrap/>
            <w:vAlign w:val="center"/>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‡A value of 0.001 is used when only measured in control</w:t>
            </w:r>
          </w:p>
        </w:tc>
        <w:tc>
          <w:tcPr>
            <w:tcW w:w="520" w:type="pct"/>
            <w:tcBorders>
              <w:top w:val="nil"/>
              <w:left w:val="nil"/>
              <w:bottom w:val="single" w:sz="4" w:space="0" w:color="auto"/>
              <w:right w:val="nil"/>
            </w:tcBorders>
            <w:shd w:val="clear" w:color="auto" w:fill="auto"/>
            <w:noWrap/>
            <w:vAlign w:val="center"/>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r w:rsidRPr="00F5246E">
              <w:rPr>
                <w:rFonts w:ascii="Times New Roman" w:eastAsia="Times New Roman" w:hAnsi="Times New Roman" w:cs="Times New Roman"/>
                <w:color w:val="000000"/>
                <w:sz w:val="14"/>
                <w:szCs w:val="14"/>
              </w:rPr>
              <w:t> </w:t>
            </w: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c>
          <w:tcPr>
            <w:tcW w:w="193" w:type="pct"/>
            <w:tcBorders>
              <w:top w:val="nil"/>
              <w:left w:val="nil"/>
              <w:bottom w:val="single" w:sz="4" w:space="0" w:color="auto"/>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4"/>
                <w:szCs w:val="14"/>
              </w:rPr>
            </w:pPr>
          </w:p>
        </w:tc>
      </w:tr>
    </w:tbl>
    <w:p w:rsidR="007147B8" w:rsidRPr="00F5246E" w:rsidRDefault="007147B8" w:rsidP="007147B8"/>
    <w:p w:rsidR="007147B8" w:rsidRPr="00F5246E"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Pr>
        <w:sectPr w:rsidR="007147B8" w:rsidSect="00E613FF">
          <w:pgSz w:w="15840" w:h="12240" w:orient="landscape"/>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1543"/>
        <w:gridCol w:w="1089"/>
        <w:gridCol w:w="1090"/>
        <w:gridCol w:w="1272"/>
        <w:gridCol w:w="1090"/>
        <w:gridCol w:w="1090"/>
        <w:gridCol w:w="1316"/>
        <w:gridCol w:w="1086"/>
      </w:tblGrid>
      <w:tr w:rsidR="007147B8" w:rsidRPr="00F5246E" w:rsidTr="00E613FF">
        <w:trPr>
          <w:trHeight w:val="300"/>
        </w:trPr>
        <w:tc>
          <w:tcPr>
            <w:tcW w:w="2607" w:type="pct"/>
            <w:gridSpan w:val="4"/>
            <w:tcBorders>
              <w:top w:val="nil"/>
              <w:left w:val="nil"/>
              <w:bottom w:val="single" w:sz="4" w:space="0" w:color="000000" w:themeColor="text1"/>
              <w:right w:val="nil"/>
            </w:tcBorders>
            <w:noWrap/>
            <w:vAlign w:val="bottom"/>
            <w:hideMark/>
          </w:tcPr>
          <w:p w:rsidR="007147B8" w:rsidRPr="00F5246E"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Table 11</w:t>
            </w:r>
            <w:r w:rsidR="007147B8" w:rsidRPr="00F5246E">
              <w:rPr>
                <w:rFonts w:ascii="Times New Roman" w:eastAsia="Times New Roman" w:hAnsi="Times New Roman" w:cs="Times New Roman"/>
                <w:b/>
                <w:bCs/>
                <w:color w:val="000000"/>
                <w:sz w:val="16"/>
                <w:szCs w:val="16"/>
              </w:rPr>
              <w:t>: Expanded Table Used in Figure 4</w:t>
            </w:r>
          </w:p>
        </w:tc>
        <w:tc>
          <w:tcPr>
            <w:tcW w:w="569" w:type="pct"/>
            <w:tcBorders>
              <w:top w:val="nil"/>
              <w:left w:val="nil"/>
              <w:bottom w:val="single" w:sz="4" w:space="0" w:color="000000" w:themeColor="text1"/>
              <w:right w:val="nil"/>
            </w:tcBorders>
            <w:noWrap/>
            <w:vAlign w:val="bottom"/>
            <w:hideMark/>
          </w:tcPr>
          <w:p w:rsidR="007147B8" w:rsidRPr="00F5246E" w:rsidRDefault="007147B8" w:rsidP="00E613FF">
            <w:pPr>
              <w:spacing w:after="0"/>
              <w:rPr>
                <w:rFonts w:cs="Times New Roman"/>
              </w:rPr>
            </w:pPr>
          </w:p>
        </w:tc>
        <w:tc>
          <w:tcPr>
            <w:tcW w:w="569" w:type="pct"/>
            <w:tcBorders>
              <w:top w:val="nil"/>
              <w:left w:val="nil"/>
              <w:bottom w:val="single" w:sz="4" w:space="0" w:color="000000" w:themeColor="text1"/>
              <w:right w:val="nil"/>
            </w:tcBorders>
            <w:noWrap/>
            <w:vAlign w:val="bottom"/>
            <w:hideMark/>
          </w:tcPr>
          <w:p w:rsidR="007147B8" w:rsidRPr="00F5246E" w:rsidRDefault="007147B8" w:rsidP="00E613FF">
            <w:pPr>
              <w:spacing w:after="0"/>
              <w:rPr>
                <w:rFonts w:cs="Times New Roman"/>
              </w:rPr>
            </w:pPr>
          </w:p>
        </w:tc>
        <w:tc>
          <w:tcPr>
            <w:tcW w:w="687" w:type="pct"/>
            <w:tcBorders>
              <w:top w:val="nil"/>
              <w:left w:val="nil"/>
              <w:bottom w:val="single" w:sz="4" w:space="0" w:color="000000" w:themeColor="text1"/>
              <w:right w:val="nil"/>
            </w:tcBorders>
            <w:noWrap/>
            <w:vAlign w:val="bottom"/>
            <w:hideMark/>
          </w:tcPr>
          <w:p w:rsidR="007147B8" w:rsidRPr="00F5246E" w:rsidRDefault="007147B8" w:rsidP="00E613FF">
            <w:pPr>
              <w:spacing w:after="0"/>
              <w:rPr>
                <w:rFonts w:cs="Times New Roman"/>
              </w:rPr>
            </w:pPr>
          </w:p>
        </w:tc>
        <w:tc>
          <w:tcPr>
            <w:tcW w:w="569" w:type="pct"/>
            <w:tcBorders>
              <w:top w:val="nil"/>
              <w:left w:val="nil"/>
              <w:bottom w:val="single" w:sz="4" w:space="0" w:color="000000" w:themeColor="text1"/>
              <w:right w:val="nil"/>
            </w:tcBorders>
            <w:noWrap/>
            <w:vAlign w:val="bottom"/>
            <w:hideMark/>
          </w:tcPr>
          <w:p w:rsidR="007147B8" w:rsidRPr="00F5246E" w:rsidRDefault="007147B8" w:rsidP="00E613FF">
            <w:pPr>
              <w:spacing w:after="0"/>
              <w:rPr>
                <w:rFonts w:cs="Times New Roman"/>
              </w:rPr>
            </w:pPr>
          </w:p>
        </w:tc>
      </w:tr>
      <w:tr w:rsidR="007147B8" w:rsidRPr="00F5246E" w:rsidTr="00E613FF">
        <w:trPr>
          <w:trHeight w:val="300"/>
        </w:trPr>
        <w:tc>
          <w:tcPr>
            <w:tcW w:w="1374" w:type="pct"/>
            <w:gridSpan w:val="2"/>
            <w:tcBorders>
              <w:top w:val="single" w:sz="4" w:space="0" w:color="000000" w:themeColor="text1"/>
              <w:left w:val="nil"/>
              <w:bottom w:val="single" w:sz="4" w:space="0" w:color="FFFFFF" w:themeColor="background1"/>
              <w:right w:val="nil"/>
            </w:tcBorders>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color w:val="000000"/>
                <w:sz w:val="16"/>
                <w:szCs w:val="16"/>
              </w:rPr>
            </w:pPr>
            <w:r w:rsidRPr="00F5246E">
              <w:rPr>
                <w:rFonts w:ascii="Times New Roman" w:eastAsia="Times New Roman" w:hAnsi="Times New Roman" w:cs="Times New Roman"/>
                <w:b/>
                <w:bCs/>
                <w:color w:val="000000"/>
                <w:sz w:val="16"/>
                <w:szCs w:val="16"/>
              </w:rPr>
              <w:t>Time in Minutes</w:t>
            </w:r>
          </w:p>
        </w:tc>
        <w:tc>
          <w:tcPr>
            <w:tcW w:w="1801" w:type="pct"/>
            <w:gridSpan w:val="3"/>
            <w:tcBorders>
              <w:top w:val="single" w:sz="4" w:space="0" w:color="000000" w:themeColor="text1"/>
              <w:left w:val="nil"/>
              <w:bottom w:val="single" w:sz="4" w:space="0" w:color="FFFFFF" w:themeColor="background1"/>
              <w:right w:val="nil"/>
            </w:tcBorders>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color w:val="000000"/>
                <w:sz w:val="16"/>
                <w:szCs w:val="16"/>
              </w:rPr>
            </w:pPr>
            <w:r w:rsidRPr="00F5246E">
              <w:rPr>
                <w:rFonts w:ascii="Times New Roman" w:eastAsia="Times New Roman" w:hAnsi="Times New Roman" w:cs="Times New Roman"/>
                <w:b/>
                <w:bCs/>
                <w:color w:val="000000"/>
                <w:sz w:val="16"/>
                <w:szCs w:val="16"/>
              </w:rPr>
              <w:t>Glutamine</w:t>
            </w:r>
          </w:p>
        </w:tc>
        <w:tc>
          <w:tcPr>
            <w:tcW w:w="1825" w:type="pct"/>
            <w:gridSpan w:val="3"/>
            <w:tcBorders>
              <w:top w:val="single" w:sz="4" w:space="0" w:color="000000" w:themeColor="text1"/>
              <w:left w:val="nil"/>
              <w:bottom w:val="single" w:sz="4" w:space="0" w:color="FFFFFF" w:themeColor="background1"/>
              <w:right w:val="nil"/>
            </w:tcBorders>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color w:val="000000"/>
                <w:sz w:val="16"/>
                <w:szCs w:val="16"/>
              </w:rPr>
            </w:pPr>
            <w:r w:rsidRPr="00F5246E">
              <w:rPr>
                <w:rFonts w:ascii="Times New Roman" w:eastAsia="Times New Roman" w:hAnsi="Times New Roman" w:cs="Times New Roman"/>
                <w:b/>
                <w:bCs/>
                <w:color w:val="000000"/>
                <w:sz w:val="16"/>
                <w:szCs w:val="16"/>
              </w:rPr>
              <w:t>Glutamate</w:t>
            </w:r>
          </w:p>
        </w:tc>
      </w:tr>
      <w:tr w:rsidR="007147B8" w:rsidRPr="00F5246E" w:rsidTr="00E613FF">
        <w:trPr>
          <w:trHeight w:val="450"/>
        </w:trPr>
        <w:tc>
          <w:tcPr>
            <w:tcW w:w="806" w:type="pct"/>
            <w:tcBorders>
              <w:top w:val="single" w:sz="4" w:space="0" w:color="FFFFFF" w:themeColor="background1"/>
              <w:left w:val="nil"/>
              <w:bottom w:val="single" w:sz="4" w:space="0" w:color="auto"/>
              <w:right w:val="nil"/>
            </w:tcBorders>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color w:val="000000"/>
                <w:sz w:val="16"/>
                <w:szCs w:val="16"/>
              </w:rPr>
            </w:pPr>
            <w:r w:rsidRPr="00F5246E">
              <w:rPr>
                <w:rFonts w:ascii="Times New Roman" w:eastAsia="Times New Roman" w:hAnsi="Times New Roman" w:cs="Times New Roman"/>
                <w:b/>
                <w:bCs/>
                <w:color w:val="000000"/>
                <w:sz w:val="16"/>
                <w:szCs w:val="16"/>
              </w:rPr>
              <w:t>Post Infection</w:t>
            </w:r>
          </w:p>
        </w:tc>
        <w:tc>
          <w:tcPr>
            <w:tcW w:w="569" w:type="pct"/>
            <w:tcBorders>
              <w:top w:val="single" w:sz="4" w:space="0" w:color="FFFFFF" w:themeColor="background1"/>
              <w:left w:val="nil"/>
              <w:bottom w:val="single" w:sz="4" w:space="0" w:color="auto"/>
              <w:right w:val="single" w:sz="4" w:space="0" w:color="000000" w:themeColor="text1"/>
            </w:tcBorders>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color w:val="000000"/>
                <w:sz w:val="16"/>
                <w:szCs w:val="16"/>
              </w:rPr>
            </w:pPr>
            <w:r w:rsidRPr="00F5246E">
              <w:rPr>
                <w:rFonts w:ascii="Times New Roman" w:eastAsia="Times New Roman" w:hAnsi="Times New Roman" w:cs="Times New Roman"/>
                <w:b/>
                <w:bCs/>
                <w:color w:val="000000"/>
                <w:sz w:val="16"/>
                <w:szCs w:val="16"/>
              </w:rPr>
              <w:t xml:space="preserve">Post </w:t>
            </w:r>
            <w:r w:rsidRPr="00F5246E">
              <w:rPr>
                <w:rFonts w:ascii="Times New Roman" w:eastAsia="Times New Roman" w:hAnsi="Times New Roman" w:cs="Times New Roman"/>
                <w:b/>
                <w:bCs/>
                <w:color w:val="000000"/>
                <w:sz w:val="16"/>
                <w:szCs w:val="16"/>
                <w:vertAlign w:val="superscript"/>
              </w:rPr>
              <w:t>13</w:t>
            </w:r>
            <w:r w:rsidRPr="00F5246E">
              <w:rPr>
                <w:rFonts w:ascii="Times New Roman" w:eastAsia="Times New Roman" w:hAnsi="Times New Roman" w:cs="Times New Roman"/>
                <w:b/>
                <w:bCs/>
                <w:color w:val="000000"/>
                <w:sz w:val="16"/>
                <w:szCs w:val="16"/>
              </w:rPr>
              <w:t>C Addition</w:t>
            </w:r>
          </w:p>
        </w:tc>
        <w:tc>
          <w:tcPr>
            <w:tcW w:w="569" w:type="pct"/>
            <w:tcBorders>
              <w:top w:val="single" w:sz="4" w:space="0" w:color="FFFFFF" w:themeColor="background1"/>
              <w:left w:val="single" w:sz="4" w:space="0" w:color="000000" w:themeColor="text1"/>
              <w:bottom w:val="single" w:sz="4" w:space="0" w:color="auto"/>
              <w:right w:val="nil"/>
            </w:tcBorders>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color w:val="000000"/>
                <w:sz w:val="16"/>
                <w:szCs w:val="16"/>
              </w:rPr>
            </w:pPr>
            <w:r w:rsidRPr="00F5246E">
              <w:rPr>
                <w:rFonts w:ascii="Times New Roman" w:eastAsia="Times New Roman" w:hAnsi="Times New Roman" w:cs="Times New Roman"/>
                <w:b/>
                <w:bCs/>
                <w:color w:val="000000"/>
                <w:sz w:val="16"/>
                <w:szCs w:val="16"/>
              </w:rPr>
              <w:t>Fold Change</w:t>
            </w:r>
            <w:r w:rsidRPr="00F5246E">
              <w:rPr>
                <w:rFonts w:ascii="Times New Roman" w:eastAsia="Times New Roman" w:hAnsi="Times New Roman" w:cs="Times New Roman"/>
                <w:b/>
                <w:bCs/>
                <w:color w:val="000000"/>
                <w:sz w:val="16"/>
                <w:szCs w:val="16"/>
                <w:vertAlign w:val="superscript"/>
              </w:rPr>
              <w:t>a</w:t>
            </w:r>
          </w:p>
        </w:tc>
        <w:tc>
          <w:tcPr>
            <w:tcW w:w="664" w:type="pct"/>
            <w:tcBorders>
              <w:top w:val="single" w:sz="4" w:space="0" w:color="FFFFFF" w:themeColor="background1"/>
              <w:left w:val="nil"/>
              <w:bottom w:val="single" w:sz="4" w:space="0" w:color="auto"/>
              <w:right w:val="nil"/>
            </w:tcBorders>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color w:val="000000"/>
                <w:sz w:val="16"/>
                <w:szCs w:val="16"/>
              </w:rPr>
            </w:pPr>
            <w:r w:rsidRPr="00F5246E">
              <w:rPr>
                <w:rFonts w:ascii="Times New Roman" w:eastAsia="Times New Roman" w:hAnsi="Times New Roman" w:cs="Times New Roman"/>
                <w:b/>
                <w:bCs/>
                <w:color w:val="000000"/>
                <w:sz w:val="16"/>
                <w:szCs w:val="16"/>
              </w:rPr>
              <w:t>Rate Constant</w:t>
            </w:r>
            <w:r w:rsidRPr="00F5246E">
              <w:rPr>
                <w:rFonts w:ascii="Times New Roman" w:eastAsia="Times New Roman" w:hAnsi="Times New Roman" w:cs="Times New Roman"/>
                <w:b/>
                <w:bCs/>
                <w:color w:val="000000"/>
                <w:sz w:val="16"/>
                <w:szCs w:val="16"/>
                <w:vertAlign w:val="superscript"/>
              </w:rPr>
              <w:t>a</w:t>
            </w:r>
            <w:r w:rsidRPr="00F5246E">
              <w:rPr>
                <w:rFonts w:ascii="Times New Roman" w:eastAsia="Times New Roman" w:hAnsi="Times New Roman" w:cs="Times New Roman"/>
                <w:b/>
                <w:bCs/>
                <w:color w:val="000000"/>
                <w:sz w:val="16"/>
                <w:szCs w:val="16"/>
              </w:rPr>
              <w:t>, k</w:t>
            </w:r>
          </w:p>
        </w:tc>
        <w:tc>
          <w:tcPr>
            <w:tcW w:w="569" w:type="pct"/>
            <w:tcBorders>
              <w:top w:val="single" w:sz="4" w:space="0" w:color="FFFFFF" w:themeColor="background1"/>
              <w:left w:val="nil"/>
              <w:bottom w:val="single" w:sz="4" w:space="0" w:color="auto"/>
              <w:right w:val="single" w:sz="4" w:space="0" w:color="000000" w:themeColor="text1"/>
            </w:tcBorders>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color w:val="000000"/>
                <w:sz w:val="16"/>
                <w:szCs w:val="16"/>
              </w:rPr>
            </w:pPr>
            <w:r w:rsidRPr="00F5246E">
              <w:rPr>
                <w:rFonts w:ascii="Times New Roman" w:eastAsia="Times New Roman" w:hAnsi="Times New Roman" w:cs="Times New Roman"/>
                <w:b/>
                <w:bCs/>
                <w:color w:val="000000"/>
                <w:sz w:val="16"/>
                <w:szCs w:val="16"/>
              </w:rPr>
              <w:t>Flux</w:t>
            </w:r>
            <w:r w:rsidRPr="00F5246E">
              <w:rPr>
                <w:rFonts w:ascii="Times New Roman" w:eastAsia="Times New Roman" w:hAnsi="Times New Roman" w:cs="Times New Roman"/>
                <w:b/>
                <w:bCs/>
                <w:color w:val="000000"/>
                <w:sz w:val="16"/>
                <w:szCs w:val="16"/>
                <w:vertAlign w:val="superscript"/>
              </w:rPr>
              <w:t>a</w:t>
            </w:r>
          </w:p>
        </w:tc>
        <w:tc>
          <w:tcPr>
            <w:tcW w:w="569" w:type="pct"/>
            <w:tcBorders>
              <w:top w:val="single" w:sz="4" w:space="0" w:color="FFFFFF" w:themeColor="background1"/>
              <w:left w:val="single" w:sz="4" w:space="0" w:color="000000" w:themeColor="text1"/>
              <w:bottom w:val="single" w:sz="4" w:space="0" w:color="auto"/>
              <w:right w:val="nil"/>
            </w:tcBorders>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color w:val="000000"/>
                <w:sz w:val="16"/>
                <w:szCs w:val="16"/>
              </w:rPr>
            </w:pPr>
            <w:r w:rsidRPr="00F5246E">
              <w:rPr>
                <w:rFonts w:ascii="Times New Roman" w:eastAsia="Times New Roman" w:hAnsi="Times New Roman" w:cs="Times New Roman"/>
                <w:b/>
                <w:bCs/>
                <w:color w:val="000000"/>
                <w:sz w:val="16"/>
                <w:szCs w:val="16"/>
              </w:rPr>
              <w:t>Fold Change</w:t>
            </w:r>
            <w:r w:rsidRPr="00F5246E">
              <w:rPr>
                <w:rFonts w:ascii="Times New Roman" w:eastAsia="Times New Roman" w:hAnsi="Times New Roman" w:cs="Times New Roman"/>
                <w:b/>
                <w:bCs/>
                <w:color w:val="000000"/>
                <w:sz w:val="16"/>
                <w:szCs w:val="16"/>
                <w:vertAlign w:val="superscript"/>
              </w:rPr>
              <w:t>a</w:t>
            </w:r>
          </w:p>
        </w:tc>
        <w:tc>
          <w:tcPr>
            <w:tcW w:w="687" w:type="pct"/>
            <w:tcBorders>
              <w:top w:val="single" w:sz="4" w:space="0" w:color="FFFFFF" w:themeColor="background1"/>
              <w:left w:val="nil"/>
              <w:bottom w:val="single" w:sz="4" w:space="0" w:color="auto"/>
              <w:right w:val="nil"/>
            </w:tcBorders>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color w:val="000000"/>
                <w:sz w:val="16"/>
                <w:szCs w:val="16"/>
              </w:rPr>
            </w:pPr>
            <w:r w:rsidRPr="00F5246E">
              <w:rPr>
                <w:rFonts w:ascii="Times New Roman" w:eastAsia="Times New Roman" w:hAnsi="Times New Roman" w:cs="Times New Roman"/>
                <w:b/>
                <w:bCs/>
                <w:color w:val="000000"/>
                <w:sz w:val="16"/>
                <w:szCs w:val="16"/>
              </w:rPr>
              <w:t>Rate Constant</w:t>
            </w:r>
            <w:r w:rsidRPr="00F5246E">
              <w:rPr>
                <w:rFonts w:ascii="Times New Roman" w:eastAsia="Times New Roman" w:hAnsi="Times New Roman" w:cs="Times New Roman"/>
                <w:b/>
                <w:bCs/>
                <w:color w:val="000000"/>
                <w:sz w:val="16"/>
                <w:szCs w:val="16"/>
                <w:vertAlign w:val="superscript"/>
              </w:rPr>
              <w:t>a</w:t>
            </w:r>
            <w:r w:rsidRPr="00F5246E">
              <w:rPr>
                <w:rFonts w:ascii="Times New Roman" w:eastAsia="Times New Roman" w:hAnsi="Times New Roman" w:cs="Times New Roman"/>
                <w:b/>
                <w:bCs/>
                <w:color w:val="000000"/>
                <w:sz w:val="16"/>
                <w:szCs w:val="16"/>
              </w:rPr>
              <w:t>, k</w:t>
            </w:r>
          </w:p>
        </w:tc>
        <w:tc>
          <w:tcPr>
            <w:tcW w:w="569" w:type="pct"/>
            <w:tcBorders>
              <w:top w:val="single" w:sz="4" w:space="0" w:color="FFFFFF" w:themeColor="background1"/>
              <w:left w:val="nil"/>
              <w:bottom w:val="single" w:sz="4" w:space="0" w:color="auto"/>
              <w:right w:val="nil"/>
            </w:tcBorders>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color w:val="000000"/>
                <w:sz w:val="16"/>
                <w:szCs w:val="16"/>
              </w:rPr>
            </w:pPr>
            <w:r w:rsidRPr="00F5246E">
              <w:rPr>
                <w:rFonts w:ascii="Times New Roman" w:eastAsia="Times New Roman" w:hAnsi="Times New Roman" w:cs="Times New Roman"/>
                <w:b/>
                <w:bCs/>
                <w:color w:val="000000"/>
                <w:sz w:val="16"/>
                <w:szCs w:val="16"/>
              </w:rPr>
              <w:t>Flux</w:t>
            </w:r>
            <w:r w:rsidRPr="00F5246E">
              <w:rPr>
                <w:rFonts w:ascii="Times New Roman" w:eastAsia="Times New Roman" w:hAnsi="Times New Roman" w:cs="Times New Roman"/>
                <w:b/>
                <w:bCs/>
                <w:color w:val="000000"/>
                <w:sz w:val="16"/>
                <w:szCs w:val="16"/>
                <w:vertAlign w:val="superscript"/>
              </w:rPr>
              <w:t>a</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1.16</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1.06</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1.19</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1.08</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5</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5</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1.08</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0.99</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1.09</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1.00</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15</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15</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1.34</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1.22</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1.14</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1.04</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30</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30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1.46</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1.34</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1.07</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0.98</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60</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60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1.90</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1.74</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1.19</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1.09</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120</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120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2.17</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1.98</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1.09</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0.91</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0.99</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240</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2.09</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0.72</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1.50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1.06</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0.80</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0.84</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245</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5</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2.13</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0.72</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1.53</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0.97</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0.80</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0.77</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255</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15</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2.78</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0.72</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2.00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0.99</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0.80</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0.78</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270</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30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3.64</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0.72</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2.62</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1.24</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0.80</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0.99</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300</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60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3.20</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0.72</w:t>
            </w:r>
          </w:p>
        </w:tc>
        <w:tc>
          <w:tcPr>
            <w:tcW w:w="569"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2.30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1.23</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0.80</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0.98</w:t>
            </w:r>
          </w:p>
        </w:tc>
      </w:tr>
      <w:tr w:rsidR="007147B8" w:rsidRPr="00F5246E" w:rsidTr="00E613FF">
        <w:trPr>
          <w:trHeight w:val="300"/>
        </w:trPr>
        <w:tc>
          <w:tcPr>
            <w:tcW w:w="80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360</w:t>
            </w:r>
          </w:p>
        </w:tc>
        <w:tc>
          <w:tcPr>
            <w:tcW w:w="569" w:type="pct"/>
            <w:tcBorders>
              <w:top w:val="nil"/>
              <w:left w:val="nil"/>
              <w:bottom w:val="single" w:sz="4" w:space="0" w:color="auto"/>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120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3.20</w:t>
            </w:r>
          </w:p>
        </w:tc>
        <w:tc>
          <w:tcPr>
            <w:tcW w:w="664"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0.72</w:t>
            </w:r>
          </w:p>
        </w:tc>
        <w:tc>
          <w:tcPr>
            <w:tcW w:w="569" w:type="pct"/>
            <w:tcBorders>
              <w:top w:val="nil"/>
              <w:left w:val="nil"/>
              <w:bottom w:val="single" w:sz="4" w:space="0" w:color="auto"/>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2.30</w:t>
            </w:r>
          </w:p>
        </w:tc>
        <w:tc>
          <w:tcPr>
            <w:tcW w:w="569"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1.24</w:t>
            </w:r>
          </w:p>
        </w:tc>
        <w:tc>
          <w:tcPr>
            <w:tcW w:w="68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0.80</w:t>
            </w:r>
          </w:p>
        </w:tc>
        <w:tc>
          <w:tcPr>
            <w:tcW w:w="569"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rPr>
              <w:t>0.98</w:t>
            </w:r>
          </w:p>
        </w:tc>
      </w:tr>
      <w:tr w:rsidR="007147B8" w:rsidRPr="00F5246E" w:rsidTr="00E613FF">
        <w:trPr>
          <w:trHeight w:val="300"/>
        </w:trPr>
        <w:tc>
          <w:tcPr>
            <w:tcW w:w="5000" w:type="pct"/>
            <w:gridSpan w:val="8"/>
            <w:tcBorders>
              <w:top w:val="single" w:sz="4" w:space="0" w:color="auto"/>
              <w:left w:val="nil"/>
              <w:bottom w:val="single" w:sz="4" w:space="0" w:color="auto"/>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color w:val="000000"/>
                <w:sz w:val="16"/>
                <w:szCs w:val="16"/>
              </w:rPr>
            </w:pPr>
            <w:r w:rsidRPr="00F5246E">
              <w:rPr>
                <w:rFonts w:ascii="Times New Roman" w:eastAsia="Times New Roman" w:hAnsi="Times New Roman" w:cs="Times New Roman"/>
                <w:color w:val="000000"/>
                <w:sz w:val="16"/>
                <w:szCs w:val="16"/>
                <w:vertAlign w:val="superscript"/>
              </w:rPr>
              <w:t>a</w:t>
            </w:r>
            <w:r w:rsidRPr="00F5246E">
              <w:rPr>
                <w:rFonts w:ascii="Times New Roman" w:eastAsia="Times New Roman" w:hAnsi="Times New Roman" w:cs="Times New Roman"/>
                <w:color w:val="000000"/>
                <w:sz w:val="16"/>
                <w:szCs w:val="16"/>
              </w:rPr>
              <w:t>Calculated as a ratio of infected / uninfected per time point</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Pr>
        <w:sectPr w:rsidR="007147B8" w:rsidSect="00E613FF">
          <w:pgSz w:w="12240" w:h="15840"/>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2471"/>
        <w:gridCol w:w="3094"/>
        <w:gridCol w:w="988"/>
        <w:gridCol w:w="737"/>
        <w:gridCol w:w="737"/>
        <w:gridCol w:w="737"/>
        <w:gridCol w:w="737"/>
        <w:gridCol w:w="737"/>
        <w:gridCol w:w="737"/>
        <w:gridCol w:w="737"/>
        <w:gridCol w:w="737"/>
        <w:gridCol w:w="727"/>
      </w:tblGrid>
      <w:tr w:rsidR="007147B8" w:rsidRPr="00F5246E" w:rsidTr="00E613FF">
        <w:trPr>
          <w:trHeight w:val="315"/>
        </w:trPr>
        <w:tc>
          <w:tcPr>
            <w:tcW w:w="1764" w:type="pct"/>
            <w:gridSpan w:val="4"/>
            <w:tcBorders>
              <w:top w:val="single" w:sz="4" w:space="0" w:color="FFFFFF" w:themeColor="background1"/>
              <w:left w:val="nil"/>
              <w:bottom w:val="single" w:sz="4" w:space="0" w:color="auto"/>
              <w:right w:val="nil"/>
            </w:tcBorders>
            <w:noWrap/>
            <w:vAlign w:val="bottom"/>
            <w:hideMark/>
          </w:tcPr>
          <w:p w:rsidR="007147B8" w:rsidRPr="00F5246E" w:rsidRDefault="00BB0756" w:rsidP="00E613FF">
            <w:pPr>
              <w:spacing w:after="0" w:line="240" w:lineRule="atLeas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lastRenderedPageBreak/>
              <w:t>Table 12</w:t>
            </w:r>
            <w:r w:rsidR="00A866B6">
              <w:rPr>
                <w:rFonts w:ascii="Times New Roman" w:eastAsia="Times New Roman" w:hAnsi="Times New Roman" w:cs="Times New Roman"/>
                <w:b/>
                <w:bCs/>
                <w:sz w:val="16"/>
                <w:szCs w:val="16"/>
              </w:rPr>
              <w:t>A</w:t>
            </w:r>
            <w:r w:rsidR="007147B8" w:rsidRPr="00F5246E">
              <w:rPr>
                <w:rFonts w:ascii="Times New Roman" w:eastAsia="Times New Roman" w:hAnsi="Times New Roman" w:cs="Times New Roman"/>
                <w:b/>
                <w:bCs/>
                <w:sz w:val="16"/>
                <w:szCs w:val="16"/>
              </w:rPr>
              <w:t xml:space="preserve">:  </w:t>
            </w:r>
            <w:r w:rsidR="007147B8">
              <w:rPr>
                <w:rFonts w:ascii="Times New Roman" w:eastAsia="Times New Roman" w:hAnsi="Times New Roman" w:cs="Times New Roman"/>
                <w:b/>
                <w:bCs/>
                <w:sz w:val="16"/>
                <w:szCs w:val="16"/>
              </w:rPr>
              <w:t xml:space="preserve">Average Percent of </w:t>
            </w:r>
            <w:r w:rsidR="007147B8" w:rsidRPr="00F5246E">
              <w:rPr>
                <w:rFonts w:ascii="Times New Roman" w:eastAsia="Times New Roman" w:hAnsi="Times New Roman" w:cs="Times New Roman"/>
                <w:b/>
                <w:bCs/>
                <w:sz w:val="16"/>
                <w:szCs w:val="16"/>
              </w:rPr>
              <w:t>Glutamine Flux Early Post Infection Used in Figure 4a</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r>
      <w:tr w:rsidR="007147B8" w:rsidRPr="00F5246E" w:rsidTr="00E613FF">
        <w:trPr>
          <w:trHeight w:val="300"/>
        </w:trPr>
        <w:tc>
          <w:tcPr>
            <w:tcW w:w="585"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733"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3682" w:type="pct"/>
            <w:gridSpan w:val="10"/>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Average Percent at Time Point</w:t>
            </w:r>
          </w:p>
        </w:tc>
      </w:tr>
      <w:tr w:rsidR="007147B8" w:rsidRPr="00F5246E" w:rsidTr="00E613FF">
        <w:trPr>
          <w:trHeight w:val="300"/>
        </w:trPr>
        <w:tc>
          <w:tcPr>
            <w:tcW w:w="1318" w:type="pct"/>
            <w:gridSpan w:val="2"/>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Time in Minutes</w:t>
            </w:r>
          </w:p>
        </w:tc>
        <w:tc>
          <w:tcPr>
            <w:tcW w:w="1659" w:type="pct"/>
            <w:gridSpan w:val="5"/>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Control</w:t>
            </w:r>
          </w:p>
        </w:tc>
        <w:tc>
          <w:tcPr>
            <w:tcW w:w="2023" w:type="pct"/>
            <w:gridSpan w:val="5"/>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Infected</w:t>
            </w:r>
          </w:p>
        </w:tc>
      </w:tr>
      <w:tr w:rsidR="007147B8" w:rsidRPr="00F5246E" w:rsidTr="00E613FF">
        <w:trPr>
          <w:trHeight w:val="300"/>
        </w:trPr>
        <w:tc>
          <w:tcPr>
            <w:tcW w:w="585" w:type="pct"/>
            <w:tcBorders>
              <w:top w:val="nil"/>
              <w:left w:val="nil"/>
              <w:bottom w:val="single" w:sz="4" w:space="0" w:color="auto"/>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Infection </w:t>
            </w:r>
          </w:p>
        </w:tc>
        <w:tc>
          <w:tcPr>
            <w:tcW w:w="733" w:type="pct"/>
            <w:tcBorders>
              <w:top w:val="nil"/>
              <w:left w:val="single" w:sz="4" w:space="0" w:color="FFFFFF" w:themeColor="background1"/>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w:t>
            </w:r>
            <w:r w:rsidRPr="00F5246E">
              <w:rPr>
                <w:rFonts w:ascii="Times New Roman" w:eastAsia="Times New Roman" w:hAnsi="Times New Roman" w:cs="Times New Roman"/>
                <w:b/>
                <w:bCs/>
                <w:sz w:val="16"/>
                <w:szCs w:val="16"/>
                <w:vertAlign w:val="superscript"/>
              </w:rPr>
              <w:t>13</w:t>
            </w:r>
            <w:r w:rsidRPr="00F5246E">
              <w:rPr>
                <w:rFonts w:ascii="Times New Roman" w:eastAsia="Times New Roman" w:hAnsi="Times New Roman" w:cs="Times New Roman"/>
                <w:b/>
                <w:bCs/>
                <w:sz w:val="16"/>
                <w:szCs w:val="16"/>
              </w:rPr>
              <w:t>C Addition</w:t>
            </w:r>
          </w:p>
        </w:tc>
        <w:tc>
          <w:tcPr>
            <w:tcW w:w="234"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212"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2-2</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405" w:type="pct"/>
            <w:tcBorders>
              <w:top w:val="nil"/>
              <w:left w:val="nil"/>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c>
          <w:tcPr>
            <w:tcW w:w="405"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2-2</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r>
      <w:tr w:rsidR="007147B8" w:rsidRPr="00F5246E" w:rsidTr="00E613FF">
        <w:trPr>
          <w:trHeight w:val="300"/>
        </w:trPr>
        <w:tc>
          <w:tcPr>
            <w:tcW w:w="58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0</w:t>
            </w:r>
          </w:p>
        </w:tc>
        <w:tc>
          <w:tcPr>
            <w:tcW w:w="733" w:type="pct"/>
            <w:tcBorders>
              <w:top w:val="single" w:sz="4" w:space="0" w:color="auto"/>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0</w:t>
            </w:r>
          </w:p>
        </w:tc>
        <w:tc>
          <w:tcPr>
            <w:tcW w:w="234" w:type="pct"/>
            <w:tcBorders>
              <w:top w:val="single" w:sz="4" w:space="0" w:color="auto"/>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91.06</w:t>
            </w:r>
          </w:p>
        </w:tc>
        <w:tc>
          <w:tcPr>
            <w:tcW w:w="212"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8.55</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0.39</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90.93</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8.73</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0.34</w:t>
            </w:r>
          </w:p>
        </w:tc>
      </w:tr>
      <w:tr w:rsidR="007147B8" w:rsidRPr="00F5246E" w:rsidTr="00E613FF">
        <w:trPr>
          <w:trHeight w:val="300"/>
        </w:trPr>
        <w:tc>
          <w:tcPr>
            <w:tcW w:w="58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5</w:t>
            </w:r>
          </w:p>
        </w:tc>
        <w:tc>
          <w:tcPr>
            <w:tcW w:w="733"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5</w:t>
            </w:r>
          </w:p>
        </w:tc>
        <w:tc>
          <w:tcPr>
            <w:tcW w:w="234"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62.82</w:t>
            </w:r>
          </w:p>
        </w:tc>
        <w:tc>
          <w:tcPr>
            <w:tcW w:w="21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26.61</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4.02</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6.55</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66.95</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23.76</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4.64</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4.66</w:t>
            </w:r>
          </w:p>
        </w:tc>
      </w:tr>
      <w:tr w:rsidR="007147B8" w:rsidRPr="00F5246E" w:rsidTr="00E613FF">
        <w:trPr>
          <w:trHeight w:val="300"/>
        </w:trPr>
        <w:tc>
          <w:tcPr>
            <w:tcW w:w="58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15</w:t>
            </w:r>
          </w:p>
        </w:tc>
        <w:tc>
          <w:tcPr>
            <w:tcW w:w="733"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15</w:t>
            </w:r>
          </w:p>
        </w:tc>
        <w:tc>
          <w:tcPr>
            <w:tcW w:w="234"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21.24</w:t>
            </w:r>
          </w:p>
        </w:tc>
        <w:tc>
          <w:tcPr>
            <w:tcW w:w="21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25.68</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18.24</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34.84</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25.39</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27.80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16.84</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29.97</w:t>
            </w:r>
          </w:p>
        </w:tc>
      </w:tr>
      <w:tr w:rsidR="007147B8" w:rsidRPr="00F5246E" w:rsidTr="00E613FF">
        <w:trPr>
          <w:trHeight w:val="300"/>
        </w:trPr>
        <w:tc>
          <w:tcPr>
            <w:tcW w:w="58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30</w:t>
            </w:r>
          </w:p>
        </w:tc>
        <w:tc>
          <w:tcPr>
            <w:tcW w:w="733"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30</w:t>
            </w:r>
          </w:p>
        </w:tc>
        <w:tc>
          <w:tcPr>
            <w:tcW w:w="234"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14.59</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18.04</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14.93</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52.44</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15.11</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18.23</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15.03</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51.62</w:t>
            </w:r>
          </w:p>
        </w:tc>
      </w:tr>
      <w:tr w:rsidR="007147B8" w:rsidRPr="00F5246E" w:rsidTr="00E613FF">
        <w:trPr>
          <w:trHeight w:val="300"/>
        </w:trPr>
        <w:tc>
          <w:tcPr>
            <w:tcW w:w="58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60</w:t>
            </w:r>
          </w:p>
        </w:tc>
        <w:tc>
          <w:tcPr>
            <w:tcW w:w="733"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60</w:t>
            </w:r>
          </w:p>
        </w:tc>
        <w:tc>
          <w:tcPr>
            <w:tcW w:w="234"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8.85</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21.88</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12.85</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56.42</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11.74</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19.61</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13.81</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54.83</w:t>
            </w:r>
          </w:p>
        </w:tc>
      </w:tr>
      <w:tr w:rsidR="007147B8" w:rsidRPr="00F5246E" w:rsidTr="00E613FF">
        <w:trPr>
          <w:trHeight w:val="300"/>
        </w:trPr>
        <w:tc>
          <w:tcPr>
            <w:tcW w:w="58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120</w:t>
            </w:r>
          </w:p>
        </w:tc>
        <w:tc>
          <w:tcPr>
            <w:tcW w:w="733" w:type="pct"/>
            <w:tcBorders>
              <w:top w:val="nil"/>
              <w:left w:val="nil"/>
              <w:bottom w:val="single" w:sz="4" w:space="0" w:color="auto"/>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120</w:t>
            </w:r>
          </w:p>
        </w:tc>
        <w:tc>
          <w:tcPr>
            <w:tcW w:w="234" w:type="pct"/>
            <w:tcBorders>
              <w:top w:val="nil"/>
              <w:left w:val="single" w:sz="4" w:space="0" w:color="FFFFFF" w:themeColor="background1"/>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2"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7.22</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19.46</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13.60</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59.72</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9.46</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15.85</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13.69</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61.00</w:t>
            </w:r>
          </w:p>
        </w:tc>
      </w:tr>
      <w:tr w:rsidR="007147B8" w:rsidRPr="00F5246E" w:rsidTr="00E613FF">
        <w:trPr>
          <w:trHeight w:val="300"/>
        </w:trPr>
        <w:tc>
          <w:tcPr>
            <w:tcW w:w="2168" w:type="pct"/>
            <w:gridSpan w:val="5"/>
            <w:tcBorders>
              <w:top w:val="single" w:sz="4" w:space="0" w:color="auto"/>
              <w:left w:val="nil"/>
              <w:bottom w:val="single" w:sz="4" w:space="0" w:color="auto"/>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xml:space="preserve">X-Y : Where X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 xml:space="preserve">C in the parent ion and Y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C in the product ion</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r>
      <w:tr w:rsidR="007147B8" w:rsidRPr="00F5246E" w:rsidTr="00E613FF">
        <w:trPr>
          <w:trHeight w:val="300"/>
        </w:trPr>
        <w:tc>
          <w:tcPr>
            <w:tcW w:w="585" w:type="pct"/>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733" w:type="pct"/>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234" w:type="pct"/>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212" w:type="pct"/>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05" w:type="pct"/>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r>
      <w:tr w:rsidR="007147B8" w:rsidRPr="00F5246E" w:rsidTr="00E613FF">
        <w:trPr>
          <w:trHeight w:val="300"/>
        </w:trPr>
        <w:tc>
          <w:tcPr>
            <w:tcW w:w="1764" w:type="pct"/>
            <w:gridSpan w:val="4"/>
            <w:tcBorders>
              <w:top w:val="nil"/>
              <w:left w:val="nil"/>
              <w:bottom w:val="single" w:sz="4" w:space="0" w:color="auto"/>
              <w:right w:val="nil"/>
            </w:tcBorders>
            <w:noWrap/>
            <w:vAlign w:val="bottom"/>
          </w:tcPr>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BB0756" w:rsidP="00E613FF">
            <w:pPr>
              <w:spacing w:after="0" w:line="240" w:lineRule="atLeas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Table 12</w:t>
            </w:r>
            <w:r w:rsidR="00A866B6">
              <w:rPr>
                <w:rFonts w:ascii="Times New Roman" w:eastAsia="Times New Roman" w:hAnsi="Times New Roman" w:cs="Times New Roman"/>
                <w:b/>
                <w:bCs/>
                <w:sz w:val="16"/>
                <w:szCs w:val="16"/>
              </w:rPr>
              <w:t>B</w:t>
            </w:r>
            <w:r w:rsidR="007147B8" w:rsidRPr="00F5246E">
              <w:rPr>
                <w:rFonts w:ascii="Times New Roman" w:eastAsia="Times New Roman" w:hAnsi="Times New Roman" w:cs="Times New Roman"/>
                <w:b/>
                <w:bCs/>
                <w:sz w:val="16"/>
                <w:szCs w:val="16"/>
              </w:rPr>
              <w:t xml:space="preserve">:  </w:t>
            </w:r>
            <w:r w:rsidR="007147B8">
              <w:rPr>
                <w:rFonts w:ascii="Times New Roman" w:eastAsia="Times New Roman" w:hAnsi="Times New Roman" w:cs="Times New Roman"/>
                <w:b/>
                <w:bCs/>
                <w:sz w:val="16"/>
                <w:szCs w:val="16"/>
              </w:rPr>
              <w:t xml:space="preserve">Range of </w:t>
            </w:r>
            <w:r w:rsidR="007147B8" w:rsidRPr="00F5246E">
              <w:rPr>
                <w:rFonts w:ascii="Times New Roman" w:eastAsia="Times New Roman" w:hAnsi="Times New Roman" w:cs="Times New Roman"/>
                <w:b/>
                <w:bCs/>
                <w:sz w:val="16"/>
                <w:szCs w:val="16"/>
              </w:rPr>
              <w:t>Glutamine Flux Early Post Infection Used in Figure 4a</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r>
      <w:tr w:rsidR="007147B8" w:rsidRPr="00F5246E" w:rsidTr="00E613FF">
        <w:trPr>
          <w:trHeight w:val="300"/>
        </w:trPr>
        <w:tc>
          <w:tcPr>
            <w:tcW w:w="585"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733"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3682" w:type="pct"/>
            <w:gridSpan w:val="10"/>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Range</w:t>
            </w:r>
          </w:p>
        </w:tc>
      </w:tr>
      <w:tr w:rsidR="007147B8" w:rsidRPr="00F5246E" w:rsidTr="00E613FF">
        <w:trPr>
          <w:trHeight w:val="300"/>
        </w:trPr>
        <w:tc>
          <w:tcPr>
            <w:tcW w:w="1318" w:type="pct"/>
            <w:gridSpan w:val="2"/>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Time in Minutes</w:t>
            </w:r>
          </w:p>
        </w:tc>
        <w:tc>
          <w:tcPr>
            <w:tcW w:w="1659" w:type="pct"/>
            <w:gridSpan w:val="5"/>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Control</w:t>
            </w:r>
          </w:p>
        </w:tc>
        <w:tc>
          <w:tcPr>
            <w:tcW w:w="2023" w:type="pct"/>
            <w:gridSpan w:val="5"/>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Infected </w:t>
            </w:r>
          </w:p>
        </w:tc>
      </w:tr>
      <w:tr w:rsidR="007147B8" w:rsidRPr="00F5246E" w:rsidTr="00E613FF">
        <w:trPr>
          <w:trHeight w:val="300"/>
        </w:trPr>
        <w:tc>
          <w:tcPr>
            <w:tcW w:w="585" w:type="pct"/>
            <w:tcBorders>
              <w:top w:val="nil"/>
              <w:left w:val="nil"/>
              <w:bottom w:val="single" w:sz="4" w:space="0" w:color="auto"/>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Infection </w:t>
            </w:r>
          </w:p>
        </w:tc>
        <w:tc>
          <w:tcPr>
            <w:tcW w:w="733" w:type="pct"/>
            <w:tcBorders>
              <w:top w:val="nil"/>
              <w:left w:val="single" w:sz="4" w:space="0" w:color="FFFFFF" w:themeColor="background1"/>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w:t>
            </w:r>
            <w:r w:rsidRPr="00F5246E">
              <w:rPr>
                <w:rFonts w:ascii="Times New Roman" w:eastAsia="Times New Roman" w:hAnsi="Times New Roman" w:cs="Times New Roman"/>
                <w:b/>
                <w:bCs/>
                <w:sz w:val="16"/>
                <w:szCs w:val="16"/>
                <w:vertAlign w:val="superscript"/>
              </w:rPr>
              <w:t>13</w:t>
            </w:r>
            <w:r w:rsidRPr="00F5246E">
              <w:rPr>
                <w:rFonts w:ascii="Times New Roman" w:eastAsia="Times New Roman" w:hAnsi="Times New Roman" w:cs="Times New Roman"/>
                <w:b/>
                <w:bCs/>
                <w:sz w:val="16"/>
                <w:szCs w:val="16"/>
              </w:rPr>
              <w:t>C Addition</w:t>
            </w:r>
          </w:p>
        </w:tc>
        <w:tc>
          <w:tcPr>
            <w:tcW w:w="234"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212"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2-2</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405" w:type="pct"/>
            <w:tcBorders>
              <w:top w:val="nil"/>
              <w:left w:val="nil"/>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c>
          <w:tcPr>
            <w:tcW w:w="405"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2-2</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r>
      <w:tr w:rsidR="007147B8" w:rsidRPr="00F5246E" w:rsidTr="00E613FF">
        <w:trPr>
          <w:trHeight w:val="300"/>
        </w:trPr>
        <w:tc>
          <w:tcPr>
            <w:tcW w:w="58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0</w:t>
            </w:r>
          </w:p>
        </w:tc>
        <w:tc>
          <w:tcPr>
            <w:tcW w:w="733" w:type="pct"/>
            <w:tcBorders>
              <w:top w:val="single" w:sz="4" w:space="0" w:color="auto"/>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0</w:t>
            </w:r>
          </w:p>
        </w:tc>
        <w:tc>
          <w:tcPr>
            <w:tcW w:w="234" w:type="pct"/>
            <w:tcBorders>
              <w:top w:val="single" w:sz="4" w:space="0" w:color="auto"/>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0.27</w:t>
            </w:r>
          </w:p>
        </w:tc>
        <w:tc>
          <w:tcPr>
            <w:tcW w:w="212"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0.66</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0.39</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0.34</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0.34</w:t>
            </w:r>
          </w:p>
        </w:tc>
      </w:tr>
      <w:tr w:rsidR="007147B8" w:rsidRPr="00F5246E" w:rsidTr="00E613FF">
        <w:trPr>
          <w:trHeight w:val="300"/>
        </w:trPr>
        <w:tc>
          <w:tcPr>
            <w:tcW w:w="58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5</w:t>
            </w:r>
          </w:p>
        </w:tc>
        <w:tc>
          <w:tcPr>
            <w:tcW w:w="733"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5</w:t>
            </w:r>
          </w:p>
        </w:tc>
        <w:tc>
          <w:tcPr>
            <w:tcW w:w="234"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1.39</w:t>
            </w:r>
          </w:p>
        </w:tc>
        <w:tc>
          <w:tcPr>
            <w:tcW w:w="21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1.01</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0.08</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1.33</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1.53</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0.25</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0.05</w:t>
            </w:r>
          </w:p>
        </w:tc>
      </w:tr>
      <w:tr w:rsidR="007147B8" w:rsidRPr="00F5246E" w:rsidTr="00E613FF">
        <w:trPr>
          <w:trHeight w:val="300"/>
        </w:trPr>
        <w:tc>
          <w:tcPr>
            <w:tcW w:w="58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15</w:t>
            </w:r>
          </w:p>
        </w:tc>
        <w:tc>
          <w:tcPr>
            <w:tcW w:w="733"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15</w:t>
            </w:r>
          </w:p>
        </w:tc>
        <w:tc>
          <w:tcPr>
            <w:tcW w:w="234"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1.39</w:t>
            </w:r>
          </w:p>
        </w:tc>
        <w:tc>
          <w:tcPr>
            <w:tcW w:w="21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1.33</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1.26</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3.98</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1.12</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0.01</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0.52</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1.65</w:t>
            </w:r>
          </w:p>
        </w:tc>
      </w:tr>
      <w:tr w:rsidR="007147B8" w:rsidRPr="00F5246E" w:rsidTr="00E613FF">
        <w:trPr>
          <w:trHeight w:val="300"/>
        </w:trPr>
        <w:tc>
          <w:tcPr>
            <w:tcW w:w="58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30</w:t>
            </w:r>
          </w:p>
        </w:tc>
        <w:tc>
          <w:tcPr>
            <w:tcW w:w="733"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30</w:t>
            </w:r>
          </w:p>
        </w:tc>
        <w:tc>
          <w:tcPr>
            <w:tcW w:w="234"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2.44</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1.45</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2.63</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1.26</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1.75</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3.19</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2.40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2.54</w:t>
            </w:r>
          </w:p>
        </w:tc>
      </w:tr>
      <w:tr w:rsidR="007147B8" w:rsidRPr="00F5246E" w:rsidTr="00E613FF">
        <w:trPr>
          <w:trHeight w:val="300"/>
        </w:trPr>
        <w:tc>
          <w:tcPr>
            <w:tcW w:w="58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60</w:t>
            </w:r>
          </w:p>
        </w:tc>
        <w:tc>
          <w:tcPr>
            <w:tcW w:w="733"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60</w:t>
            </w:r>
          </w:p>
        </w:tc>
        <w:tc>
          <w:tcPr>
            <w:tcW w:w="234"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2.64</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0.26</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0.58</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0.08</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1.24</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0.53</w:t>
            </w:r>
          </w:p>
        </w:tc>
        <w:tc>
          <w:tcPr>
            <w:tcW w:w="40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0.63</w:t>
            </w:r>
          </w:p>
        </w:tc>
      </w:tr>
      <w:tr w:rsidR="007147B8" w:rsidRPr="00F5246E" w:rsidTr="00E613FF">
        <w:trPr>
          <w:trHeight w:val="300"/>
        </w:trPr>
        <w:tc>
          <w:tcPr>
            <w:tcW w:w="58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120</w:t>
            </w:r>
          </w:p>
        </w:tc>
        <w:tc>
          <w:tcPr>
            <w:tcW w:w="733" w:type="pct"/>
            <w:tcBorders>
              <w:top w:val="nil"/>
              <w:left w:val="nil"/>
              <w:bottom w:val="single" w:sz="4" w:space="0" w:color="auto"/>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Cs/>
                <w:sz w:val="16"/>
                <w:szCs w:val="16"/>
              </w:rPr>
            </w:pPr>
            <w:r w:rsidRPr="00F5246E">
              <w:rPr>
                <w:rFonts w:ascii="Times New Roman" w:eastAsia="Times New Roman" w:hAnsi="Times New Roman" w:cs="Times New Roman"/>
                <w:bCs/>
                <w:sz w:val="16"/>
                <w:szCs w:val="16"/>
              </w:rPr>
              <w:t>120</w:t>
            </w:r>
          </w:p>
        </w:tc>
        <w:tc>
          <w:tcPr>
            <w:tcW w:w="234" w:type="pct"/>
            <w:tcBorders>
              <w:top w:val="nil"/>
              <w:left w:val="single" w:sz="4" w:space="0" w:color="FFFFFF" w:themeColor="background1"/>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2"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0.40</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1.02</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0.26</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0.36</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2.55</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0.49</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0.18</w:t>
            </w:r>
          </w:p>
        </w:tc>
        <w:tc>
          <w:tcPr>
            <w:tcW w:w="40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2.86</w:t>
            </w:r>
          </w:p>
        </w:tc>
      </w:tr>
      <w:tr w:rsidR="007147B8" w:rsidRPr="00F5246E" w:rsidTr="00E613FF">
        <w:trPr>
          <w:trHeight w:val="300"/>
        </w:trPr>
        <w:tc>
          <w:tcPr>
            <w:tcW w:w="1552" w:type="pct"/>
            <w:gridSpan w:val="3"/>
            <w:tcBorders>
              <w:top w:val="single" w:sz="4" w:space="0" w:color="auto"/>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xml:space="preserve">X-Y : Where X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 xml:space="preserve">C in the parent ion and Y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C in the product ion</w:t>
            </w:r>
          </w:p>
        </w:tc>
        <w:tc>
          <w:tcPr>
            <w:tcW w:w="212"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05"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r>
    </w:tbl>
    <w:p w:rsidR="007147B8" w:rsidRPr="00F5246E" w:rsidRDefault="007147B8" w:rsidP="007147B8"/>
    <w:p w:rsidR="007147B8" w:rsidRPr="00F5246E" w:rsidRDefault="007147B8" w:rsidP="007147B8"/>
    <w:tbl>
      <w:tblPr>
        <w:tblW w:w="5000" w:type="pct"/>
        <w:tblLook w:val="04A0" w:firstRow="1" w:lastRow="0" w:firstColumn="1" w:lastColumn="0" w:noHBand="0" w:noVBand="1"/>
      </w:tblPr>
      <w:tblGrid>
        <w:gridCol w:w="2147"/>
        <w:gridCol w:w="2689"/>
        <w:gridCol w:w="857"/>
        <w:gridCol w:w="860"/>
        <w:gridCol w:w="828"/>
        <w:gridCol w:w="829"/>
        <w:gridCol w:w="829"/>
        <w:gridCol w:w="829"/>
        <w:gridCol w:w="829"/>
        <w:gridCol w:w="829"/>
        <w:gridCol w:w="829"/>
        <w:gridCol w:w="821"/>
      </w:tblGrid>
      <w:tr w:rsidR="007147B8" w:rsidRPr="00F5246E" w:rsidTr="00E613FF">
        <w:trPr>
          <w:trHeight w:val="315"/>
        </w:trPr>
        <w:tc>
          <w:tcPr>
            <w:tcW w:w="1667" w:type="pct"/>
            <w:gridSpan w:val="4"/>
            <w:tcBorders>
              <w:top w:val="single" w:sz="4" w:space="0" w:color="FFFFFF" w:themeColor="background1"/>
              <w:left w:val="nil"/>
              <w:bottom w:val="nil"/>
              <w:right w:val="nil"/>
            </w:tcBorders>
            <w:noWrap/>
            <w:vAlign w:val="bottom"/>
            <w:hideMark/>
          </w:tcPr>
          <w:p w:rsidR="007147B8" w:rsidRPr="00F5246E" w:rsidRDefault="00BB0756" w:rsidP="00E613FF">
            <w:pPr>
              <w:spacing w:after="0" w:line="240" w:lineRule="atLeas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lastRenderedPageBreak/>
              <w:t>Table 13</w:t>
            </w:r>
            <w:r w:rsidR="00A866B6">
              <w:rPr>
                <w:rFonts w:ascii="Times New Roman" w:eastAsia="Times New Roman" w:hAnsi="Times New Roman" w:cs="Times New Roman"/>
                <w:b/>
                <w:bCs/>
                <w:sz w:val="16"/>
                <w:szCs w:val="16"/>
              </w:rPr>
              <w:t>A</w:t>
            </w:r>
            <w:r w:rsidR="007147B8" w:rsidRPr="00F5246E">
              <w:rPr>
                <w:rFonts w:ascii="Times New Roman" w:eastAsia="Times New Roman" w:hAnsi="Times New Roman" w:cs="Times New Roman"/>
                <w:b/>
                <w:bCs/>
                <w:sz w:val="16"/>
                <w:szCs w:val="16"/>
              </w:rPr>
              <w:t xml:space="preserve">:  </w:t>
            </w:r>
            <w:r w:rsidR="007147B8">
              <w:rPr>
                <w:rFonts w:ascii="Times New Roman" w:eastAsia="Times New Roman" w:hAnsi="Times New Roman" w:cs="Times New Roman"/>
                <w:b/>
                <w:bCs/>
                <w:sz w:val="16"/>
                <w:szCs w:val="16"/>
              </w:rPr>
              <w:t xml:space="preserve">Average Percent of </w:t>
            </w:r>
            <w:r w:rsidR="007147B8" w:rsidRPr="00F5246E">
              <w:rPr>
                <w:rFonts w:ascii="Times New Roman" w:eastAsia="Times New Roman" w:hAnsi="Times New Roman" w:cs="Times New Roman"/>
                <w:b/>
                <w:bCs/>
                <w:sz w:val="16"/>
                <w:szCs w:val="16"/>
              </w:rPr>
              <w:t>Glutamine Flux Late Post Infection Used in Figure 4b</w:t>
            </w:r>
          </w:p>
        </w:tc>
        <w:tc>
          <w:tcPr>
            <w:tcW w:w="417" w:type="pct"/>
            <w:noWrap/>
            <w:vAlign w:val="bottom"/>
            <w:hideMark/>
          </w:tcPr>
          <w:p w:rsidR="007147B8" w:rsidRPr="00F5246E" w:rsidRDefault="007147B8" w:rsidP="00E613FF">
            <w:pPr>
              <w:spacing w:after="0"/>
              <w:rPr>
                <w:rFonts w:cs="Times New Roman"/>
              </w:rPr>
            </w:pPr>
          </w:p>
        </w:tc>
        <w:tc>
          <w:tcPr>
            <w:tcW w:w="417" w:type="pct"/>
            <w:noWrap/>
            <w:vAlign w:val="bottom"/>
            <w:hideMark/>
          </w:tcPr>
          <w:p w:rsidR="007147B8" w:rsidRPr="00F5246E" w:rsidRDefault="007147B8" w:rsidP="00E613FF">
            <w:pPr>
              <w:spacing w:after="0"/>
              <w:rPr>
                <w:rFonts w:cs="Times New Roman"/>
              </w:rPr>
            </w:pPr>
          </w:p>
        </w:tc>
        <w:tc>
          <w:tcPr>
            <w:tcW w:w="417" w:type="pct"/>
            <w:noWrap/>
            <w:vAlign w:val="bottom"/>
            <w:hideMark/>
          </w:tcPr>
          <w:p w:rsidR="007147B8" w:rsidRPr="00F5246E" w:rsidRDefault="007147B8" w:rsidP="00E613FF">
            <w:pPr>
              <w:spacing w:after="0"/>
              <w:rPr>
                <w:rFonts w:cs="Times New Roman"/>
              </w:rPr>
            </w:pPr>
          </w:p>
        </w:tc>
        <w:tc>
          <w:tcPr>
            <w:tcW w:w="417" w:type="pct"/>
            <w:noWrap/>
            <w:vAlign w:val="bottom"/>
            <w:hideMark/>
          </w:tcPr>
          <w:p w:rsidR="007147B8" w:rsidRPr="00F5246E" w:rsidRDefault="007147B8" w:rsidP="00E613FF">
            <w:pPr>
              <w:spacing w:after="0"/>
              <w:rPr>
                <w:rFonts w:cs="Times New Roman"/>
              </w:rPr>
            </w:pPr>
          </w:p>
        </w:tc>
        <w:tc>
          <w:tcPr>
            <w:tcW w:w="417" w:type="pct"/>
            <w:noWrap/>
            <w:vAlign w:val="bottom"/>
            <w:hideMark/>
          </w:tcPr>
          <w:p w:rsidR="007147B8" w:rsidRPr="00F5246E" w:rsidRDefault="007147B8" w:rsidP="00E613FF">
            <w:pPr>
              <w:spacing w:after="0"/>
              <w:rPr>
                <w:rFonts w:cs="Times New Roman"/>
              </w:rPr>
            </w:pPr>
          </w:p>
        </w:tc>
        <w:tc>
          <w:tcPr>
            <w:tcW w:w="417" w:type="pct"/>
            <w:noWrap/>
            <w:vAlign w:val="bottom"/>
            <w:hideMark/>
          </w:tcPr>
          <w:p w:rsidR="007147B8" w:rsidRPr="00F5246E" w:rsidRDefault="007147B8" w:rsidP="00E613FF">
            <w:pPr>
              <w:spacing w:after="0"/>
              <w:rPr>
                <w:rFonts w:cs="Times New Roman"/>
              </w:rPr>
            </w:pPr>
          </w:p>
        </w:tc>
        <w:tc>
          <w:tcPr>
            <w:tcW w:w="417" w:type="pct"/>
            <w:noWrap/>
            <w:vAlign w:val="bottom"/>
            <w:hideMark/>
          </w:tcPr>
          <w:p w:rsidR="007147B8" w:rsidRPr="00F5246E" w:rsidRDefault="007147B8" w:rsidP="00E613FF">
            <w:pPr>
              <w:spacing w:after="0"/>
              <w:rPr>
                <w:rFonts w:cs="Times New Roman"/>
              </w:rPr>
            </w:pPr>
          </w:p>
        </w:tc>
        <w:tc>
          <w:tcPr>
            <w:tcW w:w="417" w:type="pct"/>
            <w:noWrap/>
            <w:vAlign w:val="bottom"/>
            <w:hideMark/>
          </w:tcPr>
          <w:p w:rsidR="007147B8" w:rsidRPr="00F5246E" w:rsidRDefault="007147B8" w:rsidP="00E613FF">
            <w:pPr>
              <w:spacing w:after="0"/>
              <w:rPr>
                <w:rFonts w:cs="Times New Roman"/>
              </w:rPr>
            </w:pPr>
          </w:p>
        </w:tc>
      </w:tr>
      <w:tr w:rsidR="007147B8" w:rsidRPr="00F5246E" w:rsidTr="00E613FF">
        <w:trPr>
          <w:trHeight w:val="300"/>
        </w:trPr>
        <w:tc>
          <w:tcPr>
            <w:tcW w:w="546"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684"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3770" w:type="pct"/>
            <w:gridSpan w:val="10"/>
            <w:tcBorders>
              <w:top w:val="single" w:sz="8" w:space="0" w:color="auto"/>
              <w:left w:val="nil"/>
              <w:bottom w:val="single" w:sz="4" w:space="0" w:color="FFFFFF" w:themeColor="background1"/>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Average Percent at Time Point</w:t>
            </w:r>
          </w:p>
        </w:tc>
      </w:tr>
      <w:tr w:rsidR="007147B8" w:rsidRPr="00F5246E" w:rsidTr="00E613FF">
        <w:trPr>
          <w:trHeight w:val="300"/>
        </w:trPr>
        <w:tc>
          <w:tcPr>
            <w:tcW w:w="1230" w:type="pct"/>
            <w:gridSpan w:val="2"/>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Time in Minutes</w:t>
            </w:r>
          </w:p>
        </w:tc>
        <w:tc>
          <w:tcPr>
            <w:tcW w:w="1686" w:type="pct"/>
            <w:gridSpan w:val="5"/>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Control</w:t>
            </w:r>
          </w:p>
        </w:tc>
        <w:tc>
          <w:tcPr>
            <w:tcW w:w="2083" w:type="pct"/>
            <w:gridSpan w:val="5"/>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Infected</w:t>
            </w:r>
          </w:p>
        </w:tc>
      </w:tr>
      <w:tr w:rsidR="007147B8" w:rsidRPr="00F5246E" w:rsidTr="00E613FF">
        <w:trPr>
          <w:trHeight w:val="300"/>
        </w:trPr>
        <w:tc>
          <w:tcPr>
            <w:tcW w:w="546"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Infection </w:t>
            </w:r>
          </w:p>
        </w:tc>
        <w:tc>
          <w:tcPr>
            <w:tcW w:w="684" w:type="pct"/>
            <w:tcBorders>
              <w:top w:val="nil"/>
              <w:left w:val="nil"/>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w:t>
            </w:r>
            <w:r w:rsidRPr="00F5246E">
              <w:rPr>
                <w:rFonts w:ascii="Times New Roman" w:eastAsia="Times New Roman" w:hAnsi="Times New Roman" w:cs="Times New Roman"/>
                <w:b/>
                <w:bCs/>
                <w:sz w:val="16"/>
                <w:szCs w:val="16"/>
                <w:vertAlign w:val="superscript"/>
              </w:rPr>
              <w:t>13</w:t>
            </w:r>
            <w:r w:rsidRPr="00F5246E">
              <w:rPr>
                <w:rFonts w:ascii="Times New Roman" w:eastAsia="Times New Roman" w:hAnsi="Times New Roman" w:cs="Times New Roman"/>
                <w:b/>
                <w:bCs/>
                <w:sz w:val="16"/>
                <w:szCs w:val="16"/>
              </w:rPr>
              <w:t>C Addition</w:t>
            </w:r>
          </w:p>
        </w:tc>
        <w:tc>
          <w:tcPr>
            <w:tcW w:w="218"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218"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2-2</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417" w:type="pct"/>
            <w:tcBorders>
              <w:top w:val="nil"/>
              <w:left w:val="nil"/>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c>
          <w:tcPr>
            <w:tcW w:w="417"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2-2</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r>
      <w:tr w:rsidR="007147B8" w:rsidRPr="00F5246E" w:rsidTr="00E613FF">
        <w:trPr>
          <w:trHeight w:val="300"/>
        </w:trPr>
        <w:tc>
          <w:tcPr>
            <w:tcW w:w="546"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240</w:t>
            </w:r>
          </w:p>
        </w:tc>
        <w:tc>
          <w:tcPr>
            <w:tcW w:w="684" w:type="pct"/>
            <w:tcBorders>
              <w:top w:val="single" w:sz="4" w:space="0" w:color="auto"/>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w:t>
            </w:r>
          </w:p>
        </w:tc>
        <w:tc>
          <w:tcPr>
            <w:tcW w:w="218" w:type="pct"/>
            <w:tcBorders>
              <w:top w:val="single" w:sz="4" w:space="0" w:color="auto"/>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95.33</w:t>
            </w:r>
          </w:p>
        </w:tc>
        <w:tc>
          <w:tcPr>
            <w:tcW w:w="218"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4.67</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93.94</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5.73</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0.32</w:t>
            </w:r>
          </w:p>
        </w:tc>
      </w:tr>
      <w:tr w:rsidR="007147B8" w:rsidRPr="00F5246E" w:rsidTr="00E613FF">
        <w:trPr>
          <w:trHeight w:val="300"/>
        </w:trPr>
        <w:tc>
          <w:tcPr>
            <w:tcW w:w="54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245</w:t>
            </w:r>
          </w:p>
        </w:tc>
        <w:tc>
          <w:tcPr>
            <w:tcW w:w="684"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w:t>
            </w:r>
          </w:p>
        </w:tc>
        <w:tc>
          <w:tcPr>
            <w:tcW w:w="218"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66.99</w:t>
            </w:r>
          </w:p>
        </w:tc>
        <w:tc>
          <w:tcPr>
            <w:tcW w:w="218"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24.96</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2.77</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5.29</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74.50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17.90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3.17</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4.43</w:t>
            </w:r>
          </w:p>
        </w:tc>
      </w:tr>
      <w:tr w:rsidR="007147B8" w:rsidRPr="00F5246E" w:rsidTr="00E613FF">
        <w:trPr>
          <w:trHeight w:val="300"/>
        </w:trPr>
        <w:tc>
          <w:tcPr>
            <w:tcW w:w="54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255</w:t>
            </w:r>
          </w:p>
        </w:tc>
        <w:tc>
          <w:tcPr>
            <w:tcW w:w="684"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w:t>
            </w:r>
          </w:p>
        </w:tc>
        <w:tc>
          <w:tcPr>
            <w:tcW w:w="218"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23.69</w:t>
            </w:r>
          </w:p>
        </w:tc>
        <w:tc>
          <w:tcPr>
            <w:tcW w:w="218"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26.16</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16.90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33.26</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44.99</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26.79</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9.96</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18.27</w:t>
            </w:r>
          </w:p>
        </w:tc>
      </w:tr>
      <w:tr w:rsidR="007147B8" w:rsidRPr="00F5246E" w:rsidTr="00E613FF">
        <w:trPr>
          <w:trHeight w:val="300"/>
        </w:trPr>
        <w:tc>
          <w:tcPr>
            <w:tcW w:w="54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270</w:t>
            </w:r>
          </w:p>
        </w:tc>
        <w:tc>
          <w:tcPr>
            <w:tcW w:w="684"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w:t>
            </w:r>
          </w:p>
        </w:tc>
        <w:tc>
          <w:tcPr>
            <w:tcW w:w="218"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8"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8.67</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15.88</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11.21</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64.24</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12.99</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18.04</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10.55</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14.85</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43.57</w:t>
            </w:r>
          </w:p>
        </w:tc>
      </w:tr>
      <w:tr w:rsidR="007147B8" w:rsidRPr="00F5246E" w:rsidTr="00E613FF">
        <w:trPr>
          <w:trHeight w:val="300"/>
        </w:trPr>
        <w:tc>
          <w:tcPr>
            <w:tcW w:w="54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300</w:t>
            </w:r>
          </w:p>
        </w:tc>
        <w:tc>
          <w:tcPr>
            <w:tcW w:w="684"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60</w:t>
            </w:r>
          </w:p>
        </w:tc>
        <w:tc>
          <w:tcPr>
            <w:tcW w:w="218"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8"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5.46</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14.59</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12.49</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67.46</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4.12</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12.23</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14.56</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12.33</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56.76</w:t>
            </w:r>
          </w:p>
        </w:tc>
      </w:tr>
      <w:tr w:rsidR="007147B8" w:rsidRPr="00F5246E" w:rsidTr="00E613FF">
        <w:trPr>
          <w:trHeight w:val="315"/>
        </w:trPr>
        <w:tc>
          <w:tcPr>
            <w:tcW w:w="546"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360</w:t>
            </w:r>
          </w:p>
        </w:tc>
        <w:tc>
          <w:tcPr>
            <w:tcW w:w="684" w:type="pct"/>
            <w:tcBorders>
              <w:top w:val="nil"/>
              <w:left w:val="nil"/>
              <w:bottom w:val="single" w:sz="4" w:space="0" w:color="auto"/>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120</w:t>
            </w:r>
          </w:p>
        </w:tc>
        <w:tc>
          <w:tcPr>
            <w:tcW w:w="218" w:type="pct"/>
            <w:tcBorders>
              <w:top w:val="nil"/>
              <w:left w:val="single" w:sz="4" w:space="0" w:color="FFFFFF" w:themeColor="background1"/>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8"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4.75</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13.64</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8.81</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72.80</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2.20</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7.87</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14.13</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13.38</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62.42</w:t>
            </w:r>
          </w:p>
        </w:tc>
      </w:tr>
      <w:tr w:rsidR="007147B8" w:rsidRPr="00F5246E" w:rsidTr="00E613FF">
        <w:trPr>
          <w:trHeight w:val="300"/>
        </w:trPr>
        <w:tc>
          <w:tcPr>
            <w:tcW w:w="2083" w:type="pct"/>
            <w:gridSpan w:val="5"/>
            <w:tcBorders>
              <w:top w:val="single" w:sz="4" w:space="0" w:color="auto"/>
              <w:left w:val="nil"/>
              <w:bottom w:val="single" w:sz="4" w:space="0" w:color="auto"/>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xml:space="preserve">X-Y : Where X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 xml:space="preserve">C in the parent ion and Y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C in the product ion</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r>
      <w:tr w:rsidR="007147B8" w:rsidRPr="00F5246E" w:rsidTr="00E613FF">
        <w:trPr>
          <w:trHeight w:val="300"/>
        </w:trPr>
        <w:tc>
          <w:tcPr>
            <w:tcW w:w="546" w:type="pct"/>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684" w:type="pct"/>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218" w:type="pct"/>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218" w:type="pct"/>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17" w:type="pct"/>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Calibri" w:eastAsia="Times New Roman" w:hAnsi="Calibri" w:cs="Times New Roman"/>
              </w:rPr>
            </w:pPr>
            <w:r w:rsidRPr="00F5246E">
              <w:rPr>
                <w:rFonts w:ascii="Calibri" w:eastAsia="Times New Roman" w:hAnsi="Calibri" w:cs="Times New Roman"/>
              </w:rPr>
              <w:t> </w:t>
            </w:r>
          </w:p>
        </w:tc>
      </w:tr>
      <w:tr w:rsidR="007147B8" w:rsidRPr="00F5246E" w:rsidTr="00E613FF">
        <w:trPr>
          <w:trHeight w:val="300"/>
        </w:trPr>
        <w:tc>
          <w:tcPr>
            <w:tcW w:w="1667" w:type="pct"/>
            <w:gridSpan w:val="4"/>
            <w:tcBorders>
              <w:top w:val="nil"/>
              <w:left w:val="nil"/>
              <w:bottom w:val="single" w:sz="4" w:space="0" w:color="auto"/>
              <w:right w:val="nil"/>
            </w:tcBorders>
            <w:noWrap/>
            <w:vAlign w:val="bottom"/>
          </w:tcPr>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BB0756" w:rsidP="00E613FF">
            <w:pPr>
              <w:spacing w:after="0" w:line="240" w:lineRule="atLeas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Table 13</w:t>
            </w:r>
            <w:r w:rsidR="00A866B6">
              <w:rPr>
                <w:rFonts w:ascii="Times New Roman" w:eastAsia="Times New Roman" w:hAnsi="Times New Roman" w:cs="Times New Roman"/>
                <w:b/>
                <w:bCs/>
                <w:sz w:val="16"/>
                <w:szCs w:val="16"/>
              </w:rPr>
              <w:t>B</w:t>
            </w:r>
            <w:r w:rsidR="007147B8" w:rsidRPr="00F5246E">
              <w:rPr>
                <w:rFonts w:ascii="Times New Roman" w:eastAsia="Times New Roman" w:hAnsi="Times New Roman" w:cs="Times New Roman"/>
                <w:b/>
                <w:bCs/>
                <w:sz w:val="16"/>
                <w:szCs w:val="16"/>
              </w:rPr>
              <w:t xml:space="preserve">:  </w:t>
            </w:r>
            <w:r w:rsidR="007147B8">
              <w:rPr>
                <w:rFonts w:ascii="Times New Roman" w:eastAsia="Times New Roman" w:hAnsi="Times New Roman" w:cs="Times New Roman"/>
                <w:b/>
                <w:bCs/>
                <w:sz w:val="16"/>
                <w:szCs w:val="16"/>
              </w:rPr>
              <w:t xml:space="preserve">Range of </w:t>
            </w:r>
            <w:r w:rsidR="007147B8" w:rsidRPr="00F5246E">
              <w:rPr>
                <w:rFonts w:ascii="Times New Roman" w:eastAsia="Times New Roman" w:hAnsi="Times New Roman" w:cs="Times New Roman"/>
                <w:b/>
                <w:bCs/>
                <w:sz w:val="16"/>
                <w:szCs w:val="16"/>
              </w:rPr>
              <w:t>Glutamine Flux Late Post Infection Used in Figure 4b</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r>
      <w:tr w:rsidR="007147B8" w:rsidRPr="00F5246E" w:rsidTr="00E613FF">
        <w:trPr>
          <w:trHeight w:val="300"/>
        </w:trPr>
        <w:tc>
          <w:tcPr>
            <w:tcW w:w="546"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684"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3770" w:type="pct"/>
            <w:gridSpan w:val="10"/>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Range</w:t>
            </w:r>
          </w:p>
        </w:tc>
      </w:tr>
      <w:tr w:rsidR="007147B8" w:rsidRPr="00F5246E" w:rsidTr="00E613FF">
        <w:trPr>
          <w:trHeight w:val="300"/>
        </w:trPr>
        <w:tc>
          <w:tcPr>
            <w:tcW w:w="1230" w:type="pct"/>
            <w:gridSpan w:val="2"/>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Time in Minutes</w:t>
            </w:r>
          </w:p>
        </w:tc>
        <w:tc>
          <w:tcPr>
            <w:tcW w:w="1686" w:type="pct"/>
            <w:gridSpan w:val="5"/>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Control</w:t>
            </w:r>
          </w:p>
        </w:tc>
        <w:tc>
          <w:tcPr>
            <w:tcW w:w="2083" w:type="pct"/>
            <w:gridSpan w:val="5"/>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Infected </w:t>
            </w:r>
          </w:p>
        </w:tc>
      </w:tr>
      <w:tr w:rsidR="007147B8" w:rsidRPr="00F5246E" w:rsidTr="00E613FF">
        <w:trPr>
          <w:trHeight w:val="300"/>
        </w:trPr>
        <w:tc>
          <w:tcPr>
            <w:tcW w:w="546"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Infection </w:t>
            </w:r>
          </w:p>
        </w:tc>
        <w:tc>
          <w:tcPr>
            <w:tcW w:w="684" w:type="pct"/>
            <w:tcBorders>
              <w:top w:val="nil"/>
              <w:left w:val="nil"/>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w:t>
            </w:r>
            <w:r w:rsidRPr="00F5246E">
              <w:rPr>
                <w:rFonts w:ascii="Times New Roman" w:eastAsia="Times New Roman" w:hAnsi="Times New Roman" w:cs="Times New Roman"/>
                <w:b/>
                <w:bCs/>
                <w:sz w:val="16"/>
                <w:szCs w:val="16"/>
                <w:vertAlign w:val="superscript"/>
              </w:rPr>
              <w:t>13</w:t>
            </w:r>
            <w:r w:rsidRPr="00F5246E">
              <w:rPr>
                <w:rFonts w:ascii="Times New Roman" w:eastAsia="Times New Roman" w:hAnsi="Times New Roman" w:cs="Times New Roman"/>
                <w:b/>
                <w:bCs/>
                <w:sz w:val="16"/>
                <w:szCs w:val="16"/>
              </w:rPr>
              <w:t>C Addition</w:t>
            </w:r>
          </w:p>
        </w:tc>
        <w:tc>
          <w:tcPr>
            <w:tcW w:w="218"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218"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2-2</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417" w:type="pct"/>
            <w:tcBorders>
              <w:top w:val="nil"/>
              <w:left w:val="nil"/>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c>
          <w:tcPr>
            <w:tcW w:w="417"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2-2</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r>
      <w:tr w:rsidR="007147B8" w:rsidRPr="00F5246E" w:rsidTr="00E613FF">
        <w:trPr>
          <w:trHeight w:val="300"/>
        </w:trPr>
        <w:tc>
          <w:tcPr>
            <w:tcW w:w="546"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240</w:t>
            </w:r>
          </w:p>
        </w:tc>
        <w:tc>
          <w:tcPr>
            <w:tcW w:w="684" w:type="pct"/>
            <w:tcBorders>
              <w:top w:val="single" w:sz="4" w:space="0" w:color="auto"/>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w:t>
            </w:r>
          </w:p>
        </w:tc>
        <w:tc>
          <w:tcPr>
            <w:tcW w:w="218" w:type="pct"/>
            <w:tcBorders>
              <w:top w:val="single" w:sz="4" w:space="0" w:color="auto"/>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1.59</w:t>
            </w:r>
          </w:p>
        </w:tc>
        <w:tc>
          <w:tcPr>
            <w:tcW w:w="218"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1.59</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0.68</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1.00</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0.32</w:t>
            </w:r>
          </w:p>
        </w:tc>
      </w:tr>
      <w:tr w:rsidR="007147B8" w:rsidRPr="00F5246E" w:rsidTr="00E613FF">
        <w:trPr>
          <w:trHeight w:val="300"/>
        </w:trPr>
        <w:tc>
          <w:tcPr>
            <w:tcW w:w="54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245</w:t>
            </w:r>
          </w:p>
        </w:tc>
        <w:tc>
          <w:tcPr>
            <w:tcW w:w="684"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w:t>
            </w:r>
          </w:p>
        </w:tc>
        <w:tc>
          <w:tcPr>
            <w:tcW w:w="218"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0.67</w:t>
            </w:r>
          </w:p>
        </w:tc>
        <w:tc>
          <w:tcPr>
            <w:tcW w:w="218"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1.46</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0.08</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2.05</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0.17</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0.43</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1.79</w:t>
            </w:r>
          </w:p>
        </w:tc>
      </w:tr>
      <w:tr w:rsidR="007147B8" w:rsidRPr="00F5246E" w:rsidTr="00E613FF">
        <w:trPr>
          <w:trHeight w:val="300"/>
        </w:trPr>
        <w:tc>
          <w:tcPr>
            <w:tcW w:w="54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255</w:t>
            </w:r>
          </w:p>
        </w:tc>
        <w:tc>
          <w:tcPr>
            <w:tcW w:w="684"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w:t>
            </w:r>
          </w:p>
        </w:tc>
        <w:tc>
          <w:tcPr>
            <w:tcW w:w="218"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2.02</w:t>
            </w:r>
          </w:p>
        </w:tc>
        <w:tc>
          <w:tcPr>
            <w:tcW w:w="218"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6.08</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0.19</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4.25</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0.24</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1.48</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0.58</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2.29</w:t>
            </w:r>
          </w:p>
        </w:tc>
      </w:tr>
      <w:tr w:rsidR="007147B8" w:rsidRPr="00F5246E" w:rsidTr="00E613FF">
        <w:trPr>
          <w:trHeight w:val="300"/>
        </w:trPr>
        <w:tc>
          <w:tcPr>
            <w:tcW w:w="54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270</w:t>
            </w:r>
          </w:p>
        </w:tc>
        <w:tc>
          <w:tcPr>
            <w:tcW w:w="684"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w:t>
            </w:r>
          </w:p>
        </w:tc>
        <w:tc>
          <w:tcPr>
            <w:tcW w:w="218"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8"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2.72</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0.68</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2.10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1.87</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1.37</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0.78</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2.63</w:t>
            </w:r>
          </w:p>
        </w:tc>
      </w:tr>
      <w:tr w:rsidR="007147B8" w:rsidRPr="00F5246E" w:rsidTr="00E613FF">
        <w:trPr>
          <w:trHeight w:val="300"/>
        </w:trPr>
        <w:tc>
          <w:tcPr>
            <w:tcW w:w="546"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300</w:t>
            </w:r>
          </w:p>
        </w:tc>
        <w:tc>
          <w:tcPr>
            <w:tcW w:w="684"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60</w:t>
            </w:r>
          </w:p>
        </w:tc>
        <w:tc>
          <w:tcPr>
            <w:tcW w:w="218"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8"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1.18</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1.72</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1.30</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1.83</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0.43</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0.41</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0.76</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0.74</w:t>
            </w:r>
          </w:p>
        </w:tc>
        <w:tc>
          <w:tcPr>
            <w:tcW w:w="417"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0.01</w:t>
            </w:r>
          </w:p>
        </w:tc>
      </w:tr>
      <w:tr w:rsidR="007147B8" w:rsidRPr="00F5246E" w:rsidTr="00E613FF">
        <w:trPr>
          <w:trHeight w:val="315"/>
        </w:trPr>
        <w:tc>
          <w:tcPr>
            <w:tcW w:w="546"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360</w:t>
            </w:r>
          </w:p>
        </w:tc>
        <w:tc>
          <w:tcPr>
            <w:tcW w:w="684" w:type="pct"/>
            <w:tcBorders>
              <w:top w:val="nil"/>
              <w:left w:val="nil"/>
              <w:bottom w:val="single" w:sz="4" w:space="0" w:color="auto"/>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120</w:t>
            </w:r>
          </w:p>
        </w:tc>
        <w:tc>
          <w:tcPr>
            <w:tcW w:w="218" w:type="pct"/>
            <w:tcBorders>
              <w:top w:val="nil"/>
              <w:left w:val="single" w:sz="4" w:space="0" w:color="FFFFFF" w:themeColor="background1"/>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0.00</w:t>
            </w:r>
          </w:p>
        </w:tc>
        <w:tc>
          <w:tcPr>
            <w:tcW w:w="218"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0.50</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0.83</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1.17</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0.83</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0.04</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0.57</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2.90</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2.50</w:t>
            </w:r>
          </w:p>
        </w:tc>
        <w:tc>
          <w:tcPr>
            <w:tcW w:w="417"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1.01</w:t>
            </w:r>
          </w:p>
        </w:tc>
      </w:tr>
      <w:tr w:rsidR="007147B8" w:rsidRPr="00F5246E" w:rsidTr="00E613FF">
        <w:trPr>
          <w:trHeight w:val="300"/>
        </w:trPr>
        <w:tc>
          <w:tcPr>
            <w:tcW w:w="1667" w:type="pct"/>
            <w:gridSpan w:val="4"/>
            <w:tcBorders>
              <w:top w:val="single" w:sz="4" w:space="0" w:color="auto"/>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xml:space="preserve">X-Y : Where X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 xml:space="preserve">C in the parent ion and Y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C in the product ion</w:t>
            </w:r>
          </w:p>
        </w:tc>
        <w:tc>
          <w:tcPr>
            <w:tcW w:w="417"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417"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r>
    </w:tbl>
    <w:p w:rsidR="007147B8" w:rsidRPr="00F5246E" w:rsidRDefault="007147B8" w:rsidP="007147B8"/>
    <w:p w:rsidR="007147B8" w:rsidRPr="00F5246E" w:rsidRDefault="007147B8" w:rsidP="007147B8"/>
    <w:tbl>
      <w:tblPr>
        <w:tblW w:w="5000" w:type="pct"/>
        <w:tblLook w:val="04A0" w:firstRow="1" w:lastRow="0" w:firstColumn="1" w:lastColumn="0" w:noHBand="0" w:noVBand="1"/>
      </w:tblPr>
      <w:tblGrid>
        <w:gridCol w:w="2006"/>
        <w:gridCol w:w="2517"/>
        <w:gridCol w:w="802"/>
        <w:gridCol w:w="802"/>
        <w:gridCol w:w="1175"/>
        <w:gridCol w:w="1175"/>
        <w:gridCol w:w="1175"/>
        <w:gridCol w:w="1175"/>
        <w:gridCol w:w="1176"/>
        <w:gridCol w:w="1173"/>
      </w:tblGrid>
      <w:tr w:rsidR="007147B8" w:rsidRPr="00F5246E" w:rsidTr="00E613FF">
        <w:trPr>
          <w:trHeight w:val="315"/>
        </w:trPr>
        <w:tc>
          <w:tcPr>
            <w:tcW w:w="2000" w:type="pct"/>
            <w:gridSpan w:val="4"/>
            <w:tcBorders>
              <w:top w:val="nil"/>
              <w:left w:val="nil"/>
              <w:bottom w:val="single" w:sz="4" w:space="0" w:color="auto"/>
              <w:right w:val="nil"/>
            </w:tcBorders>
            <w:noWrap/>
            <w:vAlign w:val="bottom"/>
            <w:hideMark/>
          </w:tcPr>
          <w:p w:rsidR="007147B8" w:rsidRPr="00F5246E" w:rsidRDefault="00BB0756" w:rsidP="00E613FF">
            <w:pPr>
              <w:spacing w:after="0" w:line="240" w:lineRule="atLeas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lastRenderedPageBreak/>
              <w:t>Table 14</w:t>
            </w:r>
            <w:r w:rsidR="00A866B6">
              <w:rPr>
                <w:rFonts w:ascii="Times New Roman" w:eastAsia="Times New Roman" w:hAnsi="Times New Roman" w:cs="Times New Roman"/>
                <w:b/>
                <w:bCs/>
                <w:sz w:val="16"/>
                <w:szCs w:val="16"/>
              </w:rPr>
              <w:t>A</w:t>
            </w:r>
            <w:r w:rsidR="007147B8" w:rsidRPr="00F5246E">
              <w:rPr>
                <w:rFonts w:ascii="Times New Roman" w:eastAsia="Times New Roman" w:hAnsi="Times New Roman" w:cs="Times New Roman"/>
                <w:b/>
                <w:bCs/>
                <w:sz w:val="16"/>
                <w:szCs w:val="16"/>
              </w:rPr>
              <w:t xml:space="preserve">:  </w:t>
            </w:r>
            <w:r w:rsidR="007147B8">
              <w:rPr>
                <w:rFonts w:ascii="Times New Roman" w:eastAsia="Times New Roman" w:hAnsi="Times New Roman" w:cs="Times New Roman"/>
                <w:b/>
                <w:bCs/>
                <w:sz w:val="16"/>
                <w:szCs w:val="16"/>
              </w:rPr>
              <w:t xml:space="preserve">Average Percent of </w:t>
            </w:r>
            <w:r w:rsidR="007147B8" w:rsidRPr="00F5246E">
              <w:rPr>
                <w:rFonts w:ascii="Times New Roman" w:eastAsia="Times New Roman" w:hAnsi="Times New Roman" w:cs="Times New Roman"/>
                <w:b/>
                <w:bCs/>
                <w:sz w:val="16"/>
                <w:szCs w:val="16"/>
              </w:rPr>
              <w:t>Glutamate Flux Early Post Infection Used in Figure 4c</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r>
      <w:tr w:rsidR="007147B8" w:rsidRPr="00F5246E" w:rsidTr="00E613FF">
        <w:trPr>
          <w:trHeight w:val="300"/>
        </w:trPr>
        <w:tc>
          <w:tcPr>
            <w:tcW w:w="655"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821"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3523" w:type="pct"/>
            <w:gridSpan w:val="8"/>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Average Percent at Time Point</w:t>
            </w:r>
          </w:p>
        </w:tc>
      </w:tr>
      <w:tr w:rsidR="007147B8" w:rsidRPr="00F5246E" w:rsidTr="00E613FF">
        <w:trPr>
          <w:trHeight w:val="300"/>
        </w:trPr>
        <w:tc>
          <w:tcPr>
            <w:tcW w:w="1477" w:type="pct"/>
            <w:gridSpan w:val="2"/>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Time in Minutes</w:t>
            </w:r>
          </w:p>
        </w:tc>
        <w:tc>
          <w:tcPr>
            <w:tcW w:w="1523" w:type="pct"/>
            <w:gridSpan w:val="4"/>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Control</w:t>
            </w:r>
          </w:p>
        </w:tc>
        <w:tc>
          <w:tcPr>
            <w:tcW w:w="2000" w:type="pct"/>
            <w:gridSpan w:val="4"/>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Infected</w:t>
            </w:r>
          </w:p>
        </w:tc>
      </w:tr>
      <w:tr w:rsidR="007147B8" w:rsidRPr="00F5246E" w:rsidTr="00E613FF">
        <w:trPr>
          <w:trHeight w:val="300"/>
        </w:trPr>
        <w:tc>
          <w:tcPr>
            <w:tcW w:w="65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Infection </w:t>
            </w:r>
          </w:p>
        </w:tc>
        <w:tc>
          <w:tcPr>
            <w:tcW w:w="821" w:type="pct"/>
            <w:tcBorders>
              <w:top w:val="nil"/>
              <w:left w:val="nil"/>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w:t>
            </w:r>
            <w:r w:rsidRPr="00F5246E">
              <w:rPr>
                <w:rFonts w:ascii="Times New Roman" w:eastAsia="Times New Roman" w:hAnsi="Times New Roman" w:cs="Times New Roman"/>
                <w:b/>
                <w:bCs/>
                <w:sz w:val="16"/>
                <w:szCs w:val="16"/>
                <w:vertAlign w:val="superscript"/>
              </w:rPr>
              <w:t>13</w:t>
            </w:r>
            <w:r w:rsidRPr="00F5246E">
              <w:rPr>
                <w:rFonts w:ascii="Times New Roman" w:eastAsia="Times New Roman" w:hAnsi="Times New Roman" w:cs="Times New Roman"/>
                <w:b/>
                <w:bCs/>
                <w:sz w:val="16"/>
                <w:szCs w:val="16"/>
              </w:rPr>
              <w:t>C Addition</w:t>
            </w:r>
          </w:p>
        </w:tc>
        <w:tc>
          <w:tcPr>
            <w:tcW w:w="262"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262"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500" w:type="pct"/>
            <w:tcBorders>
              <w:top w:val="nil"/>
              <w:left w:val="nil"/>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c>
          <w:tcPr>
            <w:tcW w:w="500"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r>
      <w:tr w:rsidR="007147B8" w:rsidRPr="00F5246E" w:rsidTr="00E613FF">
        <w:trPr>
          <w:trHeight w:val="300"/>
        </w:trPr>
        <w:tc>
          <w:tcPr>
            <w:tcW w:w="65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w:t>
            </w:r>
          </w:p>
        </w:tc>
        <w:tc>
          <w:tcPr>
            <w:tcW w:w="821" w:type="pct"/>
            <w:tcBorders>
              <w:top w:val="single" w:sz="4" w:space="0" w:color="auto"/>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w:t>
            </w:r>
          </w:p>
        </w:tc>
        <w:tc>
          <w:tcPr>
            <w:tcW w:w="262" w:type="pct"/>
            <w:tcBorders>
              <w:top w:val="single" w:sz="4" w:space="0" w:color="auto"/>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93.88</w:t>
            </w:r>
          </w:p>
        </w:tc>
        <w:tc>
          <w:tcPr>
            <w:tcW w:w="262"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1.20</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2.39</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2.52</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92.45</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1.64</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3.29</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2.62</w:t>
            </w:r>
          </w:p>
        </w:tc>
      </w:tr>
      <w:tr w:rsidR="007147B8" w:rsidRPr="00F5246E" w:rsidTr="00E613FF">
        <w:trPr>
          <w:trHeight w:val="300"/>
        </w:trPr>
        <w:tc>
          <w:tcPr>
            <w:tcW w:w="65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w:t>
            </w:r>
          </w:p>
        </w:tc>
        <w:tc>
          <w:tcPr>
            <w:tcW w:w="821"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w:t>
            </w:r>
          </w:p>
        </w:tc>
        <w:tc>
          <w:tcPr>
            <w:tcW w:w="262"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64.95</w:t>
            </w:r>
          </w:p>
        </w:tc>
        <w:tc>
          <w:tcPr>
            <w:tcW w:w="26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6.42</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12.60</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16.03</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65.69</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6.34</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13.22</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14.74</w:t>
            </w:r>
          </w:p>
        </w:tc>
      </w:tr>
      <w:tr w:rsidR="007147B8" w:rsidRPr="00F5246E" w:rsidTr="00E613FF">
        <w:trPr>
          <w:trHeight w:val="300"/>
        </w:trPr>
        <w:tc>
          <w:tcPr>
            <w:tcW w:w="65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w:t>
            </w:r>
          </w:p>
        </w:tc>
        <w:tc>
          <w:tcPr>
            <w:tcW w:w="821"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w:t>
            </w:r>
          </w:p>
        </w:tc>
        <w:tc>
          <w:tcPr>
            <w:tcW w:w="262"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18.36</w:t>
            </w:r>
          </w:p>
        </w:tc>
        <w:tc>
          <w:tcPr>
            <w:tcW w:w="26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15.01</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21.25</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45.38</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21.57</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15.75</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21.29</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41.39</w:t>
            </w:r>
          </w:p>
        </w:tc>
      </w:tr>
      <w:tr w:rsidR="007147B8" w:rsidRPr="00F5246E" w:rsidTr="00E613FF">
        <w:trPr>
          <w:trHeight w:val="300"/>
        </w:trPr>
        <w:tc>
          <w:tcPr>
            <w:tcW w:w="65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w:t>
            </w:r>
          </w:p>
        </w:tc>
        <w:tc>
          <w:tcPr>
            <w:tcW w:w="821"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w:t>
            </w:r>
          </w:p>
        </w:tc>
        <w:tc>
          <w:tcPr>
            <w:tcW w:w="262"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5.72</w:t>
            </w:r>
          </w:p>
        </w:tc>
        <w:tc>
          <w:tcPr>
            <w:tcW w:w="26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18.52</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17.49</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58.27</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6.14</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18.31</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17.72</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57.83</w:t>
            </w:r>
          </w:p>
        </w:tc>
      </w:tr>
      <w:tr w:rsidR="007147B8" w:rsidRPr="00F5246E" w:rsidTr="00E613FF">
        <w:trPr>
          <w:trHeight w:val="300"/>
        </w:trPr>
        <w:tc>
          <w:tcPr>
            <w:tcW w:w="65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60</w:t>
            </w:r>
          </w:p>
        </w:tc>
        <w:tc>
          <w:tcPr>
            <w:tcW w:w="821"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60</w:t>
            </w:r>
          </w:p>
        </w:tc>
        <w:tc>
          <w:tcPr>
            <w:tcW w:w="262"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3.13</w:t>
            </w:r>
          </w:p>
        </w:tc>
        <w:tc>
          <w:tcPr>
            <w:tcW w:w="26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18.98</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16.05</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61.83</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2.97</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18.37</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16.37</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62.28</w:t>
            </w:r>
          </w:p>
        </w:tc>
      </w:tr>
      <w:tr w:rsidR="007147B8" w:rsidRPr="00F5246E" w:rsidTr="00E613FF">
        <w:trPr>
          <w:trHeight w:val="300"/>
        </w:trPr>
        <w:tc>
          <w:tcPr>
            <w:tcW w:w="65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120</w:t>
            </w:r>
          </w:p>
        </w:tc>
        <w:tc>
          <w:tcPr>
            <w:tcW w:w="821" w:type="pct"/>
            <w:tcBorders>
              <w:top w:val="nil"/>
              <w:left w:val="nil"/>
              <w:bottom w:val="single" w:sz="4" w:space="0" w:color="auto"/>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120</w:t>
            </w:r>
          </w:p>
        </w:tc>
        <w:tc>
          <w:tcPr>
            <w:tcW w:w="262" w:type="pct"/>
            <w:tcBorders>
              <w:top w:val="nil"/>
              <w:left w:val="single" w:sz="4" w:space="0" w:color="FFFFFF" w:themeColor="background1"/>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2.06</w:t>
            </w:r>
          </w:p>
        </w:tc>
        <w:tc>
          <w:tcPr>
            <w:tcW w:w="262"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20.05</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15.20</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62.69</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2.34</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19.54</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15.02</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63.10</w:t>
            </w:r>
          </w:p>
        </w:tc>
      </w:tr>
      <w:tr w:rsidR="007147B8" w:rsidRPr="00F5246E" w:rsidTr="00E613FF">
        <w:trPr>
          <w:trHeight w:val="300"/>
        </w:trPr>
        <w:tc>
          <w:tcPr>
            <w:tcW w:w="2500" w:type="pct"/>
            <w:gridSpan w:val="5"/>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xml:space="preserve">X-Y : Where X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 xml:space="preserve">C in the parent ion and Y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C in the product ion</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rPr>
                <w:rFonts w:cs="Times New Roman"/>
              </w:rPr>
            </w:pPr>
          </w:p>
        </w:tc>
      </w:tr>
      <w:tr w:rsidR="007147B8" w:rsidRPr="00F5246E" w:rsidTr="00E613FF">
        <w:trPr>
          <w:trHeight w:val="300"/>
        </w:trPr>
        <w:tc>
          <w:tcPr>
            <w:tcW w:w="65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821"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262"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262"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r>
      <w:tr w:rsidR="007147B8" w:rsidRPr="00F5246E" w:rsidTr="00E613FF">
        <w:trPr>
          <w:trHeight w:val="300"/>
        </w:trPr>
        <w:tc>
          <w:tcPr>
            <w:tcW w:w="2000" w:type="pct"/>
            <w:gridSpan w:val="4"/>
            <w:tcBorders>
              <w:top w:val="nil"/>
              <w:left w:val="nil"/>
              <w:bottom w:val="single" w:sz="4" w:space="0" w:color="auto"/>
              <w:right w:val="nil"/>
            </w:tcBorders>
            <w:noWrap/>
            <w:vAlign w:val="bottom"/>
          </w:tcPr>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BB0756" w:rsidP="00E613FF">
            <w:pPr>
              <w:spacing w:after="0" w:line="240" w:lineRule="atLeas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Table 14</w:t>
            </w:r>
            <w:r w:rsidR="00A866B6">
              <w:rPr>
                <w:rFonts w:ascii="Times New Roman" w:eastAsia="Times New Roman" w:hAnsi="Times New Roman" w:cs="Times New Roman"/>
                <w:b/>
                <w:bCs/>
                <w:sz w:val="16"/>
                <w:szCs w:val="16"/>
              </w:rPr>
              <w:t>B</w:t>
            </w:r>
            <w:r w:rsidR="007147B8" w:rsidRPr="00F5246E">
              <w:rPr>
                <w:rFonts w:ascii="Times New Roman" w:eastAsia="Times New Roman" w:hAnsi="Times New Roman" w:cs="Times New Roman"/>
                <w:b/>
                <w:bCs/>
                <w:sz w:val="16"/>
                <w:szCs w:val="16"/>
              </w:rPr>
              <w:t xml:space="preserve">:  </w:t>
            </w:r>
            <w:r w:rsidR="007147B8">
              <w:rPr>
                <w:rFonts w:ascii="Times New Roman" w:eastAsia="Times New Roman" w:hAnsi="Times New Roman" w:cs="Times New Roman"/>
                <w:b/>
                <w:bCs/>
                <w:sz w:val="16"/>
                <w:szCs w:val="16"/>
              </w:rPr>
              <w:t xml:space="preserve">Range of </w:t>
            </w:r>
            <w:r w:rsidR="007147B8" w:rsidRPr="00F5246E">
              <w:rPr>
                <w:rFonts w:ascii="Times New Roman" w:eastAsia="Times New Roman" w:hAnsi="Times New Roman" w:cs="Times New Roman"/>
                <w:b/>
                <w:bCs/>
                <w:sz w:val="16"/>
                <w:szCs w:val="16"/>
              </w:rPr>
              <w:t>Glutamate Flux Early Post Infection Used in Figure 4c</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rPr>
                <w:rFonts w:cs="Times New Roman"/>
              </w:rPr>
            </w:pPr>
          </w:p>
        </w:tc>
      </w:tr>
      <w:tr w:rsidR="007147B8" w:rsidRPr="00F5246E" w:rsidTr="00E613FF">
        <w:trPr>
          <w:trHeight w:val="300"/>
        </w:trPr>
        <w:tc>
          <w:tcPr>
            <w:tcW w:w="655"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821" w:type="pct"/>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rPr>
                <w:rFonts w:cs="Times New Roman"/>
              </w:rPr>
            </w:pPr>
          </w:p>
        </w:tc>
        <w:tc>
          <w:tcPr>
            <w:tcW w:w="3523" w:type="pct"/>
            <w:gridSpan w:val="8"/>
            <w:tcBorders>
              <w:top w:val="single" w:sz="4" w:space="0" w:color="auto"/>
              <w:left w:val="nil"/>
              <w:bottom w:val="single" w:sz="4" w:space="0" w:color="FFFFFF" w:themeColor="background1"/>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Range</w:t>
            </w:r>
          </w:p>
        </w:tc>
      </w:tr>
      <w:tr w:rsidR="007147B8" w:rsidRPr="00F5246E" w:rsidTr="00E613FF">
        <w:trPr>
          <w:trHeight w:val="300"/>
        </w:trPr>
        <w:tc>
          <w:tcPr>
            <w:tcW w:w="1477" w:type="pct"/>
            <w:gridSpan w:val="2"/>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Time in Minutes</w:t>
            </w:r>
          </w:p>
        </w:tc>
        <w:tc>
          <w:tcPr>
            <w:tcW w:w="1523" w:type="pct"/>
            <w:gridSpan w:val="4"/>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Control</w:t>
            </w:r>
          </w:p>
        </w:tc>
        <w:tc>
          <w:tcPr>
            <w:tcW w:w="2000" w:type="pct"/>
            <w:gridSpan w:val="4"/>
            <w:tcBorders>
              <w:top w:val="single" w:sz="4" w:space="0" w:color="FFFFFF" w:themeColor="background1"/>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Infected</w:t>
            </w:r>
          </w:p>
        </w:tc>
      </w:tr>
      <w:tr w:rsidR="007147B8" w:rsidRPr="00F5246E" w:rsidTr="00E613FF">
        <w:trPr>
          <w:trHeight w:val="300"/>
        </w:trPr>
        <w:tc>
          <w:tcPr>
            <w:tcW w:w="65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Infection </w:t>
            </w:r>
          </w:p>
        </w:tc>
        <w:tc>
          <w:tcPr>
            <w:tcW w:w="821" w:type="pct"/>
            <w:tcBorders>
              <w:top w:val="nil"/>
              <w:left w:val="nil"/>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w:t>
            </w:r>
            <w:r w:rsidRPr="00F5246E">
              <w:rPr>
                <w:rFonts w:ascii="Times New Roman" w:eastAsia="Times New Roman" w:hAnsi="Times New Roman" w:cs="Times New Roman"/>
                <w:b/>
                <w:bCs/>
                <w:sz w:val="16"/>
                <w:szCs w:val="16"/>
                <w:vertAlign w:val="superscript"/>
              </w:rPr>
              <w:t>13</w:t>
            </w:r>
            <w:r w:rsidRPr="00F5246E">
              <w:rPr>
                <w:rFonts w:ascii="Times New Roman" w:eastAsia="Times New Roman" w:hAnsi="Times New Roman" w:cs="Times New Roman"/>
                <w:b/>
                <w:bCs/>
                <w:sz w:val="16"/>
                <w:szCs w:val="16"/>
              </w:rPr>
              <w:t>C Addition</w:t>
            </w:r>
          </w:p>
        </w:tc>
        <w:tc>
          <w:tcPr>
            <w:tcW w:w="262"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262"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500" w:type="pct"/>
            <w:tcBorders>
              <w:top w:val="nil"/>
              <w:left w:val="nil"/>
              <w:bottom w:val="single" w:sz="4" w:space="0" w:color="auto"/>
              <w:right w:val="single" w:sz="4" w:space="0" w:color="auto"/>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c>
          <w:tcPr>
            <w:tcW w:w="500" w:type="pct"/>
            <w:tcBorders>
              <w:top w:val="nil"/>
              <w:left w:val="single" w:sz="4" w:space="0" w:color="auto"/>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r>
      <w:tr w:rsidR="007147B8" w:rsidRPr="00F5246E" w:rsidTr="00E613FF">
        <w:trPr>
          <w:trHeight w:val="300"/>
        </w:trPr>
        <w:tc>
          <w:tcPr>
            <w:tcW w:w="655"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w:t>
            </w:r>
          </w:p>
        </w:tc>
        <w:tc>
          <w:tcPr>
            <w:tcW w:w="821" w:type="pct"/>
            <w:tcBorders>
              <w:top w:val="single" w:sz="4" w:space="0" w:color="auto"/>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w:t>
            </w:r>
          </w:p>
        </w:tc>
        <w:tc>
          <w:tcPr>
            <w:tcW w:w="262" w:type="pct"/>
            <w:tcBorders>
              <w:top w:val="single" w:sz="4" w:space="0" w:color="auto"/>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0.47</w:t>
            </w:r>
          </w:p>
        </w:tc>
        <w:tc>
          <w:tcPr>
            <w:tcW w:w="262"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0.14</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0.25</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0.08</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1.62</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0.28</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0.81</w:t>
            </w:r>
          </w:p>
        </w:tc>
        <w:tc>
          <w:tcPr>
            <w:tcW w:w="500" w:type="pct"/>
            <w:tcBorders>
              <w:top w:val="single" w:sz="4" w:space="0" w:color="auto"/>
              <w:left w:val="nil"/>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0.53</w:t>
            </w:r>
          </w:p>
        </w:tc>
      </w:tr>
      <w:tr w:rsidR="007147B8" w:rsidRPr="00F5246E" w:rsidTr="00E613FF">
        <w:trPr>
          <w:trHeight w:val="300"/>
        </w:trPr>
        <w:tc>
          <w:tcPr>
            <w:tcW w:w="65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w:t>
            </w:r>
          </w:p>
        </w:tc>
        <w:tc>
          <w:tcPr>
            <w:tcW w:w="821"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w:t>
            </w:r>
          </w:p>
        </w:tc>
        <w:tc>
          <w:tcPr>
            <w:tcW w:w="262"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1.05</w:t>
            </w:r>
          </w:p>
        </w:tc>
        <w:tc>
          <w:tcPr>
            <w:tcW w:w="26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0.04</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0.44</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0.66</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0.54</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0.05</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0.39</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0.10</w:t>
            </w:r>
          </w:p>
        </w:tc>
      </w:tr>
      <w:tr w:rsidR="007147B8" w:rsidRPr="00F5246E" w:rsidTr="00E613FF">
        <w:trPr>
          <w:trHeight w:val="300"/>
        </w:trPr>
        <w:tc>
          <w:tcPr>
            <w:tcW w:w="65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w:t>
            </w:r>
          </w:p>
        </w:tc>
        <w:tc>
          <w:tcPr>
            <w:tcW w:w="821"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w:t>
            </w:r>
          </w:p>
        </w:tc>
        <w:tc>
          <w:tcPr>
            <w:tcW w:w="262"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0.40</w:t>
            </w:r>
          </w:p>
        </w:tc>
        <w:tc>
          <w:tcPr>
            <w:tcW w:w="26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0.38</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0.58</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0.20</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0.40</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0.38</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0.03</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0.80</w:t>
            </w:r>
          </w:p>
        </w:tc>
      </w:tr>
      <w:tr w:rsidR="007147B8" w:rsidRPr="00F5246E" w:rsidTr="00E613FF">
        <w:trPr>
          <w:trHeight w:val="300"/>
        </w:trPr>
        <w:tc>
          <w:tcPr>
            <w:tcW w:w="65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w:t>
            </w:r>
          </w:p>
        </w:tc>
        <w:tc>
          <w:tcPr>
            <w:tcW w:w="821"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w:t>
            </w:r>
          </w:p>
        </w:tc>
        <w:tc>
          <w:tcPr>
            <w:tcW w:w="262"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0.21</w:t>
            </w:r>
          </w:p>
        </w:tc>
        <w:tc>
          <w:tcPr>
            <w:tcW w:w="26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0.85</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0.29</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0.93</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0.53</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0.19</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0.22</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0.94</w:t>
            </w:r>
          </w:p>
        </w:tc>
      </w:tr>
      <w:tr w:rsidR="007147B8" w:rsidRPr="00F5246E" w:rsidTr="00E613FF">
        <w:trPr>
          <w:trHeight w:val="300"/>
        </w:trPr>
        <w:tc>
          <w:tcPr>
            <w:tcW w:w="655"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60</w:t>
            </w:r>
          </w:p>
        </w:tc>
        <w:tc>
          <w:tcPr>
            <w:tcW w:w="821" w:type="pct"/>
            <w:tcBorders>
              <w:top w:val="nil"/>
              <w:left w:val="nil"/>
              <w:bottom w:val="nil"/>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60</w:t>
            </w:r>
          </w:p>
        </w:tc>
        <w:tc>
          <w:tcPr>
            <w:tcW w:w="262" w:type="pct"/>
            <w:tcBorders>
              <w:top w:val="nil"/>
              <w:left w:val="single" w:sz="4" w:space="0" w:color="FFFFFF" w:themeColor="background1"/>
              <w:bottom w:val="nil"/>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0.42</w:t>
            </w:r>
          </w:p>
        </w:tc>
        <w:tc>
          <w:tcPr>
            <w:tcW w:w="262"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0.40</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0.21</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0.23</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0.13</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0.09</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0.29</w:t>
            </w:r>
          </w:p>
        </w:tc>
        <w:tc>
          <w:tcPr>
            <w:tcW w:w="500" w:type="pct"/>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0.25</w:t>
            </w:r>
          </w:p>
        </w:tc>
      </w:tr>
      <w:tr w:rsidR="007147B8" w:rsidRPr="00F5246E" w:rsidTr="00E613FF">
        <w:trPr>
          <w:trHeight w:val="300"/>
        </w:trPr>
        <w:tc>
          <w:tcPr>
            <w:tcW w:w="655"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120</w:t>
            </w:r>
          </w:p>
        </w:tc>
        <w:tc>
          <w:tcPr>
            <w:tcW w:w="821" w:type="pct"/>
            <w:tcBorders>
              <w:top w:val="nil"/>
              <w:left w:val="nil"/>
              <w:bottom w:val="single" w:sz="4" w:space="0" w:color="auto"/>
              <w:right w:val="single" w:sz="4" w:space="0" w:color="FFFFFF" w:themeColor="background1"/>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120</w:t>
            </w:r>
          </w:p>
        </w:tc>
        <w:tc>
          <w:tcPr>
            <w:tcW w:w="262" w:type="pct"/>
            <w:tcBorders>
              <w:top w:val="nil"/>
              <w:left w:val="single" w:sz="4" w:space="0" w:color="FFFFFF" w:themeColor="background1"/>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0.14</w:t>
            </w:r>
          </w:p>
        </w:tc>
        <w:tc>
          <w:tcPr>
            <w:tcW w:w="262"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0.85</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0.30</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0.41</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0.03</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0.37</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0.13</w:t>
            </w:r>
          </w:p>
        </w:tc>
        <w:tc>
          <w:tcPr>
            <w:tcW w:w="500" w:type="pct"/>
            <w:tcBorders>
              <w:top w:val="nil"/>
              <w:left w:val="nil"/>
              <w:bottom w:val="single" w:sz="4" w:space="0" w:color="auto"/>
              <w:right w:val="nil"/>
            </w:tcBorders>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0.48</w:t>
            </w:r>
          </w:p>
        </w:tc>
      </w:tr>
      <w:tr w:rsidR="007147B8" w:rsidRPr="00F5246E" w:rsidTr="00E613FF">
        <w:trPr>
          <w:trHeight w:val="300"/>
        </w:trPr>
        <w:tc>
          <w:tcPr>
            <w:tcW w:w="2500" w:type="pct"/>
            <w:gridSpan w:val="5"/>
            <w:tcBorders>
              <w:top w:val="single" w:sz="4" w:space="0" w:color="auto"/>
              <w:left w:val="nil"/>
              <w:bottom w:val="single" w:sz="4" w:space="0" w:color="auto"/>
              <w:right w:val="nil"/>
            </w:tcBorders>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xml:space="preserve">X-Y : Where X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 xml:space="preserve">C in the parent ion and Y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C in the product ion</w:t>
            </w:r>
          </w:p>
        </w:tc>
        <w:tc>
          <w:tcPr>
            <w:tcW w:w="500"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c>
          <w:tcPr>
            <w:tcW w:w="500" w:type="pct"/>
            <w:tcBorders>
              <w:top w:val="single" w:sz="4" w:space="0" w:color="auto"/>
              <w:left w:val="nil"/>
              <w:bottom w:val="single" w:sz="4" w:space="0" w:color="auto"/>
              <w:right w:val="nil"/>
            </w:tcBorders>
            <w:noWrap/>
            <w:vAlign w:val="bottom"/>
            <w:hideMark/>
          </w:tcPr>
          <w:p w:rsidR="007147B8" w:rsidRPr="00F5246E" w:rsidRDefault="007147B8" w:rsidP="00E613FF">
            <w:pPr>
              <w:spacing w:after="0"/>
              <w:rPr>
                <w:rFonts w:cs="Times New Roman"/>
              </w:rPr>
            </w:pPr>
          </w:p>
        </w:tc>
      </w:tr>
    </w:tbl>
    <w:p w:rsidR="007147B8" w:rsidRPr="00F5246E" w:rsidRDefault="007147B8" w:rsidP="007147B8"/>
    <w:p w:rsidR="007147B8" w:rsidRPr="00F5246E" w:rsidRDefault="007147B8" w:rsidP="007147B8"/>
    <w:tbl>
      <w:tblPr>
        <w:tblW w:w="5000" w:type="pct"/>
        <w:tblLook w:val="04A0" w:firstRow="1" w:lastRow="0" w:firstColumn="1" w:lastColumn="0" w:noHBand="0" w:noVBand="1"/>
      </w:tblPr>
      <w:tblGrid>
        <w:gridCol w:w="1989"/>
        <w:gridCol w:w="2495"/>
        <w:gridCol w:w="795"/>
        <w:gridCol w:w="795"/>
        <w:gridCol w:w="1334"/>
        <w:gridCol w:w="1154"/>
        <w:gridCol w:w="1154"/>
        <w:gridCol w:w="1154"/>
        <w:gridCol w:w="1154"/>
        <w:gridCol w:w="1152"/>
      </w:tblGrid>
      <w:tr w:rsidR="007147B8" w:rsidRPr="00F5246E" w:rsidTr="00E613FF">
        <w:trPr>
          <w:trHeight w:val="315"/>
        </w:trPr>
        <w:tc>
          <w:tcPr>
            <w:tcW w:w="2000" w:type="pct"/>
            <w:gridSpan w:val="4"/>
            <w:tcBorders>
              <w:top w:val="single" w:sz="4" w:space="0" w:color="FFFFFF" w:themeColor="background1"/>
              <w:left w:val="nil"/>
              <w:bottom w:val="single" w:sz="4" w:space="0" w:color="000000" w:themeColor="text1"/>
              <w:right w:val="nil"/>
            </w:tcBorders>
            <w:shd w:val="clear" w:color="auto" w:fill="auto"/>
            <w:noWrap/>
            <w:vAlign w:val="bottom"/>
            <w:hideMark/>
          </w:tcPr>
          <w:p w:rsidR="007147B8" w:rsidRPr="00F5246E" w:rsidRDefault="00BB0756" w:rsidP="00E613FF">
            <w:pPr>
              <w:spacing w:after="0" w:line="240" w:lineRule="atLeas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lastRenderedPageBreak/>
              <w:t>Table 15</w:t>
            </w:r>
            <w:r w:rsidR="00A866B6">
              <w:rPr>
                <w:rFonts w:ascii="Times New Roman" w:eastAsia="Times New Roman" w:hAnsi="Times New Roman" w:cs="Times New Roman"/>
                <w:b/>
                <w:bCs/>
                <w:sz w:val="16"/>
                <w:szCs w:val="16"/>
              </w:rPr>
              <w:t>A</w:t>
            </w:r>
            <w:r w:rsidR="007147B8" w:rsidRPr="00F5246E">
              <w:rPr>
                <w:rFonts w:ascii="Times New Roman" w:eastAsia="Times New Roman" w:hAnsi="Times New Roman" w:cs="Times New Roman"/>
                <w:b/>
                <w:bCs/>
                <w:sz w:val="16"/>
                <w:szCs w:val="16"/>
              </w:rPr>
              <w:t xml:space="preserve">:  </w:t>
            </w:r>
            <w:r w:rsidR="007147B8">
              <w:rPr>
                <w:rFonts w:ascii="Times New Roman" w:eastAsia="Times New Roman" w:hAnsi="Times New Roman" w:cs="Times New Roman"/>
                <w:b/>
                <w:bCs/>
                <w:sz w:val="16"/>
                <w:szCs w:val="16"/>
              </w:rPr>
              <w:t xml:space="preserve">Average Percent of </w:t>
            </w:r>
            <w:r w:rsidR="007147B8" w:rsidRPr="00F5246E">
              <w:rPr>
                <w:rFonts w:ascii="Times New Roman" w:eastAsia="Times New Roman" w:hAnsi="Times New Roman" w:cs="Times New Roman"/>
                <w:b/>
                <w:bCs/>
                <w:sz w:val="16"/>
                <w:szCs w:val="16"/>
              </w:rPr>
              <w:t>Glutamate Flux Late Post Infection Used in Figure 4d</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r>
      <w:tr w:rsidR="007147B8" w:rsidRPr="00F5246E" w:rsidTr="00E613FF">
        <w:trPr>
          <w:trHeight w:val="300"/>
        </w:trPr>
        <w:tc>
          <w:tcPr>
            <w:tcW w:w="655" w:type="pct"/>
            <w:tcBorders>
              <w:top w:val="single" w:sz="4" w:space="0" w:color="000000" w:themeColor="text1"/>
              <w:left w:val="nil"/>
              <w:bottom w:val="single" w:sz="4" w:space="0" w:color="FFFFFF" w:themeColor="background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c>
          <w:tcPr>
            <w:tcW w:w="821" w:type="pct"/>
            <w:tcBorders>
              <w:top w:val="single" w:sz="4" w:space="0" w:color="000000" w:themeColor="text1"/>
              <w:left w:val="nil"/>
              <w:bottom w:val="single" w:sz="4" w:space="0" w:color="FFFFFF" w:themeColor="background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c>
          <w:tcPr>
            <w:tcW w:w="3523" w:type="pct"/>
            <w:gridSpan w:val="8"/>
            <w:tcBorders>
              <w:top w:val="single" w:sz="4" w:space="0" w:color="000000" w:themeColor="text1"/>
              <w:left w:val="nil"/>
              <w:bottom w:val="single" w:sz="4" w:space="0" w:color="FFFFFF" w:themeColor="background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Average Percent at Time Point</w:t>
            </w:r>
          </w:p>
        </w:tc>
      </w:tr>
      <w:tr w:rsidR="007147B8" w:rsidRPr="00F5246E" w:rsidTr="00E613FF">
        <w:trPr>
          <w:trHeight w:val="300"/>
        </w:trPr>
        <w:tc>
          <w:tcPr>
            <w:tcW w:w="1477" w:type="pct"/>
            <w:gridSpan w:val="2"/>
            <w:tcBorders>
              <w:top w:val="single" w:sz="4" w:space="0" w:color="FFFFFF" w:themeColor="background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Time in Minutes</w:t>
            </w:r>
          </w:p>
        </w:tc>
        <w:tc>
          <w:tcPr>
            <w:tcW w:w="1523" w:type="pct"/>
            <w:gridSpan w:val="4"/>
            <w:tcBorders>
              <w:top w:val="single" w:sz="4" w:space="0" w:color="FFFFFF" w:themeColor="background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Control</w:t>
            </w:r>
          </w:p>
        </w:tc>
        <w:tc>
          <w:tcPr>
            <w:tcW w:w="2000" w:type="pct"/>
            <w:gridSpan w:val="4"/>
            <w:tcBorders>
              <w:top w:val="single" w:sz="4" w:space="0" w:color="FFFFFF" w:themeColor="background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Infected</w:t>
            </w:r>
          </w:p>
        </w:tc>
      </w:tr>
      <w:tr w:rsidR="007147B8" w:rsidRPr="00F5246E" w:rsidTr="00E613FF">
        <w:trPr>
          <w:trHeight w:val="300"/>
        </w:trPr>
        <w:tc>
          <w:tcPr>
            <w:tcW w:w="655"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Infection </w:t>
            </w:r>
          </w:p>
        </w:tc>
        <w:tc>
          <w:tcPr>
            <w:tcW w:w="821" w:type="pct"/>
            <w:tcBorders>
              <w:top w:val="nil"/>
              <w:left w:val="nil"/>
              <w:bottom w:val="single" w:sz="4" w:space="0" w:color="000000" w:themeColor="text1"/>
              <w:right w:val="single" w:sz="4" w:space="0" w:color="000000" w:themeColor="text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w:t>
            </w:r>
            <w:r w:rsidRPr="00F5246E">
              <w:rPr>
                <w:rFonts w:ascii="Times New Roman" w:eastAsia="Times New Roman" w:hAnsi="Times New Roman" w:cs="Times New Roman"/>
                <w:b/>
                <w:bCs/>
                <w:sz w:val="16"/>
                <w:szCs w:val="16"/>
                <w:vertAlign w:val="superscript"/>
              </w:rPr>
              <w:t>13</w:t>
            </w:r>
            <w:r w:rsidRPr="00F5246E">
              <w:rPr>
                <w:rFonts w:ascii="Times New Roman" w:eastAsia="Times New Roman" w:hAnsi="Times New Roman" w:cs="Times New Roman"/>
                <w:b/>
                <w:bCs/>
                <w:sz w:val="16"/>
                <w:szCs w:val="16"/>
              </w:rPr>
              <w:t>C Addition</w:t>
            </w:r>
          </w:p>
        </w:tc>
        <w:tc>
          <w:tcPr>
            <w:tcW w:w="262" w:type="pct"/>
            <w:tcBorders>
              <w:top w:val="nil"/>
              <w:left w:val="single" w:sz="4" w:space="0" w:color="000000" w:themeColor="text1"/>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262"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500" w:type="pct"/>
            <w:tcBorders>
              <w:top w:val="nil"/>
              <w:left w:val="nil"/>
              <w:bottom w:val="single" w:sz="4" w:space="0" w:color="000000" w:themeColor="text1"/>
              <w:right w:val="single" w:sz="4" w:space="0" w:color="000000" w:themeColor="text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c>
          <w:tcPr>
            <w:tcW w:w="500" w:type="pct"/>
            <w:tcBorders>
              <w:top w:val="nil"/>
              <w:left w:val="single" w:sz="4" w:space="0" w:color="000000" w:themeColor="text1"/>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r>
      <w:tr w:rsidR="007147B8" w:rsidRPr="00F5246E" w:rsidTr="00E613FF">
        <w:trPr>
          <w:trHeight w:val="300"/>
        </w:trPr>
        <w:tc>
          <w:tcPr>
            <w:tcW w:w="655"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240</w:t>
            </w:r>
          </w:p>
        </w:tc>
        <w:tc>
          <w:tcPr>
            <w:tcW w:w="821" w:type="pct"/>
            <w:tcBorders>
              <w:top w:val="single" w:sz="4" w:space="0" w:color="000000" w:themeColor="text1"/>
              <w:left w:val="nil"/>
              <w:bottom w:val="nil"/>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w:t>
            </w:r>
          </w:p>
        </w:tc>
        <w:tc>
          <w:tcPr>
            <w:tcW w:w="262" w:type="pct"/>
            <w:tcBorders>
              <w:top w:val="single" w:sz="4" w:space="0" w:color="000000" w:themeColor="text1"/>
              <w:left w:val="single" w:sz="4" w:space="0" w:color="FFFFFF" w:themeColor="background1"/>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96.29</w:t>
            </w:r>
          </w:p>
        </w:tc>
        <w:tc>
          <w:tcPr>
            <w:tcW w:w="262"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0.56</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1.39</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1.76</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94.04</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1.01</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2.28</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2.67</w:t>
            </w:r>
          </w:p>
        </w:tc>
      </w:tr>
      <w:tr w:rsidR="007147B8" w:rsidRPr="00F5246E" w:rsidTr="00E613FF">
        <w:trPr>
          <w:trHeight w:val="300"/>
        </w:trPr>
        <w:tc>
          <w:tcPr>
            <w:tcW w:w="655"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245</w:t>
            </w:r>
          </w:p>
        </w:tc>
        <w:tc>
          <w:tcPr>
            <w:tcW w:w="821" w:type="pct"/>
            <w:tcBorders>
              <w:top w:val="nil"/>
              <w:left w:val="nil"/>
              <w:bottom w:val="nil"/>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w:t>
            </w:r>
          </w:p>
        </w:tc>
        <w:tc>
          <w:tcPr>
            <w:tcW w:w="262" w:type="pct"/>
            <w:tcBorders>
              <w:top w:val="nil"/>
              <w:left w:val="single" w:sz="4" w:space="0" w:color="FFFFFF" w:themeColor="background1"/>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69.56</w:t>
            </w:r>
          </w:p>
        </w:tc>
        <w:tc>
          <w:tcPr>
            <w:tcW w:w="262"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4.21</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11.13</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15.10</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70.40</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4.41</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11.34</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13.84</w:t>
            </w:r>
          </w:p>
        </w:tc>
      </w:tr>
      <w:tr w:rsidR="007147B8" w:rsidRPr="00F5246E" w:rsidTr="00E613FF">
        <w:trPr>
          <w:trHeight w:val="300"/>
        </w:trPr>
        <w:tc>
          <w:tcPr>
            <w:tcW w:w="655"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255</w:t>
            </w:r>
          </w:p>
        </w:tc>
        <w:tc>
          <w:tcPr>
            <w:tcW w:w="821" w:type="pct"/>
            <w:tcBorders>
              <w:top w:val="nil"/>
              <w:left w:val="nil"/>
              <w:bottom w:val="nil"/>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w:t>
            </w:r>
          </w:p>
        </w:tc>
        <w:tc>
          <w:tcPr>
            <w:tcW w:w="262" w:type="pct"/>
            <w:tcBorders>
              <w:top w:val="nil"/>
              <w:left w:val="single" w:sz="4" w:space="0" w:color="FFFFFF" w:themeColor="background1"/>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23.50</w:t>
            </w:r>
          </w:p>
        </w:tc>
        <w:tc>
          <w:tcPr>
            <w:tcW w:w="262"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10.34</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20.64</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45.51</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32.21</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11.23</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19.01</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37.55</w:t>
            </w:r>
          </w:p>
        </w:tc>
      </w:tr>
      <w:tr w:rsidR="007147B8" w:rsidRPr="00F5246E" w:rsidTr="00E613FF">
        <w:trPr>
          <w:trHeight w:val="300"/>
        </w:trPr>
        <w:tc>
          <w:tcPr>
            <w:tcW w:w="655"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270</w:t>
            </w:r>
          </w:p>
        </w:tc>
        <w:tc>
          <w:tcPr>
            <w:tcW w:w="821" w:type="pct"/>
            <w:tcBorders>
              <w:top w:val="nil"/>
              <w:left w:val="nil"/>
              <w:bottom w:val="nil"/>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w:t>
            </w:r>
          </w:p>
        </w:tc>
        <w:tc>
          <w:tcPr>
            <w:tcW w:w="262" w:type="pct"/>
            <w:tcBorders>
              <w:top w:val="nil"/>
              <w:left w:val="single" w:sz="4" w:space="0" w:color="FFFFFF" w:themeColor="background1"/>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4.51</w:t>
            </w:r>
          </w:p>
        </w:tc>
        <w:tc>
          <w:tcPr>
            <w:tcW w:w="262"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14.30</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14.90</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66.29</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9.44</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16.03</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17.51</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57.02</w:t>
            </w:r>
          </w:p>
        </w:tc>
      </w:tr>
      <w:tr w:rsidR="007147B8" w:rsidRPr="00F5246E" w:rsidTr="00E613FF">
        <w:trPr>
          <w:trHeight w:val="300"/>
        </w:trPr>
        <w:tc>
          <w:tcPr>
            <w:tcW w:w="655"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300</w:t>
            </w:r>
          </w:p>
        </w:tc>
        <w:tc>
          <w:tcPr>
            <w:tcW w:w="821" w:type="pct"/>
            <w:tcBorders>
              <w:top w:val="nil"/>
              <w:left w:val="nil"/>
              <w:bottom w:val="nil"/>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60</w:t>
            </w:r>
          </w:p>
        </w:tc>
        <w:tc>
          <w:tcPr>
            <w:tcW w:w="262" w:type="pct"/>
            <w:tcBorders>
              <w:top w:val="nil"/>
              <w:left w:val="single" w:sz="4" w:space="0" w:color="FFFFFF" w:themeColor="background1"/>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2.21</w:t>
            </w:r>
          </w:p>
        </w:tc>
        <w:tc>
          <w:tcPr>
            <w:tcW w:w="262"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14.48</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11.87</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71.44</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4.29</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15.78</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15.36</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64.57</w:t>
            </w:r>
          </w:p>
        </w:tc>
      </w:tr>
      <w:tr w:rsidR="007147B8" w:rsidRPr="00F5246E" w:rsidTr="00E613FF">
        <w:trPr>
          <w:trHeight w:val="315"/>
        </w:trPr>
        <w:tc>
          <w:tcPr>
            <w:tcW w:w="655"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360</w:t>
            </w:r>
          </w:p>
        </w:tc>
        <w:tc>
          <w:tcPr>
            <w:tcW w:w="821" w:type="pct"/>
            <w:tcBorders>
              <w:top w:val="nil"/>
              <w:left w:val="nil"/>
              <w:bottom w:val="single" w:sz="4" w:space="0" w:color="000000" w:themeColor="text1"/>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120</w:t>
            </w:r>
          </w:p>
        </w:tc>
        <w:tc>
          <w:tcPr>
            <w:tcW w:w="262" w:type="pct"/>
            <w:tcBorders>
              <w:top w:val="nil"/>
              <w:left w:val="single" w:sz="4" w:space="0" w:color="FFFFFF" w:themeColor="background1"/>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1.50</w:t>
            </w:r>
          </w:p>
        </w:tc>
        <w:tc>
          <w:tcPr>
            <w:tcW w:w="262"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13.56</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10.71</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74.23</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2.32</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16.07</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13.38</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68.23</w:t>
            </w:r>
          </w:p>
        </w:tc>
      </w:tr>
      <w:tr w:rsidR="007147B8" w:rsidRPr="00F5246E" w:rsidTr="00E613FF">
        <w:trPr>
          <w:trHeight w:val="300"/>
        </w:trPr>
        <w:tc>
          <w:tcPr>
            <w:tcW w:w="2500" w:type="pct"/>
            <w:gridSpan w:val="5"/>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xml:space="preserve">X-Y : Where X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 xml:space="preserve">C in the parent ion and Y is the number of </w:t>
            </w:r>
            <w:r w:rsidRPr="00F5246E">
              <w:rPr>
                <w:rFonts w:ascii="Times New Roman" w:eastAsia="Times New Roman" w:hAnsi="Times New Roman" w:cs="Times New Roman"/>
                <w:sz w:val="16"/>
                <w:szCs w:val="16"/>
                <w:vertAlign w:val="superscript"/>
              </w:rPr>
              <w:t>13</w:t>
            </w:r>
            <w:r w:rsidRPr="00F5246E">
              <w:rPr>
                <w:rFonts w:ascii="Times New Roman" w:eastAsia="Times New Roman" w:hAnsi="Times New Roman" w:cs="Times New Roman"/>
                <w:sz w:val="16"/>
                <w:szCs w:val="16"/>
              </w:rPr>
              <w:t>C in the product ion</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r>
      <w:tr w:rsidR="007147B8" w:rsidRPr="00F5246E" w:rsidTr="00E613FF">
        <w:trPr>
          <w:trHeight w:val="300"/>
        </w:trPr>
        <w:tc>
          <w:tcPr>
            <w:tcW w:w="655"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821"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262"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262"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c>
          <w:tcPr>
            <w:tcW w:w="500" w:type="pct"/>
            <w:tcBorders>
              <w:top w:val="single" w:sz="4" w:space="0" w:color="auto"/>
              <w:left w:val="nil"/>
              <w:bottom w:val="nil"/>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 </w:t>
            </w:r>
          </w:p>
        </w:tc>
      </w:tr>
      <w:tr w:rsidR="007147B8" w:rsidRPr="00F5246E" w:rsidTr="00E613FF">
        <w:trPr>
          <w:trHeight w:val="300"/>
        </w:trPr>
        <w:tc>
          <w:tcPr>
            <w:tcW w:w="2000" w:type="pct"/>
            <w:gridSpan w:val="4"/>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7147B8" w:rsidP="00E613FF">
            <w:pPr>
              <w:spacing w:after="0" w:line="240" w:lineRule="atLeast"/>
              <w:rPr>
                <w:rFonts w:ascii="Times New Roman" w:eastAsia="Times New Roman" w:hAnsi="Times New Roman" w:cs="Times New Roman"/>
                <w:b/>
                <w:bCs/>
                <w:sz w:val="16"/>
                <w:szCs w:val="16"/>
              </w:rPr>
            </w:pPr>
          </w:p>
          <w:p w:rsidR="007147B8" w:rsidRPr="00F5246E" w:rsidRDefault="00BB0756" w:rsidP="00E613FF">
            <w:pPr>
              <w:spacing w:after="0" w:line="240" w:lineRule="atLeast"/>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Table 15</w:t>
            </w:r>
            <w:r w:rsidR="00A866B6">
              <w:rPr>
                <w:rFonts w:ascii="Times New Roman" w:eastAsia="Times New Roman" w:hAnsi="Times New Roman" w:cs="Times New Roman"/>
                <w:b/>
                <w:bCs/>
                <w:sz w:val="16"/>
                <w:szCs w:val="16"/>
              </w:rPr>
              <w:t>B</w:t>
            </w:r>
            <w:r w:rsidR="007147B8" w:rsidRPr="00F5246E">
              <w:rPr>
                <w:rFonts w:ascii="Times New Roman" w:eastAsia="Times New Roman" w:hAnsi="Times New Roman" w:cs="Times New Roman"/>
                <w:b/>
                <w:bCs/>
                <w:sz w:val="16"/>
                <w:szCs w:val="16"/>
              </w:rPr>
              <w:t xml:space="preserve">:  </w:t>
            </w:r>
            <w:r w:rsidR="007147B8">
              <w:rPr>
                <w:rFonts w:ascii="Times New Roman" w:eastAsia="Times New Roman" w:hAnsi="Times New Roman" w:cs="Times New Roman"/>
                <w:b/>
                <w:bCs/>
                <w:sz w:val="16"/>
                <w:szCs w:val="16"/>
              </w:rPr>
              <w:t xml:space="preserve">Range of </w:t>
            </w:r>
            <w:r w:rsidR="007147B8" w:rsidRPr="00F5246E">
              <w:rPr>
                <w:rFonts w:ascii="Times New Roman" w:eastAsia="Times New Roman" w:hAnsi="Times New Roman" w:cs="Times New Roman"/>
                <w:b/>
                <w:bCs/>
                <w:sz w:val="16"/>
                <w:szCs w:val="16"/>
              </w:rPr>
              <w:t>Glutamate Flux Late Post Infection Used in Figure 4d</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p>
        </w:tc>
      </w:tr>
      <w:tr w:rsidR="007147B8" w:rsidRPr="00F5246E" w:rsidTr="00E613FF">
        <w:trPr>
          <w:trHeight w:val="300"/>
        </w:trPr>
        <w:tc>
          <w:tcPr>
            <w:tcW w:w="655" w:type="pct"/>
            <w:tcBorders>
              <w:top w:val="single" w:sz="4" w:space="0" w:color="000000" w:themeColor="text1"/>
              <w:left w:val="nil"/>
              <w:bottom w:val="single" w:sz="4" w:space="0" w:color="FFFFFF" w:themeColor="background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p>
        </w:tc>
        <w:tc>
          <w:tcPr>
            <w:tcW w:w="821" w:type="pct"/>
            <w:tcBorders>
              <w:top w:val="single" w:sz="4" w:space="0" w:color="000000" w:themeColor="text1"/>
              <w:left w:val="nil"/>
              <w:bottom w:val="single" w:sz="4" w:space="0" w:color="FFFFFF" w:themeColor="background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c>
          <w:tcPr>
            <w:tcW w:w="3523" w:type="pct"/>
            <w:gridSpan w:val="8"/>
            <w:tcBorders>
              <w:top w:val="single" w:sz="4" w:space="0" w:color="000000" w:themeColor="text1"/>
              <w:left w:val="nil"/>
              <w:bottom w:val="single" w:sz="4" w:space="0" w:color="FFFFFF" w:themeColor="background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Range</w:t>
            </w:r>
          </w:p>
        </w:tc>
      </w:tr>
      <w:tr w:rsidR="007147B8" w:rsidRPr="00F5246E" w:rsidTr="00E613FF">
        <w:trPr>
          <w:trHeight w:val="300"/>
        </w:trPr>
        <w:tc>
          <w:tcPr>
            <w:tcW w:w="1477" w:type="pct"/>
            <w:gridSpan w:val="2"/>
            <w:tcBorders>
              <w:top w:val="single" w:sz="4" w:space="0" w:color="FFFFFF" w:themeColor="background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Time in Minutes</w:t>
            </w:r>
          </w:p>
        </w:tc>
        <w:tc>
          <w:tcPr>
            <w:tcW w:w="1523" w:type="pct"/>
            <w:gridSpan w:val="4"/>
            <w:tcBorders>
              <w:top w:val="single" w:sz="4" w:space="0" w:color="FFFFFF" w:themeColor="background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Control</w:t>
            </w:r>
          </w:p>
        </w:tc>
        <w:tc>
          <w:tcPr>
            <w:tcW w:w="2000" w:type="pct"/>
            <w:gridSpan w:val="4"/>
            <w:tcBorders>
              <w:top w:val="single" w:sz="4" w:space="0" w:color="FFFFFF" w:themeColor="background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Infected</w:t>
            </w:r>
          </w:p>
        </w:tc>
      </w:tr>
      <w:tr w:rsidR="007147B8" w:rsidRPr="00F5246E" w:rsidTr="00E613FF">
        <w:trPr>
          <w:trHeight w:val="300"/>
        </w:trPr>
        <w:tc>
          <w:tcPr>
            <w:tcW w:w="655"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Infection </w:t>
            </w:r>
          </w:p>
        </w:tc>
        <w:tc>
          <w:tcPr>
            <w:tcW w:w="821" w:type="pct"/>
            <w:tcBorders>
              <w:top w:val="nil"/>
              <w:left w:val="nil"/>
              <w:bottom w:val="single" w:sz="4" w:space="0" w:color="000000" w:themeColor="text1"/>
              <w:right w:val="single" w:sz="4" w:space="0" w:color="000000" w:themeColor="text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Post </w:t>
            </w:r>
            <w:r w:rsidRPr="00F5246E">
              <w:rPr>
                <w:rFonts w:ascii="Times New Roman" w:eastAsia="Times New Roman" w:hAnsi="Times New Roman" w:cs="Times New Roman"/>
                <w:b/>
                <w:bCs/>
                <w:sz w:val="16"/>
                <w:szCs w:val="16"/>
                <w:vertAlign w:val="superscript"/>
              </w:rPr>
              <w:t>13</w:t>
            </w:r>
            <w:r w:rsidRPr="00F5246E">
              <w:rPr>
                <w:rFonts w:ascii="Times New Roman" w:eastAsia="Times New Roman" w:hAnsi="Times New Roman" w:cs="Times New Roman"/>
                <w:b/>
                <w:bCs/>
                <w:sz w:val="16"/>
                <w:szCs w:val="16"/>
              </w:rPr>
              <w:t>C Addition</w:t>
            </w:r>
          </w:p>
        </w:tc>
        <w:tc>
          <w:tcPr>
            <w:tcW w:w="262" w:type="pct"/>
            <w:tcBorders>
              <w:top w:val="nil"/>
              <w:left w:val="single" w:sz="4" w:space="0" w:color="000000" w:themeColor="text1"/>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262"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500" w:type="pct"/>
            <w:tcBorders>
              <w:top w:val="nil"/>
              <w:left w:val="nil"/>
              <w:bottom w:val="single" w:sz="4" w:space="0" w:color="000000" w:themeColor="text1"/>
              <w:right w:val="single" w:sz="4" w:space="0" w:color="000000" w:themeColor="text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c>
          <w:tcPr>
            <w:tcW w:w="500" w:type="pct"/>
            <w:tcBorders>
              <w:top w:val="nil"/>
              <w:left w:val="single" w:sz="4" w:space="0" w:color="000000" w:themeColor="text1"/>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0-0</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3-2</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3-3</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b/>
                <w:bCs/>
                <w:sz w:val="16"/>
                <w:szCs w:val="16"/>
              </w:rPr>
            </w:pPr>
            <w:r w:rsidRPr="00F5246E">
              <w:rPr>
                <w:rFonts w:ascii="Times New Roman" w:eastAsia="Times New Roman" w:hAnsi="Times New Roman" w:cs="Times New Roman"/>
                <w:b/>
                <w:bCs/>
                <w:sz w:val="16"/>
                <w:szCs w:val="16"/>
              </w:rPr>
              <w:t xml:space="preserve"> 5-4</w:t>
            </w:r>
          </w:p>
        </w:tc>
      </w:tr>
      <w:tr w:rsidR="007147B8" w:rsidRPr="00F5246E" w:rsidTr="00E613FF">
        <w:trPr>
          <w:trHeight w:val="300"/>
        </w:trPr>
        <w:tc>
          <w:tcPr>
            <w:tcW w:w="655"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240</w:t>
            </w:r>
          </w:p>
        </w:tc>
        <w:tc>
          <w:tcPr>
            <w:tcW w:w="821" w:type="pct"/>
            <w:tcBorders>
              <w:top w:val="single" w:sz="4" w:space="0" w:color="000000" w:themeColor="text1"/>
              <w:left w:val="nil"/>
              <w:bottom w:val="nil"/>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w:t>
            </w:r>
          </w:p>
        </w:tc>
        <w:tc>
          <w:tcPr>
            <w:tcW w:w="262" w:type="pct"/>
            <w:tcBorders>
              <w:top w:val="single" w:sz="4" w:space="0" w:color="000000" w:themeColor="text1"/>
              <w:left w:val="single" w:sz="4" w:space="0" w:color="FFFFFF" w:themeColor="background1"/>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0.32</w:t>
            </w:r>
          </w:p>
        </w:tc>
        <w:tc>
          <w:tcPr>
            <w:tcW w:w="262"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0.01</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0.10</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0.21</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0.03</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0.03</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0.05</w:t>
            </w:r>
          </w:p>
        </w:tc>
        <w:tc>
          <w:tcPr>
            <w:tcW w:w="500" w:type="pct"/>
            <w:tcBorders>
              <w:top w:val="single" w:sz="4" w:space="0" w:color="000000" w:themeColor="text1"/>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0.02</w:t>
            </w:r>
          </w:p>
        </w:tc>
      </w:tr>
      <w:tr w:rsidR="007147B8" w:rsidRPr="00F5246E" w:rsidTr="00E613FF">
        <w:trPr>
          <w:trHeight w:val="300"/>
        </w:trPr>
        <w:tc>
          <w:tcPr>
            <w:tcW w:w="655"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245</w:t>
            </w:r>
          </w:p>
        </w:tc>
        <w:tc>
          <w:tcPr>
            <w:tcW w:w="821" w:type="pct"/>
            <w:tcBorders>
              <w:top w:val="nil"/>
              <w:left w:val="nil"/>
              <w:bottom w:val="nil"/>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5</w:t>
            </w:r>
          </w:p>
        </w:tc>
        <w:tc>
          <w:tcPr>
            <w:tcW w:w="262" w:type="pct"/>
            <w:tcBorders>
              <w:top w:val="nil"/>
              <w:left w:val="single" w:sz="4" w:space="0" w:color="FFFFFF" w:themeColor="background1"/>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0.15</w:t>
            </w:r>
          </w:p>
        </w:tc>
        <w:tc>
          <w:tcPr>
            <w:tcW w:w="262"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0.02</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0.71</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0.59</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0.73</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0.06</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0.45</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0.34</w:t>
            </w:r>
          </w:p>
        </w:tc>
      </w:tr>
      <w:tr w:rsidR="007147B8" w:rsidRPr="00F5246E" w:rsidTr="00E613FF">
        <w:trPr>
          <w:trHeight w:val="300"/>
        </w:trPr>
        <w:tc>
          <w:tcPr>
            <w:tcW w:w="655"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255</w:t>
            </w:r>
          </w:p>
        </w:tc>
        <w:tc>
          <w:tcPr>
            <w:tcW w:w="821" w:type="pct"/>
            <w:tcBorders>
              <w:top w:val="nil"/>
              <w:left w:val="nil"/>
              <w:bottom w:val="nil"/>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15</w:t>
            </w:r>
          </w:p>
        </w:tc>
        <w:tc>
          <w:tcPr>
            <w:tcW w:w="262" w:type="pct"/>
            <w:tcBorders>
              <w:top w:val="nil"/>
              <w:left w:val="single" w:sz="4" w:space="0" w:color="FFFFFF" w:themeColor="background1"/>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0.39</w:t>
            </w:r>
          </w:p>
        </w:tc>
        <w:tc>
          <w:tcPr>
            <w:tcW w:w="262"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0.49</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0.37</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1.24</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0.54</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0.29</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0.44</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0.19</w:t>
            </w:r>
          </w:p>
        </w:tc>
      </w:tr>
      <w:tr w:rsidR="007147B8" w:rsidRPr="00F5246E" w:rsidTr="00E613FF">
        <w:trPr>
          <w:trHeight w:val="300"/>
        </w:trPr>
        <w:tc>
          <w:tcPr>
            <w:tcW w:w="655"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270</w:t>
            </w:r>
          </w:p>
        </w:tc>
        <w:tc>
          <w:tcPr>
            <w:tcW w:w="821" w:type="pct"/>
            <w:tcBorders>
              <w:top w:val="nil"/>
              <w:left w:val="nil"/>
              <w:bottom w:val="nil"/>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w:t>
            </w:r>
          </w:p>
        </w:tc>
        <w:tc>
          <w:tcPr>
            <w:tcW w:w="262" w:type="pct"/>
            <w:tcBorders>
              <w:top w:val="nil"/>
              <w:left w:val="single" w:sz="4" w:space="0" w:color="FFFFFF" w:themeColor="background1"/>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0.02</w:t>
            </w:r>
          </w:p>
        </w:tc>
        <w:tc>
          <w:tcPr>
            <w:tcW w:w="262"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0.13</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0.63</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0.51</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0.81</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0.26</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0.86</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1.41</w:t>
            </w:r>
          </w:p>
        </w:tc>
      </w:tr>
      <w:tr w:rsidR="007147B8" w:rsidRPr="00F5246E" w:rsidTr="00E613FF">
        <w:trPr>
          <w:trHeight w:val="300"/>
        </w:trPr>
        <w:tc>
          <w:tcPr>
            <w:tcW w:w="655"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300</w:t>
            </w:r>
          </w:p>
        </w:tc>
        <w:tc>
          <w:tcPr>
            <w:tcW w:w="821" w:type="pct"/>
            <w:tcBorders>
              <w:top w:val="nil"/>
              <w:left w:val="nil"/>
              <w:bottom w:val="nil"/>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60</w:t>
            </w:r>
          </w:p>
        </w:tc>
        <w:tc>
          <w:tcPr>
            <w:tcW w:w="262" w:type="pct"/>
            <w:tcBorders>
              <w:top w:val="nil"/>
              <w:left w:val="single" w:sz="4" w:space="0" w:color="FFFFFF" w:themeColor="background1"/>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0.18</w:t>
            </w:r>
          </w:p>
        </w:tc>
        <w:tc>
          <w:tcPr>
            <w:tcW w:w="262"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0.76</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0.06</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0.88</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0.24</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0.18</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0.48</w:t>
            </w:r>
          </w:p>
        </w:tc>
        <w:tc>
          <w:tcPr>
            <w:tcW w:w="500" w:type="pct"/>
            <w:tcBorders>
              <w:top w:val="nil"/>
              <w:left w:val="nil"/>
              <w:bottom w:val="nil"/>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0.41</w:t>
            </w:r>
          </w:p>
        </w:tc>
      </w:tr>
      <w:tr w:rsidR="007147B8" w:rsidRPr="00F5246E" w:rsidTr="00E613FF">
        <w:trPr>
          <w:trHeight w:val="315"/>
        </w:trPr>
        <w:tc>
          <w:tcPr>
            <w:tcW w:w="655"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360</w:t>
            </w:r>
          </w:p>
        </w:tc>
        <w:tc>
          <w:tcPr>
            <w:tcW w:w="821" w:type="pct"/>
            <w:tcBorders>
              <w:top w:val="nil"/>
              <w:left w:val="nil"/>
              <w:bottom w:val="single" w:sz="4" w:space="0" w:color="000000" w:themeColor="text1"/>
              <w:right w:val="single" w:sz="4" w:space="0" w:color="FFFFFF" w:themeColor="background1"/>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120</w:t>
            </w:r>
          </w:p>
        </w:tc>
        <w:tc>
          <w:tcPr>
            <w:tcW w:w="262" w:type="pct"/>
            <w:tcBorders>
              <w:top w:val="nil"/>
              <w:left w:val="single" w:sz="4" w:space="0" w:color="FFFFFF" w:themeColor="background1"/>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0.03</w:t>
            </w:r>
          </w:p>
        </w:tc>
        <w:tc>
          <w:tcPr>
            <w:tcW w:w="262"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0.19</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0.24</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0.40</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0.13</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0.45</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0.05</w:t>
            </w:r>
          </w:p>
        </w:tc>
        <w:tc>
          <w:tcPr>
            <w:tcW w:w="500" w:type="pct"/>
            <w:tcBorders>
              <w:top w:val="nil"/>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0.37</w:t>
            </w:r>
          </w:p>
        </w:tc>
      </w:tr>
      <w:tr w:rsidR="007147B8" w:rsidRPr="00F5246E" w:rsidTr="00E613FF">
        <w:trPr>
          <w:trHeight w:val="300"/>
        </w:trPr>
        <w:tc>
          <w:tcPr>
            <w:tcW w:w="2500" w:type="pct"/>
            <w:gridSpan w:val="5"/>
            <w:tcBorders>
              <w:top w:val="single" w:sz="4" w:space="0" w:color="000000" w:themeColor="text1"/>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rPr>
                <w:rFonts w:ascii="Times New Roman" w:eastAsia="Times New Roman" w:hAnsi="Times New Roman" w:cs="Times New Roman"/>
                <w:sz w:val="16"/>
                <w:szCs w:val="16"/>
              </w:rPr>
            </w:pPr>
            <w:r w:rsidRPr="00F5246E">
              <w:rPr>
                <w:rFonts w:ascii="Times New Roman" w:eastAsia="Times New Roman" w:hAnsi="Times New Roman" w:cs="Times New Roman"/>
                <w:sz w:val="16"/>
                <w:szCs w:val="16"/>
              </w:rPr>
              <w:t>X-Y : Where X is the number of 13C in the parent ion and Y is the number of 13C in the product ion</w:t>
            </w:r>
          </w:p>
        </w:tc>
        <w:tc>
          <w:tcPr>
            <w:tcW w:w="500" w:type="pct"/>
            <w:tcBorders>
              <w:top w:val="single" w:sz="4" w:space="0" w:color="000000" w:themeColor="text1"/>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c>
          <w:tcPr>
            <w:tcW w:w="500" w:type="pct"/>
            <w:tcBorders>
              <w:top w:val="single" w:sz="4" w:space="0" w:color="000000" w:themeColor="text1"/>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c>
          <w:tcPr>
            <w:tcW w:w="500" w:type="pct"/>
            <w:tcBorders>
              <w:top w:val="single" w:sz="4" w:space="0" w:color="000000" w:themeColor="text1"/>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c>
          <w:tcPr>
            <w:tcW w:w="500" w:type="pct"/>
            <w:tcBorders>
              <w:top w:val="single" w:sz="4" w:space="0" w:color="000000" w:themeColor="text1"/>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c>
          <w:tcPr>
            <w:tcW w:w="500" w:type="pct"/>
            <w:tcBorders>
              <w:top w:val="single" w:sz="4" w:space="0" w:color="000000" w:themeColor="text1"/>
              <w:left w:val="nil"/>
              <w:bottom w:val="single" w:sz="4" w:space="0" w:color="000000" w:themeColor="text1"/>
              <w:right w:val="nil"/>
            </w:tcBorders>
            <w:shd w:val="clear" w:color="auto" w:fill="auto"/>
            <w:noWrap/>
            <w:vAlign w:val="bottom"/>
            <w:hideMark/>
          </w:tcPr>
          <w:p w:rsidR="007147B8" w:rsidRPr="00F5246E" w:rsidRDefault="007147B8" w:rsidP="00E613FF">
            <w:pPr>
              <w:spacing w:after="0" w:line="240" w:lineRule="atLeast"/>
              <w:jc w:val="center"/>
              <w:rPr>
                <w:rFonts w:ascii="Times New Roman" w:eastAsia="Times New Roman" w:hAnsi="Times New Roman" w:cs="Times New Roman"/>
                <w:sz w:val="16"/>
                <w:szCs w:val="16"/>
              </w:rPr>
            </w:pPr>
          </w:p>
        </w:tc>
      </w:tr>
    </w:tbl>
    <w:p w:rsidR="007147B8" w:rsidRPr="00F5246E" w:rsidRDefault="007147B8" w:rsidP="007147B8"/>
    <w:p w:rsidR="007147B8" w:rsidRDefault="007147B8" w:rsidP="007147B8"/>
    <w:p w:rsidR="007147B8" w:rsidRDefault="007147B8" w:rsidP="007147B8">
      <w:pPr>
        <w:sectPr w:rsidR="007147B8" w:rsidSect="00E613FF">
          <w:pgSz w:w="15840" w:h="12240" w:orient="landscape"/>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3505"/>
        <w:gridCol w:w="1764"/>
        <w:gridCol w:w="2170"/>
        <w:gridCol w:w="2137"/>
      </w:tblGrid>
      <w:tr w:rsidR="007147B8" w:rsidRPr="00D05B6F" w:rsidTr="00E613FF">
        <w:trPr>
          <w:trHeight w:val="225"/>
        </w:trPr>
        <w:tc>
          <w:tcPr>
            <w:tcW w:w="3884" w:type="pct"/>
            <w:gridSpan w:val="3"/>
            <w:tcBorders>
              <w:top w:val="nil"/>
              <w:left w:val="nil"/>
              <w:bottom w:val="single" w:sz="4" w:space="0" w:color="auto"/>
              <w:right w:val="nil"/>
            </w:tcBorders>
            <w:shd w:val="clear" w:color="auto" w:fill="auto"/>
            <w:noWrap/>
            <w:vAlign w:val="bottom"/>
            <w:hideMark/>
          </w:tcPr>
          <w:p w:rsidR="007147B8" w:rsidRPr="00D05B6F"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Table 16</w:t>
            </w:r>
            <w:r w:rsidR="007147B8" w:rsidRPr="00D05B6F">
              <w:rPr>
                <w:rFonts w:ascii="Times New Roman" w:eastAsia="Times New Roman" w:hAnsi="Times New Roman" w:cs="Times New Roman"/>
                <w:b/>
                <w:bCs/>
                <w:color w:val="000000"/>
                <w:sz w:val="16"/>
                <w:szCs w:val="16"/>
              </w:rPr>
              <w:t>: Glutamine External Calibration Curve</w:t>
            </w:r>
            <w:r w:rsidR="007147B8">
              <w:rPr>
                <w:rFonts w:ascii="Times New Roman" w:eastAsia="Times New Roman" w:hAnsi="Times New Roman" w:cs="Times New Roman"/>
                <w:b/>
                <w:bCs/>
                <w:color w:val="000000"/>
                <w:sz w:val="16"/>
                <w:szCs w:val="16"/>
              </w:rPr>
              <w:t xml:space="preserve"> Used in Figure 5</w:t>
            </w:r>
          </w:p>
        </w:tc>
        <w:tc>
          <w:tcPr>
            <w:tcW w:w="1116" w:type="pct"/>
            <w:tcBorders>
              <w:top w:val="nil"/>
              <w:left w:val="nil"/>
              <w:bottom w:val="single" w:sz="4" w:space="0" w:color="auto"/>
              <w:right w:val="nil"/>
            </w:tcBorders>
            <w:shd w:val="clear" w:color="auto" w:fill="auto"/>
            <w:noWrap/>
            <w:vAlign w:val="bottom"/>
            <w:hideMark/>
          </w:tcPr>
          <w:p w:rsidR="007147B8" w:rsidRPr="00D05B6F" w:rsidRDefault="007147B8" w:rsidP="00E613FF">
            <w:pPr>
              <w:spacing w:after="0" w:line="240" w:lineRule="atLeast"/>
              <w:rPr>
                <w:rFonts w:ascii="Times New Roman" w:eastAsia="Times New Roman" w:hAnsi="Times New Roman" w:cs="Times New Roman"/>
                <w:b/>
                <w:bCs/>
                <w:color w:val="000000"/>
                <w:sz w:val="16"/>
                <w:szCs w:val="16"/>
              </w:rPr>
            </w:pPr>
          </w:p>
        </w:tc>
      </w:tr>
      <w:tr w:rsidR="007147B8" w:rsidRPr="00D05B6F" w:rsidTr="00E613FF">
        <w:trPr>
          <w:trHeight w:val="225"/>
        </w:trPr>
        <w:tc>
          <w:tcPr>
            <w:tcW w:w="1830" w:type="pct"/>
            <w:tcBorders>
              <w:top w:val="single" w:sz="4" w:space="0" w:color="auto"/>
              <w:left w:val="nil"/>
              <w:bottom w:val="single" w:sz="4" w:space="0" w:color="auto"/>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b/>
                <w:bCs/>
                <w:color w:val="000000"/>
                <w:sz w:val="16"/>
                <w:szCs w:val="16"/>
              </w:rPr>
            </w:pPr>
            <w:r w:rsidRPr="00D05B6F">
              <w:rPr>
                <w:rFonts w:ascii="Times New Roman" w:eastAsia="Times New Roman" w:hAnsi="Times New Roman" w:cs="Times New Roman"/>
                <w:b/>
                <w:bCs/>
                <w:color w:val="000000"/>
                <w:sz w:val="16"/>
                <w:szCs w:val="16"/>
              </w:rPr>
              <w:t>Calibration Level</w:t>
            </w:r>
          </w:p>
        </w:tc>
        <w:tc>
          <w:tcPr>
            <w:tcW w:w="921" w:type="pct"/>
            <w:tcBorders>
              <w:top w:val="single" w:sz="4" w:space="0" w:color="auto"/>
              <w:left w:val="nil"/>
              <w:bottom w:val="single" w:sz="4" w:space="0" w:color="auto"/>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b/>
                <w:bCs/>
                <w:color w:val="000000"/>
                <w:sz w:val="16"/>
                <w:szCs w:val="16"/>
              </w:rPr>
            </w:pPr>
            <w:r w:rsidRPr="00D05B6F">
              <w:rPr>
                <w:rFonts w:ascii="Times New Roman" w:eastAsia="Times New Roman" w:hAnsi="Times New Roman" w:cs="Times New Roman"/>
                <w:b/>
                <w:bCs/>
                <w:color w:val="000000"/>
                <w:sz w:val="16"/>
                <w:szCs w:val="16"/>
              </w:rPr>
              <w:t>M</w:t>
            </w:r>
          </w:p>
        </w:tc>
        <w:tc>
          <w:tcPr>
            <w:tcW w:w="1132" w:type="pct"/>
            <w:tcBorders>
              <w:top w:val="single" w:sz="4" w:space="0" w:color="auto"/>
              <w:left w:val="nil"/>
              <w:bottom w:val="single" w:sz="4" w:space="0" w:color="auto"/>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b/>
                <w:bCs/>
                <w:color w:val="000000"/>
                <w:sz w:val="16"/>
                <w:szCs w:val="16"/>
              </w:rPr>
            </w:pPr>
            <w:r w:rsidRPr="00D05B6F">
              <w:rPr>
                <w:rFonts w:ascii="Times New Roman" w:eastAsia="Times New Roman" w:hAnsi="Times New Roman" w:cs="Times New Roman"/>
                <w:b/>
                <w:bCs/>
                <w:color w:val="000000"/>
                <w:sz w:val="16"/>
                <w:szCs w:val="16"/>
              </w:rPr>
              <w:t>Injection #</w:t>
            </w:r>
          </w:p>
        </w:tc>
        <w:tc>
          <w:tcPr>
            <w:tcW w:w="1116" w:type="pct"/>
            <w:tcBorders>
              <w:top w:val="single" w:sz="4" w:space="0" w:color="auto"/>
              <w:left w:val="nil"/>
              <w:bottom w:val="single" w:sz="4" w:space="0" w:color="auto"/>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b/>
                <w:bCs/>
                <w:color w:val="000000"/>
                <w:sz w:val="16"/>
                <w:szCs w:val="16"/>
              </w:rPr>
            </w:pPr>
            <w:r w:rsidRPr="00D05B6F">
              <w:rPr>
                <w:rFonts w:ascii="Times New Roman" w:eastAsia="Times New Roman" w:hAnsi="Times New Roman" w:cs="Times New Roman"/>
                <w:b/>
                <w:bCs/>
                <w:color w:val="000000"/>
                <w:sz w:val="16"/>
                <w:szCs w:val="16"/>
              </w:rPr>
              <w:t>Area</w:t>
            </w:r>
          </w:p>
        </w:tc>
      </w:tr>
      <w:tr w:rsidR="007147B8" w:rsidRPr="00D05B6F" w:rsidTr="00E613FF">
        <w:trPr>
          <w:trHeight w:val="225"/>
        </w:trPr>
        <w:tc>
          <w:tcPr>
            <w:tcW w:w="1830" w:type="pct"/>
            <w:vMerge w:val="restart"/>
            <w:tcBorders>
              <w:top w:val="single" w:sz="4" w:space="0" w:color="auto"/>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921" w:type="pct"/>
            <w:vMerge w:val="restart"/>
            <w:tcBorders>
              <w:top w:val="single" w:sz="4" w:space="0" w:color="auto"/>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2.42E-02</w:t>
            </w:r>
          </w:p>
        </w:tc>
        <w:tc>
          <w:tcPr>
            <w:tcW w:w="1132" w:type="pct"/>
            <w:tcBorders>
              <w:top w:val="single" w:sz="4" w:space="0" w:color="auto"/>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single" w:sz="4" w:space="0" w:color="auto"/>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1.41E+08</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1.70E+08</w:t>
            </w:r>
          </w:p>
        </w:tc>
      </w:tr>
      <w:tr w:rsidR="007147B8" w:rsidRPr="00D05B6F"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921"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7.26E-03</w:t>
            </w: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2.42E+07</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2.14E+07</w:t>
            </w:r>
          </w:p>
        </w:tc>
      </w:tr>
      <w:tr w:rsidR="007147B8" w:rsidRPr="00D05B6F"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3</w:t>
            </w:r>
          </w:p>
        </w:tc>
        <w:tc>
          <w:tcPr>
            <w:tcW w:w="921"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2.18E-03</w:t>
            </w: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9.01E+06</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1.02E+07</w:t>
            </w:r>
          </w:p>
        </w:tc>
      </w:tr>
      <w:tr w:rsidR="007147B8" w:rsidRPr="00D05B6F"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4</w:t>
            </w:r>
          </w:p>
        </w:tc>
        <w:tc>
          <w:tcPr>
            <w:tcW w:w="921"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6.53E-04</w:t>
            </w: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1.82E+06</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2.07E+06</w:t>
            </w:r>
          </w:p>
        </w:tc>
      </w:tr>
      <w:tr w:rsidR="007147B8" w:rsidRPr="00D05B6F"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5</w:t>
            </w:r>
          </w:p>
        </w:tc>
        <w:tc>
          <w:tcPr>
            <w:tcW w:w="921"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1.96E-04</w:t>
            </w: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3.80E+05</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4.37E+05</w:t>
            </w:r>
          </w:p>
        </w:tc>
      </w:tr>
      <w:tr w:rsidR="007147B8" w:rsidRPr="00D05B6F"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6</w:t>
            </w:r>
          </w:p>
        </w:tc>
        <w:tc>
          <w:tcPr>
            <w:tcW w:w="921"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5.88E-05</w:t>
            </w: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6.46E+04</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8.79E+04</w:t>
            </w:r>
          </w:p>
        </w:tc>
      </w:tr>
      <w:tr w:rsidR="007147B8" w:rsidRPr="00D05B6F"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7</w:t>
            </w:r>
          </w:p>
        </w:tc>
        <w:tc>
          <w:tcPr>
            <w:tcW w:w="921"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1.76E-05</w:t>
            </w: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5.30E+04</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6.29E+04</w:t>
            </w:r>
          </w:p>
        </w:tc>
      </w:tr>
      <w:tr w:rsidR="007147B8" w:rsidRPr="00D05B6F"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8</w:t>
            </w:r>
          </w:p>
        </w:tc>
        <w:tc>
          <w:tcPr>
            <w:tcW w:w="921"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5.29E-06</w:t>
            </w: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9.05E+03</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1.18E+04</w:t>
            </w:r>
          </w:p>
        </w:tc>
      </w:tr>
      <w:tr w:rsidR="007147B8" w:rsidRPr="00D05B6F"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9</w:t>
            </w:r>
          </w:p>
        </w:tc>
        <w:tc>
          <w:tcPr>
            <w:tcW w:w="921"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1.59E-06</w:t>
            </w: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0.00E+00</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0.00E+00</w:t>
            </w:r>
          </w:p>
        </w:tc>
      </w:tr>
      <w:tr w:rsidR="007147B8" w:rsidRPr="00D05B6F"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10</w:t>
            </w:r>
          </w:p>
        </w:tc>
        <w:tc>
          <w:tcPr>
            <w:tcW w:w="921"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4.76E-07</w:t>
            </w: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0.00E+00</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0.00E+00</w:t>
            </w:r>
          </w:p>
        </w:tc>
      </w:tr>
      <w:tr w:rsidR="007147B8" w:rsidRPr="00D05B6F"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11</w:t>
            </w:r>
          </w:p>
        </w:tc>
        <w:tc>
          <w:tcPr>
            <w:tcW w:w="921"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1.43E-07</w:t>
            </w: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0.00E+00</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0.00E+00</w:t>
            </w:r>
          </w:p>
        </w:tc>
      </w:tr>
      <w:tr w:rsidR="007147B8" w:rsidRPr="00D05B6F"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12</w:t>
            </w:r>
          </w:p>
        </w:tc>
        <w:tc>
          <w:tcPr>
            <w:tcW w:w="921" w:type="pct"/>
            <w:vMerge w:val="restar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4.29E-08</w:t>
            </w: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0.00E+00</w:t>
            </w:r>
          </w:p>
        </w:tc>
      </w:tr>
      <w:tr w:rsidR="007147B8" w:rsidRPr="00D05B6F" w:rsidTr="00E613FF">
        <w:trPr>
          <w:trHeight w:val="225"/>
        </w:trPr>
        <w:tc>
          <w:tcPr>
            <w:tcW w:w="1830"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D05B6F"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r w:rsidRPr="00D05B6F">
              <w:rPr>
                <w:rFonts w:ascii="Times New Roman" w:eastAsia="Times New Roman" w:hAnsi="Times New Roman" w:cs="Times New Roman"/>
                <w:color w:val="000000"/>
                <w:sz w:val="16"/>
                <w:szCs w:val="16"/>
              </w:rPr>
              <w:t>0.00E+00</w:t>
            </w:r>
          </w:p>
        </w:tc>
      </w:tr>
      <w:tr w:rsidR="007147B8" w:rsidRPr="00D05B6F" w:rsidTr="00E613FF">
        <w:trPr>
          <w:trHeight w:val="225"/>
        </w:trPr>
        <w:tc>
          <w:tcPr>
            <w:tcW w:w="1830" w:type="pct"/>
            <w:tcBorders>
              <w:top w:val="single" w:sz="4" w:space="0" w:color="auto"/>
              <w:left w:val="nil"/>
              <w:bottom w:val="single" w:sz="4" w:space="0" w:color="auto"/>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p>
        </w:tc>
        <w:tc>
          <w:tcPr>
            <w:tcW w:w="921" w:type="pct"/>
            <w:tcBorders>
              <w:top w:val="single" w:sz="4" w:space="0" w:color="auto"/>
              <w:left w:val="nil"/>
              <w:bottom w:val="single" w:sz="4" w:space="0" w:color="auto"/>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p>
        </w:tc>
        <w:tc>
          <w:tcPr>
            <w:tcW w:w="1132" w:type="pct"/>
            <w:tcBorders>
              <w:top w:val="single" w:sz="4" w:space="0" w:color="auto"/>
              <w:left w:val="nil"/>
              <w:bottom w:val="single" w:sz="4" w:space="0" w:color="auto"/>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p>
        </w:tc>
        <w:tc>
          <w:tcPr>
            <w:tcW w:w="1116" w:type="pct"/>
            <w:tcBorders>
              <w:top w:val="single" w:sz="4" w:space="0" w:color="auto"/>
              <w:left w:val="nil"/>
              <w:bottom w:val="single" w:sz="4" w:space="0" w:color="auto"/>
              <w:right w:val="nil"/>
            </w:tcBorders>
            <w:shd w:val="clear" w:color="auto" w:fill="auto"/>
            <w:noWrap/>
            <w:vAlign w:val="center"/>
            <w:hideMark/>
          </w:tcPr>
          <w:p w:rsidR="007147B8" w:rsidRPr="00D05B6F" w:rsidRDefault="007147B8" w:rsidP="00E613FF">
            <w:pPr>
              <w:spacing w:after="0" w:line="240" w:lineRule="atLeast"/>
              <w:jc w:val="center"/>
              <w:rPr>
                <w:rFonts w:ascii="Times New Roman" w:eastAsia="Times New Roman" w:hAnsi="Times New Roman" w:cs="Times New Roman"/>
                <w:color w:val="000000"/>
                <w:sz w:val="16"/>
                <w:szCs w:val="16"/>
              </w:rPr>
            </w:pPr>
          </w:p>
        </w:tc>
      </w:tr>
    </w:tbl>
    <w:p w:rsidR="007147B8" w:rsidRDefault="007147B8" w:rsidP="007147B8"/>
    <w:p w:rsidR="007147B8" w:rsidRPr="00F5246E"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tbl>
      <w:tblPr>
        <w:tblW w:w="5000" w:type="pct"/>
        <w:tblLook w:val="04A0" w:firstRow="1" w:lastRow="0" w:firstColumn="1" w:lastColumn="0" w:noHBand="0" w:noVBand="1"/>
      </w:tblPr>
      <w:tblGrid>
        <w:gridCol w:w="3505"/>
        <w:gridCol w:w="1764"/>
        <w:gridCol w:w="2170"/>
        <w:gridCol w:w="2137"/>
      </w:tblGrid>
      <w:tr w:rsidR="007147B8" w:rsidRPr="00F26605" w:rsidTr="00E613FF">
        <w:trPr>
          <w:trHeight w:val="225"/>
        </w:trPr>
        <w:tc>
          <w:tcPr>
            <w:tcW w:w="3884" w:type="pct"/>
            <w:gridSpan w:val="3"/>
            <w:tcBorders>
              <w:top w:val="nil"/>
              <w:left w:val="nil"/>
              <w:bottom w:val="single" w:sz="4" w:space="0" w:color="auto"/>
              <w:right w:val="nil"/>
            </w:tcBorders>
            <w:shd w:val="clear" w:color="auto" w:fill="auto"/>
            <w:noWrap/>
            <w:vAlign w:val="bottom"/>
            <w:hideMark/>
          </w:tcPr>
          <w:p w:rsidR="007147B8" w:rsidRPr="00F26605"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Table 17</w:t>
            </w:r>
            <w:r w:rsidR="007147B8" w:rsidRPr="00F26605">
              <w:rPr>
                <w:rFonts w:ascii="Times New Roman" w:eastAsia="Times New Roman" w:hAnsi="Times New Roman" w:cs="Times New Roman"/>
                <w:b/>
                <w:bCs/>
                <w:color w:val="000000"/>
                <w:sz w:val="16"/>
                <w:szCs w:val="16"/>
              </w:rPr>
              <w:t>: Glutamate External Calibration Curve</w:t>
            </w:r>
            <w:r w:rsidR="007147B8">
              <w:rPr>
                <w:rFonts w:ascii="Times New Roman" w:eastAsia="Times New Roman" w:hAnsi="Times New Roman" w:cs="Times New Roman"/>
                <w:b/>
                <w:bCs/>
                <w:color w:val="000000"/>
                <w:sz w:val="16"/>
                <w:szCs w:val="16"/>
              </w:rPr>
              <w:t xml:space="preserve"> Used in Figure 6</w:t>
            </w:r>
          </w:p>
        </w:tc>
        <w:tc>
          <w:tcPr>
            <w:tcW w:w="1116" w:type="pct"/>
            <w:tcBorders>
              <w:top w:val="nil"/>
              <w:left w:val="nil"/>
              <w:bottom w:val="single" w:sz="4" w:space="0" w:color="auto"/>
              <w:right w:val="nil"/>
            </w:tcBorders>
            <w:shd w:val="clear" w:color="auto" w:fill="auto"/>
            <w:noWrap/>
            <w:vAlign w:val="bottom"/>
            <w:hideMark/>
          </w:tcPr>
          <w:p w:rsidR="007147B8" w:rsidRPr="00F26605" w:rsidRDefault="007147B8" w:rsidP="00E613FF">
            <w:pPr>
              <w:spacing w:after="0" w:line="240" w:lineRule="atLeast"/>
              <w:rPr>
                <w:rFonts w:ascii="Times New Roman" w:eastAsia="Times New Roman" w:hAnsi="Times New Roman" w:cs="Times New Roman"/>
                <w:b/>
                <w:bCs/>
                <w:color w:val="000000"/>
                <w:sz w:val="16"/>
                <w:szCs w:val="16"/>
              </w:rPr>
            </w:pPr>
          </w:p>
        </w:tc>
      </w:tr>
      <w:tr w:rsidR="007147B8" w:rsidRPr="00F26605" w:rsidTr="00E613FF">
        <w:trPr>
          <w:trHeight w:val="225"/>
        </w:trPr>
        <w:tc>
          <w:tcPr>
            <w:tcW w:w="1830" w:type="pct"/>
            <w:tcBorders>
              <w:top w:val="single" w:sz="4" w:space="0" w:color="auto"/>
              <w:left w:val="nil"/>
              <w:bottom w:val="single" w:sz="4" w:space="0" w:color="auto"/>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b/>
                <w:bCs/>
                <w:color w:val="000000"/>
                <w:sz w:val="16"/>
                <w:szCs w:val="16"/>
              </w:rPr>
            </w:pPr>
            <w:r w:rsidRPr="00F26605">
              <w:rPr>
                <w:rFonts w:ascii="Times New Roman" w:eastAsia="Times New Roman" w:hAnsi="Times New Roman" w:cs="Times New Roman"/>
                <w:b/>
                <w:bCs/>
                <w:color w:val="000000"/>
                <w:sz w:val="16"/>
                <w:szCs w:val="16"/>
              </w:rPr>
              <w:t>Calibration Level</w:t>
            </w:r>
          </w:p>
        </w:tc>
        <w:tc>
          <w:tcPr>
            <w:tcW w:w="921" w:type="pct"/>
            <w:tcBorders>
              <w:top w:val="single" w:sz="4" w:space="0" w:color="auto"/>
              <w:left w:val="nil"/>
              <w:bottom w:val="single" w:sz="4" w:space="0" w:color="auto"/>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b/>
                <w:bCs/>
                <w:color w:val="000000"/>
                <w:sz w:val="16"/>
                <w:szCs w:val="16"/>
              </w:rPr>
            </w:pPr>
            <w:r w:rsidRPr="00F26605">
              <w:rPr>
                <w:rFonts w:ascii="Times New Roman" w:eastAsia="Times New Roman" w:hAnsi="Times New Roman" w:cs="Times New Roman"/>
                <w:b/>
                <w:bCs/>
                <w:color w:val="000000"/>
                <w:sz w:val="16"/>
                <w:szCs w:val="16"/>
              </w:rPr>
              <w:t>M</w:t>
            </w:r>
          </w:p>
        </w:tc>
        <w:tc>
          <w:tcPr>
            <w:tcW w:w="1132" w:type="pct"/>
            <w:tcBorders>
              <w:top w:val="single" w:sz="4" w:space="0" w:color="auto"/>
              <w:left w:val="nil"/>
              <w:bottom w:val="single" w:sz="4" w:space="0" w:color="auto"/>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b/>
                <w:bCs/>
                <w:color w:val="000000"/>
                <w:sz w:val="16"/>
                <w:szCs w:val="16"/>
              </w:rPr>
            </w:pPr>
            <w:r w:rsidRPr="00F26605">
              <w:rPr>
                <w:rFonts w:ascii="Times New Roman" w:eastAsia="Times New Roman" w:hAnsi="Times New Roman" w:cs="Times New Roman"/>
                <w:b/>
                <w:bCs/>
                <w:color w:val="000000"/>
                <w:sz w:val="16"/>
                <w:szCs w:val="16"/>
              </w:rPr>
              <w:t>Injection #</w:t>
            </w:r>
          </w:p>
        </w:tc>
        <w:tc>
          <w:tcPr>
            <w:tcW w:w="1116" w:type="pct"/>
            <w:tcBorders>
              <w:top w:val="single" w:sz="4" w:space="0" w:color="auto"/>
              <w:left w:val="nil"/>
              <w:bottom w:val="single" w:sz="4" w:space="0" w:color="auto"/>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b/>
                <w:bCs/>
                <w:color w:val="000000"/>
                <w:sz w:val="16"/>
                <w:szCs w:val="16"/>
              </w:rPr>
            </w:pPr>
            <w:r w:rsidRPr="00F26605">
              <w:rPr>
                <w:rFonts w:ascii="Times New Roman" w:eastAsia="Times New Roman" w:hAnsi="Times New Roman" w:cs="Times New Roman"/>
                <w:b/>
                <w:bCs/>
                <w:color w:val="000000"/>
                <w:sz w:val="16"/>
                <w:szCs w:val="16"/>
              </w:rPr>
              <w:t>Area</w:t>
            </w:r>
          </w:p>
        </w:tc>
      </w:tr>
      <w:tr w:rsidR="007147B8" w:rsidRPr="00F26605" w:rsidTr="00E613FF">
        <w:trPr>
          <w:trHeight w:val="225"/>
        </w:trPr>
        <w:tc>
          <w:tcPr>
            <w:tcW w:w="1830" w:type="pct"/>
            <w:vMerge w:val="restart"/>
            <w:tcBorders>
              <w:top w:val="single" w:sz="4" w:space="0" w:color="auto"/>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921" w:type="pct"/>
            <w:vMerge w:val="restart"/>
            <w:tcBorders>
              <w:top w:val="single" w:sz="4" w:space="0" w:color="auto"/>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2.40E-02</w:t>
            </w:r>
          </w:p>
        </w:tc>
        <w:tc>
          <w:tcPr>
            <w:tcW w:w="1132" w:type="pct"/>
            <w:tcBorders>
              <w:top w:val="single" w:sz="4" w:space="0" w:color="auto"/>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single" w:sz="4" w:space="0" w:color="auto"/>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2.22E+08</w:t>
            </w:r>
          </w:p>
        </w:tc>
      </w:tr>
      <w:tr w:rsidR="007147B8" w:rsidRPr="00F26605" w:rsidTr="00E613FF">
        <w:trPr>
          <w:trHeight w:val="225"/>
        </w:trPr>
        <w:tc>
          <w:tcPr>
            <w:tcW w:w="1830"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2.28E+08</w:t>
            </w:r>
          </w:p>
        </w:tc>
      </w:tr>
      <w:tr w:rsidR="007147B8" w:rsidRPr="00F26605"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921"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7.20E-03</w:t>
            </w: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6.71E+07</w:t>
            </w:r>
          </w:p>
        </w:tc>
      </w:tr>
      <w:tr w:rsidR="007147B8" w:rsidRPr="00F26605" w:rsidTr="00E613FF">
        <w:trPr>
          <w:trHeight w:val="225"/>
        </w:trPr>
        <w:tc>
          <w:tcPr>
            <w:tcW w:w="1830"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6.20E+07</w:t>
            </w:r>
          </w:p>
        </w:tc>
      </w:tr>
      <w:tr w:rsidR="007147B8" w:rsidRPr="00F26605"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3</w:t>
            </w:r>
          </w:p>
        </w:tc>
        <w:tc>
          <w:tcPr>
            <w:tcW w:w="921"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2.16E-03</w:t>
            </w: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1.66E+07</w:t>
            </w:r>
          </w:p>
        </w:tc>
      </w:tr>
      <w:tr w:rsidR="007147B8" w:rsidRPr="00F26605" w:rsidTr="00E613FF">
        <w:trPr>
          <w:trHeight w:val="225"/>
        </w:trPr>
        <w:tc>
          <w:tcPr>
            <w:tcW w:w="1830"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1.71E+07</w:t>
            </w:r>
          </w:p>
        </w:tc>
      </w:tr>
      <w:tr w:rsidR="007147B8" w:rsidRPr="00F26605"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4</w:t>
            </w:r>
          </w:p>
        </w:tc>
        <w:tc>
          <w:tcPr>
            <w:tcW w:w="921"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6.48E-04</w:t>
            </w: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1.61E+06</w:t>
            </w:r>
          </w:p>
        </w:tc>
      </w:tr>
      <w:tr w:rsidR="007147B8" w:rsidRPr="00F26605" w:rsidTr="00E613FF">
        <w:trPr>
          <w:trHeight w:val="225"/>
        </w:trPr>
        <w:tc>
          <w:tcPr>
            <w:tcW w:w="1830"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3.76E+06</w:t>
            </w:r>
          </w:p>
        </w:tc>
      </w:tr>
      <w:tr w:rsidR="007147B8" w:rsidRPr="00F26605"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5</w:t>
            </w:r>
          </w:p>
        </w:tc>
        <w:tc>
          <w:tcPr>
            <w:tcW w:w="921"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1.94E-04</w:t>
            </w: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3.48E+05</w:t>
            </w:r>
          </w:p>
        </w:tc>
      </w:tr>
      <w:tr w:rsidR="007147B8" w:rsidRPr="00F26605" w:rsidTr="00E613FF">
        <w:trPr>
          <w:trHeight w:val="225"/>
        </w:trPr>
        <w:tc>
          <w:tcPr>
            <w:tcW w:w="1830"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3.08E+05</w:t>
            </w:r>
          </w:p>
        </w:tc>
      </w:tr>
      <w:tr w:rsidR="007147B8" w:rsidRPr="00F26605"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6</w:t>
            </w:r>
          </w:p>
        </w:tc>
        <w:tc>
          <w:tcPr>
            <w:tcW w:w="921"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5.83E-05</w:t>
            </w: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8.62E+04</w:t>
            </w:r>
          </w:p>
        </w:tc>
      </w:tr>
      <w:tr w:rsidR="007147B8" w:rsidRPr="00F26605" w:rsidTr="00E613FF">
        <w:trPr>
          <w:trHeight w:val="225"/>
        </w:trPr>
        <w:tc>
          <w:tcPr>
            <w:tcW w:w="1830"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1.06E+05</w:t>
            </w:r>
          </w:p>
        </w:tc>
      </w:tr>
      <w:tr w:rsidR="007147B8" w:rsidRPr="00F26605"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7</w:t>
            </w:r>
          </w:p>
        </w:tc>
        <w:tc>
          <w:tcPr>
            <w:tcW w:w="921"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1.75E-05</w:t>
            </w: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3.01E+04</w:t>
            </w:r>
          </w:p>
        </w:tc>
      </w:tr>
      <w:tr w:rsidR="007147B8" w:rsidRPr="00F26605" w:rsidTr="00E613FF">
        <w:trPr>
          <w:trHeight w:val="225"/>
        </w:trPr>
        <w:tc>
          <w:tcPr>
            <w:tcW w:w="1830"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3.81E+04</w:t>
            </w:r>
          </w:p>
        </w:tc>
      </w:tr>
      <w:tr w:rsidR="007147B8" w:rsidRPr="00F26605"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8</w:t>
            </w:r>
          </w:p>
        </w:tc>
        <w:tc>
          <w:tcPr>
            <w:tcW w:w="921"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5.25E-06</w:t>
            </w: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7.67E+03</w:t>
            </w:r>
          </w:p>
        </w:tc>
      </w:tr>
      <w:tr w:rsidR="007147B8" w:rsidRPr="00F26605" w:rsidTr="00E613FF">
        <w:trPr>
          <w:trHeight w:val="225"/>
        </w:trPr>
        <w:tc>
          <w:tcPr>
            <w:tcW w:w="1830"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3.54E+03</w:t>
            </w:r>
          </w:p>
        </w:tc>
      </w:tr>
      <w:tr w:rsidR="007147B8" w:rsidRPr="00F26605"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9</w:t>
            </w:r>
          </w:p>
        </w:tc>
        <w:tc>
          <w:tcPr>
            <w:tcW w:w="921"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1.57E-06</w:t>
            </w: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1.99E+02</w:t>
            </w:r>
          </w:p>
        </w:tc>
      </w:tr>
      <w:tr w:rsidR="007147B8" w:rsidRPr="00F26605" w:rsidTr="00E613FF">
        <w:trPr>
          <w:trHeight w:val="225"/>
        </w:trPr>
        <w:tc>
          <w:tcPr>
            <w:tcW w:w="1830"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2.79E+02</w:t>
            </w:r>
          </w:p>
        </w:tc>
      </w:tr>
      <w:tr w:rsidR="007147B8" w:rsidRPr="00F26605"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10</w:t>
            </w:r>
          </w:p>
        </w:tc>
        <w:tc>
          <w:tcPr>
            <w:tcW w:w="921"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4.72E-07</w:t>
            </w: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0.00E+00</w:t>
            </w:r>
          </w:p>
        </w:tc>
      </w:tr>
      <w:tr w:rsidR="007147B8" w:rsidRPr="00F26605" w:rsidTr="00E613FF">
        <w:trPr>
          <w:trHeight w:val="225"/>
        </w:trPr>
        <w:tc>
          <w:tcPr>
            <w:tcW w:w="1830"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0.00E+00</w:t>
            </w:r>
          </w:p>
        </w:tc>
      </w:tr>
      <w:tr w:rsidR="007147B8" w:rsidRPr="00F26605"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11</w:t>
            </w:r>
          </w:p>
        </w:tc>
        <w:tc>
          <w:tcPr>
            <w:tcW w:w="921"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1.42E-07</w:t>
            </w: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0.00E+00</w:t>
            </w:r>
          </w:p>
        </w:tc>
      </w:tr>
      <w:tr w:rsidR="007147B8" w:rsidRPr="00F26605" w:rsidTr="00E613FF">
        <w:trPr>
          <w:trHeight w:val="225"/>
        </w:trPr>
        <w:tc>
          <w:tcPr>
            <w:tcW w:w="1830"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nil"/>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0.00E+00</w:t>
            </w:r>
          </w:p>
        </w:tc>
      </w:tr>
      <w:tr w:rsidR="007147B8" w:rsidRPr="00F26605" w:rsidTr="00E613FF">
        <w:trPr>
          <w:trHeight w:val="225"/>
        </w:trPr>
        <w:tc>
          <w:tcPr>
            <w:tcW w:w="1830"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12</w:t>
            </w:r>
          </w:p>
        </w:tc>
        <w:tc>
          <w:tcPr>
            <w:tcW w:w="921" w:type="pct"/>
            <w:vMerge w:val="restar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4.25E-08</w:t>
            </w:r>
          </w:p>
        </w:tc>
        <w:tc>
          <w:tcPr>
            <w:tcW w:w="1132" w:type="pct"/>
            <w:tcBorders>
              <w:top w:val="nil"/>
              <w:left w:val="nil"/>
              <w:bottom w:val="nil"/>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1</w:t>
            </w:r>
          </w:p>
        </w:tc>
        <w:tc>
          <w:tcPr>
            <w:tcW w:w="1116" w:type="pct"/>
            <w:tcBorders>
              <w:top w:val="nil"/>
              <w:left w:val="nil"/>
              <w:bottom w:val="nil"/>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0.00E+00</w:t>
            </w:r>
          </w:p>
        </w:tc>
      </w:tr>
      <w:tr w:rsidR="007147B8" w:rsidRPr="00F26605" w:rsidTr="00E613FF">
        <w:trPr>
          <w:trHeight w:val="225"/>
        </w:trPr>
        <w:tc>
          <w:tcPr>
            <w:tcW w:w="1830" w:type="pct"/>
            <w:vMerge/>
            <w:tcBorders>
              <w:top w:val="nil"/>
              <w:left w:val="nil"/>
              <w:bottom w:val="single" w:sz="4" w:space="0" w:color="auto"/>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921" w:type="pct"/>
            <w:vMerge/>
            <w:tcBorders>
              <w:top w:val="nil"/>
              <w:left w:val="nil"/>
              <w:bottom w:val="single" w:sz="4" w:space="0" w:color="auto"/>
              <w:right w:val="nil"/>
            </w:tcBorders>
            <w:vAlign w:val="center"/>
            <w:hideMark/>
          </w:tcPr>
          <w:p w:rsidR="007147B8" w:rsidRPr="00F26605" w:rsidRDefault="007147B8" w:rsidP="00E613FF">
            <w:pPr>
              <w:spacing w:after="0" w:line="240" w:lineRule="atLeast"/>
              <w:rPr>
                <w:rFonts w:ascii="Times New Roman" w:eastAsia="Times New Roman" w:hAnsi="Times New Roman" w:cs="Times New Roman"/>
                <w:color w:val="000000"/>
                <w:sz w:val="16"/>
                <w:szCs w:val="16"/>
              </w:rPr>
            </w:pPr>
          </w:p>
        </w:tc>
        <w:tc>
          <w:tcPr>
            <w:tcW w:w="1132" w:type="pct"/>
            <w:tcBorders>
              <w:top w:val="nil"/>
              <w:left w:val="nil"/>
              <w:bottom w:val="single" w:sz="4" w:space="0" w:color="auto"/>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2</w:t>
            </w:r>
          </w:p>
        </w:tc>
        <w:tc>
          <w:tcPr>
            <w:tcW w:w="1116" w:type="pct"/>
            <w:tcBorders>
              <w:top w:val="nil"/>
              <w:left w:val="nil"/>
              <w:bottom w:val="single" w:sz="4" w:space="0" w:color="auto"/>
              <w:right w:val="nil"/>
            </w:tcBorders>
            <w:shd w:val="clear" w:color="auto" w:fill="auto"/>
            <w:noWrap/>
            <w:vAlign w:val="bottom"/>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r w:rsidRPr="00F26605">
              <w:rPr>
                <w:rFonts w:ascii="Times New Roman" w:eastAsia="Times New Roman" w:hAnsi="Times New Roman" w:cs="Times New Roman"/>
                <w:color w:val="000000"/>
                <w:sz w:val="16"/>
                <w:szCs w:val="16"/>
              </w:rPr>
              <w:t>0.00E+00</w:t>
            </w:r>
          </w:p>
        </w:tc>
      </w:tr>
      <w:tr w:rsidR="007147B8" w:rsidRPr="00F26605" w:rsidTr="00E613FF">
        <w:trPr>
          <w:trHeight w:val="225"/>
        </w:trPr>
        <w:tc>
          <w:tcPr>
            <w:tcW w:w="1830" w:type="pct"/>
            <w:tcBorders>
              <w:top w:val="single" w:sz="4" w:space="0" w:color="auto"/>
              <w:left w:val="nil"/>
              <w:bottom w:val="single" w:sz="4" w:space="0" w:color="auto"/>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p>
        </w:tc>
        <w:tc>
          <w:tcPr>
            <w:tcW w:w="921" w:type="pct"/>
            <w:tcBorders>
              <w:top w:val="single" w:sz="4" w:space="0" w:color="auto"/>
              <w:left w:val="nil"/>
              <w:bottom w:val="single" w:sz="4" w:space="0" w:color="auto"/>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p>
        </w:tc>
        <w:tc>
          <w:tcPr>
            <w:tcW w:w="1132" w:type="pct"/>
            <w:tcBorders>
              <w:top w:val="single" w:sz="4" w:space="0" w:color="auto"/>
              <w:left w:val="nil"/>
              <w:bottom w:val="single" w:sz="4" w:space="0" w:color="auto"/>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p>
        </w:tc>
        <w:tc>
          <w:tcPr>
            <w:tcW w:w="1116" w:type="pct"/>
            <w:tcBorders>
              <w:top w:val="single" w:sz="4" w:space="0" w:color="auto"/>
              <w:left w:val="nil"/>
              <w:bottom w:val="single" w:sz="4" w:space="0" w:color="auto"/>
              <w:right w:val="nil"/>
            </w:tcBorders>
            <w:shd w:val="clear" w:color="auto" w:fill="auto"/>
            <w:noWrap/>
            <w:vAlign w:val="center"/>
            <w:hideMark/>
          </w:tcPr>
          <w:p w:rsidR="007147B8" w:rsidRPr="00F26605" w:rsidRDefault="007147B8" w:rsidP="00E613FF">
            <w:pPr>
              <w:spacing w:after="0" w:line="240" w:lineRule="atLeast"/>
              <w:jc w:val="center"/>
              <w:rPr>
                <w:rFonts w:ascii="Times New Roman" w:eastAsia="Times New Roman" w:hAnsi="Times New Roman" w:cs="Times New Roman"/>
                <w:color w:val="000000"/>
                <w:sz w:val="16"/>
                <w:szCs w:val="16"/>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Pr>
        <w:rPr>
          <w:rFonts w:ascii="Times New Roman" w:hAnsi="Times New Roman" w:cs="Times New Roman"/>
          <w:b/>
          <w:sz w:val="28"/>
          <w:szCs w:val="28"/>
        </w:rPr>
      </w:pPr>
    </w:p>
    <w:p w:rsidR="007147B8" w:rsidRDefault="007147B8" w:rsidP="007147B8">
      <w:pPr>
        <w:spacing w:line="240" w:lineRule="atLeast"/>
        <w:jc w:val="both"/>
        <w:rPr>
          <w:rFonts w:ascii="Times New Roman" w:hAnsi="Times New Roman" w:cs="Times New Roman"/>
          <w:b/>
          <w:sz w:val="16"/>
          <w:szCs w:val="16"/>
        </w:rPr>
      </w:pPr>
    </w:p>
    <w:p w:rsidR="007147B8" w:rsidRPr="00142FC4"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18</w:t>
      </w:r>
      <w:r w:rsidR="007147B8">
        <w:rPr>
          <w:rFonts w:ascii="Times New Roman" w:hAnsi="Times New Roman" w:cs="Times New Roman"/>
          <w:b/>
          <w:sz w:val="16"/>
          <w:szCs w:val="16"/>
        </w:rPr>
        <w:t xml:space="preserve">A: Cow #1 Average </w:t>
      </w:r>
      <w:r w:rsidR="007147B8" w:rsidRPr="00A92A4E">
        <w:rPr>
          <w:rFonts w:ascii="Times New Roman" w:eastAsia="Times New Roman" w:hAnsi="Times New Roman" w:cs="Times New Roman"/>
          <w:b/>
          <w:bCs/>
          <w:color w:val="000000"/>
          <w:sz w:val="16"/>
          <w:szCs w:val="16"/>
        </w:rPr>
        <w:t>µM</w:t>
      </w:r>
      <w:r w:rsidR="007147B8">
        <w:rPr>
          <w:rFonts w:ascii="Times New Roman" w:eastAsia="Times New Roman" w:hAnsi="Times New Roman" w:cs="Times New Roman"/>
          <w:b/>
          <w:bCs/>
          <w:color w:val="000000"/>
          <w:sz w:val="16"/>
          <w:szCs w:val="16"/>
        </w:rPr>
        <w:t xml:space="preserve"> in Milk Used in Figure 7</w:t>
      </w:r>
    </w:p>
    <w:tbl>
      <w:tblPr>
        <w:tblW w:w="5000" w:type="pct"/>
        <w:tblLook w:val="04A0" w:firstRow="1" w:lastRow="0" w:firstColumn="1" w:lastColumn="0" w:noHBand="0" w:noVBand="1"/>
      </w:tblPr>
      <w:tblGrid>
        <w:gridCol w:w="2577"/>
        <w:gridCol w:w="733"/>
        <w:gridCol w:w="733"/>
        <w:gridCol w:w="733"/>
        <w:gridCol w:w="734"/>
        <w:gridCol w:w="734"/>
        <w:gridCol w:w="734"/>
        <w:gridCol w:w="868"/>
        <w:gridCol w:w="868"/>
        <w:gridCol w:w="862"/>
      </w:tblGrid>
      <w:tr w:rsidR="007147B8" w:rsidRPr="00A92A4E"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Average µM</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Week of Lactation</w:t>
            </w:r>
          </w:p>
        </w:tc>
      </w:tr>
      <w:tr w:rsidR="007147B8" w:rsidRPr="00A92A4E"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Lipid</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1</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2</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3</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4</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5</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6</w:t>
            </w:r>
          </w:p>
        </w:tc>
        <w:tc>
          <w:tcPr>
            <w:tcW w:w="45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7</w:t>
            </w:r>
          </w:p>
        </w:tc>
        <w:tc>
          <w:tcPr>
            <w:tcW w:w="45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8</w:t>
            </w:r>
          </w:p>
        </w:tc>
        <w:tc>
          <w:tcPr>
            <w:tcW w:w="45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b/>
                <w:bCs/>
                <w:color w:val="000000"/>
                <w:sz w:val="16"/>
                <w:szCs w:val="16"/>
              </w:rPr>
            </w:pPr>
            <w:r w:rsidRPr="00A92A4E">
              <w:rPr>
                <w:rFonts w:ascii="Times New Roman" w:eastAsia="Times New Roman" w:hAnsi="Times New Roman" w:cs="Times New Roman"/>
                <w:b/>
                <w:bCs/>
                <w:color w:val="000000"/>
                <w:sz w:val="16"/>
                <w:szCs w:val="16"/>
              </w:rPr>
              <w:t>9</w:t>
            </w:r>
          </w:p>
        </w:tc>
      </w:tr>
      <w:tr w:rsidR="007147B8" w:rsidRPr="00A92A4E"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 xml:space="preserve">AcCho </w:t>
            </w:r>
          </w:p>
        </w:tc>
        <w:tc>
          <w:tcPr>
            <w:tcW w:w="383" w:type="pct"/>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0.00</w:t>
            </w:r>
          </w:p>
        </w:tc>
        <w:tc>
          <w:tcPr>
            <w:tcW w:w="383" w:type="pct"/>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0.00</w:t>
            </w:r>
          </w:p>
        </w:tc>
        <w:tc>
          <w:tcPr>
            <w:tcW w:w="383" w:type="pct"/>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0.00</w:t>
            </w:r>
          </w:p>
        </w:tc>
        <w:tc>
          <w:tcPr>
            <w:tcW w:w="383" w:type="pct"/>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0.02</w:t>
            </w:r>
          </w:p>
        </w:tc>
        <w:tc>
          <w:tcPr>
            <w:tcW w:w="383" w:type="pct"/>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0.04</w:t>
            </w:r>
          </w:p>
        </w:tc>
        <w:tc>
          <w:tcPr>
            <w:tcW w:w="383" w:type="pct"/>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0.02</w:t>
            </w:r>
          </w:p>
        </w:tc>
        <w:tc>
          <w:tcPr>
            <w:tcW w:w="453" w:type="pct"/>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0.01</w:t>
            </w:r>
          </w:p>
        </w:tc>
        <w:tc>
          <w:tcPr>
            <w:tcW w:w="453" w:type="pct"/>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0.00</w:t>
            </w:r>
          </w:p>
        </w:tc>
        <w:tc>
          <w:tcPr>
            <w:tcW w:w="453" w:type="pct"/>
            <w:tcBorders>
              <w:top w:val="single" w:sz="4" w:space="0" w:color="auto"/>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0.01</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 xml:space="preserve">Bet </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27.84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18.32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19.15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11.71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12.22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12.40</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26.93</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40.23</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44.11</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 xml:space="preserve">Cho </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72.28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47.07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75.61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113.20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121.22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109.17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187.96</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175.14</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175.57</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LPC 16:0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0.64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0.66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0.90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1.01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0.88</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1.27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1.37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2.12</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LPC 18:2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0.14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0.29</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0.16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0.25</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0.33</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0.22</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0.24</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LPC 18:1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0.77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0.78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0.32</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0.55</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0.63</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0.71</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LPC 18:0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0.26</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0.38</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0.58</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LPC Total</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1.91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1.45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1.99</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2.06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1.82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1.71</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2.72</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2.61</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3.64</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16:0/16:1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6.43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7.23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7.14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10.64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10.87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8.30</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104.92</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92.97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69.70</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16:0/22:6,18:1/22:5,18:2/20:4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0.47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0.59</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0.61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0.60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0.56</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6.86</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4.51</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2.53</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18:1/20:4,18:0/20:5,16:0/22:5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2.00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1.76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2.55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1.82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1.85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1.59</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20.44</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14.45</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7.91</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18:0/20:4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1.28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1.43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1.53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1.89</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1.94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1.41</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19.18</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15.37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8.97</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18:0/20:3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0.67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0.74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0.79</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1.05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1.14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0.79</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10.48</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7.77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4.49</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18:1/22:6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0.23</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2.46</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1.61</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0.81</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18:0/22:6,18:1/22:5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0.40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0.29</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0.38</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3.50</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2.20</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1.21</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18:0/22:5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0.47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0.32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0.23</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2.68</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1.98</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1.23</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16:0/16:0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19.10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19.41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23.48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34.20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40.26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29.57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394.24</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359.20</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216.93</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16:0/18:2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13.38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14.67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17.89</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26.20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28.17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21.71</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317.19</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281.24</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155.11</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16:0/18:1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41.43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46.96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50.93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63.10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66.76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46.50</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749.96</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669.74</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422.56</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16:0/20:5,16:1/20:4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0.42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0.43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0.54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0.44</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5.18</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4.27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2.77</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16:0/20:4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2.93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3.28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4.18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5.07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5.10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3.74</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49.93</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38.95</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22.97</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16:0/20:3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11.23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12.61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14.85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17.18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17.29</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12.22</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158.67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127.61</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72.93</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18:0/18:2,18:1/18:1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25.76</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29.30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30.72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32.59</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30.60</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21.42</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290.07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253.47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140.49</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18:0/18:1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13.87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16.24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15.57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17.64</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16.93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10.96</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158.24</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149.10</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83.28</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PtCho Total</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140.08</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155.53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171.92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213.35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222.83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160.04</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2293.98</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2024.46</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1213.90</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Pcho</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490.11</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331.22</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393.95</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147.73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115.49</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68.35</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25.63</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21.77</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50.22</w:t>
            </w:r>
          </w:p>
        </w:tc>
      </w:tr>
      <w:tr w:rsidR="007147B8" w:rsidRPr="00A92A4E" w:rsidTr="00E613FF">
        <w:trPr>
          <w:trHeight w:val="300"/>
        </w:trPr>
        <w:tc>
          <w:tcPr>
            <w:tcW w:w="1346"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 xml:space="preserve">SM </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45.73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50.07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52.23</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31.59</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35.57</w:t>
            </w:r>
          </w:p>
        </w:tc>
        <w:tc>
          <w:tcPr>
            <w:tcW w:w="38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26.26</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44.60</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42.15</w:t>
            </w:r>
          </w:p>
        </w:tc>
        <w:tc>
          <w:tcPr>
            <w:tcW w:w="453" w:type="pct"/>
            <w:tcBorders>
              <w:top w:val="nil"/>
              <w:left w:val="nil"/>
              <w:bottom w:val="nil"/>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44.12</w:t>
            </w:r>
          </w:p>
        </w:tc>
      </w:tr>
      <w:tr w:rsidR="007147B8" w:rsidRPr="00A92A4E"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 xml:space="preserve">GPC </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78.07</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49.84</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57.72</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42.15</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57.77</w:t>
            </w:r>
          </w:p>
        </w:tc>
        <w:tc>
          <w:tcPr>
            <w:tcW w:w="38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49.77</w:t>
            </w:r>
          </w:p>
        </w:tc>
        <w:tc>
          <w:tcPr>
            <w:tcW w:w="45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95.92</w:t>
            </w:r>
          </w:p>
        </w:tc>
        <w:tc>
          <w:tcPr>
            <w:tcW w:w="45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155.10</w:t>
            </w:r>
          </w:p>
        </w:tc>
        <w:tc>
          <w:tcPr>
            <w:tcW w:w="453" w:type="pct"/>
            <w:tcBorders>
              <w:top w:val="nil"/>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jc w:val="center"/>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144.54</w:t>
            </w:r>
          </w:p>
        </w:tc>
      </w:tr>
      <w:tr w:rsidR="007147B8" w:rsidRPr="00A92A4E" w:rsidTr="00E613FF">
        <w:trPr>
          <w:trHeight w:val="300"/>
        </w:trPr>
        <w:tc>
          <w:tcPr>
            <w:tcW w:w="5000" w:type="pct"/>
            <w:gridSpan w:val="10"/>
            <w:tcBorders>
              <w:top w:val="single" w:sz="4" w:space="0" w:color="auto"/>
              <w:left w:val="nil"/>
              <w:bottom w:val="single" w:sz="4" w:space="0" w:color="auto"/>
              <w:right w:val="nil"/>
            </w:tcBorders>
            <w:shd w:val="clear" w:color="auto" w:fill="auto"/>
            <w:noWrap/>
            <w:vAlign w:val="bottom"/>
            <w:hideMark/>
          </w:tcPr>
          <w:p w:rsidR="007147B8" w:rsidRPr="00A92A4E" w:rsidRDefault="007147B8" w:rsidP="00E613FF">
            <w:pPr>
              <w:spacing w:after="0" w:line="240" w:lineRule="atLeast"/>
              <w:rPr>
                <w:rFonts w:ascii="Times New Roman" w:eastAsia="Times New Roman" w:hAnsi="Times New Roman" w:cs="Times New Roman"/>
                <w:color w:val="000000"/>
                <w:sz w:val="16"/>
                <w:szCs w:val="16"/>
              </w:rPr>
            </w:pPr>
            <w:r w:rsidRPr="00A92A4E">
              <w:rPr>
                <w:rFonts w:ascii="Times New Roman" w:eastAsia="Times New Roman" w:hAnsi="Times New Roman" w:cs="Times New Roman"/>
                <w:color w:val="000000"/>
                <w:sz w:val="16"/>
                <w:szCs w:val="16"/>
              </w:rPr>
              <w:t>Average of triplicate injections</w:t>
            </w:r>
          </w:p>
        </w:tc>
      </w:tr>
    </w:tbl>
    <w:p w:rsidR="007147B8" w:rsidRPr="00BD214B" w:rsidRDefault="007147B8" w:rsidP="007147B8">
      <w:pPr>
        <w:rPr>
          <w:rFonts w:ascii="Times New Roman" w:hAnsi="Times New Roman" w:cs="Times New Roman"/>
          <w:sz w:val="16"/>
          <w:szCs w:val="16"/>
        </w:rPr>
      </w:pPr>
    </w:p>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Pr="008D2E29"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18</w:t>
      </w:r>
      <w:r w:rsidR="007147B8">
        <w:rPr>
          <w:rFonts w:ascii="Times New Roman" w:hAnsi="Times New Roman" w:cs="Times New Roman"/>
          <w:b/>
          <w:sz w:val="16"/>
          <w:szCs w:val="16"/>
        </w:rPr>
        <w:t>B: Cow #1 Fold Change in Milk Used in Figure 7</w:t>
      </w:r>
    </w:p>
    <w:tbl>
      <w:tblPr>
        <w:tblW w:w="5000" w:type="pct"/>
        <w:tblLook w:val="04A0" w:firstRow="1" w:lastRow="0" w:firstColumn="1" w:lastColumn="0" w:noHBand="0" w:noVBand="1"/>
      </w:tblPr>
      <w:tblGrid>
        <w:gridCol w:w="2579"/>
        <w:gridCol w:w="713"/>
        <w:gridCol w:w="712"/>
        <w:gridCol w:w="712"/>
        <w:gridCol w:w="712"/>
        <w:gridCol w:w="712"/>
        <w:gridCol w:w="712"/>
        <w:gridCol w:w="912"/>
        <w:gridCol w:w="912"/>
        <w:gridCol w:w="900"/>
      </w:tblGrid>
      <w:tr w:rsidR="007147B8" w:rsidRPr="00D90A0F"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Fold Change Relative to Week 1</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8D2E29" w:rsidRDefault="007147B8" w:rsidP="00E613FF">
            <w:pPr>
              <w:spacing w:after="0" w:line="240" w:lineRule="atLeast"/>
              <w:rPr>
                <w:rFonts w:ascii="Times New Roman" w:eastAsia="Times New Roman" w:hAnsi="Times New Roman" w:cs="Times New Roman"/>
                <w:b/>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Week of Lactation</w:t>
            </w:r>
          </w:p>
        </w:tc>
      </w:tr>
      <w:tr w:rsidR="007147B8" w:rsidRPr="00D90A0F"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Lipid</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1</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2</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3</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4</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5</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6</w:t>
            </w:r>
          </w:p>
        </w:tc>
        <w:tc>
          <w:tcPr>
            <w:tcW w:w="476"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7</w:t>
            </w:r>
          </w:p>
        </w:tc>
        <w:tc>
          <w:tcPr>
            <w:tcW w:w="476"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8</w:t>
            </w:r>
          </w:p>
        </w:tc>
        <w:tc>
          <w:tcPr>
            <w:tcW w:w="473"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b/>
                <w:bCs/>
                <w:color w:val="000000"/>
                <w:sz w:val="16"/>
                <w:szCs w:val="16"/>
              </w:rPr>
            </w:pPr>
            <w:r w:rsidRPr="00D90A0F">
              <w:rPr>
                <w:rFonts w:ascii="Times New Roman" w:eastAsia="Times New Roman" w:hAnsi="Times New Roman" w:cs="Times New Roman"/>
                <w:b/>
                <w:bCs/>
                <w:color w:val="000000"/>
                <w:sz w:val="16"/>
                <w:szCs w:val="16"/>
              </w:rPr>
              <w:t>9</w:t>
            </w:r>
          </w:p>
        </w:tc>
      </w:tr>
      <w:tr w:rsidR="007147B8" w:rsidRPr="00D90A0F"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 xml:space="preserve">AcCho </w:t>
            </w:r>
          </w:p>
        </w:tc>
        <w:tc>
          <w:tcPr>
            <w:tcW w:w="372" w:type="pct"/>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0.00</w:t>
            </w:r>
          </w:p>
        </w:tc>
        <w:tc>
          <w:tcPr>
            <w:tcW w:w="372" w:type="pct"/>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0.00</w:t>
            </w:r>
          </w:p>
        </w:tc>
        <w:tc>
          <w:tcPr>
            <w:tcW w:w="372" w:type="pct"/>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0.00</w:t>
            </w:r>
          </w:p>
        </w:tc>
        <w:tc>
          <w:tcPr>
            <w:tcW w:w="372" w:type="pct"/>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1.71</w:t>
            </w:r>
          </w:p>
        </w:tc>
        <w:tc>
          <w:tcPr>
            <w:tcW w:w="372" w:type="pct"/>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1.04</w:t>
            </w:r>
          </w:p>
        </w:tc>
        <w:tc>
          <w:tcPr>
            <w:tcW w:w="476" w:type="pct"/>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0.40</w:t>
            </w:r>
          </w:p>
        </w:tc>
        <w:tc>
          <w:tcPr>
            <w:tcW w:w="476" w:type="pct"/>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0.14</w:t>
            </w:r>
          </w:p>
        </w:tc>
        <w:tc>
          <w:tcPr>
            <w:tcW w:w="473" w:type="pct"/>
            <w:tcBorders>
              <w:top w:val="single" w:sz="4" w:space="0" w:color="auto"/>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0.36</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 xml:space="preserve">Bet </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0.66</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0.69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0.42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0.44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0.45</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0.97</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1.45</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1.58</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 xml:space="preserve">Cho </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0.65</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1.05</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1.57</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1.68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1.51</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2.60</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2.42</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2.43</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LPC 16:0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0.83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1.41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1.38</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2.00</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2.15</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3.32</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LPC 18:2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0.48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0.57</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0.90</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1.19</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0.79</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0.84</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LPC 18:1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0.69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0.42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0.42</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0.71</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0.83</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0.92</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LPC 18:0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1.15</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1.44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1.13</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2.51</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1.69</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2.55</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LPC Total</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0.76</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0.95</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0.89</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1.42</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1.36</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1.90</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16:0/16:1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1.65</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1.69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1.29</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16.32</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14.46</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10.84</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16:0/22:6,18:1/22:5,18:2/20:4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1.27</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1.18</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14.45</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9.51</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5.33</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18:1/20:4,18:0/20:5,16:0/22:5</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0.88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1.27</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0.79</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10.21</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7.22</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3.95</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18:0/20:4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1.47</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1.10</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14.94</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11.98</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6.99</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18:0/20:3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1.57</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1.70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1.18</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15.59</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11.56</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6.68</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18:1/22:6</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1.05</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1.05</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11.29</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7.39</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3.72</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18:0/22:6,18:1/22:5</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0.96</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8.76</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5.51</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3.04</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18:0/22:5</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0.76</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0.68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0.58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0.48</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5.68</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4.20</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2.62</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16:0/16:0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1.79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2.11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1.55</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20.64</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18.81</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11.36</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16:0/18:2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1.34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1.96</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2.11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1.62</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23.70</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21.01</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11.59</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16:0/18:1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1.61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1.12</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18.10</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16.16</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10.20</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16:0/20:5,16:1/20:4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1.31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1.33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1.04</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12.41</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10.23</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6.63</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16:0/20:4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1.43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1.73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1.74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1.28</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17.03</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13.28</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7.83</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16:0/20:3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1.32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1.09</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14.12</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11.36</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6.49</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18:0/18:2,18:1/18:1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1.27</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0.83</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11.26</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9.84</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5.45</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18:0/18:1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1.17</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1.27</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0.79</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11.41</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10.75</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6.00</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PtCho Total</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1.11</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1.23</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1.52</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1.59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1.14</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16.38</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14.45</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8.67</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Pcho</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0.68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0.80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0.30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0.24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0.14</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0.05</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0.04</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0.10</w:t>
            </w:r>
          </w:p>
        </w:tc>
      </w:tr>
      <w:tr w:rsidR="007147B8" w:rsidRPr="00D90A0F" w:rsidTr="00E613FF">
        <w:trPr>
          <w:trHeight w:val="300"/>
        </w:trPr>
        <w:tc>
          <w:tcPr>
            <w:tcW w:w="134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 xml:space="preserve">SM </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1.14</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0.69</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0.78</w:t>
            </w:r>
          </w:p>
        </w:tc>
        <w:tc>
          <w:tcPr>
            <w:tcW w:w="372"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0.57</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0.98</w:t>
            </w:r>
          </w:p>
        </w:tc>
        <w:tc>
          <w:tcPr>
            <w:tcW w:w="476"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0.92</w:t>
            </w:r>
          </w:p>
        </w:tc>
        <w:tc>
          <w:tcPr>
            <w:tcW w:w="473" w:type="pct"/>
            <w:tcBorders>
              <w:top w:val="nil"/>
              <w:left w:val="nil"/>
              <w:bottom w:val="nil"/>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0.96</w:t>
            </w:r>
          </w:p>
        </w:tc>
      </w:tr>
      <w:tr w:rsidR="007147B8" w:rsidRPr="00D90A0F"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 xml:space="preserve">GPC </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1.00</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0.64</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0.74</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0.54</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0.74</w:t>
            </w:r>
          </w:p>
        </w:tc>
        <w:tc>
          <w:tcPr>
            <w:tcW w:w="372"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0.64</w:t>
            </w:r>
          </w:p>
        </w:tc>
        <w:tc>
          <w:tcPr>
            <w:tcW w:w="476"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1.23</w:t>
            </w:r>
          </w:p>
        </w:tc>
        <w:tc>
          <w:tcPr>
            <w:tcW w:w="476"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1.99</w:t>
            </w:r>
          </w:p>
        </w:tc>
        <w:tc>
          <w:tcPr>
            <w:tcW w:w="473" w:type="pct"/>
            <w:tcBorders>
              <w:top w:val="nil"/>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jc w:val="center"/>
              <w:rPr>
                <w:rFonts w:ascii="Times New Roman" w:eastAsia="Times New Roman" w:hAnsi="Times New Roman" w:cs="Times New Roman"/>
                <w:color w:val="000000"/>
                <w:sz w:val="16"/>
                <w:szCs w:val="16"/>
              </w:rPr>
            </w:pPr>
            <w:r w:rsidRPr="00D90A0F">
              <w:rPr>
                <w:rFonts w:ascii="Times New Roman" w:eastAsia="Times New Roman" w:hAnsi="Times New Roman" w:cs="Times New Roman"/>
                <w:color w:val="000000"/>
                <w:sz w:val="16"/>
                <w:szCs w:val="16"/>
              </w:rPr>
              <w:t>1.85</w:t>
            </w:r>
          </w:p>
        </w:tc>
      </w:tr>
      <w:tr w:rsidR="007147B8" w:rsidRPr="00D90A0F" w:rsidTr="00E613FF">
        <w:trPr>
          <w:trHeight w:val="300"/>
        </w:trPr>
        <w:tc>
          <w:tcPr>
            <w:tcW w:w="1346" w:type="pct"/>
            <w:tcBorders>
              <w:top w:val="single" w:sz="4" w:space="0" w:color="auto"/>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rPr>
                <w:rFonts w:ascii="Calibri" w:eastAsia="Times New Roman" w:hAnsi="Calibri" w:cs="Times New Roman"/>
                <w:color w:val="000000"/>
              </w:rPr>
            </w:pPr>
          </w:p>
        </w:tc>
        <w:tc>
          <w:tcPr>
            <w:tcW w:w="372" w:type="pct"/>
            <w:tcBorders>
              <w:top w:val="single" w:sz="4" w:space="0" w:color="auto"/>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rPr>
                <w:rFonts w:ascii="Calibri" w:eastAsia="Times New Roman" w:hAnsi="Calibri" w:cs="Times New Roman"/>
                <w:color w:val="000000"/>
              </w:rPr>
            </w:pPr>
          </w:p>
        </w:tc>
        <w:tc>
          <w:tcPr>
            <w:tcW w:w="372" w:type="pct"/>
            <w:tcBorders>
              <w:top w:val="single" w:sz="4" w:space="0" w:color="auto"/>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rPr>
                <w:rFonts w:ascii="Calibri" w:eastAsia="Times New Roman" w:hAnsi="Calibri" w:cs="Times New Roman"/>
                <w:color w:val="000000"/>
              </w:rPr>
            </w:pPr>
          </w:p>
        </w:tc>
        <w:tc>
          <w:tcPr>
            <w:tcW w:w="372" w:type="pct"/>
            <w:tcBorders>
              <w:top w:val="single" w:sz="4" w:space="0" w:color="auto"/>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rPr>
                <w:rFonts w:ascii="Calibri" w:eastAsia="Times New Roman" w:hAnsi="Calibri" w:cs="Times New Roman"/>
                <w:color w:val="000000"/>
              </w:rPr>
            </w:pPr>
          </w:p>
        </w:tc>
        <w:tc>
          <w:tcPr>
            <w:tcW w:w="372" w:type="pct"/>
            <w:tcBorders>
              <w:top w:val="single" w:sz="4" w:space="0" w:color="auto"/>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rPr>
                <w:rFonts w:ascii="Calibri" w:eastAsia="Times New Roman" w:hAnsi="Calibri" w:cs="Times New Roman"/>
                <w:color w:val="000000"/>
              </w:rPr>
            </w:pPr>
          </w:p>
        </w:tc>
        <w:tc>
          <w:tcPr>
            <w:tcW w:w="372" w:type="pct"/>
            <w:tcBorders>
              <w:top w:val="single" w:sz="4" w:space="0" w:color="auto"/>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rPr>
                <w:rFonts w:ascii="Calibri" w:eastAsia="Times New Roman" w:hAnsi="Calibri" w:cs="Times New Roman"/>
                <w:color w:val="000000"/>
              </w:rPr>
            </w:pPr>
          </w:p>
        </w:tc>
        <w:tc>
          <w:tcPr>
            <w:tcW w:w="372" w:type="pct"/>
            <w:tcBorders>
              <w:top w:val="single" w:sz="4" w:space="0" w:color="auto"/>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rPr>
                <w:rFonts w:ascii="Calibri" w:eastAsia="Times New Roman" w:hAnsi="Calibri" w:cs="Times New Roman"/>
                <w:color w:val="000000"/>
              </w:rPr>
            </w:pPr>
          </w:p>
        </w:tc>
        <w:tc>
          <w:tcPr>
            <w:tcW w:w="476" w:type="pct"/>
            <w:tcBorders>
              <w:top w:val="single" w:sz="4" w:space="0" w:color="auto"/>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rPr>
                <w:rFonts w:ascii="Calibri" w:eastAsia="Times New Roman" w:hAnsi="Calibri" w:cs="Times New Roman"/>
                <w:color w:val="000000"/>
              </w:rPr>
            </w:pPr>
          </w:p>
        </w:tc>
        <w:tc>
          <w:tcPr>
            <w:tcW w:w="476" w:type="pct"/>
            <w:tcBorders>
              <w:top w:val="single" w:sz="4" w:space="0" w:color="auto"/>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rPr>
                <w:rFonts w:ascii="Calibri" w:eastAsia="Times New Roman" w:hAnsi="Calibri" w:cs="Times New Roman"/>
                <w:color w:val="000000"/>
              </w:rPr>
            </w:pPr>
          </w:p>
        </w:tc>
        <w:tc>
          <w:tcPr>
            <w:tcW w:w="473" w:type="pct"/>
            <w:tcBorders>
              <w:top w:val="single" w:sz="4" w:space="0" w:color="auto"/>
              <w:left w:val="nil"/>
              <w:bottom w:val="single" w:sz="4" w:space="0" w:color="auto"/>
              <w:right w:val="nil"/>
            </w:tcBorders>
            <w:shd w:val="clear" w:color="auto" w:fill="auto"/>
            <w:noWrap/>
            <w:vAlign w:val="bottom"/>
            <w:hideMark/>
          </w:tcPr>
          <w:p w:rsidR="007147B8" w:rsidRPr="00D90A0F" w:rsidRDefault="007147B8" w:rsidP="00E613FF">
            <w:pPr>
              <w:spacing w:after="0" w:line="240" w:lineRule="atLeast"/>
              <w:rPr>
                <w:rFonts w:ascii="Calibri" w:eastAsia="Times New Roman" w:hAnsi="Calibri" w:cs="Times New Roman"/>
                <w:color w:val="000000"/>
              </w:rPr>
            </w:pPr>
          </w:p>
        </w:tc>
      </w:tr>
    </w:tbl>
    <w:p w:rsidR="007147B8" w:rsidRPr="00F1583F"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Pr>
        <w:spacing w:line="240" w:lineRule="atLeast"/>
        <w:jc w:val="both"/>
        <w:rPr>
          <w:rFonts w:ascii="Times New Roman" w:hAnsi="Times New Roman" w:cs="Times New Roman"/>
          <w:b/>
          <w:sz w:val="16"/>
          <w:szCs w:val="16"/>
        </w:rPr>
      </w:pPr>
    </w:p>
    <w:p w:rsidR="007147B8" w:rsidRPr="0010213D"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19</w:t>
      </w:r>
      <w:r w:rsidR="007147B8">
        <w:rPr>
          <w:rFonts w:ascii="Times New Roman" w:hAnsi="Times New Roman" w:cs="Times New Roman"/>
          <w:b/>
          <w:sz w:val="16"/>
          <w:szCs w:val="16"/>
        </w:rPr>
        <w:t xml:space="preserve">A: Cow #2 Average </w:t>
      </w:r>
      <w:r w:rsidR="007147B8">
        <w:rPr>
          <w:rFonts w:ascii="Times New Roman" w:eastAsia="Times New Roman" w:hAnsi="Times New Roman" w:cs="Times New Roman"/>
          <w:b/>
          <w:bCs/>
          <w:color w:val="000000"/>
          <w:sz w:val="16"/>
          <w:szCs w:val="16"/>
        </w:rPr>
        <w:t>µM in Milk Used in Figure 7</w:t>
      </w:r>
    </w:p>
    <w:tbl>
      <w:tblPr>
        <w:tblW w:w="5000" w:type="pct"/>
        <w:tblLook w:val="04A0" w:firstRow="1" w:lastRow="0" w:firstColumn="1" w:lastColumn="0" w:noHBand="0" w:noVBand="1"/>
      </w:tblPr>
      <w:tblGrid>
        <w:gridCol w:w="2578"/>
        <w:gridCol w:w="779"/>
        <w:gridCol w:w="779"/>
        <w:gridCol w:w="779"/>
        <w:gridCol w:w="779"/>
        <w:gridCol w:w="778"/>
        <w:gridCol w:w="778"/>
        <w:gridCol w:w="778"/>
        <w:gridCol w:w="778"/>
        <w:gridCol w:w="770"/>
      </w:tblGrid>
      <w:tr w:rsidR="007147B8" w:rsidRPr="00DE2D0D"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Average µM</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Week of Lactation</w:t>
            </w:r>
          </w:p>
        </w:tc>
      </w:tr>
      <w:tr w:rsidR="007147B8" w:rsidRPr="00DE2D0D"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Lipid</w:t>
            </w:r>
          </w:p>
        </w:tc>
        <w:tc>
          <w:tcPr>
            <w:tcW w:w="407"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1</w:t>
            </w:r>
          </w:p>
        </w:tc>
        <w:tc>
          <w:tcPr>
            <w:tcW w:w="407"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2</w:t>
            </w:r>
          </w:p>
        </w:tc>
        <w:tc>
          <w:tcPr>
            <w:tcW w:w="407"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3</w:t>
            </w:r>
          </w:p>
        </w:tc>
        <w:tc>
          <w:tcPr>
            <w:tcW w:w="407"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6</w:t>
            </w:r>
          </w:p>
        </w:tc>
        <w:tc>
          <w:tcPr>
            <w:tcW w:w="406"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7</w:t>
            </w:r>
          </w:p>
        </w:tc>
        <w:tc>
          <w:tcPr>
            <w:tcW w:w="406"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8</w:t>
            </w:r>
          </w:p>
        </w:tc>
        <w:tc>
          <w:tcPr>
            <w:tcW w:w="405"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b/>
                <w:bCs/>
                <w:color w:val="000000"/>
                <w:sz w:val="16"/>
                <w:szCs w:val="16"/>
              </w:rPr>
            </w:pPr>
            <w:r w:rsidRPr="00DE2D0D">
              <w:rPr>
                <w:rFonts w:ascii="Times New Roman" w:eastAsia="Times New Roman" w:hAnsi="Times New Roman" w:cs="Times New Roman"/>
                <w:b/>
                <w:bCs/>
                <w:color w:val="000000"/>
                <w:sz w:val="16"/>
                <w:szCs w:val="16"/>
              </w:rPr>
              <w:t>9</w:t>
            </w:r>
          </w:p>
        </w:tc>
      </w:tr>
      <w:tr w:rsidR="007147B8" w:rsidRPr="00DE2D0D"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 xml:space="preserve">AcCho </w:t>
            </w:r>
          </w:p>
        </w:tc>
        <w:tc>
          <w:tcPr>
            <w:tcW w:w="407" w:type="pct"/>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0.00</w:t>
            </w:r>
          </w:p>
        </w:tc>
        <w:tc>
          <w:tcPr>
            <w:tcW w:w="407" w:type="pct"/>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0.00</w:t>
            </w:r>
          </w:p>
        </w:tc>
        <w:tc>
          <w:tcPr>
            <w:tcW w:w="407" w:type="pct"/>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0.00</w:t>
            </w:r>
          </w:p>
        </w:tc>
        <w:tc>
          <w:tcPr>
            <w:tcW w:w="407" w:type="pct"/>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0.03</w:t>
            </w:r>
          </w:p>
        </w:tc>
        <w:tc>
          <w:tcPr>
            <w:tcW w:w="406" w:type="pct"/>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0.05</w:t>
            </w:r>
          </w:p>
        </w:tc>
        <w:tc>
          <w:tcPr>
            <w:tcW w:w="406" w:type="pct"/>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0.06</w:t>
            </w:r>
          </w:p>
        </w:tc>
        <w:tc>
          <w:tcPr>
            <w:tcW w:w="406" w:type="pct"/>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0.00</w:t>
            </w:r>
          </w:p>
        </w:tc>
        <w:tc>
          <w:tcPr>
            <w:tcW w:w="405" w:type="pct"/>
            <w:tcBorders>
              <w:top w:val="single" w:sz="4" w:space="0" w:color="auto"/>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0.00</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 xml:space="preserve">Bet </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78.38</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48.15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21.99</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14.95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27.62</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25.23</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20.42</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35.60</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39.50</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 xml:space="preserve">Cho </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32.09</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54.22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79.72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72.51</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122.30</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118.21</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67.30</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80.41</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60.54</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LPC 16:0</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0.75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0.77</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0.67</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0.71</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1.14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0.79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1.08</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1.44</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2.57</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LPC 18:2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0.37</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0.88</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0.81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0.24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0.22</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0.24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0.26</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0.36</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LPC 18:1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1.03</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1.22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1.09</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0.75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0.53</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0.67</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0.85</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LPC 18:0</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0.26</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0.33</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0.22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0.30</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0.56</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0.42</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0.39</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0.83</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LPC Total</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2.41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3.20</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2.79</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1.63</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2.84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1.78</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2.29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2.76</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4.61</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16:0/16:1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6.67</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6.38</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6.21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8.59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15.28</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7.84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22.74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33.62</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54.87</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16:0/22:6,18:1/22:5,18:2/20:4</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0.53</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0.72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0.57</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0.84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0.54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1.04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1.33</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1.89</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18:1/20:4,18:0/20:5,16:0/22:5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1.95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2.04</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2.52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1.66</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2.40</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1.82</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3.36</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4.08</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5.15</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18:0/20:4</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1.01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1.21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1.56</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2.62</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1.65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3.39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4.60</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5.08</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18:0/20:3</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0.52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0.86</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1.71</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0.99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2.00</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2.46</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3.05</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18:1/22:6</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0.16</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0.17</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0.26</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0.21</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0.29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0.19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0.27</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0.46</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0.59</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18:0/22:6,18:1/22:5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0.36</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0.44</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0.32</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0.33</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0.76</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0.74</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18:0/22:5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0.46</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0.48</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0.27</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0.37</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0.43</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0.39</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0.67</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16:0/16:0</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17.22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18.65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19.08</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22.08</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43.68</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26.73</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53.74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76.96</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109.20</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16:0/18:2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20.68</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20.72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18.85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22.75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43.85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23.76</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69.23</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100.73</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113.62</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16:0/18:1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58.09</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53.05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45.31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49.70</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87.29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52.81</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137.31</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212.85</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266.21</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16:0/20:5,16:1/20:4</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0.51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0.49</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0.58</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0.76</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0.47</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1.25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1.48</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2.02</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16:0/20:4</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3.46</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4.42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4.54</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4.58</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8.00</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4.11</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9.81</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12.89</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16.60</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16:0/20:3</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13.75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15.19</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14.94</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14.67</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25.73</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14.35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33.34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42.07</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47.92</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18:0/18:2,18:1/18:1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35.50</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33.02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27.91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28.84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51.19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28.77</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63.94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81.59</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94.75</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18:0/18:1</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18.17</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15.23</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13.29</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15.89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28.94</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15.73</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33.85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44.84</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49.73</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PtCho Total</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178.87</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172.14</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156.86</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172.99</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313.36</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180.45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436.13</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621.12</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772.07</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Pcho</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490.45</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560.79</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403.12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166.30</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222.55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142.75</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94.82</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147.89</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119.04</w:t>
            </w:r>
          </w:p>
        </w:tc>
      </w:tr>
      <w:tr w:rsidR="007147B8" w:rsidRPr="00DE2D0D" w:rsidTr="00E613FF">
        <w:trPr>
          <w:trHeight w:val="300"/>
        </w:trPr>
        <w:tc>
          <w:tcPr>
            <w:tcW w:w="134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 xml:space="preserve">SM </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58.92</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54.80</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48.70</w:t>
            </w:r>
          </w:p>
        </w:tc>
        <w:tc>
          <w:tcPr>
            <w:tcW w:w="407"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30.88</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47.97</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33.23</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40.58</w:t>
            </w:r>
          </w:p>
        </w:tc>
        <w:tc>
          <w:tcPr>
            <w:tcW w:w="406"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42.04</w:t>
            </w:r>
          </w:p>
        </w:tc>
        <w:tc>
          <w:tcPr>
            <w:tcW w:w="405" w:type="pct"/>
            <w:tcBorders>
              <w:top w:val="nil"/>
              <w:left w:val="nil"/>
              <w:bottom w:val="nil"/>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41.66</w:t>
            </w:r>
          </w:p>
        </w:tc>
      </w:tr>
      <w:tr w:rsidR="007147B8" w:rsidRPr="00DE2D0D"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 xml:space="preserve">GPC </w:t>
            </w:r>
          </w:p>
        </w:tc>
        <w:tc>
          <w:tcPr>
            <w:tcW w:w="407"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104.01</w:t>
            </w:r>
          </w:p>
        </w:tc>
        <w:tc>
          <w:tcPr>
            <w:tcW w:w="407"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79.12</w:t>
            </w:r>
          </w:p>
        </w:tc>
        <w:tc>
          <w:tcPr>
            <w:tcW w:w="407"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53.50</w:t>
            </w:r>
          </w:p>
        </w:tc>
        <w:tc>
          <w:tcPr>
            <w:tcW w:w="407"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25.10</w:t>
            </w:r>
          </w:p>
        </w:tc>
        <w:tc>
          <w:tcPr>
            <w:tcW w:w="406"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61.28</w:t>
            </w:r>
          </w:p>
        </w:tc>
        <w:tc>
          <w:tcPr>
            <w:tcW w:w="406"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43.77</w:t>
            </w:r>
          </w:p>
        </w:tc>
        <w:tc>
          <w:tcPr>
            <w:tcW w:w="406"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156.52</w:t>
            </w:r>
          </w:p>
        </w:tc>
        <w:tc>
          <w:tcPr>
            <w:tcW w:w="406"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157.11</w:t>
            </w:r>
          </w:p>
        </w:tc>
        <w:tc>
          <w:tcPr>
            <w:tcW w:w="405" w:type="pct"/>
            <w:tcBorders>
              <w:top w:val="nil"/>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jc w:val="center"/>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155.01</w:t>
            </w:r>
          </w:p>
        </w:tc>
      </w:tr>
      <w:tr w:rsidR="007147B8" w:rsidRPr="00DE2D0D" w:rsidTr="00E613FF">
        <w:trPr>
          <w:trHeight w:val="300"/>
        </w:trPr>
        <w:tc>
          <w:tcPr>
            <w:tcW w:w="5000" w:type="pct"/>
            <w:gridSpan w:val="10"/>
            <w:tcBorders>
              <w:top w:val="single" w:sz="4" w:space="0" w:color="auto"/>
              <w:left w:val="nil"/>
              <w:bottom w:val="single" w:sz="4" w:space="0" w:color="auto"/>
              <w:right w:val="nil"/>
            </w:tcBorders>
            <w:shd w:val="clear" w:color="auto" w:fill="auto"/>
            <w:noWrap/>
            <w:vAlign w:val="bottom"/>
            <w:hideMark/>
          </w:tcPr>
          <w:p w:rsidR="007147B8" w:rsidRPr="00DE2D0D" w:rsidRDefault="007147B8" w:rsidP="00E613FF">
            <w:pPr>
              <w:spacing w:after="0" w:line="240" w:lineRule="atLeast"/>
              <w:rPr>
                <w:rFonts w:ascii="Times New Roman" w:eastAsia="Times New Roman" w:hAnsi="Times New Roman" w:cs="Times New Roman"/>
                <w:color w:val="000000"/>
                <w:sz w:val="16"/>
                <w:szCs w:val="16"/>
              </w:rPr>
            </w:pPr>
            <w:r w:rsidRPr="00DE2D0D">
              <w:rPr>
                <w:rFonts w:ascii="Times New Roman" w:eastAsia="Times New Roman" w:hAnsi="Times New Roman" w:cs="Times New Roman"/>
                <w:color w:val="000000"/>
                <w:sz w:val="16"/>
                <w:szCs w:val="16"/>
              </w:rPr>
              <w:t>Average of triplicate injections</w:t>
            </w:r>
          </w:p>
        </w:tc>
      </w:tr>
    </w:tbl>
    <w:p w:rsidR="007147B8" w:rsidRPr="0006082B" w:rsidRDefault="007147B8" w:rsidP="007147B8">
      <w:pPr>
        <w:rPr>
          <w:rFonts w:ascii="Times New Roman" w:hAnsi="Times New Roman" w:cs="Times New Roman"/>
          <w:b/>
          <w:sz w:val="16"/>
          <w:szCs w:val="16"/>
        </w:rPr>
      </w:pPr>
    </w:p>
    <w:p w:rsidR="007147B8" w:rsidRDefault="007147B8" w:rsidP="007147B8"/>
    <w:p w:rsidR="007147B8" w:rsidRDefault="007147B8" w:rsidP="007147B8"/>
    <w:p w:rsidR="007147B8" w:rsidRDefault="007147B8" w:rsidP="007147B8"/>
    <w:p w:rsidR="007147B8" w:rsidRDefault="007147B8" w:rsidP="007147B8"/>
    <w:p w:rsidR="007147B8" w:rsidRDefault="007147B8" w:rsidP="007147B8">
      <w:pPr>
        <w:rPr>
          <w:rFonts w:ascii="Times New Roman" w:hAnsi="Times New Roman" w:cs="Times New Roman"/>
          <w:b/>
          <w:sz w:val="16"/>
          <w:szCs w:val="16"/>
        </w:rPr>
      </w:pPr>
    </w:p>
    <w:p w:rsidR="007147B8" w:rsidRPr="0010213D"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19</w:t>
      </w:r>
      <w:r w:rsidR="007147B8">
        <w:rPr>
          <w:rFonts w:ascii="Times New Roman" w:hAnsi="Times New Roman" w:cs="Times New Roman"/>
          <w:b/>
          <w:sz w:val="16"/>
          <w:szCs w:val="16"/>
        </w:rPr>
        <w:t>B: Cow #2 Fold Change in Milk Used in Figure 7</w:t>
      </w:r>
    </w:p>
    <w:tbl>
      <w:tblPr>
        <w:tblW w:w="5000" w:type="pct"/>
        <w:tblLook w:val="04A0" w:firstRow="1" w:lastRow="0" w:firstColumn="1" w:lastColumn="0" w:noHBand="0" w:noVBand="1"/>
      </w:tblPr>
      <w:tblGrid>
        <w:gridCol w:w="2578"/>
        <w:gridCol w:w="779"/>
        <w:gridCol w:w="779"/>
        <w:gridCol w:w="779"/>
        <w:gridCol w:w="779"/>
        <w:gridCol w:w="778"/>
        <w:gridCol w:w="778"/>
        <w:gridCol w:w="778"/>
        <w:gridCol w:w="778"/>
        <w:gridCol w:w="770"/>
      </w:tblGrid>
      <w:tr w:rsidR="007147B8" w:rsidRPr="00994218"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Fold Change Relative to Week 1</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Week of Lactation</w:t>
            </w:r>
          </w:p>
        </w:tc>
      </w:tr>
      <w:tr w:rsidR="007147B8" w:rsidRPr="00994218"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Lipid</w:t>
            </w:r>
          </w:p>
        </w:tc>
        <w:tc>
          <w:tcPr>
            <w:tcW w:w="407"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1</w:t>
            </w:r>
          </w:p>
        </w:tc>
        <w:tc>
          <w:tcPr>
            <w:tcW w:w="407"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2</w:t>
            </w:r>
          </w:p>
        </w:tc>
        <w:tc>
          <w:tcPr>
            <w:tcW w:w="407"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3</w:t>
            </w:r>
          </w:p>
        </w:tc>
        <w:tc>
          <w:tcPr>
            <w:tcW w:w="407"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6</w:t>
            </w:r>
          </w:p>
        </w:tc>
        <w:tc>
          <w:tcPr>
            <w:tcW w:w="406"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7</w:t>
            </w:r>
          </w:p>
        </w:tc>
        <w:tc>
          <w:tcPr>
            <w:tcW w:w="406"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8</w:t>
            </w:r>
          </w:p>
        </w:tc>
        <w:tc>
          <w:tcPr>
            <w:tcW w:w="405"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b/>
                <w:bCs/>
                <w:color w:val="000000"/>
                <w:sz w:val="16"/>
                <w:szCs w:val="16"/>
              </w:rPr>
            </w:pPr>
            <w:r w:rsidRPr="00994218">
              <w:rPr>
                <w:rFonts w:ascii="Times New Roman" w:eastAsia="Times New Roman" w:hAnsi="Times New Roman" w:cs="Times New Roman"/>
                <w:b/>
                <w:bCs/>
                <w:color w:val="000000"/>
                <w:sz w:val="16"/>
                <w:szCs w:val="16"/>
              </w:rPr>
              <w:t>9</w:t>
            </w:r>
          </w:p>
        </w:tc>
      </w:tr>
      <w:tr w:rsidR="007147B8" w:rsidRPr="00994218"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 xml:space="preserve">AcCho </w:t>
            </w:r>
          </w:p>
        </w:tc>
        <w:tc>
          <w:tcPr>
            <w:tcW w:w="407" w:type="pct"/>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0.00</w:t>
            </w:r>
          </w:p>
        </w:tc>
        <w:tc>
          <w:tcPr>
            <w:tcW w:w="407" w:type="pct"/>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0.00</w:t>
            </w:r>
          </w:p>
        </w:tc>
        <w:tc>
          <w:tcPr>
            <w:tcW w:w="407" w:type="pct"/>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0.00</w:t>
            </w:r>
          </w:p>
        </w:tc>
        <w:tc>
          <w:tcPr>
            <w:tcW w:w="407" w:type="pct"/>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6" w:type="pct"/>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1.63</w:t>
            </w:r>
          </w:p>
        </w:tc>
        <w:tc>
          <w:tcPr>
            <w:tcW w:w="406" w:type="pct"/>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1.94</w:t>
            </w:r>
          </w:p>
        </w:tc>
        <w:tc>
          <w:tcPr>
            <w:tcW w:w="406" w:type="pct"/>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0.07</w:t>
            </w:r>
          </w:p>
        </w:tc>
        <w:tc>
          <w:tcPr>
            <w:tcW w:w="406" w:type="pct"/>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0.03</w:t>
            </w:r>
          </w:p>
        </w:tc>
        <w:tc>
          <w:tcPr>
            <w:tcW w:w="405" w:type="pct"/>
            <w:tcBorders>
              <w:top w:val="single" w:sz="4" w:space="0" w:color="auto"/>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0.04</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 xml:space="preserve">Bet </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0.61</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0.28</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0.19</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0.32</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0.26</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0.45</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0.50</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 xml:space="preserve">Cho </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1.69</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2.48</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2.26</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3.81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3.68</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2.10</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2.51</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1.89</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LPC 16:0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1.03</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0.89</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1.52</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1.44</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1.92</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3.43</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LPC 18:2</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2.37</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2.19</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0.63</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1.04</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0.60</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0.63</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0.70</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0.95</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LPC 18:1</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1.18</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1.06</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0.38</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0.73</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0.34</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0.52</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0.65</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0.82</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LPC 18:0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1.30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0.85</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2.17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1.65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1.71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1.50</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3.24</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LPC Total</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1.33</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1.16</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0.68</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1.18</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0.74</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1.15</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1.91</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16:0/16:1</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0.96</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0.93</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1.29</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2.29</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1.18</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3.41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5.04</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8.23</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16:0/22:6,18:1/22:5,18:2/20:4</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1.19</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1.59</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1.26</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1.87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1.19</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2.32</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2.96</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4.22</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18:1/20:4,18:0/20:5,16:0/22:5</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1.05</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1.29</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1.23</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0.94</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1.73</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2.09</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2.64</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18:0/20:4</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1.20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1.55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2.60</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1.64</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3.37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4.58</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5.05</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18:0/20:3</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0.99</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1.14</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1.91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3.78</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2.19</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4.41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5.45</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6.73</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18:1/22:6</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1.06</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1.63</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1.29</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1.81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1.21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1.67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2.87</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3.66</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18:0/22:6,18:1/22:5</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0.98</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1.20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1.08</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0.92</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1.21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2.11</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2.04</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18:0/22:5</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0.97</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1.03</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0.57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0.80</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0.75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0.93</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0.85</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1.45</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16:0/16:0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1.08</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1.11</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1.28</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2.54</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1.55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3.12</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4.47</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6.34</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16:0/18:2</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0.91</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1.10</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2.12</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3.35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4.87</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5.49</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16:0/18:1</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0.91</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0.78</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0.86</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1.50</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2.36</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3.66</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4.58</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16:0/20:5,16:1/20:4</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0.96</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1.15</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1.51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0.93</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2.47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2.93</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3.99</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16:0/20:4</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1.28</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1.31</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1.32</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2.31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1.19</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2.83</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3.72</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4.80</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16:0/20:3</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1.09</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1.87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1.04</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2.42</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3.06</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3.48</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18:0/18:2,18:1/18:1</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0.93</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0.79</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1.44</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1.80</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2.30</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2.67</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18:0/18:1</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0.84</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0.73</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1.59</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1.86</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2.47</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2.74</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PtCho Total</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0.96</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0.88</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0.97</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1.75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2.44</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3.47</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4.32</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Pcho</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1.14</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0.82</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0.34</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0.45</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0.29</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0.19</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0.30</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0.24</w:t>
            </w:r>
          </w:p>
        </w:tc>
      </w:tr>
      <w:tr w:rsidR="007147B8" w:rsidRPr="00994218" w:rsidTr="00E613FF">
        <w:trPr>
          <w:trHeight w:val="300"/>
        </w:trPr>
        <w:tc>
          <w:tcPr>
            <w:tcW w:w="134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 xml:space="preserve">SM </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0.93</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0.83</w:t>
            </w:r>
          </w:p>
        </w:tc>
        <w:tc>
          <w:tcPr>
            <w:tcW w:w="407"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0.52</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0.81</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0.56</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0.69</w:t>
            </w:r>
          </w:p>
        </w:tc>
        <w:tc>
          <w:tcPr>
            <w:tcW w:w="406"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0.71</w:t>
            </w:r>
          </w:p>
        </w:tc>
        <w:tc>
          <w:tcPr>
            <w:tcW w:w="405" w:type="pct"/>
            <w:tcBorders>
              <w:top w:val="nil"/>
              <w:left w:val="nil"/>
              <w:bottom w:val="nil"/>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0.71</w:t>
            </w:r>
          </w:p>
        </w:tc>
      </w:tr>
      <w:tr w:rsidR="007147B8" w:rsidRPr="00994218"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 xml:space="preserve">GPC </w:t>
            </w:r>
          </w:p>
        </w:tc>
        <w:tc>
          <w:tcPr>
            <w:tcW w:w="407"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1.00</w:t>
            </w:r>
          </w:p>
        </w:tc>
        <w:tc>
          <w:tcPr>
            <w:tcW w:w="407"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0.76</w:t>
            </w:r>
          </w:p>
        </w:tc>
        <w:tc>
          <w:tcPr>
            <w:tcW w:w="407"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0.51</w:t>
            </w:r>
          </w:p>
        </w:tc>
        <w:tc>
          <w:tcPr>
            <w:tcW w:w="407"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0.24</w:t>
            </w:r>
          </w:p>
        </w:tc>
        <w:tc>
          <w:tcPr>
            <w:tcW w:w="406"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0.59</w:t>
            </w:r>
          </w:p>
        </w:tc>
        <w:tc>
          <w:tcPr>
            <w:tcW w:w="406"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0.42</w:t>
            </w:r>
          </w:p>
        </w:tc>
        <w:tc>
          <w:tcPr>
            <w:tcW w:w="406"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1.50</w:t>
            </w:r>
          </w:p>
        </w:tc>
        <w:tc>
          <w:tcPr>
            <w:tcW w:w="406"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1.51</w:t>
            </w:r>
          </w:p>
        </w:tc>
        <w:tc>
          <w:tcPr>
            <w:tcW w:w="405" w:type="pct"/>
            <w:tcBorders>
              <w:top w:val="nil"/>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jc w:val="center"/>
              <w:rPr>
                <w:rFonts w:ascii="Times New Roman" w:eastAsia="Times New Roman" w:hAnsi="Times New Roman" w:cs="Times New Roman"/>
                <w:color w:val="000000"/>
                <w:sz w:val="16"/>
                <w:szCs w:val="16"/>
              </w:rPr>
            </w:pPr>
            <w:r w:rsidRPr="00994218">
              <w:rPr>
                <w:rFonts w:ascii="Times New Roman" w:eastAsia="Times New Roman" w:hAnsi="Times New Roman" w:cs="Times New Roman"/>
                <w:color w:val="000000"/>
                <w:sz w:val="16"/>
                <w:szCs w:val="16"/>
              </w:rPr>
              <w:t>1.49</w:t>
            </w:r>
          </w:p>
        </w:tc>
      </w:tr>
      <w:tr w:rsidR="007147B8" w:rsidRPr="00994218" w:rsidTr="00E613FF">
        <w:trPr>
          <w:trHeight w:val="300"/>
        </w:trPr>
        <w:tc>
          <w:tcPr>
            <w:tcW w:w="1346" w:type="pct"/>
            <w:tcBorders>
              <w:top w:val="single" w:sz="4" w:space="0" w:color="auto"/>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rPr>
                <w:rFonts w:ascii="Calibri" w:eastAsia="Times New Roman" w:hAnsi="Calibri" w:cs="Times New Roman"/>
                <w:color w:val="000000"/>
              </w:rPr>
            </w:pPr>
          </w:p>
        </w:tc>
        <w:tc>
          <w:tcPr>
            <w:tcW w:w="407" w:type="pct"/>
            <w:tcBorders>
              <w:top w:val="single" w:sz="4" w:space="0" w:color="auto"/>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rPr>
                <w:rFonts w:ascii="Calibri" w:eastAsia="Times New Roman" w:hAnsi="Calibri" w:cs="Times New Roman"/>
                <w:color w:val="000000"/>
              </w:rPr>
            </w:pPr>
          </w:p>
        </w:tc>
        <w:tc>
          <w:tcPr>
            <w:tcW w:w="407" w:type="pct"/>
            <w:tcBorders>
              <w:top w:val="single" w:sz="4" w:space="0" w:color="auto"/>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rPr>
                <w:rFonts w:ascii="Calibri" w:eastAsia="Times New Roman" w:hAnsi="Calibri" w:cs="Times New Roman"/>
                <w:color w:val="000000"/>
              </w:rPr>
            </w:pPr>
          </w:p>
        </w:tc>
        <w:tc>
          <w:tcPr>
            <w:tcW w:w="407" w:type="pct"/>
            <w:tcBorders>
              <w:top w:val="single" w:sz="4" w:space="0" w:color="auto"/>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rPr>
                <w:rFonts w:ascii="Calibri" w:eastAsia="Times New Roman" w:hAnsi="Calibri" w:cs="Times New Roman"/>
                <w:color w:val="000000"/>
              </w:rPr>
            </w:pPr>
          </w:p>
        </w:tc>
        <w:tc>
          <w:tcPr>
            <w:tcW w:w="407" w:type="pct"/>
            <w:tcBorders>
              <w:top w:val="single" w:sz="4" w:space="0" w:color="auto"/>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rPr>
                <w:rFonts w:ascii="Calibri" w:eastAsia="Times New Roman" w:hAnsi="Calibri" w:cs="Times New Roman"/>
                <w:color w:val="000000"/>
              </w:rPr>
            </w:pPr>
          </w:p>
        </w:tc>
        <w:tc>
          <w:tcPr>
            <w:tcW w:w="405" w:type="pct"/>
            <w:tcBorders>
              <w:top w:val="single" w:sz="4" w:space="0" w:color="auto"/>
              <w:left w:val="nil"/>
              <w:bottom w:val="single" w:sz="4" w:space="0" w:color="auto"/>
              <w:right w:val="nil"/>
            </w:tcBorders>
            <w:shd w:val="clear" w:color="auto" w:fill="auto"/>
            <w:noWrap/>
            <w:vAlign w:val="bottom"/>
            <w:hideMark/>
          </w:tcPr>
          <w:p w:rsidR="007147B8" w:rsidRPr="00994218" w:rsidRDefault="007147B8" w:rsidP="00E613FF">
            <w:pPr>
              <w:spacing w:after="0" w:line="240" w:lineRule="atLeast"/>
              <w:rPr>
                <w:rFonts w:ascii="Calibri" w:eastAsia="Times New Roman" w:hAnsi="Calibri" w:cs="Times New Roman"/>
                <w:color w:val="000000"/>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Pr>
        <w:spacing w:line="240" w:lineRule="atLeast"/>
        <w:jc w:val="both"/>
        <w:rPr>
          <w:rFonts w:ascii="Times New Roman" w:hAnsi="Times New Roman" w:cs="Times New Roman"/>
          <w:b/>
          <w:sz w:val="16"/>
          <w:szCs w:val="16"/>
        </w:rPr>
      </w:pPr>
    </w:p>
    <w:p w:rsidR="007147B8" w:rsidRPr="0010213D"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20</w:t>
      </w:r>
      <w:r w:rsidR="007147B8">
        <w:rPr>
          <w:rFonts w:ascii="Times New Roman" w:hAnsi="Times New Roman" w:cs="Times New Roman"/>
          <w:b/>
          <w:sz w:val="16"/>
          <w:szCs w:val="16"/>
        </w:rPr>
        <w:t xml:space="preserve">A: Cow #3 Average </w:t>
      </w:r>
      <w:r w:rsidR="007147B8">
        <w:rPr>
          <w:rFonts w:ascii="Times New Roman" w:eastAsia="Times New Roman" w:hAnsi="Times New Roman" w:cs="Times New Roman"/>
          <w:b/>
          <w:bCs/>
          <w:color w:val="000000"/>
          <w:sz w:val="16"/>
          <w:szCs w:val="16"/>
        </w:rPr>
        <w:t>µM in Milk Used in Figure 7</w:t>
      </w:r>
    </w:p>
    <w:tbl>
      <w:tblPr>
        <w:tblW w:w="5000" w:type="pct"/>
        <w:tblLook w:val="04A0" w:firstRow="1" w:lastRow="0" w:firstColumn="1" w:lastColumn="0" w:noHBand="0" w:noVBand="1"/>
      </w:tblPr>
      <w:tblGrid>
        <w:gridCol w:w="2577"/>
        <w:gridCol w:w="777"/>
        <w:gridCol w:w="777"/>
        <w:gridCol w:w="777"/>
        <w:gridCol w:w="778"/>
        <w:gridCol w:w="778"/>
        <w:gridCol w:w="778"/>
        <w:gridCol w:w="778"/>
        <w:gridCol w:w="778"/>
        <w:gridCol w:w="778"/>
      </w:tblGrid>
      <w:tr w:rsidR="007147B8" w:rsidRPr="00275B43"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Average µM</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Week of Lactation</w:t>
            </w:r>
          </w:p>
        </w:tc>
      </w:tr>
      <w:tr w:rsidR="007147B8" w:rsidRPr="00275B43"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Lipid</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1</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2</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6</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7</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8</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b/>
                <w:bCs/>
                <w:color w:val="000000"/>
                <w:sz w:val="16"/>
                <w:szCs w:val="16"/>
              </w:rPr>
            </w:pPr>
            <w:r w:rsidRPr="00275B43">
              <w:rPr>
                <w:rFonts w:ascii="Times New Roman" w:eastAsia="Times New Roman" w:hAnsi="Times New Roman" w:cs="Times New Roman"/>
                <w:b/>
                <w:bCs/>
                <w:color w:val="000000"/>
                <w:sz w:val="16"/>
                <w:szCs w:val="16"/>
              </w:rPr>
              <w:t>9</w:t>
            </w:r>
          </w:p>
        </w:tc>
      </w:tr>
      <w:tr w:rsidR="007147B8" w:rsidRPr="00275B43"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 xml:space="preserve">AcCho </w:t>
            </w:r>
          </w:p>
        </w:tc>
        <w:tc>
          <w:tcPr>
            <w:tcW w:w="406" w:type="pct"/>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0.01</w:t>
            </w:r>
          </w:p>
        </w:tc>
        <w:tc>
          <w:tcPr>
            <w:tcW w:w="406" w:type="pct"/>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0.01</w:t>
            </w:r>
          </w:p>
        </w:tc>
        <w:tc>
          <w:tcPr>
            <w:tcW w:w="406" w:type="pct"/>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0.01</w:t>
            </w:r>
          </w:p>
        </w:tc>
        <w:tc>
          <w:tcPr>
            <w:tcW w:w="406" w:type="pct"/>
            <w:tcBorders>
              <w:top w:val="single" w:sz="4" w:space="0" w:color="auto"/>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0.00</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 xml:space="preserve">Bet </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83.89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48.68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32.34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14.47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14.45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35.27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45.53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53.81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46.54</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 xml:space="preserve">Cho </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13.02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28.45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38.12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62.02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91.37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88.82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139.17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151.54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121.20</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LPC 16:0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0.69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0.47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0.61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0.65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0.87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1.36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2.39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2.20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1.98</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LPC 18:2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0.18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0.17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0.91</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LPC 18:1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0.51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0.45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0.41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0.87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0.94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1.85</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LPC 18:0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0.18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0.75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0.84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0.98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0.80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0.68</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LPC Total</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1.74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1.23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1.54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1.72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2.21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2.70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4.59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4.27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5.42</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16:0/16:1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5.09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2.81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3.48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5.81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5.91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11.10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49.98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43.42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23.22</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16:0/22:6,18:1/22:5,18:2/20:4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0.71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0.49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0.51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0.41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0.89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1.54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1.28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0.55</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18:1/20:4,18:0/20:5,16:0/22:5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2.77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0.95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1.78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1.60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1.14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2.05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5.70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5.00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2.71</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18:0/20:4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1.50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0.62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0.96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1.52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1.21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2.49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5.38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4.89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2.88</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18:0/20:3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0.64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0.43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0.87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0.76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1.45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2.80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2.75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1.64</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18:1/22:6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0.11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0.18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0.18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0.15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0.52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0.41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0.19</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18:0/22:6,18:1/22:5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0.60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0.50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1.14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0.87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0.39</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18:0/22:5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0.60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0.20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0.97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0.70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0.36</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16:0/16:0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18.04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9.77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12.86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18.30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15.94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38.36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127.17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101.39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57.87</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16:0/18:2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19.20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8.10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10.24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17.92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16.37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38.49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89.69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79.82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43.15</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16:0/18:1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45.37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20.84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25.89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40.87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34.48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78.31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270.47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237.43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120.89</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16:0/20:5,16:1/20:4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0.48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0.18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0.36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0.69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2.01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1.67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0.81</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16:0/20:4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3.78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1.97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2.52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4.13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3.31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6.29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13.43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12.53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5.99</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16:0/20:3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13.82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6.80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8.55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14.16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11.12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22.91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47.03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43.15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22.42</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18:0/18:2,18:1/18:1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30.18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14.18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17.20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26.79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22.19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44.01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90.95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86.25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45.01</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18:0/18:1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15.02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7.37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8.66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13.99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11.67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24.37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52.03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49.59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26.72</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PtCho Total</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158.11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74.72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94.22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147.52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125.45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272.57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760.80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671.15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354.80</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Pcho</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435.44</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629.19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496.41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164.91</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105.86</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81.55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67.89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86.39</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77.06</w:t>
            </w:r>
          </w:p>
        </w:tc>
      </w:tr>
      <w:tr w:rsidR="007147B8" w:rsidRPr="00275B43" w:rsidTr="00E613FF">
        <w:trPr>
          <w:trHeight w:val="300"/>
        </w:trPr>
        <w:tc>
          <w:tcPr>
            <w:tcW w:w="134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 xml:space="preserve">SM </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42.80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33.80</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28.33</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30.28</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24.95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34.37</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38.15</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39.32</w:t>
            </w:r>
          </w:p>
        </w:tc>
        <w:tc>
          <w:tcPr>
            <w:tcW w:w="406" w:type="pct"/>
            <w:tcBorders>
              <w:top w:val="nil"/>
              <w:left w:val="nil"/>
              <w:bottom w:val="nil"/>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35.60</w:t>
            </w:r>
          </w:p>
        </w:tc>
      </w:tr>
      <w:tr w:rsidR="007147B8" w:rsidRPr="00275B43"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 xml:space="preserve">GPC </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137.63</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83.86</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100.46</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71.10</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698.19</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540.64</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167.72</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170.33</w:t>
            </w:r>
          </w:p>
        </w:tc>
        <w:tc>
          <w:tcPr>
            <w:tcW w:w="406" w:type="pct"/>
            <w:tcBorders>
              <w:top w:val="nil"/>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jc w:val="center"/>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128.08</w:t>
            </w:r>
          </w:p>
        </w:tc>
      </w:tr>
      <w:tr w:rsidR="007147B8" w:rsidRPr="00275B43" w:rsidTr="00E613FF">
        <w:trPr>
          <w:trHeight w:val="300"/>
        </w:trPr>
        <w:tc>
          <w:tcPr>
            <w:tcW w:w="5000" w:type="pct"/>
            <w:gridSpan w:val="10"/>
            <w:tcBorders>
              <w:top w:val="single" w:sz="4" w:space="0" w:color="auto"/>
              <w:left w:val="nil"/>
              <w:bottom w:val="single" w:sz="4" w:space="0" w:color="auto"/>
              <w:right w:val="nil"/>
            </w:tcBorders>
            <w:shd w:val="clear" w:color="auto" w:fill="auto"/>
            <w:noWrap/>
            <w:vAlign w:val="bottom"/>
            <w:hideMark/>
          </w:tcPr>
          <w:p w:rsidR="007147B8" w:rsidRPr="00275B43" w:rsidRDefault="007147B8" w:rsidP="00E613FF">
            <w:pPr>
              <w:spacing w:after="0" w:line="240" w:lineRule="atLeast"/>
              <w:rPr>
                <w:rFonts w:ascii="Times New Roman" w:eastAsia="Times New Roman" w:hAnsi="Times New Roman" w:cs="Times New Roman"/>
                <w:color w:val="000000"/>
                <w:sz w:val="16"/>
                <w:szCs w:val="16"/>
              </w:rPr>
            </w:pPr>
            <w:r w:rsidRPr="00275B43">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Pr="002F6CF1"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20</w:t>
      </w:r>
      <w:r w:rsidR="007147B8">
        <w:rPr>
          <w:rFonts w:ascii="Times New Roman" w:hAnsi="Times New Roman" w:cs="Times New Roman"/>
          <w:b/>
          <w:sz w:val="16"/>
          <w:szCs w:val="16"/>
        </w:rPr>
        <w:t>B: Cow #3 Fold Change in Milk Used in Figure 7</w:t>
      </w:r>
    </w:p>
    <w:tbl>
      <w:tblPr>
        <w:tblW w:w="5000" w:type="pct"/>
        <w:tblLook w:val="04A0" w:firstRow="1" w:lastRow="0" w:firstColumn="1" w:lastColumn="0" w:noHBand="0" w:noVBand="1"/>
      </w:tblPr>
      <w:tblGrid>
        <w:gridCol w:w="2577"/>
        <w:gridCol w:w="731"/>
        <w:gridCol w:w="731"/>
        <w:gridCol w:w="732"/>
        <w:gridCol w:w="732"/>
        <w:gridCol w:w="732"/>
        <w:gridCol w:w="732"/>
        <w:gridCol w:w="937"/>
        <w:gridCol w:w="937"/>
        <w:gridCol w:w="735"/>
      </w:tblGrid>
      <w:tr w:rsidR="007147B8" w:rsidRPr="00A07919"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Fold Change Relative to Week 1</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Week of Lactation</w:t>
            </w:r>
          </w:p>
        </w:tc>
      </w:tr>
      <w:tr w:rsidR="007147B8" w:rsidRPr="00A07919"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Lipid</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1</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2</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3</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4</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5</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6</w:t>
            </w:r>
          </w:p>
        </w:tc>
        <w:tc>
          <w:tcPr>
            <w:tcW w:w="489"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7</w:t>
            </w:r>
          </w:p>
        </w:tc>
        <w:tc>
          <w:tcPr>
            <w:tcW w:w="489"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8</w:t>
            </w:r>
          </w:p>
        </w:tc>
        <w:tc>
          <w:tcPr>
            <w:tcW w:w="384"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b/>
                <w:bCs/>
                <w:color w:val="000000"/>
                <w:sz w:val="16"/>
                <w:szCs w:val="16"/>
              </w:rPr>
            </w:pPr>
            <w:r w:rsidRPr="00A07919">
              <w:rPr>
                <w:rFonts w:ascii="Times New Roman" w:eastAsia="Times New Roman" w:hAnsi="Times New Roman" w:cs="Times New Roman"/>
                <w:b/>
                <w:bCs/>
                <w:color w:val="000000"/>
                <w:sz w:val="16"/>
                <w:szCs w:val="16"/>
              </w:rPr>
              <w:t>9</w:t>
            </w:r>
          </w:p>
        </w:tc>
      </w:tr>
      <w:tr w:rsidR="007147B8" w:rsidRPr="00A07919"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 xml:space="preserve">AcCho </w:t>
            </w:r>
          </w:p>
        </w:tc>
        <w:tc>
          <w:tcPr>
            <w:tcW w:w="382" w:type="pct"/>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0.00</w:t>
            </w:r>
          </w:p>
        </w:tc>
        <w:tc>
          <w:tcPr>
            <w:tcW w:w="382" w:type="pct"/>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0.00</w:t>
            </w:r>
          </w:p>
        </w:tc>
        <w:tc>
          <w:tcPr>
            <w:tcW w:w="382" w:type="pct"/>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0.00</w:t>
            </w:r>
          </w:p>
        </w:tc>
        <w:tc>
          <w:tcPr>
            <w:tcW w:w="382" w:type="pct"/>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0.00</w:t>
            </w:r>
          </w:p>
        </w:tc>
        <w:tc>
          <w:tcPr>
            <w:tcW w:w="382" w:type="pct"/>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0.00</w:t>
            </w:r>
          </w:p>
        </w:tc>
        <w:tc>
          <w:tcPr>
            <w:tcW w:w="489" w:type="pct"/>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0.88</w:t>
            </w:r>
          </w:p>
        </w:tc>
        <w:tc>
          <w:tcPr>
            <w:tcW w:w="489" w:type="pct"/>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0.78</w:t>
            </w:r>
          </w:p>
        </w:tc>
        <w:tc>
          <w:tcPr>
            <w:tcW w:w="384" w:type="pct"/>
            <w:tcBorders>
              <w:top w:val="single" w:sz="4" w:space="0" w:color="auto"/>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0.34</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 xml:space="preserve">Bet </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0.39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0.17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0.17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0.42</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0.54</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0.64</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0.55</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 xml:space="preserve">Cho </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2.18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2.93</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4.76</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7.02</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6.82</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10.69</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11.64</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9.31</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LPC 16:0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0.94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1.26</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1.97</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3.46</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3.18</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2.86</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LPC 18:2</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0.97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1.12</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0.66</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1.35</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1.27</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3.49</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LPC 18:1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0.73</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0.90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0.63</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1.70</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1.85</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3.63</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LPC 18:0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0.65</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1.16</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2.68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3.02</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3.51</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2.86</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2.43</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LPC Total</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0.99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1.27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1.55</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2.64</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2.45</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3.11</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16:0/16:1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0.55</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1.14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1.16</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2.18</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9.81</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8.52</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4.56</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16:0/22:6,18:1/22:5,18:2/20:4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0.72</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1.25</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2.18</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1.80</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0.78</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18:1/20:4,18:0/20:5,16:0/22:5</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0.34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0.74</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2.06</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1.81</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0.98</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18:0/20:4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1.66</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3.58</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3.25</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1.92</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18:0/20:3</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0.46</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1.35</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1.18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2.25</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4.35</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4.27</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2.54</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18:1/22:6</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0.36</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1.08</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1.73</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1.37</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0.64</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18:0/22:6,18:1/22:5</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0.39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0.52</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0.38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0.83</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1.89</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1.45</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0.65</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18:0/22:5</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0.34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0.39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0.34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0.56</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1.60</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1.16</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0.59</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16:0/16:0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2.13</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7.05</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5.62</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3.21</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16:0/18:2</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0.42</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0.53</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0.93</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0.85</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2.01</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4.67</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4.16</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2.25</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16:0/18:1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0.46</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0.90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0.76</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1.73</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5.96</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5.23</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2.66</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16:0/20:5,16:1/20:4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0.38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0.62</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0.75</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0.75</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1.44</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4.18</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3.47</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1.69</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16:0/20:4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0.52</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1.66</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3.55</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3.31</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1.58</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16:0/20:3</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0.62</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1.02</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1.66</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3.40</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3.12</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1.62</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18:0/18:2,18:1/18:1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1.46</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3.01</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2.86</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1.49</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18:0/18:1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0.93</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1.62</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3.46</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3.30</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1.78</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PtCho Total</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0.47</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0.93</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1.72</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4.81</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4.24</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2.24</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Pcho</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1.44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1.14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0.38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0.24</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0.19</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0.16</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0.20</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0.18</w:t>
            </w:r>
          </w:p>
        </w:tc>
      </w:tr>
      <w:tr w:rsidR="007147B8" w:rsidRPr="00A07919" w:rsidTr="00E613FF">
        <w:trPr>
          <w:trHeight w:val="300"/>
        </w:trPr>
        <w:tc>
          <w:tcPr>
            <w:tcW w:w="1346"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 xml:space="preserve">SM </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0.79</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0.66</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0.71</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0.58</w:t>
            </w:r>
          </w:p>
        </w:tc>
        <w:tc>
          <w:tcPr>
            <w:tcW w:w="382"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0.80</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0.89</w:t>
            </w:r>
          </w:p>
        </w:tc>
        <w:tc>
          <w:tcPr>
            <w:tcW w:w="489"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0.92</w:t>
            </w:r>
          </w:p>
        </w:tc>
        <w:tc>
          <w:tcPr>
            <w:tcW w:w="384" w:type="pct"/>
            <w:tcBorders>
              <w:top w:val="nil"/>
              <w:left w:val="nil"/>
              <w:bottom w:val="nil"/>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0.83</w:t>
            </w:r>
          </w:p>
        </w:tc>
      </w:tr>
      <w:tr w:rsidR="007147B8" w:rsidRPr="00A07919"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 xml:space="preserve">GPC </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1.00</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0.61</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0.73</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0.52</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5.07</w:t>
            </w:r>
          </w:p>
        </w:tc>
        <w:tc>
          <w:tcPr>
            <w:tcW w:w="382"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3.93</w:t>
            </w:r>
          </w:p>
        </w:tc>
        <w:tc>
          <w:tcPr>
            <w:tcW w:w="489"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1.22</w:t>
            </w:r>
          </w:p>
        </w:tc>
        <w:tc>
          <w:tcPr>
            <w:tcW w:w="489"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1.24</w:t>
            </w:r>
          </w:p>
        </w:tc>
        <w:tc>
          <w:tcPr>
            <w:tcW w:w="384" w:type="pct"/>
            <w:tcBorders>
              <w:top w:val="nil"/>
              <w:left w:val="nil"/>
              <w:bottom w:val="single" w:sz="4" w:space="0" w:color="auto"/>
              <w:right w:val="nil"/>
            </w:tcBorders>
            <w:shd w:val="clear" w:color="auto" w:fill="auto"/>
            <w:noWrap/>
            <w:vAlign w:val="bottom"/>
            <w:hideMark/>
          </w:tcPr>
          <w:p w:rsidR="007147B8" w:rsidRPr="00A07919" w:rsidRDefault="007147B8" w:rsidP="00E613FF">
            <w:pPr>
              <w:spacing w:after="0" w:line="240" w:lineRule="atLeast"/>
              <w:jc w:val="center"/>
              <w:rPr>
                <w:rFonts w:ascii="Times New Roman" w:eastAsia="Times New Roman" w:hAnsi="Times New Roman" w:cs="Times New Roman"/>
                <w:color w:val="000000"/>
                <w:sz w:val="16"/>
                <w:szCs w:val="16"/>
              </w:rPr>
            </w:pPr>
            <w:r w:rsidRPr="00A07919">
              <w:rPr>
                <w:rFonts w:ascii="Times New Roman" w:eastAsia="Times New Roman" w:hAnsi="Times New Roman" w:cs="Times New Roman"/>
                <w:color w:val="000000"/>
                <w:sz w:val="16"/>
                <w:szCs w:val="16"/>
              </w:rPr>
              <w:t>0.93</w:t>
            </w:r>
          </w:p>
        </w:tc>
      </w:tr>
      <w:tr w:rsidR="007147B8" w:rsidRPr="00A07919" w:rsidTr="00E613FF">
        <w:trPr>
          <w:trHeight w:val="300"/>
        </w:trPr>
        <w:tc>
          <w:tcPr>
            <w:tcW w:w="1346" w:type="pct"/>
            <w:tcBorders>
              <w:top w:val="single" w:sz="4" w:space="0" w:color="auto"/>
              <w:left w:val="nil"/>
              <w:bottom w:val="single" w:sz="4" w:space="0" w:color="auto"/>
              <w:right w:val="nil"/>
            </w:tcBorders>
            <w:shd w:val="clear" w:color="auto" w:fill="auto"/>
            <w:noWrap/>
            <w:vAlign w:val="bottom"/>
            <w:hideMark/>
          </w:tcPr>
          <w:p w:rsidR="007147B8" w:rsidRPr="00A07919" w:rsidRDefault="007147B8" w:rsidP="00E613FF">
            <w:pPr>
              <w:spacing w:after="0" w:line="240" w:lineRule="auto"/>
              <w:rPr>
                <w:rFonts w:ascii="Calibri" w:eastAsia="Times New Roman" w:hAnsi="Calibri" w:cs="Times New Roman"/>
                <w:color w:val="000000"/>
              </w:rPr>
            </w:pPr>
          </w:p>
        </w:tc>
        <w:tc>
          <w:tcPr>
            <w:tcW w:w="382" w:type="pct"/>
            <w:tcBorders>
              <w:top w:val="single" w:sz="4" w:space="0" w:color="auto"/>
              <w:left w:val="nil"/>
              <w:bottom w:val="single" w:sz="4" w:space="0" w:color="auto"/>
              <w:right w:val="nil"/>
            </w:tcBorders>
            <w:shd w:val="clear" w:color="auto" w:fill="auto"/>
            <w:noWrap/>
            <w:vAlign w:val="bottom"/>
            <w:hideMark/>
          </w:tcPr>
          <w:p w:rsidR="007147B8" w:rsidRPr="00A07919" w:rsidRDefault="007147B8" w:rsidP="00E613FF">
            <w:pPr>
              <w:spacing w:after="0" w:line="240" w:lineRule="auto"/>
              <w:rPr>
                <w:rFonts w:ascii="Calibri" w:eastAsia="Times New Roman" w:hAnsi="Calibri" w:cs="Times New Roman"/>
                <w:color w:val="000000"/>
              </w:rPr>
            </w:pPr>
          </w:p>
        </w:tc>
        <w:tc>
          <w:tcPr>
            <w:tcW w:w="382" w:type="pct"/>
            <w:tcBorders>
              <w:top w:val="single" w:sz="4" w:space="0" w:color="auto"/>
              <w:left w:val="nil"/>
              <w:bottom w:val="single" w:sz="4" w:space="0" w:color="auto"/>
              <w:right w:val="nil"/>
            </w:tcBorders>
            <w:shd w:val="clear" w:color="auto" w:fill="auto"/>
            <w:noWrap/>
            <w:vAlign w:val="bottom"/>
            <w:hideMark/>
          </w:tcPr>
          <w:p w:rsidR="007147B8" w:rsidRPr="00A07919" w:rsidRDefault="007147B8" w:rsidP="00E613FF">
            <w:pPr>
              <w:spacing w:after="0" w:line="240" w:lineRule="auto"/>
              <w:rPr>
                <w:rFonts w:ascii="Calibri" w:eastAsia="Times New Roman" w:hAnsi="Calibri" w:cs="Times New Roman"/>
                <w:color w:val="000000"/>
              </w:rPr>
            </w:pPr>
          </w:p>
        </w:tc>
        <w:tc>
          <w:tcPr>
            <w:tcW w:w="382" w:type="pct"/>
            <w:tcBorders>
              <w:top w:val="single" w:sz="4" w:space="0" w:color="auto"/>
              <w:left w:val="nil"/>
              <w:bottom w:val="single" w:sz="4" w:space="0" w:color="auto"/>
              <w:right w:val="nil"/>
            </w:tcBorders>
            <w:shd w:val="clear" w:color="auto" w:fill="auto"/>
            <w:noWrap/>
            <w:vAlign w:val="bottom"/>
            <w:hideMark/>
          </w:tcPr>
          <w:p w:rsidR="007147B8" w:rsidRPr="00A07919" w:rsidRDefault="007147B8" w:rsidP="00E613FF">
            <w:pPr>
              <w:spacing w:after="0" w:line="240" w:lineRule="auto"/>
              <w:rPr>
                <w:rFonts w:ascii="Calibri" w:eastAsia="Times New Roman" w:hAnsi="Calibri" w:cs="Times New Roman"/>
                <w:color w:val="000000"/>
              </w:rPr>
            </w:pPr>
          </w:p>
        </w:tc>
        <w:tc>
          <w:tcPr>
            <w:tcW w:w="382" w:type="pct"/>
            <w:tcBorders>
              <w:top w:val="single" w:sz="4" w:space="0" w:color="auto"/>
              <w:left w:val="nil"/>
              <w:bottom w:val="single" w:sz="4" w:space="0" w:color="auto"/>
              <w:right w:val="nil"/>
            </w:tcBorders>
            <w:shd w:val="clear" w:color="auto" w:fill="auto"/>
            <w:noWrap/>
            <w:vAlign w:val="bottom"/>
            <w:hideMark/>
          </w:tcPr>
          <w:p w:rsidR="007147B8" w:rsidRPr="00A07919" w:rsidRDefault="007147B8" w:rsidP="00E613FF">
            <w:pPr>
              <w:spacing w:after="0" w:line="240" w:lineRule="auto"/>
              <w:rPr>
                <w:rFonts w:ascii="Calibri" w:eastAsia="Times New Roman" w:hAnsi="Calibri" w:cs="Times New Roman"/>
                <w:color w:val="000000"/>
              </w:rPr>
            </w:pPr>
          </w:p>
        </w:tc>
        <w:tc>
          <w:tcPr>
            <w:tcW w:w="382" w:type="pct"/>
            <w:tcBorders>
              <w:top w:val="single" w:sz="4" w:space="0" w:color="auto"/>
              <w:left w:val="nil"/>
              <w:bottom w:val="single" w:sz="4" w:space="0" w:color="auto"/>
              <w:right w:val="nil"/>
            </w:tcBorders>
            <w:shd w:val="clear" w:color="auto" w:fill="auto"/>
            <w:noWrap/>
            <w:vAlign w:val="bottom"/>
            <w:hideMark/>
          </w:tcPr>
          <w:p w:rsidR="007147B8" w:rsidRPr="00A07919" w:rsidRDefault="007147B8" w:rsidP="00E613FF">
            <w:pPr>
              <w:spacing w:after="0" w:line="240" w:lineRule="auto"/>
              <w:rPr>
                <w:rFonts w:ascii="Calibri" w:eastAsia="Times New Roman" w:hAnsi="Calibri" w:cs="Times New Roman"/>
                <w:color w:val="000000"/>
              </w:rPr>
            </w:pPr>
          </w:p>
        </w:tc>
        <w:tc>
          <w:tcPr>
            <w:tcW w:w="382" w:type="pct"/>
            <w:tcBorders>
              <w:top w:val="single" w:sz="4" w:space="0" w:color="auto"/>
              <w:left w:val="nil"/>
              <w:bottom w:val="single" w:sz="4" w:space="0" w:color="auto"/>
              <w:right w:val="nil"/>
            </w:tcBorders>
            <w:shd w:val="clear" w:color="auto" w:fill="auto"/>
            <w:noWrap/>
            <w:vAlign w:val="bottom"/>
            <w:hideMark/>
          </w:tcPr>
          <w:p w:rsidR="007147B8" w:rsidRPr="00A07919" w:rsidRDefault="007147B8" w:rsidP="00E613FF">
            <w:pPr>
              <w:spacing w:after="0" w:line="240" w:lineRule="auto"/>
              <w:rPr>
                <w:rFonts w:ascii="Calibri" w:eastAsia="Times New Roman" w:hAnsi="Calibri" w:cs="Times New Roman"/>
                <w:color w:val="000000"/>
              </w:rPr>
            </w:pPr>
          </w:p>
        </w:tc>
        <w:tc>
          <w:tcPr>
            <w:tcW w:w="489" w:type="pct"/>
            <w:tcBorders>
              <w:top w:val="single" w:sz="4" w:space="0" w:color="auto"/>
              <w:left w:val="nil"/>
              <w:bottom w:val="single" w:sz="4" w:space="0" w:color="auto"/>
              <w:right w:val="nil"/>
            </w:tcBorders>
            <w:shd w:val="clear" w:color="auto" w:fill="auto"/>
            <w:noWrap/>
            <w:vAlign w:val="bottom"/>
            <w:hideMark/>
          </w:tcPr>
          <w:p w:rsidR="007147B8" w:rsidRPr="00A07919" w:rsidRDefault="007147B8" w:rsidP="00E613FF">
            <w:pPr>
              <w:spacing w:after="0" w:line="240" w:lineRule="auto"/>
              <w:rPr>
                <w:rFonts w:ascii="Calibri" w:eastAsia="Times New Roman" w:hAnsi="Calibri" w:cs="Times New Roman"/>
                <w:color w:val="000000"/>
              </w:rPr>
            </w:pPr>
          </w:p>
        </w:tc>
        <w:tc>
          <w:tcPr>
            <w:tcW w:w="489" w:type="pct"/>
            <w:tcBorders>
              <w:top w:val="single" w:sz="4" w:space="0" w:color="auto"/>
              <w:left w:val="nil"/>
              <w:bottom w:val="single" w:sz="4" w:space="0" w:color="auto"/>
              <w:right w:val="nil"/>
            </w:tcBorders>
            <w:shd w:val="clear" w:color="auto" w:fill="auto"/>
            <w:noWrap/>
            <w:vAlign w:val="bottom"/>
            <w:hideMark/>
          </w:tcPr>
          <w:p w:rsidR="007147B8" w:rsidRPr="00A07919" w:rsidRDefault="007147B8" w:rsidP="00E613FF">
            <w:pPr>
              <w:spacing w:after="0" w:line="240" w:lineRule="auto"/>
              <w:rPr>
                <w:rFonts w:ascii="Calibri" w:eastAsia="Times New Roman" w:hAnsi="Calibri" w:cs="Times New Roman"/>
                <w:color w:val="000000"/>
              </w:rPr>
            </w:pPr>
          </w:p>
        </w:tc>
        <w:tc>
          <w:tcPr>
            <w:tcW w:w="384" w:type="pct"/>
            <w:tcBorders>
              <w:top w:val="single" w:sz="4" w:space="0" w:color="auto"/>
              <w:left w:val="nil"/>
              <w:bottom w:val="single" w:sz="4" w:space="0" w:color="auto"/>
              <w:right w:val="nil"/>
            </w:tcBorders>
            <w:shd w:val="clear" w:color="auto" w:fill="auto"/>
            <w:noWrap/>
            <w:vAlign w:val="bottom"/>
            <w:hideMark/>
          </w:tcPr>
          <w:p w:rsidR="007147B8" w:rsidRPr="00A07919" w:rsidRDefault="007147B8" w:rsidP="00E613FF">
            <w:pPr>
              <w:spacing w:after="0" w:line="240" w:lineRule="auto"/>
              <w:rPr>
                <w:rFonts w:ascii="Calibri" w:eastAsia="Times New Roman" w:hAnsi="Calibri" w:cs="Times New Roman"/>
                <w:color w:val="000000"/>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Pr="008D2E29"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21</w:t>
      </w:r>
      <w:r w:rsidR="007147B8">
        <w:rPr>
          <w:rFonts w:ascii="Times New Roman" w:hAnsi="Times New Roman" w:cs="Times New Roman"/>
          <w:b/>
          <w:sz w:val="16"/>
          <w:szCs w:val="16"/>
        </w:rPr>
        <w:t xml:space="preserve">A: Cow #4 Average </w:t>
      </w:r>
      <w:r w:rsidR="007147B8">
        <w:rPr>
          <w:rFonts w:ascii="Times New Roman" w:eastAsia="Times New Roman" w:hAnsi="Times New Roman" w:cs="Times New Roman"/>
          <w:b/>
          <w:bCs/>
          <w:color w:val="000000"/>
          <w:sz w:val="16"/>
          <w:szCs w:val="16"/>
        </w:rPr>
        <w:t>µM in Milk Used in Figure 7</w:t>
      </w:r>
    </w:p>
    <w:tbl>
      <w:tblPr>
        <w:tblW w:w="5000" w:type="pct"/>
        <w:tblLook w:val="04A0" w:firstRow="1" w:lastRow="0" w:firstColumn="1" w:lastColumn="0" w:noHBand="0" w:noVBand="1"/>
      </w:tblPr>
      <w:tblGrid>
        <w:gridCol w:w="2577"/>
        <w:gridCol w:w="777"/>
        <w:gridCol w:w="777"/>
        <w:gridCol w:w="777"/>
        <w:gridCol w:w="778"/>
        <w:gridCol w:w="778"/>
        <w:gridCol w:w="778"/>
        <w:gridCol w:w="778"/>
        <w:gridCol w:w="778"/>
        <w:gridCol w:w="778"/>
      </w:tblGrid>
      <w:tr w:rsidR="007147B8" w:rsidRPr="00AC55A2"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Average µM</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Week of Lactation</w:t>
            </w:r>
          </w:p>
        </w:tc>
      </w:tr>
      <w:tr w:rsidR="007147B8" w:rsidRPr="00AC55A2"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Lipid</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1</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2</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6</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7</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8</w:t>
            </w:r>
          </w:p>
        </w:tc>
        <w:tc>
          <w:tcPr>
            <w:tcW w:w="409"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b/>
                <w:bCs/>
                <w:color w:val="000000"/>
                <w:sz w:val="16"/>
                <w:szCs w:val="16"/>
              </w:rPr>
            </w:pPr>
            <w:r w:rsidRPr="00AC55A2">
              <w:rPr>
                <w:rFonts w:ascii="Times New Roman" w:eastAsia="Times New Roman" w:hAnsi="Times New Roman" w:cs="Times New Roman"/>
                <w:b/>
                <w:bCs/>
                <w:color w:val="000000"/>
                <w:sz w:val="16"/>
                <w:szCs w:val="16"/>
              </w:rPr>
              <w:t>9</w:t>
            </w:r>
          </w:p>
        </w:tc>
      </w:tr>
      <w:tr w:rsidR="007147B8" w:rsidRPr="00AC55A2"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 xml:space="preserve">AcCho </w:t>
            </w:r>
          </w:p>
        </w:tc>
        <w:tc>
          <w:tcPr>
            <w:tcW w:w="406" w:type="pct"/>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0.02</w:t>
            </w:r>
          </w:p>
        </w:tc>
        <w:tc>
          <w:tcPr>
            <w:tcW w:w="406" w:type="pct"/>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0.02</w:t>
            </w:r>
          </w:p>
        </w:tc>
        <w:tc>
          <w:tcPr>
            <w:tcW w:w="406" w:type="pct"/>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0.01</w:t>
            </w:r>
          </w:p>
        </w:tc>
        <w:tc>
          <w:tcPr>
            <w:tcW w:w="406" w:type="pct"/>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0.00</w:t>
            </w:r>
          </w:p>
        </w:tc>
        <w:tc>
          <w:tcPr>
            <w:tcW w:w="409" w:type="pct"/>
            <w:tcBorders>
              <w:top w:val="single" w:sz="4" w:space="0" w:color="auto"/>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0.01</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 xml:space="preserve">Bet </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93.41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31.75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15.23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11.55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10.23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16.44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23.30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37.11</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42.10</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 xml:space="preserve">Cho </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27.84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42.42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30.91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111.00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83.91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125.24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111.53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93.51</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124.21</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LPC 16:0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1.48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1.16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0.94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0.87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0.67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0.67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0.90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1.32</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1.19</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LPC 18:2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0.42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0.19</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0.12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0.25</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0.28</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LPC 18:1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0.77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0.74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0.53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0.53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0.22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0.18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0.45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0.54</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0.74</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LPC 18:0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0.56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0.56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0.24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0.28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0.44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0.39</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0.36</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LPC Total</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3.16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2.89</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2.29</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1.96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1.37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1.30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2.11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2.51</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2.58</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16:0/16:1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7.92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5.03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5.95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15.57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7.92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5.65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20.89</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41.76</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40.00</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16:0/22:6,18:1/22:5,18:2/20:4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1.22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0.78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0.72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0.91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0.55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1.42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1.65</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1.56</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18:1/20:4,18:0/20:5,16:0/22:5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4.63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2.57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3.03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2.77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1.73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1.55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3.82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4.89</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5.13</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18:0/20:4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3.00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1.57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1.83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2.66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1.61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1.31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3.61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4.60</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5.32</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18:0/20:3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1.25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0.73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0.94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1.58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0.95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0.71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2.06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2.49</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3.00</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18:1/22:6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0.26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0.16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0.20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0.49</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0.63</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0.57</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18:0/22:6,18:1/22:5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0.81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0.62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0.63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0.55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0.25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1.06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0.86</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0.86</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18:0/22:5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1.02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0.67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0.79</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0.42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0.27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0.82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0.63</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0.70</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16:0/16:0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29.72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20.61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24.68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47.83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28.51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27.98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71.50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108.68</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130.68</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16:0/18:2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31.02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21.95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23.39</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38.17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24.57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18.84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64.80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87.93</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89.26</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16:0/18:1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65.08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48.25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50.23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90.46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46.48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38.63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130.96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231.79</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237.75</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16:0/20:5,16:1/20:4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1.24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0.58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0.55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0.75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0.48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1.05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2.01</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2.06</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16:0/20:4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6.40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5.32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4.45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7.43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4.83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3.40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10.15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15.41</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15.35</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16:0/20:3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18.36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16.89</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16.63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24.53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15.14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10.93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32.03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47.32</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44.53</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18:0/18:2,18:1/18:1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36.70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33.05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34.19</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46.27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27.37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21.46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63.69</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90.65</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89.09</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18:0/18:1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18.61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17.23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18.24</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25.36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14.37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12.55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34.65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49.65</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49.17</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PtCho Total</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227.35</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176.17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186.51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305.60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175.21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144.67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442.99</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690.95</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715.03</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Pcho</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413.00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498.11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254.66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143.67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127.30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94.80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56.90</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39.92</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71.16</w:t>
            </w:r>
          </w:p>
        </w:tc>
      </w:tr>
      <w:tr w:rsidR="007147B8" w:rsidRPr="00AC55A2" w:rsidTr="00E613FF">
        <w:trPr>
          <w:trHeight w:val="300"/>
        </w:trPr>
        <w:tc>
          <w:tcPr>
            <w:tcW w:w="134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 xml:space="preserve">SM </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66.61</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42.57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47.98</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31.92</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24.07</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17.86</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30.13</w:t>
            </w:r>
          </w:p>
        </w:tc>
        <w:tc>
          <w:tcPr>
            <w:tcW w:w="406"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29.52</w:t>
            </w:r>
          </w:p>
        </w:tc>
        <w:tc>
          <w:tcPr>
            <w:tcW w:w="409" w:type="pct"/>
            <w:tcBorders>
              <w:top w:val="nil"/>
              <w:left w:val="nil"/>
              <w:bottom w:val="nil"/>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29.50</w:t>
            </w:r>
          </w:p>
        </w:tc>
      </w:tr>
      <w:tr w:rsidR="007147B8" w:rsidRPr="00AC55A2"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 xml:space="preserve">GPC </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151.43</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110.50</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36.89</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46.72</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44.96</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25.78</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69.48</w:t>
            </w:r>
          </w:p>
        </w:tc>
        <w:tc>
          <w:tcPr>
            <w:tcW w:w="406"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141.17</w:t>
            </w:r>
          </w:p>
        </w:tc>
        <w:tc>
          <w:tcPr>
            <w:tcW w:w="409" w:type="pct"/>
            <w:tcBorders>
              <w:top w:val="nil"/>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jc w:val="center"/>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124.83</w:t>
            </w:r>
          </w:p>
        </w:tc>
      </w:tr>
      <w:tr w:rsidR="007147B8" w:rsidRPr="00AC55A2" w:rsidTr="00E613FF">
        <w:trPr>
          <w:trHeight w:val="300"/>
        </w:trPr>
        <w:tc>
          <w:tcPr>
            <w:tcW w:w="5000" w:type="pct"/>
            <w:gridSpan w:val="10"/>
            <w:tcBorders>
              <w:top w:val="single" w:sz="4" w:space="0" w:color="auto"/>
              <w:left w:val="nil"/>
              <w:bottom w:val="single" w:sz="4" w:space="0" w:color="auto"/>
              <w:right w:val="nil"/>
            </w:tcBorders>
            <w:shd w:val="clear" w:color="auto" w:fill="auto"/>
            <w:noWrap/>
            <w:vAlign w:val="bottom"/>
            <w:hideMark/>
          </w:tcPr>
          <w:p w:rsidR="007147B8" w:rsidRPr="00AC55A2" w:rsidRDefault="007147B8" w:rsidP="00E613FF">
            <w:pPr>
              <w:spacing w:after="0" w:line="240" w:lineRule="atLeast"/>
              <w:rPr>
                <w:rFonts w:ascii="Times New Roman" w:eastAsia="Times New Roman" w:hAnsi="Times New Roman" w:cs="Times New Roman"/>
                <w:color w:val="000000"/>
                <w:sz w:val="16"/>
                <w:szCs w:val="16"/>
              </w:rPr>
            </w:pPr>
            <w:r w:rsidRPr="00AC55A2">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Pr="00605850"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21</w:t>
      </w:r>
      <w:r w:rsidR="007147B8">
        <w:rPr>
          <w:rFonts w:ascii="Times New Roman" w:hAnsi="Times New Roman" w:cs="Times New Roman"/>
          <w:b/>
          <w:sz w:val="16"/>
          <w:szCs w:val="16"/>
        </w:rPr>
        <w:t>B: Cow #4 Fold Change in Milk Used in Figure 7</w:t>
      </w:r>
    </w:p>
    <w:tbl>
      <w:tblPr>
        <w:tblW w:w="5000" w:type="pct"/>
        <w:tblLook w:val="04A0" w:firstRow="1" w:lastRow="0" w:firstColumn="1" w:lastColumn="0" w:noHBand="0" w:noVBand="1"/>
      </w:tblPr>
      <w:tblGrid>
        <w:gridCol w:w="2577"/>
        <w:gridCol w:w="777"/>
        <w:gridCol w:w="777"/>
        <w:gridCol w:w="777"/>
        <w:gridCol w:w="778"/>
        <w:gridCol w:w="778"/>
        <w:gridCol w:w="778"/>
        <w:gridCol w:w="778"/>
        <w:gridCol w:w="778"/>
        <w:gridCol w:w="778"/>
      </w:tblGrid>
      <w:tr w:rsidR="007147B8" w:rsidRPr="009F389D"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Fold Change Relative to Week 1</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Week of Lactation</w:t>
            </w:r>
          </w:p>
        </w:tc>
      </w:tr>
      <w:tr w:rsidR="007147B8" w:rsidRPr="009F389D"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Lipid</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1</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2</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6</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7</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8</w:t>
            </w:r>
          </w:p>
        </w:tc>
        <w:tc>
          <w:tcPr>
            <w:tcW w:w="409"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b/>
                <w:bCs/>
                <w:color w:val="000000"/>
                <w:sz w:val="16"/>
                <w:szCs w:val="16"/>
              </w:rPr>
            </w:pPr>
            <w:r w:rsidRPr="009F389D">
              <w:rPr>
                <w:rFonts w:ascii="Times New Roman" w:eastAsia="Times New Roman" w:hAnsi="Times New Roman" w:cs="Times New Roman"/>
                <w:b/>
                <w:bCs/>
                <w:color w:val="000000"/>
                <w:sz w:val="16"/>
                <w:szCs w:val="16"/>
              </w:rPr>
              <w:t>9</w:t>
            </w:r>
          </w:p>
        </w:tc>
      </w:tr>
      <w:tr w:rsidR="007147B8" w:rsidRPr="009F389D"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 xml:space="preserve">AcCho </w:t>
            </w:r>
          </w:p>
        </w:tc>
        <w:tc>
          <w:tcPr>
            <w:tcW w:w="406" w:type="pct"/>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0.78</w:t>
            </w:r>
          </w:p>
        </w:tc>
        <w:tc>
          <w:tcPr>
            <w:tcW w:w="406" w:type="pct"/>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0.66</w:t>
            </w:r>
          </w:p>
        </w:tc>
        <w:tc>
          <w:tcPr>
            <w:tcW w:w="406" w:type="pct"/>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0.23</w:t>
            </w:r>
          </w:p>
        </w:tc>
        <w:tc>
          <w:tcPr>
            <w:tcW w:w="406" w:type="pct"/>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0.14</w:t>
            </w:r>
          </w:p>
        </w:tc>
        <w:tc>
          <w:tcPr>
            <w:tcW w:w="409" w:type="pct"/>
            <w:tcBorders>
              <w:top w:val="single" w:sz="4" w:space="0" w:color="auto"/>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0.33</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 xml:space="preserve">Bet </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0.16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0.12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0.11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0.18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0.25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0.40</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0.45</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 xml:space="preserve">Cho </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1.52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1.11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3.99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3.01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4.50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4.01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3.36</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4.46</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LPC 16:0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0.89</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0.81</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LPC 18:2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1.18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0.72</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0.80</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LPC 18:1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0.29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0.23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0.70</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0.96</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LPC 18:0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0.71</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0.65</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LPC Total</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0.79</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0.82</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16:0/16:1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1.96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2.64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5.27</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5.05</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16:0/22:6,18:1/22:5,18:2/20:4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1.17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1.35</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1.28</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18:1/20:4,18:0/20:5,16:0/22:5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1.06</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1.11</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18:0/20:4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1.21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1.54</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1.78</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18:0/20:3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1.26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1.65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2.00</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2.40</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18:1/22:6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1.30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1.68</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1.53</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18:0/22:6,18:1/22:5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1.31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1.06</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1.06</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18:0/22:5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0.27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0.61</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0.69</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16:0/16:0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1.61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2.41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3.66</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4.40</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16:0/18:2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1.23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2.09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2.83</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2.88</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16:0/18:1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1.39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2.01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3.56</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3.65</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16:0/20:5,16:1/20:4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0.28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1.63</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1.66</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16:0/20:4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1.16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1.59</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2.41</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2.40</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16:0/20:3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1.34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1.74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2.58</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2.43</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18:0/18:2,18:1/18:1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1.26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0.58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1.74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2.47</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2.43</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18:0/18:1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1.36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1.86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2.67</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2.64</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PtCho Total</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1.34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1.95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3.04</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3.15</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Pcho</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1.21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0.31</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0.23</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0.14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0.10</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0.17</w:t>
            </w:r>
          </w:p>
        </w:tc>
      </w:tr>
      <w:tr w:rsidR="007147B8" w:rsidRPr="009F389D" w:rsidTr="00E613FF">
        <w:trPr>
          <w:trHeight w:val="300"/>
        </w:trPr>
        <w:tc>
          <w:tcPr>
            <w:tcW w:w="134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 xml:space="preserve">SM </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0.64</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0.72</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0.48</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0.36</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0.27</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0.45</w:t>
            </w:r>
          </w:p>
        </w:tc>
        <w:tc>
          <w:tcPr>
            <w:tcW w:w="406"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0.44</w:t>
            </w:r>
          </w:p>
        </w:tc>
        <w:tc>
          <w:tcPr>
            <w:tcW w:w="409" w:type="pct"/>
            <w:tcBorders>
              <w:top w:val="nil"/>
              <w:left w:val="nil"/>
              <w:bottom w:val="nil"/>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0.44</w:t>
            </w:r>
          </w:p>
        </w:tc>
      </w:tr>
      <w:tr w:rsidR="007147B8" w:rsidRPr="009F389D"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 xml:space="preserve">GPC </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1.00</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0.73</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0.24</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0.31</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0.30</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0.17</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0.46</w:t>
            </w:r>
          </w:p>
        </w:tc>
        <w:tc>
          <w:tcPr>
            <w:tcW w:w="406"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0.93</w:t>
            </w:r>
          </w:p>
        </w:tc>
        <w:tc>
          <w:tcPr>
            <w:tcW w:w="409" w:type="pct"/>
            <w:tcBorders>
              <w:top w:val="nil"/>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jc w:val="center"/>
              <w:rPr>
                <w:rFonts w:ascii="Times New Roman" w:eastAsia="Times New Roman" w:hAnsi="Times New Roman" w:cs="Times New Roman"/>
                <w:color w:val="000000"/>
                <w:sz w:val="16"/>
                <w:szCs w:val="16"/>
              </w:rPr>
            </w:pPr>
            <w:r w:rsidRPr="009F389D">
              <w:rPr>
                <w:rFonts w:ascii="Times New Roman" w:eastAsia="Times New Roman" w:hAnsi="Times New Roman" w:cs="Times New Roman"/>
                <w:color w:val="000000"/>
                <w:sz w:val="16"/>
                <w:szCs w:val="16"/>
              </w:rPr>
              <w:t>0.82</w:t>
            </w:r>
          </w:p>
        </w:tc>
      </w:tr>
      <w:tr w:rsidR="007147B8" w:rsidRPr="009F389D" w:rsidTr="00E613FF">
        <w:trPr>
          <w:trHeight w:val="300"/>
        </w:trPr>
        <w:tc>
          <w:tcPr>
            <w:tcW w:w="1346" w:type="pct"/>
            <w:tcBorders>
              <w:top w:val="single" w:sz="4" w:space="0" w:color="auto"/>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rPr>
                <w:rFonts w:ascii="Calibri" w:eastAsia="Times New Roman" w:hAnsi="Calibri" w:cs="Times New Roman"/>
                <w:color w:val="000000"/>
              </w:rPr>
            </w:pPr>
          </w:p>
        </w:tc>
        <w:tc>
          <w:tcPr>
            <w:tcW w:w="409" w:type="pct"/>
            <w:tcBorders>
              <w:top w:val="single" w:sz="4" w:space="0" w:color="auto"/>
              <w:left w:val="nil"/>
              <w:bottom w:val="single" w:sz="4" w:space="0" w:color="auto"/>
              <w:right w:val="nil"/>
            </w:tcBorders>
            <w:shd w:val="clear" w:color="auto" w:fill="auto"/>
            <w:noWrap/>
            <w:vAlign w:val="bottom"/>
            <w:hideMark/>
          </w:tcPr>
          <w:p w:rsidR="007147B8" w:rsidRPr="009F389D" w:rsidRDefault="007147B8" w:rsidP="00E613FF">
            <w:pPr>
              <w:spacing w:after="0" w:line="240" w:lineRule="atLeast"/>
              <w:rPr>
                <w:rFonts w:ascii="Calibri" w:eastAsia="Times New Roman" w:hAnsi="Calibri" w:cs="Times New Roman"/>
                <w:color w:val="000000"/>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Pr="008D2E29"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22</w:t>
      </w:r>
      <w:r w:rsidR="007147B8">
        <w:rPr>
          <w:rFonts w:ascii="Times New Roman" w:hAnsi="Times New Roman" w:cs="Times New Roman"/>
          <w:b/>
          <w:sz w:val="16"/>
          <w:szCs w:val="16"/>
        </w:rPr>
        <w:t xml:space="preserve">A: Cow #5 Average </w:t>
      </w:r>
      <w:r w:rsidR="007147B8">
        <w:rPr>
          <w:rFonts w:ascii="Times New Roman" w:eastAsia="Times New Roman" w:hAnsi="Times New Roman" w:cs="Times New Roman"/>
          <w:b/>
          <w:bCs/>
          <w:color w:val="000000"/>
          <w:sz w:val="16"/>
          <w:szCs w:val="16"/>
        </w:rPr>
        <w:t>µM in Milk Used in Figure 7</w:t>
      </w:r>
    </w:p>
    <w:tbl>
      <w:tblPr>
        <w:tblW w:w="5000" w:type="pct"/>
        <w:tblLook w:val="04A0" w:firstRow="1" w:lastRow="0" w:firstColumn="1" w:lastColumn="0" w:noHBand="0" w:noVBand="1"/>
      </w:tblPr>
      <w:tblGrid>
        <w:gridCol w:w="2577"/>
        <w:gridCol w:w="777"/>
        <w:gridCol w:w="777"/>
        <w:gridCol w:w="777"/>
        <w:gridCol w:w="778"/>
        <w:gridCol w:w="778"/>
        <w:gridCol w:w="778"/>
        <w:gridCol w:w="778"/>
        <w:gridCol w:w="778"/>
        <w:gridCol w:w="778"/>
      </w:tblGrid>
      <w:tr w:rsidR="007147B8" w:rsidRPr="00BD2FF8"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Average µM</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Week of Lactation</w:t>
            </w:r>
          </w:p>
        </w:tc>
      </w:tr>
      <w:tr w:rsidR="007147B8" w:rsidRPr="00BD2FF8"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Lipid</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1</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2</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6</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7</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8</w:t>
            </w:r>
          </w:p>
        </w:tc>
        <w:tc>
          <w:tcPr>
            <w:tcW w:w="405"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b/>
                <w:bCs/>
                <w:color w:val="000000"/>
                <w:sz w:val="16"/>
                <w:szCs w:val="16"/>
              </w:rPr>
            </w:pPr>
            <w:r w:rsidRPr="00BD2FF8">
              <w:rPr>
                <w:rFonts w:ascii="Times New Roman" w:eastAsia="Times New Roman" w:hAnsi="Times New Roman" w:cs="Times New Roman"/>
                <w:b/>
                <w:bCs/>
                <w:color w:val="000000"/>
                <w:sz w:val="16"/>
                <w:szCs w:val="16"/>
              </w:rPr>
              <w:t>9</w:t>
            </w:r>
          </w:p>
        </w:tc>
      </w:tr>
      <w:tr w:rsidR="007147B8" w:rsidRPr="00BD2FF8"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 xml:space="preserve">AcCho </w:t>
            </w:r>
          </w:p>
        </w:tc>
        <w:tc>
          <w:tcPr>
            <w:tcW w:w="406" w:type="pct"/>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0.16</w:t>
            </w:r>
          </w:p>
        </w:tc>
        <w:tc>
          <w:tcPr>
            <w:tcW w:w="406" w:type="pct"/>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0.04</w:t>
            </w:r>
          </w:p>
        </w:tc>
        <w:tc>
          <w:tcPr>
            <w:tcW w:w="406" w:type="pct"/>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0.04</w:t>
            </w:r>
          </w:p>
        </w:tc>
        <w:tc>
          <w:tcPr>
            <w:tcW w:w="406" w:type="pct"/>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0.00</w:t>
            </w:r>
          </w:p>
        </w:tc>
        <w:tc>
          <w:tcPr>
            <w:tcW w:w="405" w:type="pct"/>
            <w:tcBorders>
              <w:top w:val="single" w:sz="4" w:space="0" w:color="auto"/>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0.00</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 xml:space="preserve">Bet </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97.75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26.97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14.82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22.16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9.90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20.59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35.43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43.53</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40.23</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 xml:space="preserve">Cho </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14.68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37.63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45.36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85.40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83.73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116.89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129.14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119.46</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135.44</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LPC 16:0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0.69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0.63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0.77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0.76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0.69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0.60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0.78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1.37</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1.10</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LPC 18:2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0.18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0.38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0.12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0.26</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0.23</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LPC 18:1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0.78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0.99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0.38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0.14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0.68</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0.49</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LPC 18:0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0.30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0.43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0.51</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0.34</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LPC Total</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1.63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2.08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2.72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1.63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1.18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1.31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1.96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2.82</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2.17</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16:0/16:1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4.90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3.34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4.60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11.48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6.63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8.97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30.89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47.68</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40.75</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16:0/22:6,18:1/22:5,18:2/20:4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0.78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0.73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0.71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0.38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1.68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1.61</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1.48</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18:1/20:4,18:0/20:5,16:0/22:5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3.04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1.96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2.84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2.23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1.25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1.74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4.49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3.89</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4.58</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18:0/20:4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2.05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1.09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1.49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2.31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0.92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1.23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4.00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3.48</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3.82</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18:0/20:3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0.88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0.69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1.29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0.70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2.02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2.07</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2.15</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18:1/22:6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0.11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0.49</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0.44</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18:0/22:6,18:1/22:5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0.45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0.29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0.63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0.71</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0.71</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18:0/22:5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0.72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0.64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0.37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0.30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0.33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0.49</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0.52</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16:0/16:0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22.08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14.01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19.82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39.19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26.08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28.47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96.37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113.89</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115.41</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16:0/18:2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21.45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14.68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21.14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33.91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18.21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24.13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96.52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101.24</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88.02</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16:0/18:1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50.87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37.49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51.97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74.31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36.58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52.69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214.58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268.38</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219.17</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16:0/20:5,16:1/20:4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0.91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0.60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0.59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0.31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0.42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1.45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1.82</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1.81</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16:0/20:4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5.45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3.90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5.24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6.04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3.11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4.19</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13.46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15.23</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12.55</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16:0/20:3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16.48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13.61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18.52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21.41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10.33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13.98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48.96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45.97</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39.64</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18:0/18:2,18:1/18:1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33.01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27.41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36.11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40.34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18.98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25.30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95.04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91.36</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78.33</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18:0/18:1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17.27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13.40</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18.21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22.94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10.03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13.54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47.84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46.89</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43.57</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PtCho Total</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180.64</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133.62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183.43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257.83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133.96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176.67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659.06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745.20</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652.93</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Pcho</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725.52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480.33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390.18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161.91</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81.92</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69.56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31.68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38.90</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63.86</w:t>
            </w:r>
          </w:p>
        </w:tc>
      </w:tr>
      <w:tr w:rsidR="007147B8" w:rsidRPr="00BD2FF8" w:rsidTr="00E613FF">
        <w:trPr>
          <w:trHeight w:val="300"/>
        </w:trPr>
        <w:tc>
          <w:tcPr>
            <w:tcW w:w="134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 xml:space="preserve">SM </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61.23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36.98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49.53</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34.75</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16.86</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21.88</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42.97</w:t>
            </w:r>
          </w:p>
        </w:tc>
        <w:tc>
          <w:tcPr>
            <w:tcW w:w="406"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44.07</w:t>
            </w:r>
          </w:p>
        </w:tc>
        <w:tc>
          <w:tcPr>
            <w:tcW w:w="405" w:type="pct"/>
            <w:tcBorders>
              <w:top w:val="nil"/>
              <w:left w:val="nil"/>
              <w:bottom w:val="nil"/>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36.10</w:t>
            </w:r>
          </w:p>
        </w:tc>
      </w:tr>
      <w:tr w:rsidR="007147B8" w:rsidRPr="00BD2FF8"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 xml:space="preserve">GPC </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64.79</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67.36</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52.75</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71.21</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34.16</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37.61</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177.52</w:t>
            </w:r>
          </w:p>
        </w:tc>
        <w:tc>
          <w:tcPr>
            <w:tcW w:w="406"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139.90</w:t>
            </w:r>
          </w:p>
        </w:tc>
        <w:tc>
          <w:tcPr>
            <w:tcW w:w="405" w:type="pct"/>
            <w:tcBorders>
              <w:top w:val="nil"/>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jc w:val="center"/>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144.50</w:t>
            </w:r>
          </w:p>
        </w:tc>
      </w:tr>
      <w:tr w:rsidR="007147B8" w:rsidRPr="00BD2FF8" w:rsidTr="00E613FF">
        <w:trPr>
          <w:trHeight w:val="300"/>
        </w:trPr>
        <w:tc>
          <w:tcPr>
            <w:tcW w:w="5000" w:type="pct"/>
            <w:gridSpan w:val="10"/>
            <w:tcBorders>
              <w:top w:val="single" w:sz="4" w:space="0" w:color="auto"/>
              <w:left w:val="nil"/>
              <w:bottom w:val="single" w:sz="4" w:space="0" w:color="auto"/>
              <w:right w:val="nil"/>
            </w:tcBorders>
            <w:shd w:val="clear" w:color="auto" w:fill="auto"/>
            <w:noWrap/>
            <w:vAlign w:val="bottom"/>
            <w:hideMark/>
          </w:tcPr>
          <w:p w:rsidR="007147B8" w:rsidRPr="00BD2FF8" w:rsidRDefault="007147B8" w:rsidP="00E613FF">
            <w:pPr>
              <w:spacing w:after="0" w:line="240" w:lineRule="atLeast"/>
              <w:rPr>
                <w:rFonts w:ascii="Times New Roman" w:eastAsia="Times New Roman" w:hAnsi="Times New Roman" w:cs="Times New Roman"/>
                <w:color w:val="000000"/>
                <w:sz w:val="16"/>
                <w:szCs w:val="16"/>
              </w:rPr>
            </w:pPr>
            <w:r w:rsidRPr="00BD2FF8">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Pr="002F66BF"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22</w:t>
      </w:r>
      <w:r w:rsidR="007147B8">
        <w:rPr>
          <w:rFonts w:ascii="Times New Roman" w:hAnsi="Times New Roman" w:cs="Times New Roman"/>
          <w:b/>
          <w:sz w:val="16"/>
          <w:szCs w:val="16"/>
        </w:rPr>
        <w:t>B: Cow #5 Fold Change in Milk Used in Figure 7</w:t>
      </w:r>
    </w:p>
    <w:tbl>
      <w:tblPr>
        <w:tblW w:w="5000" w:type="pct"/>
        <w:tblLook w:val="04A0" w:firstRow="1" w:lastRow="0" w:firstColumn="1" w:lastColumn="0" w:noHBand="0" w:noVBand="1"/>
      </w:tblPr>
      <w:tblGrid>
        <w:gridCol w:w="2577"/>
        <w:gridCol w:w="777"/>
        <w:gridCol w:w="777"/>
        <w:gridCol w:w="777"/>
        <w:gridCol w:w="778"/>
        <w:gridCol w:w="778"/>
        <w:gridCol w:w="778"/>
        <w:gridCol w:w="778"/>
        <w:gridCol w:w="778"/>
        <w:gridCol w:w="778"/>
      </w:tblGrid>
      <w:tr w:rsidR="007147B8" w:rsidRPr="00242055"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Fold Change Relative to Week 1</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Week of Lactation</w:t>
            </w:r>
          </w:p>
        </w:tc>
      </w:tr>
      <w:tr w:rsidR="007147B8" w:rsidRPr="00242055"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Lipid</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1</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2</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6</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7</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8</w:t>
            </w:r>
          </w:p>
        </w:tc>
        <w:tc>
          <w:tcPr>
            <w:tcW w:w="405"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b/>
                <w:bCs/>
                <w:color w:val="000000"/>
                <w:sz w:val="16"/>
                <w:szCs w:val="16"/>
              </w:rPr>
            </w:pPr>
            <w:r w:rsidRPr="00242055">
              <w:rPr>
                <w:rFonts w:ascii="Times New Roman" w:eastAsia="Times New Roman" w:hAnsi="Times New Roman" w:cs="Times New Roman"/>
                <w:b/>
                <w:bCs/>
                <w:color w:val="000000"/>
                <w:sz w:val="16"/>
                <w:szCs w:val="16"/>
              </w:rPr>
              <w:t>9</w:t>
            </w:r>
          </w:p>
        </w:tc>
      </w:tr>
      <w:tr w:rsidR="007147B8" w:rsidRPr="00242055"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 xml:space="preserve">AcCho </w:t>
            </w:r>
          </w:p>
        </w:tc>
        <w:tc>
          <w:tcPr>
            <w:tcW w:w="406" w:type="pct"/>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0.23</w:t>
            </w:r>
          </w:p>
        </w:tc>
        <w:tc>
          <w:tcPr>
            <w:tcW w:w="406" w:type="pct"/>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0.28</w:t>
            </w:r>
          </w:p>
        </w:tc>
        <w:tc>
          <w:tcPr>
            <w:tcW w:w="406" w:type="pct"/>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0.01</w:t>
            </w:r>
          </w:p>
        </w:tc>
        <w:tc>
          <w:tcPr>
            <w:tcW w:w="406" w:type="pct"/>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0.02</w:t>
            </w:r>
          </w:p>
        </w:tc>
        <w:tc>
          <w:tcPr>
            <w:tcW w:w="405" w:type="pct"/>
            <w:tcBorders>
              <w:top w:val="single" w:sz="4" w:space="0" w:color="auto"/>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0.02</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 xml:space="preserve">Bet </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0.28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0.15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0.23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0.10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0.21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0.36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0.45</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0.41</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 xml:space="preserve">Cho </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2.56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3.09</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5.82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5.70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7.96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8.80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8.14</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9.23</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LPC 16:0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0.87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1.99</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1.60</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LPC 18:2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2.09</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2.97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1.97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1.45</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1.27</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LPC 18:1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1.70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2.15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0.83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0.30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1.21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1.49</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1.07</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LPC 18:0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1.45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1.70</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1.16</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LPC Total</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1.28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1.68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0.81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1.20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1.74</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1.33</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16:0/16:1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2.34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1.36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1.83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6.31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9.74</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8.32</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16:0/22:6,18:1/22:5,18:2/20:4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0.48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2.14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2.06</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1.89</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18:1/20:4,18:0/20:5,16:0/22:5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0.41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1.48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1.28</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1.50</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18:0/20:4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0.45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1.95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1.70</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1.86</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18:0/20:3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1.46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0.79</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2.30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2.35</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2.44</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18:1/22:6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1.09</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0.99</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0.44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2.18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1.91</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1.71</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18:0/22:6,18:1/22:5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0.88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1.09</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0.47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1.25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1.41</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1.41</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18:0/22:5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0.42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0.79</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0.69</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0.72</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16:0/16:0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1.77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1.29</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4.36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5.16</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5.23</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16:0/18:2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0.99</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1.58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0.85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4.50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4.72</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4.10</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16:0/18:1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1.46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4.22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5.28</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4.31</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16:0/20:5,16:1/20:4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1.60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2.01</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1.99</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16:0/20:4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2.47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2.80</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2.30</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16:0/20:3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0.83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1.30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0.85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2.97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2.79</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2.41</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18:0/18:2,18:1/18:1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0.83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1.09</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1.22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2.88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2.77</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2.37</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18:0/18:1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1.33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2.77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2.71</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2.52</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PtCho Total</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1.43</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0.98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3.65</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4.13</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3.61</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Pcho</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0.22</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0.11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0.10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0.04</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0.05</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0.09</w:t>
            </w:r>
          </w:p>
        </w:tc>
      </w:tr>
      <w:tr w:rsidR="007147B8" w:rsidRPr="00242055" w:rsidTr="00E613FF">
        <w:trPr>
          <w:trHeight w:val="300"/>
        </w:trPr>
        <w:tc>
          <w:tcPr>
            <w:tcW w:w="134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 xml:space="preserve">SM </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0.60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0.81</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0.57</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0.28</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0.36</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0.70</w:t>
            </w:r>
          </w:p>
        </w:tc>
        <w:tc>
          <w:tcPr>
            <w:tcW w:w="406"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0.72</w:t>
            </w:r>
          </w:p>
        </w:tc>
        <w:tc>
          <w:tcPr>
            <w:tcW w:w="405" w:type="pct"/>
            <w:tcBorders>
              <w:top w:val="nil"/>
              <w:left w:val="nil"/>
              <w:bottom w:val="nil"/>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0.59</w:t>
            </w:r>
          </w:p>
        </w:tc>
      </w:tr>
      <w:tr w:rsidR="007147B8" w:rsidRPr="00242055"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 xml:space="preserve">GPC </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1.00</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1.04</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0.81</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1.10</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0.53</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0.58</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2.74</w:t>
            </w:r>
          </w:p>
        </w:tc>
        <w:tc>
          <w:tcPr>
            <w:tcW w:w="406"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2.16</w:t>
            </w:r>
          </w:p>
        </w:tc>
        <w:tc>
          <w:tcPr>
            <w:tcW w:w="405" w:type="pct"/>
            <w:tcBorders>
              <w:top w:val="nil"/>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jc w:val="center"/>
              <w:rPr>
                <w:rFonts w:ascii="Times New Roman" w:eastAsia="Times New Roman" w:hAnsi="Times New Roman" w:cs="Times New Roman"/>
                <w:color w:val="000000"/>
                <w:sz w:val="16"/>
                <w:szCs w:val="16"/>
              </w:rPr>
            </w:pPr>
            <w:r w:rsidRPr="00242055">
              <w:rPr>
                <w:rFonts w:ascii="Times New Roman" w:eastAsia="Times New Roman" w:hAnsi="Times New Roman" w:cs="Times New Roman"/>
                <w:color w:val="000000"/>
                <w:sz w:val="16"/>
                <w:szCs w:val="16"/>
              </w:rPr>
              <w:t>2.23</w:t>
            </w:r>
          </w:p>
        </w:tc>
      </w:tr>
      <w:tr w:rsidR="007147B8" w:rsidRPr="00242055" w:rsidTr="00E613FF">
        <w:trPr>
          <w:trHeight w:val="300"/>
        </w:trPr>
        <w:tc>
          <w:tcPr>
            <w:tcW w:w="1346" w:type="pct"/>
            <w:tcBorders>
              <w:top w:val="single" w:sz="4" w:space="0" w:color="auto"/>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rPr>
                <w:rFonts w:ascii="Calibri" w:eastAsia="Times New Roman" w:hAnsi="Calibri" w:cs="Times New Roman"/>
                <w:color w:val="000000"/>
              </w:rPr>
            </w:pPr>
          </w:p>
        </w:tc>
        <w:tc>
          <w:tcPr>
            <w:tcW w:w="405" w:type="pct"/>
            <w:tcBorders>
              <w:top w:val="single" w:sz="4" w:space="0" w:color="auto"/>
              <w:left w:val="nil"/>
              <w:bottom w:val="single" w:sz="4" w:space="0" w:color="auto"/>
              <w:right w:val="nil"/>
            </w:tcBorders>
            <w:shd w:val="clear" w:color="auto" w:fill="auto"/>
            <w:noWrap/>
            <w:vAlign w:val="bottom"/>
            <w:hideMark/>
          </w:tcPr>
          <w:p w:rsidR="007147B8" w:rsidRPr="00242055" w:rsidRDefault="007147B8" w:rsidP="00E613FF">
            <w:pPr>
              <w:spacing w:after="0" w:line="240" w:lineRule="atLeast"/>
              <w:rPr>
                <w:rFonts w:ascii="Calibri" w:eastAsia="Times New Roman" w:hAnsi="Calibri" w:cs="Times New Roman"/>
                <w:color w:val="000000"/>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Pr="002F66BF"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23</w:t>
      </w:r>
      <w:r w:rsidR="007147B8">
        <w:rPr>
          <w:rFonts w:ascii="Times New Roman" w:hAnsi="Times New Roman" w:cs="Times New Roman"/>
          <w:b/>
          <w:sz w:val="16"/>
          <w:szCs w:val="16"/>
        </w:rPr>
        <w:t xml:space="preserve">A: Cow #6 Average </w:t>
      </w:r>
      <w:r w:rsidR="007147B8">
        <w:rPr>
          <w:rFonts w:ascii="Times New Roman" w:eastAsia="Times New Roman" w:hAnsi="Times New Roman" w:cs="Times New Roman"/>
          <w:b/>
          <w:bCs/>
          <w:color w:val="000000"/>
          <w:sz w:val="16"/>
          <w:szCs w:val="16"/>
        </w:rPr>
        <w:t>µM in Milk Used in Figure 7</w:t>
      </w:r>
    </w:p>
    <w:tbl>
      <w:tblPr>
        <w:tblW w:w="5000" w:type="pct"/>
        <w:tblLook w:val="04A0" w:firstRow="1" w:lastRow="0" w:firstColumn="1" w:lastColumn="0" w:noHBand="0" w:noVBand="1"/>
      </w:tblPr>
      <w:tblGrid>
        <w:gridCol w:w="2578"/>
        <w:gridCol w:w="778"/>
        <w:gridCol w:w="778"/>
        <w:gridCol w:w="778"/>
        <w:gridCol w:w="778"/>
        <w:gridCol w:w="779"/>
        <w:gridCol w:w="779"/>
        <w:gridCol w:w="779"/>
        <w:gridCol w:w="779"/>
        <w:gridCol w:w="770"/>
      </w:tblGrid>
      <w:tr w:rsidR="007147B8" w:rsidRPr="008838EE"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Average µM</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Week of Lactation</w:t>
            </w:r>
          </w:p>
        </w:tc>
      </w:tr>
      <w:tr w:rsidR="007147B8" w:rsidRPr="008838EE"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Lipid</w:t>
            </w:r>
          </w:p>
        </w:tc>
        <w:tc>
          <w:tcPr>
            <w:tcW w:w="406"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1</w:t>
            </w:r>
          </w:p>
        </w:tc>
        <w:tc>
          <w:tcPr>
            <w:tcW w:w="406"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2</w:t>
            </w:r>
          </w:p>
        </w:tc>
        <w:tc>
          <w:tcPr>
            <w:tcW w:w="406"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4</w:t>
            </w:r>
          </w:p>
        </w:tc>
        <w:tc>
          <w:tcPr>
            <w:tcW w:w="407"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5</w:t>
            </w:r>
          </w:p>
        </w:tc>
        <w:tc>
          <w:tcPr>
            <w:tcW w:w="407"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6</w:t>
            </w:r>
          </w:p>
        </w:tc>
        <w:tc>
          <w:tcPr>
            <w:tcW w:w="407"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7</w:t>
            </w:r>
          </w:p>
        </w:tc>
        <w:tc>
          <w:tcPr>
            <w:tcW w:w="407"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8</w:t>
            </w:r>
          </w:p>
        </w:tc>
        <w:tc>
          <w:tcPr>
            <w:tcW w:w="403"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b/>
                <w:bCs/>
                <w:color w:val="000000"/>
                <w:sz w:val="16"/>
                <w:szCs w:val="16"/>
              </w:rPr>
            </w:pPr>
            <w:r w:rsidRPr="008838EE">
              <w:rPr>
                <w:rFonts w:ascii="Times New Roman" w:eastAsia="Times New Roman" w:hAnsi="Times New Roman" w:cs="Times New Roman"/>
                <w:b/>
                <w:bCs/>
                <w:color w:val="000000"/>
                <w:sz w:val="16"/>
                <w:szCs w:val="16"/>
              </w:rPr>
              <w:t>9</w:t>
            </w:r>
          </w:p>
        </w:tc>
      </w:tr>
      <w:tr w:rsidR="007147B8" w:rsidRPr="008838EE"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 xml:space="preserve">AcCho </w:t>
            </w:r>
          </w:p>
        </w:tc>
        <w:tc>
          <w:tcPr>
            <w:tcW w:w="406" w:type="pct"/>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0.10</w:t>
            </w:r>
          </w:p>
        </w:tc>
        <w:tc>
          <w:tcPr>
            <w:tcW w:w="407" w:type="pct"/>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0.07</w:t>
            </w:r>
          </w:p>
        </w:tc>
        <w:tc>
          <w:tcPr>
            <w:tcW w:w="407" w:type="pct"/>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0.05</w:t>
            </w:r>
          </w:p>
        </w:tc>
        <w:tc>
          <w:tcPr>
            <w:tcW w:w="407" w:type="pct"/>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0.00</w:t>
            </w:r>
          </w:p>
        </w:tc>
        <w:tc>
          <w:tcPr>
            <w:tcW w:w="407" w:type="pct"/>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0.01</w:t>
            </w:r>
          </w:p>
        </w:tc>
        <w:tc>
          <w:tcPr>
            <w:tcW w:w="403" w:type="pct"/>
            <w:tcBorders>
              <w:top w:val="single" w:sz="4" w:space="0" w:color="auto"/>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0.01</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 xml:space="preserve">Bet </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184.34</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65.43</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28.29</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21.36</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15.81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13.10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41.29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62.71</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138.70</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 xml:space="preserve">Cho </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19.55</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24.73</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37.25</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132.13</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53.18</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53.25</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51.29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72.74</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175.80</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LPC 16:0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0.86</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0.88</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0.93</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0.71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0.75</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0.79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1.82</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1.68</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0.89</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LPC 18:2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1.12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1.20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0.51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0.35</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0.30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0.19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0.26</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0.23</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0.16</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LPC 18:1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2.01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1.63</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1.01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0.47</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0.45</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0.58</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0.59</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0.33</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LPC 18:0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0.23</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0.39</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0.31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0.27</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0.48</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0.53</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0.28</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LPC Total</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4.22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4.11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2.86</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1.85</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1.71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1.50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3.14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3.03</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1.66</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16:0/16:1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3.34</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4.13</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5.22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7.14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8.49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8.47</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27.10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29.68</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27.74</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16:0/22:6,18:1/22:5,18:2/20:4</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0.67</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0.82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0.68</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0.75</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0.61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0.90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1.32</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3.06</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2.10</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18:1/20:4,18:0/20:5,16:0/22:5</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2.58</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2.07</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2.51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2.41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1.81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2.36</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3.63</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6.44</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6.70</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18:0/20:4</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1.35</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1.22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1.40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1.53</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1.76</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1.75</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4.03</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4.70</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6.51</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18:0/20:3</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0.62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0.67</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0.72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0.74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0.95</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1.01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2.36</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3.03</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3.41</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18:1/22:6</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0.27</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0.32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0.30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0.26</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0.76</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0.85</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18:0/22:6,18:1/22:5</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0.54</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0.76</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0.51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0.48</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0.74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0.52</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3.15</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1.41</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18:0/22:5</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0.62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0.64</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0.52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0.39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0.22</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0.54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2.57</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1.09</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16:0/16:0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15.10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15.92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19.79</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38.67</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30.49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29.75</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72.30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83.39</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100.92</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16:0/18:2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13.00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19.30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21.07</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29.50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30.98</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27.90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84.83</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80.79</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98.60</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16:0/18:1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33.73</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45.74</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51.92</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86.95</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61.38</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55.53</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161.54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171.71</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242.73</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16:0/20:5,16:1/20:4</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0.47</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0.39</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0.45</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0.48</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0.48</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0.59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1.51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2.00</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2.63</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16:0/20:4</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3.39</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4.04</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4.46</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7.31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5.81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5.14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12.20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12.69</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15.97</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16:0/20:3</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10.56</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15.50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15.77</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23.77</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18.91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16.90</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42.84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40.35</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51.18</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18:0/18:2,18:1/18:1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22.17</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33.77</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32.59</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46.36</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33.49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30.43</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74.35</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75.41</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91.15</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18:0/18:1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12.20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17.44</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16.83</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22.87</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18.77</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17.54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40.63</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41.10</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50.23</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PtCho Total</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120.60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162.75</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174.75</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269.59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214.62</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199.84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530.14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560.83</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703.22</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Pcho</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502.10</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488.35</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270.37</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158.49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109.41</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48.99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15.99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33.68</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46.65</w:t>
            </w:r>
          </w:p>
        </w:tc>
      </w:tr>
      <w:tr w:rsidR="007147B8" w:rsidRPr="008838EE" w:rsidTr="00E613FF">
        <w:trPr>
          <w:trHeight w:val="300"/>
        </w:trPr>
        <w:tc>
          <w:tcPr>
            <w:tcW w:w="134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 xml:space="preserve">SM </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45.69</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48.41</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50.78</w:t>
            </w:r>
          </w:p>
        </w:tc>
        <w:tc>
          <w:tcPr>
            <w:tcW w:w="406"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45.08</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28.29</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24.74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29.64</w:t>
            </w:r>
          </w:p>
        </w:tc>
        <w:tc>
          <w:tcPr>
            <w:tcW w:w="407"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29.53</w:t>
            </w:r>
          </w:p>
        </w:tc>
        <w:tc>
          <w:tcPr>
            <w:tcW w:w="403" w:type="pct"/>
            <w:tcBorders>
              <w:top w:val="nil"/>
              <w:left w:val="nil"/>
              <w:bottom w:val="nil"/>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33.92</w:t>
            </w:r>
          </w:p>
        </w:tc>
      </w:tr>
      <w:tr w:rsidR="007147B8" w:rsidRPr="008838EE"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 xml:space="preserve">GPC </w:t>
            </w:r>
          </w:p>
        </w:tc>
        <w:tc>
          <w:tcPr>
            <w:tcW w:w="406"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135.38</w:t>
            </w:r>
          </w:p>
        </w:tc>
        <w:tc>
          <w:tcPr>
            <w:tcW w:w="406"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114.92</w:t>
            </w:r>
          </w:p>
        </w:tc>
        <w:tc>
          <w:tcPr>
            <w:tcW w:w="406"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120.29</w:t>
            </w:r>
          </w:p>
        </w:tc>
        <w:tc>
          <w:tcPr>
            <w:tcW w:w="406"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53.88</w:t>
            </w:r>
          </w:p>
        </w:tc>
        <w:tc>
          <w:tcPr>
            <w:tcW w:w="407"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79.71</w:t>
            </w:r>
          </w:p>
        </w:tc>
        <w:tc>
          <w:tcPr>
            <w:tcW w:w="407"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54.98</w:t>
            </w:r>
          </w:p>
        </w:tc>
        <w:tc>
          <w:tcPr>
            <w:tcW w:w="407"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234.12</w:t>
            </w:r>
          </w:p>
        </w:tc>
        <w:tc>
          <w:tcPr>
            <w:tcW w:w="407"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223.67</w:t>
            </w:r>
          </w:p>
        </w:tc>
        <w:tc>
          <w:tcPr>
            <w:tcW w:w="403" w:type="pct"/>
            <w:tcBorders>
              <w:top w:val="nil"/>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jc w:val="center"/>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261.53</w:t>
            </w:r>
          </w:p>
        </w:tc>
      </w:tr>
      <w:tr w:rsidR="007147B8" w:rsidRPr="008838EE" w:rsidTr="00E613FF">
        <w:trPr>
          <w:trHeight w:val="300"/>
        </w:trPr>
        <w:tc>
          <w:tcPr>
            <w:tcW w:w="5000" w:type="pct"/>
            <w:gridSpan w:val="10"/>
            <w:tcBorders>
              <w:top w:val="single" w:sz="4" w:space="0" w:color="auto"/>
              <w:left w:val="nil"/>
              <w:bottom w:val="single" w:sz="4" w:space="0" w:color="auto"/>
              <w:right w:val="nil"/>
            </w:tcBorders>
            <w:shd w:val="clear" w:color="auto" w:fill="auto"/>
            <w:noWrap/>
            <w:vAlign w:val="bottom"/>
            <w:hideMark/>
          </w:tcPr>
          <w:p w:rsidR="007147B8" w:rsidRPr="008838EE" w:rsidRDefault="007147B8" w:rsidP="00E613FF">
            <w:pPr>
              <w:spacing w:after="0" w:line="240" w:lineRule="atLeast"/>
              <w:rPr>
                <w:rFonts w:ascii="Times New Roman" w:eastAsia="Times New Roman" w:hAnsi="Times New Roman" w:cs="Times New Roman"/>
                <w:color w:val="000000"/>
                <w:sz w:val="16"/>
                <w:szCs w:val="16"/>
              </w:rPr>
            </w:pPr>
            <w:r w:rsidRPr="008838EE">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Pr="002F66BF"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23</w:t>
      </w:r>
      <w:r w:rsidR="007147B8">
        <w:rPr>
          <w:rFonts w:ascii="Times New Roman" w:hAnsi="Times New Roman" w:cs="Times New Roman"/>
          <w:b/>
          <w:sz w:val="16"/>
          <w:szCs w:val="16"/>
        </w:rPr>
        <w:t>B: Cow #6 Fold Change in Milk Used in Figure 7</w:t>
      </w:r>
    </w:p>
    <w:tbl>
      <w:tblPr>
        <w:tblW w:w="5000" w:type="pct"/>
        <w:tblLook w:val="04A0" w:firstRow="1" w:lastRow="0" w:firstColumn="1" w:lastColumn="0" w:noHBand="0" w:noVBand="1"/>
      </w:tblPr>
      <w:tblGrid>
        <w:gridCol w:w="2578"/>
        <w:gridCol w:w="778"/>
        <w:gridCol w:w="778"/>
        <w:gridCol w:w="778"/>
        <w:gridCol w:w="778"/>
        <w:gridCol w:w="779"/>
        <w:gridCol w:w="779"/>
        <w:gridCol w:w="779"/>
        <w:gridCol w:w="779"/>
        <w:gridCol w:w="770"/>
      </w:tblGrid>
      <w:tr w:rsidR="007147B8" w:rsidRPr="00976C6F"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Fold Change Relative to Week 1</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Week of Lactation</w:t>
            </w:r>
          </w:p>
        </w:tc>
      </w:tr>
      <w:tr w:rsidR="007147B8" w:rsidRPr="00976C6F"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Lipid</w:t>
            </w:r>
          </w:p>
        </w:tc>
        <w:tc>
          <w:tcPr>
            <w:tcW w:w="406"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1</w:t>
            </w:r>
          </w:p>
        </w:tc>
        <w:tc>
          <w:tcPr>
            <w:tcW w:w="406"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2</w:t>
            </w:r>
          </w:p>
        </w:tc>
        <w:tc>
          <w:tcPr>
            <w:tcW w:w="406"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4</w:t>
            </w:r>
          </w:p>
        </w:tc>
        <w:tc>
          <w:tcPr>
            <w:tcW w:w="407"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5</w:t>
            </w:r>
          </w:p>
        </w:tc>
        <w:tc>
          <w:tcPr>
            <w:tcW w:w="407"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6</w:t>
            </w:r>
          </w:p>
        </w:tc>
        <w:tc>
          <w:tcPr>
            <w:tcW w:w="407"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7</w:t>
            </w:r>
          </w:p>
        </w:tc>
        <w:tc>
          <w:tcPr>
            <w:tcW w:w="407"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8</w:t>
            </w:r>
          </w:p>
        </w:tc>
        <w:tc>
          <w:tcPr>
            <w:tcW w:w="403"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b/>
                <w:bCs/>
                <w:color w:val="000000"/>
                <w:sz w:val="16"/>
                <w:szCs w:val="16"/>
              </w:rPr>
            </w:pPr>
            <w:r w:rsidRPr="00976C6F">
              <w:rPr>
                <w:rFonts w:ascii="Times New Roman" w:eastAsia="Times New Roman" w:hAnsi="Times New Roman" w:cs="Times New Roman"/>
                <w:b/>
                <w:bCs/>
                <w:color w:val="000000"/>
                <w:sz w:val="16"/>
                <w:szCs w:val="16"/>
              </w:rPr>
              <w:t>9</w:t>
            </w:r>
          </w:p>
        </w:tc>
      </w:tr>
      <w:tr w:rsidR="007147B8" w:rsidRPr="00976C6F"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 xml:space="preserve">AcCho </w:t>
            </w:r>
          </w:p>
        </w:tc>
        <w:tc>
          <w:tcPr>
            <w:tcW w:w="406" w:type="pct"/>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7" w:type="pct"/>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0.71</w:t>
            </w:r>
          </w:p>
        </w:tc>
        <w:tc>
          <w:tcPr>
            <w:tcW w:w="407" w:type="pct"/>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0.49</w:t>
            </w:r>
          </w:p>
        </w:tc>
        <w:tc>
          <w:tcPr>
            <w:tcW w:w="407" w:type="pct"/>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0.01</w:t>
            </w:r>
          </w:p>
        </w:tc>
        <w:tc>
          <w:tcPr>
            <w:tcW w:w="407" w:type="pct"/>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0.09</w:t>
            </w:r>
          </w:p>
        </w:tc>
        <w:tc>
          <w:tcPr>
            <w:tcW w:w="403" w:type="pct"/>
            <w:tcBorders>
              <w:top w:val="single" w:sz="4" w:space="0" w:color="auto"/>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0.07</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 xml:space="preserve">Bet </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0.15</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0.12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0.09</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0.07</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0.22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0.34</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0.75</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 xml:space="preserve">Cho </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1.26</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1.90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6.76</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2.72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2.72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2.62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3.72</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8.99</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LPC 16:0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1.03</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1.09</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0.83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0.87</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2.12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1.96</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1.04</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LPC 18:2</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1.07</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0.45</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0.31</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0.27</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0.17</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0.23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0.21</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0.15</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LPC 18:1</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0.81</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0.50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0.23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0.22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0.12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0.29</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0.29</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0.16</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LPC 18:0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1.68</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1.77</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1.33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0.89</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1.15</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2.06</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2.26</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1.19</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LPC Total</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0.97</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0.68</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0.44</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0.40</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0.36</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0.74</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0.72</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0.39</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16:0/16:1</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1.24</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1.56</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2.13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2.54</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2.53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8.10</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8.87</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8.29</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16:0/22:6,18:1/22:5,18:2/20:4</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1.23</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1.02</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1.13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1.36</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1.98</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4.59</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3.15</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18:1/20:4,18:0/20:5,16:0/22:5</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0.80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0.97</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0.70</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1.41</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2.50</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2.60</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18:0/20:4</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0.91</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1.04</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1.14</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1.31</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1.30</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2.99</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3.49</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4.83</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18:0/20:3</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1.08</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1.16</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1.20</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1.53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1.63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3.82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4.90</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5.51</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18:1/22:6</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1.17</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1.11</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0.97</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0.73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1.49</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1.64</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2.82</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3.15</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18:0/22:6,18:1/22:5</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1.41</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0.95</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0.88</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0.53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1.37</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0.96</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5.84</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2.62</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18:0/22:5</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1.04</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0.85</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0.63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0.35</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0.66</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0.87</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4.17</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1.77</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16:0/16:0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1.05</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1.31</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2.56</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2.02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1.97</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4.79</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5.52</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6.68</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16:0/18:2</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1.49</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1.62</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2.27</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2.38</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2.15</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6.53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6.22</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7.59</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16:0/18:1</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1.36</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1.54</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2.58</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1.82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1.65</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4.79</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5.09</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7.20</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16:0/20:5,16:1/20:4</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0.83</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0.96</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1.26</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3.22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4.26</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5.61</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16:0/20:4</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1.19</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1.32</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2.15</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1.71</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1.52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3.60</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3.74</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4.71</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16:0/20:3</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1.47</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1.49</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2.25</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1.79</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1.60</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4.06</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3.82</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4.85</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18:0/18:2,18:1/18:1</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1.52</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1.47</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2.09</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1.51</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1.37</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3.35</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3.40</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4.11</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18:0/18:1</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1.43</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1.38</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1.87</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1.54</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1.44</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3.33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3.37</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4.12</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PtCho Total</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1.35</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1.45</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2.24</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1.78</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1.66</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4.40</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4.65</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5.83</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Pcho</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0.97</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0.54</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0.32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0.22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0.10</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0.03</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0.07</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0.09</w:t>
            </w:r>
          </w:p>
        </w:tc>
      </w:tr>
      <w:tr w:rsidR="007147B8" w:rsidRPr="00976C6F" w:rsidTr="00E613FF">
        <w:trPr>
          <w:trHeight w:val="300"/>
        </w:trPr>
        <w:tc>
          <w:tcPr>
            <w:tcW w:w="134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 xml:space="preserve">SM </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1.06</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1.11</w:t>
            </w:r>
          </w:p>
        </w:tc>
        <w:tc>
          <w:tcPr>
            <w:tcW w:w="406"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0.99</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0.62</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0.54</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0.65</w:t>
            </w:r>
          </w:p>
        </w:tc>
        <w:tc>
          <w:tcPr>
            <w:tcW w:w="407"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0.65</w:t>
            </w:r>
          </w:p>
        </w:tc>
        <w:tc>
          <w:tcPr>
            <w:tcW w:w="403" w:type="pct"/>
            <w:tcBorders>
              <w:top w:val="nil"/>
              <w:left w:val="nil"/>
              <w:bottom w:val="nil"/>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0.74</w:t>
            </w:r>
          </w:p>
        </w:tc>
      </w:tr>
      <w:tr w:rsidR="007147B8" w:rsidRPr="00976C6F"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 xml:space="preserve">GPC </w:t>
            </w:r>
          </w:p>
        </w:tc>
        <w:tc>
          <w:tcPr>
            <w:tcW w:w="406"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1.00</w:t>
            </w:r>
          </w:p>
        </w:tc>
        <w:tc>
          <w:tcPr>
            <w:tcW w:w="406"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0.85</w:t>
            </w:r>
          </w:p>
        </w:tc>
        <w:tc>
          <w:tcPr>
            <w:tcW w:w="406"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0.89</w:t>
            </w:r>
          </w:p>
        </w:tc>
        <w:tc>
          <w:tcPr>
            <w:tcW w:w="406"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0.40</w:t>
            </w:r>
          </w:p>
        </w:tc>
        <w:tc>
          <w:tcPr>
            <w:tcW w:w="407"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0.59</w:t>
            </w:r>
          </w:p>
        </w:tc>
        <w:tc>
          <w:tcPr>
            <w:tcW w:w="407"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0.41</w:t>
            </w:r>
          </w:p>
        </w:tc>
        <w:tc>
          <w:tcPr>
            <w:tcW w:w="407"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1.73</w:t>
            </w:r>
          </w:p>
        </w:tc>
        <w:tc>
          <w:tcPr>
            <w:tcW w:w="407"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1.65</w:t>
            </w:r>
          </w:p>
        </w:tc>
        <w:tc>
          <w:tcPr>
            <w:tcW w:w="403" w:type="pct"/>
            <w:tcBorders>
              <w:top w:val="nil"/>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jc w:val="center"/>
              <w:rPr>
                <w:rFonts w:ascii="Times New Roman" w:eastAsia="Times New Roman" w:hAnsi="Times New Roman" w:cs="Times New Roman"/>
                <w:color w:val="000000"/>
                <w:sz w:val="16"/>
                <w:szCs w:val="16"/>
              </w:rPr>
            </w:pPr>
            <w:r w:rsidRPr="00976C6F">
              <w:rPr>
                <w:rFonts w:ascii="Times New Roman" w:eastAsia="Times New Roman" w:hAnsi="Times New Roman" w:cs="Times New Roman"/>
                <w:color w:val="000000"/>
                <w:sz w:val="16"/>
                <w:szCs w:val="16"/>
              </w:rPr>
              <w:t>1.93</w:t>
            </w:r>
          </w:p>
        </w:tc>
      </w:tr>
      <w:tr w:rsidR="007147B8" w:rsidRPr="00976C6F" w:rsidTr="00E613FF">
        <w:trPr>
          <w:trHeight w:val="300"/>
        </w:trPr>
        <w:tc>
          <w:tcPr>
            <w:tcW w:w="1346" w:type="pct"/>
            <w:tcBorders>
              <w:top w:val="single" w:sz="4" w:space="0" w:color="auto"/>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rPr>
                <w:rFonts w:ascii="Calibri" w:eastAsia="Times New Roman" w:hAnsi="Calibri" w:cs="Times New Roman"/>
                <w:color w:val="000000"/>
              </w:rPr>
            </w:pPr>
          </w:p>
        </w:tc>
        <w:tc>
          <w:tcPr>
            <w:tcW w:w="406" w:type="pct"/>
            <w:tcBorders>
              <w:top w:val="single" w:sz="4" w:space="0" w:color="auto"/>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rPr>
                <w:rFonts w:ascii="Calibri" w:eastAsia="Times New Roman" w:hAnsi="Calibri" w:cs="Times New Roman"/>
                <w:color w:val="000000"/>
              </w:rPr>
            </w:pPr>
          </w:p>
        </w:tc>
        <w:tc>
          <w:tcPr>
            <w:tcW w:w="407" w:type="pct"/>
            <w:tcBorders>
              <w:top w:val="single" w:sz="4" w:space="0" w:color="auto"/>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rPr>
                <w:rFonts w:ascii="Calibri" w:eastAsia="Times New Roman" w:hAnsi="Calibri" w:cs="Times New Roman"/>
                <w:color w:val="000000"/>
              </w:rPr>
            </w:pPr>
          </w:p>
        </w:tc>
        <w:tc>
          <w:tcPr>
            <w:tcW w:w="407" w:type="pct"/>
            <w:tcBorders>
              <w:top w:val="single" w:sz="4" w:space="0" w:color="auto"/>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rPr>
                <w:rFonts w:ascii="Calibri" w:eastAsia="Times New Roman" w:hAnsi="Calibri" w:cs="Times New Roman"/>
                <w:color w:val="000000"/>
              </w:rPr>
            </w:pPr>
          </w:p>
        </w:tc>
        <w:tc>
          <w:tcPr>
            <w:tcW w:w="407" w:type="pct"/>
            <w:tcBorders>
              <w:top w:val="single" w:sz="4" w:space="0" w:color="auto"/>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rPr>
                <w:rFonts w:ascii="Calibri" w:eastAsia="Times New Roman" w:hAnsi="Calibri" w:cs="Times New Roman"/>
                <w:color w:val="000000"/>
              </w:rPr>
            </w:pPr>
          </w:p>
        </w:tc>
        <w:tc>
          <w:tcPr>
            <w:tcW w:w="407" w:type="pct"/>
            <w:tcBorders>
              <w:top w:val="single" w:sz="4" w:space="0" w:color="auto"/>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rPr>
                <w:rFonts w:ascii="Calibri" w:eastAsia="Times New Roman" w:hAnsi="Calibri" w:cs="Times New Roman"/>
                <w:color w:val="000000"/>
              </w:rPr>
            </w:pPr>
          </w:p>
        </w:tc>
        <w:tc>
          <w:tcPr>
            <w:tcW w:w="403" w:type="pct"/>
            <w:tcBorders>
              <w:top w:val="single" w:sz="4" w:space="0" w:color="auto"/>
              <w:left w:val="nil"/>
              <w:bottom w:val="single" w:sz="4" w:space="0" w:color="auto"/>
              <w:right w:val="nil"/>
            </w:tcBorders>
            <w:shd w:val="clear" w:color="auto" w:fill="auto"/>
            <w:noWrap/>
            <w:vAlign w:val="bottom"/>
            <w:hideMark/>
          </w:tcPr>
          <w:p w:rsidR="007147B8" w:rsidRPr="00976C6F" w:rsidRDefault="007147B8" w:rsidP="00E613FF">
            <w:pPr>
              <w:spacing w:after="0" w:line="240" w:lineRule="atLeast"/>
              <w:rPr>
                <w:rFonts w:ascii="Calibri" w:eastAsia="Times New Roman" w:hAnsi="Calibri" w:cs="Times New Roman"/>
                <w:color w:val="000000"/>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Pr="00FB51EC"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24</w:t>
      </w:r>
      <w:r w:rsidR="007147B8">
        <w:rPr>
          <w:rFonts w:ascii="Times New Roman" w:hAnsi="Times New Roman" w:cs="Times New Roman"/>
          <w:b/>
          <w:sz w:val="16"/>
          <w:szCs w:val="16"/>
        </w:rPr>
        <w:t xml:space="preserve">A: Cow #7 Average </w:t>
      </w:r>
      <w:r w:rsidR="007147B8">
        <w:rPr>
          <w:rFonts w:ascii="Times New Roman" w:eastAsia="Times New Roman" w:hAnsi="Times New Roman" w:cs="Times New Roman"/>
          <w:b/>
          <w:bCs/>
          <w:color w:val="000000"/>
          <w:sz w:val="16"/>
          <w:szCs w:val="16"/>
        </w:rPr>
        <w:t>µM in Milk Used in Figure 7</w:t>
      </w:r>
    </w:p>
    <w:tbl>
      <w:tblPr>
        <w:tblW w:w="5000" w:type="pct"/>
        <w:tblLook w:val="04A0" w:firstRow="1" w:lastRow="0" w:firstColumn="1" w:lastColumn="0" w:noHBand="0" w:noVBand="1"/>
      </w:tblPr>
      <w:tblGrid>
        <w:gridCol w:w="2577"/>
        <w:gridCol w:w="777"/>
        <w:gridCol w:w="777"/>
        <w:gridCol w:w="777"/>
        <w:gridCol w:w="778"/>
        <w:gridCol w:w="778"/>
        <w:gridCol w:w="778"/>
        <w:gridCol w:w="778"/>
        <w:gridCol w:w="778"/>
        <w:gridCol w:w="778"/>
      </w:tblGrid>
      <w:tr w:rsidR="007147B8" w:rsidRPr="00635B3B"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Average µM</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p>
        </w:tc>
        <w:tc>
          <w:tcPr>
            <w:tcW w:w="3654" w:type="pct"/>
            <w:gridSpan w:val="9"/>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Week of Lactation</w:t>
            </w:r>
          </w:p>
        </w:tc>
      </w:tr>
      <w:tr w:rsidR="007147B8" w:rsidRPr="00635B3B"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Lipid</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1</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2</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6</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7</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8</w:t>
            </w:r>
          </w:p>
        </w:tc>
        <w:tc>
          <w:tcPr>
            <w:tcW w:w="408"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b/>
                <w:bCs/>
                <w:color w:val="000000"/>
                <w:sz w:val="16"/>
                <w:szCs w:val="16"/>
              </w:rPr>
            </w:pPr>
            <w:r w:rsidRPr="00635B3B">
              <w:rPr>
                <w:rFonts w:ascii="Times New Roman" w:eastAsia="Times New Roman" w:hAnsi="Times New Roman" w:cs="Times New Roman"/>
                <w:b/>
                <w:bCs/>
                <w:color w:val="000000"/>
                <w:sz w:val="16"/>
                <w:szCs w:val="16"/>
              </w:rPr>
              <w:t>9</w:t>
            </w:r>
          </w:p>
        </w:tc>
      </w:tr>
      <w:tr w:rsidR="007147B8" w:rsidRPr="00635B3B" w:rsidTr="00E613FF">
        <w:trPr>
          <w:trHeight w:val="300"/>
        </w:trPr>
        <w:tc>
          <w:tcPr>
            <w:tcW w:w="1346" w:type="pct"/>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 xml:space="preserve">AcCho </w:t>
            </w:r>
          </w:p>
        </w:tc>
        <w:tc>
          <w:tcPr>
            <w:tcW w:w="406" w:type="pct"/>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0.06</w:t>
            </w:r>
          </w:p>
        </w:tc>
        <w:tc>
          <w:tcPr>
            <w:tcW w:w="406" w:type="pct"/>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0.01</w:t>
            </w:r>
          </w:p>
        </w:tc>
        <w:tc>
          <w:tcPr>
            <w:tcW w:w="406" w:type="pct"/>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0.01</w:t>
            </w:r>
          </w:p>
        </w:tc>
        <w:tc>
          <w:tcPr>
            <w:tcW w:w="408" w:type="pct"/>
            <w:tcBorders>
              <w:top w:val="single" w:sz="4" w:space="0" w:color="auto"/>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0.01</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 xml:space="preserve">Bet </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88.68</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57.17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43.43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17.74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20.64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12.41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45.95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50.98</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53.49</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 xml:space="preserve">Cho </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14.59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30.54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58.31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113.24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202.25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113.45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132.57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123.23</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107.18</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LPC 16:0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0.84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0.54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0.55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0.70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1.17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1.07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2.40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2.38</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2.12</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LPC 18:2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0.69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0.37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0.32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0.14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0.33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0.25</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0.87</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LPC 18:1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0.57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0.51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0.57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0.80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0.74</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1.63</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LPC 18:0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0.38</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0.12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0.28</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0.96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0.62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0.83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0.91</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0.64</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LPC Total</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3.26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1.81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1.56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1.64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3.02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2.17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4.35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4.28</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5.27</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16:0/16:1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3.87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3.56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1.96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4.67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5.36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14.39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48.24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44.70</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31.41</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16:0/22:6,18:1/22:5,18:2/20:4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0.64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0.89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0.37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0.58</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1.02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1.41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1.35</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0.90</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18:1/20:4,18:0/20:5,16:0/22:5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3.15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2.71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2.07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2.48</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5.53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5.16</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3.39</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18:0/20:4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1.27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1.11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0.54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0.97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2.58</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5.57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5.91</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3.52</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18:0/20:3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0.52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0.19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0.73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3.18</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2.85</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2.00</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18:1/22:6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0.10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0.15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0.39</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0.18</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18:0/22:6,18:1/22:5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0.55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0.66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0.35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0.90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0.72</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0.40</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18:0/22:5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0.70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0.58</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0.82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0.69</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0.44</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16:0/16:0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20.31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22.41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12.80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24.52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25.83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61.90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152.52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141.50</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101.74</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16:0/18:2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17.87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16.29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8.21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19.45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20.75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48.83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89.46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87.43</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55.39</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16:0/18:1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50.64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45.28</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22.69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57.37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49.82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108.34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249.63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248.50</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157.10</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16:0/20:5,16:1/20:4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0.23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0.31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0.41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0.92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1.92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1.78</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1.09</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16:0/20:4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3.36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4.79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2.13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4.80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4.69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8.93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13.49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13.38</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8.19</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16:0/20:3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13.43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14.49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6.83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16.29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14.65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30.41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45.80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44.19</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28.39</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18:0/18:2,18:1/18:1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32.14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29.42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13.01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30.41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26.25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51.92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86.55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79.97</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52.29</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18:0/18:1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17.05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14.36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6.27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14.85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13.73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27.96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53.02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51.63</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32.03</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PtCho Total</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166.12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157.68</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78.10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176.55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166.29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362.10</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758.53</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730.14</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478.48</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Pcho</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520.96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575.07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524.05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132.94</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113.72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69.25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70.05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59.70</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62.32</w:t>
            </w:r>
          </w:p>
        </w:tc>
      </w:tr>
      <w:tr w:rsidR="007147B8" w:rsidRPr="00635B3B" w:rsidTr="00E613FF">
        <w:trPr>
          <w:trHeight w:val="300"/>
        </w:trPr>
        <w:tc>
          <w:tcPr>
            <w:tcW w:w="134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 xml:space="preserve">SM </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42.46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41.41</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24.29</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38.92</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38.75</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40.27</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32.06</w:t>
            </w:r>
          </w:p>
        </w:tc>
        <w:tc>
          <w:tcPr>
            <w:tcW w:w="406"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28.26</w:t>
            </w:r>
          </w:p>
        </w:tc>
        <w:tc>
          <w:tcPr>
            <w:tcW w:w="408" w:type="pct"/>
            <w:tcBorders>
              <w:top w:val="nil"/>
              <w:left w:val="nil"/>
              <w:bottom w:val="nil"/>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25.76</w:t>
            </w:r>
          </w:p>
        </w:tc>
      </w:tr>
      <w:tr w:rsidR="007147B8" w:rsidRPr="00635B3B" w:rsidTr="00E613FF">
        <w:trPr>
          <w:trHeight w:val="300"/>
        </w:trPr>
        <w:tc>
          <w:tcPr>
            <w:tcW w:w="134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 xml:space="preserve">GPC </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87.91</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71.21</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70.57</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65.31</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429.65</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418.06</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194.39</w:t>
            </w:r>
          </w:p>
        </w:tc>
        <w:tc>
          <w:tcPr>
            <w:tcW w:w="406"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81.55</w:t>
            </w:r>
          </w:p>
        </w:tc>
        <w:tc>
          <w:tcPr>
            <w:tcW w:w="408" w:type="pct"/>
            <w:tcBorders>
              <w:top w:val="nil"/>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jc w:val="center"/>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180.07</w:t>
            </w:r>
          </w:p>
        </w:tc>
      </w:tr>
      <w:tr w:rsidR="007147B8" w:rsidRPr="00635B3B" w:rsidTr="00E613FF">
        <w:trPr>
          <w:trHeight w:val="300"/>
        </w:trPr>
        <w:tc>
          <w:tcPr>
            <w:tcW w:w="5000" w:type="pct"/>
            <w:gridSpan w:val="10"/>
            <w:tcBorders>
              <w:top w:val="single" w:sz="4" w:space="0" w:color="auto"/>
              <w:left w:val="nil"/>
              <w:bottom w:val="single" w:sz="4" w:space="0" w:color="auto"/>
              <w:right w:val="nil"/>
            </w:tcBorders>
            <w:shd w:val="clear" w:color="auto" w:fill="auto"/>
            <w:noWrap/>
            <w:vAlign w:val="bottom"/>
            <w:hideMark/>
          </w:tcPr>
          <w:p w:rsidR="007147B8" w:rsidRPr="00635B3B" w:rsidRDefault="007147B8" w:rsidP="00E613FF">
            <w:pPr>
              <w:spacing w:after="0" w:line="240" w:lineRule="atLeast"/>
              <w:rPr>
                <w:rFonts w:ascii="Times New Roman" w:eastAsia="Times New Roman" w:hAnsi="Times New Roman" w:cs="Times New Roman"/>
                <w:color w:val="000000"/>
                <w:sz w:val="16"/>
                <w:szCs w:val="16"/>
              </w:rPr>
            </w:pPr>
            <w:r w:rsidRPr="00635B3B">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24</w:t>
      </w:r>
      <w:r w:rsidR="007147B8">
        <w:rPr>
          <w:rFonts w:ascii="Times New Roman" w:hAnsi="Times New Roman" w:cs="Times New Roman"/>
          <w:b/>
          <w:sz w:val="16"/>
          <w:szCs w:val="16"/>
        </w:rPr>
        <w:t>B: Cow #7 Fold Change in Milk Used in Figure 7</w:t>
      </w:r>
    </w:p>
    <w:tbl>
      <w:tblPr>
        <w:tblW w:w="5000" w:type="pct"/>
        <w:tblLook w:val="04A0" w:firstRow="1" w:lastRow="0" w:firstColumn="1" w:lastColumn="0" w:noHBand="0" w:noVBand="1"/>
      </w:tblPr>
      <w:tblGrid>
        <w:gridCol w:w="2577"/>
        <w:gridCol w:w="708"/>
        <w:gridCol w:w="710"/>
        <w:gridCol w:w="711"/>
        <w:gridCol w:w="711"/>
        <w:gridCol w:w="912"/>
        <w:gridCol w:w="711"/>
        <w:gridCol w:w="912"/>
        <w:gridCol w:w="912"/>
        <w:gridCol w:w="712"/>
      </w:tblGrid>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30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7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7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7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7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47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7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7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7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37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37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7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7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7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7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7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7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47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37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13.86</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7.78</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9.09</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8.45</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0.34</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0.38</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12.45</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11.54</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4.38</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4.65</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6.12</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5.47</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3.05</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6.97</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4.91</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4.60</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4.02</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3.99</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3.29</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4.57</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4.40</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7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w:t>
            </w:r>
          </w:p>
        </w:tc>
        <w:tc>
          <w:tcPr>
            <w:tcW w:w="37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37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w:t>
            </w:r>
          </w:p>
        </w:tc>
      </w:tr>
      <w:tr w:rsidR="007147B8" w:rsidTr="00E613FF">
        <w:trPr>
          <w:trHeight w:val="300"/>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70"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7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7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7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7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7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7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7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7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25</w:t>
      </w:r>
      <w:r w:rsidR="007147B8">
        <w:rPr>
          <w:rFonts w:ascii="Times New Roman" w:hAnsi="Times New Roman" w:cs="Times New Roman"/>
          <w:b/>
          <w:sz w:val="16"/>
          <w:szCs w:val="16"/>
        </w:rPr>
        <w:t xml:space="preserve">A: Cow #8 Average </w:t>
      </w:r>
      <w:r w:rsidR="007147B8">
        <w:rPr>
          <w:rFonts w:ascii="Times New Roman" w:eastAsia="Times New Roman" w:hAnsi="Times New Roman" w:cs="Times New Roman"/>
          <w:b/>
          <w:bCs/>
          <w:color w:val="000000"/>
          <w:sz w:val="16"/>
          <w:szCs w:val="16"/>
        </w:rPr>
        <w:t>µM in Milk Used in Figure 7</w:t>
      </w:r>
    </w:p>
    <w:tbl>
      <w:tblPr>
        <w:tblW w:w="5000" w:type="pct"/>
        <w:tblLook w:val="04A0" w:firstRow="1" w:lastRow="0" w:firstColumn="1" w:lastColumn="0" w:noHBand="0" w:noVBand="1"/>
      </w:tblPr>
      <w:tblGrid>
        <w:gridCol w:w="2577"/>
        <w:gridCol w:w="777"/>
        <w:gridCol w:w="777"/>
        <w:gridCol w:w="777"/>
        <w:gridCol w:w="778"/>
        <w:gridCol w:w="778"/>
        <w:gridCol w:w="778"/>
        <w:gridCol w:w="778"/>
        <w:gridCol w:w="778"/>
        <w:gridCol w:w="778"/>
      </w:tblGrid>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30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0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0.04</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0.02</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w:t>
            </w:r>
          </w:p>
        </w:tc>
        <w:tc>
          <w:tcPr>
            <w:tcW w:w="40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265.91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81.08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32.18</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67.53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59.92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51.63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65.69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127.19</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227.72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34.52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44.29</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5.10</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47.21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86.51</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86.32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98.06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81.10</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110.23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61.89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60.73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76.34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49.03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54.89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223.19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234.90</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325.04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13.76</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41.36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42.68</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55.54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34.20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39.46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75.41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89.34</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120.60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36.58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44.34</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69.09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117.32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192.76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151.89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581.75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654.52</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831.62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660.40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519.24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472.54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139.12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104.34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74.92</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117.77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56.34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29.80</w:t>
            </w:r>
          </w:p>
        </w:tc>
        <w:tc>
          <w:tcPr>
            <w:tcW w:w="40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45.81</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182.38</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48.33</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67.16</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85.52</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71.90</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85.67</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220.95</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171.65</w:t>
            </w:r>
          </w:p>
        </w:tc>
        <w:tc>
          <w:tcPr>
            <w:tcW w:w="40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130.58</w:t>
            </w: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25</w:t>
      </w:r>
      <w:r w:rsidR="007147B8">
        <w:rPr>
          <w:rFonts w:ascii="Times New Roman" w:hAnsi="Times New Roman" w:cs="Times New Roman"/>
          <w:b/>
          <w:sz w:val="16"/>
          <w:szCs w:val="16"/>
        </w:rPr>
        <w:t>B: Cow #8 Fold Change in Milk Used in Figure 7</w:t>
      </w:r>
    </w:p>
    <w:tbl>
      <w:tblPr>
        <w:tblW w:w="5000" w:type="pct"/>
        <w:tblLook w:val="04A0" w:firstRow="1" w:lastRow="0" w:firstColumn="1" w:lastColumn="0" w:noHBand="0" w:noVBand="1"/>
      </w:tblPr>
      <w:tblGrid>
        <w:gridCol w:w="2577"/>
        <w:gridCol w:w="731"/>
        <w:gridCol w:w="732"/>
        <w:gridCol w:w="732"/>
        <w:gridCol w:w="732"/>
        <w:gridCol w:w="732"/>
        <w:gridCol w:w="732"/>
        <w:gridCol w:w="732"/>
        <w:gridCol w:w="938"/>
        <w:gridCol w:w="938"/>
      </w:tblGrid>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30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9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9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0.34</w:t>
            </w:r>
          </w:p>
        </w:tc>
        <w:tc>
          <w:tcPr>
            <w:tcW w:w="49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w:t>
            </w:r>
          </w:p>
        </w:tc>
        <w:tc>
          <w:tcPr>
            <w:tcW w:w="49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0.12</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6.75</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13.08</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0.39</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49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49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r>
      <w:tr w:rsidR="007147B8" w:rsidTr="00E613FF">
        <w:trPr>
          <w:trHeight w:val="300"/>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90"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90"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26</w:t>
      </w:r>
      <w:r w:rsidR="007147B8">
        <w:rPr>
          <w:rFonts w:ascii="Times New Roman" w:hAnsi="Times New Roman" w:cs="Times New Roman"/>
          <w:b/>
          <w:sz w:val="16"/>
          <w:szCs w:val="16"/>
        </w:rPr>
        <w:t xml:space="preserve">A: Cow #9 Average </w:t>
      </w:r>
      <w:r w:rsidR="007147B8">
        <w:rPr>
          <w:rFonts w:ascii="Times New Roman" w:eastAsia="Times New Roman" w:hAnsi="Times New Roman" w:cs="Times New Roman"/>
          <w:b/>
          <w:bCs/>
          <w:color w:val="000000"/>
          <w:sz w:val="16"/>
          <w:szCs w:val="16"/>
        </w:rPr>
        <w:t>µM in Milk Used in Figure 7</w:t>
      </w:r>
    </w:p>
    <w:tbl>
      <w:tblPr>
        <w:tblW w:w="5000" w:type="pct"/>
        <w:tblLook w:val="04A0" w:firstRow="1" w:lastRow="0" w:firstColumn="1" w:lastColumn="0" w:noHBand="0" w:noVBand="1"/>
      </w:tblPr>
      <w:tblGrid>
        <w:gridCol w:w="2577"/>
        <w:gridCol w:w="777"/>
        <w:gridCol w:w="777"/>
        <w:gridCol w:w="777"/>
        <w:gridCol w:w="778"/>
        <w:gridCol w:w="778"/>
        <w:gridCol w:w="778"/>
        <w:gridCol w:w="778"/>
        <w:gridCol w:w="778"/>
        <w:gridCol w:w="778"/>
      </w:tblGrid>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30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0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0.05</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0.07</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0.08</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w:t>
            </w:r>
          </w:p>
        </w:tc>
        <w:tc>
          <w:tcPr>
            <w:tcW w:w="405"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143.86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58.51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34.74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58.31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77.38</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89.38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105.56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159.58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171.55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107.30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155.72</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129.83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52.42</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8.07</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8.37</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98.40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130.50</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97.76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73.58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89.12</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68.56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49.67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39.78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40.73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183.69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269.46</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186.21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17.13</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39.85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53.53</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40.35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78.64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106.30</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76.36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45.27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62.44</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96.95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186.40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148.68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141.70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124.27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137.86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586.37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811.36</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593.24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629.92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575.52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438.25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90.33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18.96</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44.47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46.75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39.64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37.06</w:t>
            </w:r>
          </w:p>
        </w:tc>
        <w:tc>
          <w:tcPr>
            <w:tcW w:w="40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32.17</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49.97</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80.08</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69.68</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49.47</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31.42</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50.49</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133.11</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78.75</w:t>
            </w:r>
          </w:p>
        </w:tc>
        <w:tc>
          <w:tcPr>
            <w:tcW w:w="40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133.71</w:t>
            </w: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26</w:t>
      </w:r>
      <w:r w:rsidR="007147B8">
        <w:rPr>
          <w:rFonts w:ascii="Times New Roman" w:hAnsi="Times New Roman" w:cs="Times New Roman"/>
          <w:b/>
          <w:sz w:val="16"/>
          <w:szCs w:val="16"/>
        </w:rPr>
        <w:t>B: Cow #9 Fold Change in Milk Used in Figure 7</w:t>
      </w:r>
    </w:p>
    <w:tbl>
      <w:tblPr>
        <w:tblW w:w="5000" w:type="pct"/>
        <w:tblLook w:val="04A0" w:firstRow="1" w:lastRow="0" w:firstColumn="1" w:lastColumn="0" w:noHBand="0" w:noVBand="1"/>
      </w:tblPr>
      <w:tblGrid>
        <w:gridCol w:w="2577"/>
        <w:gridCol w:w="731"/>
        <w:gridCol w:w="936"/>
        <w:gridCol w:w="732"/>
        <w:gridCol w:w="732"/>
        <w:gridCol w:w="732"/>
        <w:gridCol w:w="732"/>
        <w:gridCol w:w="732"/>
        <w:gridCol w:w="937"/>
        <w:gridCol w:w="735"/>
      </w:tblGrid>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30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48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8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38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8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0.04</w:t>
            </w:r>
          </w:p>
        </w:tc>
        <w:tc>
          <w:tcPr>
            <w:tcW w:w="48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38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4.07</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5.39</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6.21</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38.90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6.36</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5.48</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6.14</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9.86</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14.39</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4.07</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6.14</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4.91</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8.34</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3.38</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5.16</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6.08</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8.06</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7.09</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8.58</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7.12</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10.44</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4.86</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4.92</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6.83</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5.48</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7.36</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5.15</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6.96</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5.49</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7.57</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6.05</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8.37</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0.02</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w:t>
            </w:r>
          </w:p>
        </w:tc>
        <w:tc>
          <w:tcPr>
            <w:tcW w:w="48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w:t>
            </w:r>
          </w:p>
        </w:tc>
        <w:tc>
          <w:tcPr>
            <w:tcW w:w="38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w:t>
            </w:r>
          </w:p>
        </w:tc>
      </w:tr>
      <w:tr w:rsidR="007147B8" w:rsidTr="00E613FF">
        <w:trPr>
          <w:trHeight w:val="300"/>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89"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89"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27</w:t>
      </w:r>
      <w:r w:rsidR="007147B8">
        <w:rPr>
          <w:rFonts w:ascii="Times New Roman" w:hAnsi="Times New Roman" w:cs="Times New Roman"/>
          <w:b/>
          <w:sz w:val="16"/>
          <w:szCs w:val="16"/>
        </w:rPr>
        <w:t xml:space="preserve">A: Cow #10 Average </w:t>
      </w:r>
      <w:r w:rsidR="007147B8">
        <w:rPr>
          <w:rFonts w:ascii="Times New Roman" w:eastAsia="Times New Roman" w:hAnsi="Times New Roman" w:cs="Times New Roman"/>
          <w:b/>
          <w:bCs/>
          <w:color w:val="000000"/>
          <w:sz w:val="16"/>
          <w:szCs w:val="16"/>
        </w:rPr>
        <w:t>µM in Milk Used in Figure 7</w:t>
      </w:r>
    </w:p>
    <w:tbl>
      <w:tblPr>
        <w:tblW w:w="5000" w:type="pct"/>
        <w:tblLook w:val="04A0" w:firstRow="1" w:lastRow="0" w:firstColumn="1" w:lastColumn="0" w:noHBand="0" w:noVBand="1"/>
      </w:tblPr>
      <w:tblGrid>
        <w:gridCol w:w="2577"/>
        <w:gridCol w:w="777"/>
        <w:gridCol w:w="777"/>
        <w:gridCol w:w="777"/>
        <w:gridCol w:w="778"/>
        <w:gridCol w:w="778"/>
        <w:gridCol w:w="778"/>
        <w:gridCol w:w="778"/>
        <w:gridCol w:w="778"/>
        <w:gridCol w:w="778"/>
      </w:tblGrid>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30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0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0.08</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0.08</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0.09</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w:t>
            </w:r>
          </w:p>
        </w:tc>
        <w:tc>
          <w:tcPr>
            <w:tcW w:w="40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80.70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52.83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55.63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68.79</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69.73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60.26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84.33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92.17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120.47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150.37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158.80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157.98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151.18</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171.23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3.27</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55.77</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53.97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6.19</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5.61</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94.14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175.01</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183.31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80.74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116.15</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112.74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51.75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41.38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47.46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51.65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202.44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298.32</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314.78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17.65</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51.67</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50.87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72.51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94.06</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96.21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49.23</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166.25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154.73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169.10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154.16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145.52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577.85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878.97</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899.96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819.63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690.67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637.94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240.00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131.56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12.43</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38.10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56.77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54.24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50.38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38.66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37.74</w:t>
            </w:r>
          </w:p>
        </w:tc>
        <w:tc>
          <w:tcPr>
            <w:tcW w:w="40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41.18</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72.75</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49.61</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69.84</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37.81</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53.55</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32.26</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99.52</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133.32</w:t>
            </w:r>
          </w:p>
        </w:tc>
        <w:tc>
          <w:tcPr>
            <w:tcW w:w="40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148.59</w:t>
            </w: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27</w:t>
      </w:r>
      <w:r w:rsidR="007147B8">
        <w:rPr>
          <w:rFonts w:ascii="Times New Roman" w:hAnsi="Times New Roman" w:cs="Times New Roman"/>
          <w:b/>
          <w:sz w:val="16"/>
          <w:szCs w:val="16"/>
        </w:rPr>
        <w:t>B: Cow #10 Fold Change in Milk Used in Figure 7</w:t>
      </w:r>
    </w:p>
    <w:tbl>
      <w:tblPr>
        <w:tblW w:w="5000" w:type="pct"/>
        <w:tblLook w:val="04A0" w:firstRow="1" w:lastRow="0" w:firstColumn="1" w:lastColumn="0" w:noHBand="0" w:noVBand="1"/>
      </w:tblPr>
      <w:tblGrid>
        <w:gridCol w:w="2577"/>
        <w:gridCol w:w="733"/>
        <w:gridCol w:w="733"/>
        <w:gridCol w:w="732"/>
        <w:gridCol w:w="732"/>
        <w:gridCol w:w="732"/>
        <w:gridCol w:w="732"/>
        <w:gridCol w:w="732"/>
        <w:gridCol w:w="938"/>
        <w:gridCol w:w="935"/>
      </w:tblGrid>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30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8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8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9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8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38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8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c>
          <w:tcPr>
            <w:tcW w:w="38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49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48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5.48</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11.57</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3.92</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3.95</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6.16</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11.45</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12.00</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7.04</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6.83</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3.91</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6.08</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3.88</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4.62</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5.08</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4.87</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3.74</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5.29</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5.41</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0.02</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0.05</w:t>
            </w: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38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4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4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8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8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w:t>
            </w:r>
          </w:p>
        </w:tc>
        <w:tc>
          <w:tcPr>
            <w:tcW w:w="38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49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w:t>
            </w:r>
          </w:p>
        </w:tc>
        <w:tc>
          <w:tcPr>
            <w:tcW w:w="48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r>
      <w:tr w:rsidR="007147B8" w:rsidTr="00E613FF">
        <w:trPr>
          <w:trHeight w:val="300"/>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8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90"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89"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28</w:t>
      </w:r>
      <w:r w:rsidR="007147B8">
        <w:rPr>
          <w:rFonts w:ascii="Times New Roman" w:hAnsi="Times New Roman" w:cs="Times New Roman"/>
          <w:b/>
          <w:sz w:val="16"/>
          <w:szCs w:val="16"/>
        </w:rPr>
        <w:t xml:space="preserve">A: Cow #11 Average </w:t>
      </w:r>
      <w:r w:rsidR="007147B8">
        <w:rPr>
          <w:rFonts w:ascii="Times New Roman" w:eastAsia="Times New Roman" w:hAnsi="Times New Roman" w:cs="Times New Roman"/>
          <w:b/>
          <w:bCs/>
          <w:color w:val="000000"/>
          <w:sz w:val="16"/>
          <w:szCs w:val="16"/>
        </w:rPr>
        <w:t>µM in Milk Used in Figure 7</w:t>
      </w:r>
    </w:p>
    <w:tbl>
      <w:tblPr>
        <w:tblW w:w="5000" w:type="pct"/>
        <w:tblLook w:val="04A0" w:firstRow="1" w:lastRow="0" w:firstColumn="1" w:lastColumn="0" w:noHBand="0" w:noVBand="1"/>
      </w:tblPr>
      <w:tblGrid>
        <w:gridCol w:w="2579"/>
        <w:gridCol w:w="1056"/>
        <w:gridCol w:w="1055"/>
        <w:gridCol w:w="1055"/>
        <w:gridCol w:w="1055"/>
        <w:gridCol w:w="1055"/>
        <w:gridCol w:w="1055"/>
        <w:gridCol w:w="222"/>
        <w:gridCol w:w="222"/>
        <w:gridCol w:w="222"/>
      </w:tblGrid>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30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0.13</w:t>
            </w: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27.16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38.47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38.63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69.39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65.77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67.07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93.62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50.99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57.84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36.92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58.29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32.48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223.85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151.28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301.91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207.49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132.53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270.34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541.90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331.67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130.56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108.61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67.11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53.08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49.96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29.45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34.68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29.37</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121.96</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95.78</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43.25</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73.01</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51.85</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28</w:t>
      </w:r>
      <w:r w:rsidR="007147B8">
        <w:rPr>
          <w:rFonts w:ascii="Times New Roman" w:hAnsi="Times New Roman" w:cs="Times New Roman"/>
          <w:b/>
          <w:sz w:val="16"/>
          <w:szCs w:val="16"/>
        </w:rPr>
        <w:t>B: Cow #11 Fold Change in Milk Used in Figure 7</w:t>
      </w:r>
    </w:p>
    <w:tbl>
      <w:tblPr>
        <w:tblW w:w="5000" w:type="pct"/>
        <w:tblLook w:val="04A0" w:firstRow="1" w:lastRow="0" w:firstColumn="1" w:lastColumn="0" w:noHBand="0" w:noVBand="1"/>
      </w:tblPr>
      <w:tblGrid>
        <w:gridCol w:w="2579"/>
        <w:gridCol w:w="1056"/>
        <w:gridCol w:w="1055"/>
        <w:gridCol w:w="1055"/>
        <w:gridCol w:w="1055"/>
        <w:gridCol w:w="1055"/>
        <w:gridCol w:w="1055"/>
        <w:gridCol w:w="222"/>
        <w:gridCol w:w="222"/>
        <w:gridCol w:w="222"/>
      </w:tblGrid>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30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w:t>
            </w: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29</w:t>
      </w:r>
      <w:r w:rsidR="007147B8">
        <w:rPr>
          <w:rFonts w:ascii="Times New Roman" w:hAnsi="Times New Roman" w:cs="Times New Roman"/>
          <w:b/>
          <w:sz w:val="16"/>
          <w:szCs w:val="16"/>
        </w:rPr>
        <w:t xml:space="preserve">A: Cow #12 Average </w:t>
      </w:r>
      <w:r w:rsidR="007147B8">
        <w:rPr>
          <w:rFonts w:ascii="Times New Roman" w:eastAsia="Times New Roman" w:hAnsi="Times New Roman" w:cs="Times New Roman"/>
          <w:b/>
          <w:bCs/>
          <w:color w:val="000000"/>
          <w:sz w:val="16"/>
          <w:szCs w:val="16"/>
        </w:rPr>
        <w:t>µM in Milk Used in Figure 7</w:t>
      </w:r>
    </w:p>
    <w:tbl>
      <w:tblPr>
        <w:tblW w:w="5000" w:type="pct"/>
        <w:tblLook w:val="04A0" w:firstRow="1" w:lastRow="0" w:firstColumn="1" w:lastColumn="0" w:noHBand="0" w:noVBand="1"/>
      </w:tblPr>
      <w:tblGrid>
        <w:gridCol w:w="2579"/>
        <w:gridCol w:w="1056"/>
        <w:gridCol w:w="1055"/>
        <w:gridCol w:w="1055"/>
        <w:gridCol w:w="1055"/>
        <w:gridCol w:w="1055"/>
        <w:gridCol w:w="1055"/>
        <w:gridCol w:w="222"/>
        <w:gridCol w:w="222"/>
        <w:gridCol w:w="222"/>
      </w:tblGrid>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30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0.09</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0.09</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108.32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61.97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83.11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153.99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129.56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225.94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63.77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84.30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63.70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55.96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51.27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47.02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61.88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42.92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39.48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34.76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23.20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238.66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221.94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302.07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227.55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209.67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608.80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659.05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508.15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237.88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249.31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60.33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58.88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52.94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52.18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29.75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132.65</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112.53</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112.19</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64.48</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36.59</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39.29</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29</w:t>
      </w:r>
      <w:r w:rsidR="007147B8">
        <w:rPr>
          <w:rFonts w:ascii="Times New Roman" w:hAnsi="Times New Roman" w:cs="Times New Roman"/>
          <w:b/>
          <w:sz w:val="16"/>
          <w:szCs w:val="16"/>
        </w:rPr>
        <w:t>B: Cow #12 Fold Change in Milk Used in Figure 7</w:t>
      </w:r>
    </w:p>
    <w:tbl>
      <w:tblPr>
        <w:tblW w:w="5000" w:type="pct"/>
        <w:tblLook w:val="04A0" w:firstRow="1" w:lastRow="0" w:firstColumn="1" w:lastColumn="0" w:noHBand="0" w:noVBand="1"/>
      </w:tblPr>
      <w:tblGrid>
        <w:gridCol w:w="2579"/>
        <w:gridCol w:w="1056"/>
        <w:gridCol w:w="1055"/>
        <w:gridCol w:w="1055"/>
        <w:gridCol w:w="1055"/>
        <w:gridCol w:w="1055"/>
        <w:gridCol w:w="1055"/>
        <w:gridCol w:w="222"/>
        <w:gridCol w:w="222"/>
        <w:gridCol w:w="222"/>
      </w:tblGrid>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30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w:t>
            </w: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300"/>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30</w:t>
      </w:r>
      <w:r w:rsidR="007147B8">
        <w:rPr>
          <w:rFonts w:ascii="Times New Roman" w:hAnsi="Times New Roman" w:cs="Times New Roman"/>
          <w:b/>
          <w:sz w:val="16"/>
          <w:szCs w:val="16"/>
        </w:rPr>
        <w:t xml:space="preserve">A: Cow #1 Average </w:t>
      </w:r>
      <w:r w:rsidR="007147B8">
        <w:rPr>
          <w:rFonts w:ascii="Times New Roman" w:eastAsia="Times New Roman" w:hAnsi="Times New Roman" w:cs="Times New Roman"/>
          <w:b/>
          <w:bCs/>
          <w:color w:val="000000"/>
          <w:sz w:val="16"/>
          <w:szCs w:val="16"/>
        </w:rPr>
        <w:t>µM in Plasma Used in Figure 8</w:t>
      </w:r>
    </w:p>
    <w:tbl>
      <w:tblPr>
        <w:tblW w:w="5000" w:type="pct"/>
        <w:tblLook w:val="04A0" w:firstRow="1" w:lastRow="0" w:firstColumn="1" w:lastColumn="0" w:noHBand="0" w:noVBand="1"/>
      </w:tblPr>
      <w:tblGrid>
        <w:gridCol w:w="2705"/>
        <w:gridCol w:w="765"/>
        <w:gridCol w:w="764"/>
        <w:gridCol w:w="764"/>
        <w:gridCol w:w="764"/>
        <w:gridCol w:w="764"/>
        <w:gridCol w:w="764"/>
        <w:gridCol w:w="764"/>
        <w:gridCol w:w="764"/>
        <w:gridCol w:w="758"/>
      </w:tblGrid>
      <w:tr w:rsidR="007147B8" w:rsidTr="00E613FF">
        <w:trPr>
          <w:trHeight w:val="206"/>
        </w:trPr>
        <w:tc>
          <w:tcPr>
            <w:tcW w:w="1412"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588"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Average </w:t>
            </w:r>
            <w:r>
              <w:rPr>
                <w:rFonts w:ascii="Calibri" w:eastAsia="Times New Roman" w:hAnsi="Calibri" w:cs="Times New Roman"/>
                <w:b/>
                <w:bCs/>
                <w:color w:val="000000"/>
                <w:sz w:val="16"/>
                <w:szCs w:val="16"/>
              </w:rPr>
              <w:t>µ</w:t>
            </w:r>
            <w:r>
              <w:rPr>
                <w:rFonts w:ascii="Times New Roman" w:eastAsia="Times New Roman" w:hAnsi="Times New Roman" w:cs="Times New Roman"/>
                <w:b/>
                <w:bCs/>
                <w:color w:val="000000"/>
                <w:sz w:val="16"/>
                <w:szCs w:val="16"/>
              </w:rPr>
              <w:t>M</w:t>
            </w:r>
          </w:p>
        </w:tc>
      </w:tr>
      <w:tr w:rsidR="007147B8" w:rsidTr="00E613FF">
        <w:trPr>
          <w:trHeight w:val="225"/>
        </w:trPr>
        <w:tc>
          <w:tcPr>
            <w:tcW w:w="1412" w:type="pct"/>
            <w:noWrap/>
            <w:vAlign w:val="bottom"/>
            <w:hideMark/>
          </w:tcPr>
          <w:p w:rsidR="007147B8" w:rsidRDefault="007147B8" w:rsidP="00E613FF">
            <w:pPr>
              <w:spacing w:after="0"/>
              <w:rPr>
                <w:rFonts w:cs="Times New Roman"/>
              </w:rPr>
            </w:pPr>
          </w:p>
        </w:tc>
        <w:tc>
          <w:tcPr>
            <w:tcW w:w="3588"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41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412"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22.07</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16.05</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13.10</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12.81</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14.08</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15.85</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26.86</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23.76</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36.14</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59.41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55.59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118.14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45.91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31.15</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58.39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73.36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154.15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181.13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443.43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154.22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109.94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67.67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128.84</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32.97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70.39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57.20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135.33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47.85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43.11</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65.68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69.29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163.18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56.85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59.57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67.89</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130.42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161.31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349.63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363.21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860.07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304.83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245.48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147.68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270.99</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46.54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53.89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84.27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63.81</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36.48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63.46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52.00</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90.20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56.40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118.91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145.76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127.06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171.92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227.82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190.76</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41.40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198.49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115.87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309.20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384.10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334.33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496.30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705.37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649.73</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42.49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188.60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118.75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329.40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451.46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374.52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542.86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744.33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748.50</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9.15</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50.34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43.25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58.25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80.47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59.75</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62.93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76.82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99.02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86.08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112.14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163.88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141.58</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57.44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70.28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63.38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79.48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123.26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83.91</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287.97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760.42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635.38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1498.72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1661.95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1547.56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1624.76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2281.37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2222.20</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140.90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333.85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275.60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465.31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493.50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454.88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513.70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773.62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628.20</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43.00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53.47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46.19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57.29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86.13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78.41</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118.59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96.75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216.93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247.51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232.61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272.65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355.74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340.29</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98.67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239.71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199.92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471.69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573.83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554.80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511.45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682.19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744.72</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264.55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641.88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519.95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1481.34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1685.39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1560.55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1634.29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2303.34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2448.04</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110.92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275.84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216.19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468.75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508.12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469.03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533.38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859.75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723.73</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1097.75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3048.86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2364.15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5658.03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6528.15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5985.59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6719.79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9545.89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9184.78</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41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244.63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365.87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381.13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621.85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762.34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604.09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416.23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472.39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332.02</w:t>
            </w:r>
          </w:p>
        </w:tc>
      </w:tr>
      <w:tr w:rsidR="007147B8" w:rsidTr="00E613FF">
        <w:trPr>
          <w:trHeight w:val="225"/>
        </w:trPr>
        <w:tc>
          <w:tcPr>
            <w:tcW w:w="1412"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14.15</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2.72</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3.97</w:t>
            </w: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Pr>
        <w:rPr>
          <w:rFonts w:ascii="Times New Roman" w:hAnsi="Times New Roman" w:cs="Times New Roman"/>
          <w:sz w:val="16"/>
          <w:szCs w:val="16"/>
        </w:rPr>
      </w:pPr>
    </w:p>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tbl>
      <w:tblPr>
        <w:tblpPr w:leftFromText="180" w:rightFromText="180" w:bottomFromText="200" w:vertAnchor="page" w:horzAnchor="margin" w:tblpY="1071"/>
        <w:tblW w:w="5000" w:type="pct"/>
        <w:tblLook w:val="04A0" w:firstRow="1" w:lastRow="0" w:firstColumn="1" w:lastColumn="0" w:noHBand="0" w:noVBand="1"/>
      </w:tblPr>
      <w:tblGrid>
        <w:gridCol w:w="4310"/>
        <w:gridCol w:w="539"/>
        <w:gridCol w:w="539"/>
        <w:gridCol w:w="539"/>
        <w:gridCol w:w="539"/>
        <w:gridCol w:w="643"/>
        <w:gridCol w:w="539"/>
        <w:gridCol w:w="643"/>
        <w:gridCol w:w="643"/>
        <w:gridCol w:w="642"/>
      </w:tblGrid>
      <w:tr w:rsidR="007147B8" w:rsidTr="00E613FF">
        <w:trPr>
          <w:trHeight w:val="390"/>
        </w:trPr>
        <w:tc>
          <w:tcPr>
            <w:tcW w:w="1752" w:type="pct"/>
            <w:tcBorders>
              <w:top w:val="nil"/>
              <w:left w:val="nil"/>
              <w:bottom w:val="single" w:sz="4" w:space="0" w:color="auto"/>
              <w:right w:val="nil"/>
            </w:tcBorders>
            <w:noWrap/>
            <w:vAlign w:val="bottom"/>
            <w:hideMark/>
          </w:tcPr>
          <w:p w:rsidR="007147B8" w:rsidRDefault="00BB0756" w:rsidP="00E613FF">
            <w:pPr>
              <w:rPr>
                <w:rFonts w:ascii="Times New Roman" w:hAnsi="Times New Roman" w:cs="Times New Roman"/>
                <w:b/>
                <w:sz w:val="16"/>
                <w:szCs w:val="16"/>
              </w:rPr>
            </w:pPr>
            <w:r>
              <w:rPr>
                <w:rFonts w:ascii="Times New Roman" w:hAnsi="Times New Roman" w:cs="Times New Roman"/>
                <w:b/>
                <w:sz w:val="16"/>
                <w:szCs w:val="16"/>
              </w:rPr>
              <w:lastRenderedPageBreak/>
              <w:t>Table 30</w:t>
            </w:r>
            <w:r w:rsidR="007147B8">
              <w:rPr>
                <w:rFonts w:ascii="Times New Roman" w:hAnsi="Times New Roman" w:cs="Times New Roman"/>
                <w:b/>
                <w:sz w:val="16"/>
                <w:szCs w:val="16"/>
              </w:rPr>
              <w:t>B: Cow #1 Fold Change in Plasma Used in Figure 8</w:t>
            </w:r>
          </w:p>
        </w:tc>
        <w:tc>
          <w:tcPr>
            <w:tcW w:w="3248" w:type="pct"/>
            <w:gridSpan w:val="9"/>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232"/>
        </w:trPr>
        <w:tc>
          <w:tcPr>
            <w:tcW w:w="1752" w:type="pct"/>
            <w:tcBorders>
              <w:top w:val="single" w:sz="4" w:space="0" w:color="auto"/>
              <w:left w:val="nil"/>
              <w:bottom w:val="nil"/>
              <w:right w:val="nil"/>
            </w:tcBorders>
            <w:noWrap/>
            <w:vAlign w:val="bottom"/>
          </w:tcPr>
          <w:p w:rsidR="007147B8" w:rsidRDefault="007147B8" w:rsidP="00E613FF">
            <w:pPr>
              <w:spacing w:after="0" w:line="240" w:lineRule="auto"/>
              <w:rPr>
                <w:rFonts w:ascii="Times New Roman" w:eastAsia="Times New Roman" w:hAnsi="Times New Roman" w:cs="Times New Roman"/>
                <w:color w:val="000000"/>
                <w:sz w:val="16"/>
                <w:szCs w:val="16"/>
              </w:rPr>
            </w:pPr>
          </w:p>
          <w:p w:rsidR="007147B8" w:rsidRDefault="007147B8" w:rsidP="00E613FF">
            <w:pPr>
              <w:spacing w:after="0" w:line="240" w:lineRule="auto"/>
              <w:rPr>
                <w:rFonts w:ascii="Times New Roman" w:eastAsia="Times New Roman" w:hAnsi="Times New Roman" w:cs="Times New Roman"/>
                <w:color w:val="000000"/>
                <w:sz w:val="16"/>
                <w:szCs w:val="16"/>
              </w:rPr>
            </w:pPr>
          </w:p>
        </w:tc>
        <w:tc>
          <w:tcPr>
            <w:tcW w:w="3248" w:type="pct"/>
            <w:gridSpan w:val="9"/>
            <w:tcBorders>
              <w:top w:val="single" w:sz="4" w:space="0" w:color="auto"/>
              <w:left w:val="nil"/>
              <w:bottom w:val="nil"/>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270"/>
        </w:trPr>
        <w:tc>
          <w:tcPr>
            <w:tcW w:w="1752" w:type="pct"/>
            <w:noWrap/>
            <w:vAlign w:val="bottom"/>
            <w:hideMark/>
          </w:tcPr>
          <w:p w:rsidR="007147B8" w:rsidRDefault="007147B8" w:rsidP="00E613FF">
            <w:pPr>
              <w:spacing w:after="0"/>
              <w:rPr>
                <w:rFonts w:cs="Times New Roman"/>
              </w:rPr>
            </w:pPr>
          </w:p>
        </w:tc>
        <w:tc>
          <w:tcPr>
            <w:tcW w:w="3248" w:type="pct"/>
            <w:gridSpan w:val="9"/>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752" w:type="pct"/>
            <w:tcBorders>
              <w:top w:val="nil"/>
              <w:left w:val="nil"/>
              <w:bottom w:val="single" w:sz="4" w:space="0" w:color="auto"/>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37" w:type="pct"/>
            <w:tcBorders>
              <w:top w:val="nil"/>
              <w:left w:val="nil"/>
              <w:bottom w:val="single" w:sz="4" w:space="0" w:color="auto"/>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37" w:type="pct"/>
            <w:tcBorders>
              <w:top w:val="nil"/>
              <w:left w:val="nil"/>
              <w:bottom w:val="single" w:sz="4" w:space="0" w:color="auto"/>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37" w:type="pct"/>
            <w:tcBorders>
              <w:top w:val="nil"/>
              <w:left w:val="nil"/>
              <w:bottom w:val="single" w:sz="4" w:space="0" w:color="auto"/>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37" w:type="pct"/>
            <w:tcBorders>
              <w:top w:val="nil"/>
              <w:left w:val="nil"/>
              <w:bottom w:val="single" w:sz="4" w:space="0" w:color="auto"/>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91" w:type="pct"/>
            <w:tcBorders>
              <w:top w:val="nil"/>
              <w:left w:val="nil"/>
              <w:bottom w:val="single" w:sz="4" w:space="0" w:color="auto"/>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37" w:type="pct"/>
            <w:tcBorders>
              <w:top w:val="nil"/>
              <w:left w:val="nil"/>
              <w:bottom w:val="single" w:sz="4" w:space="0" w:color="auto"/>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391" w:type="pct"/>
            <w:tcBorders>
              <w:top w:val="nil"/>
              <w:left w:val="nil"/>
              <w:bottom w:val="single" w:sz="4" w:space="0" w:color="auto"/>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391" w:type="pct"/>
            <w:tcBorders>
              <w:top w:val="nil"/>
              <w:left w:val="nil"/>
              <w:bottom w:val="single" w:sz="4" w:space="0" w:color="auto"/>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390" w:type="pct"/>
            <w:tcBorders>
              <w:top w:val="nil"/>
              <w:left w:val="nil"/>
              <w:bottom w:val="single" w:sz="4" w:space="0" w:color="auto"/>
              <w:right w:val="nil"/>
            </w:tcBorders>
            <w:noWrap/>
            <w:vAlign w:val="bottom"/>
            <w:hideMark/>
          </w:tcPr>
          <w:p w:rsidR="007147B8" w:rsidRDefault="007147B8" w:rsidP="00E613FF">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752"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3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33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33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39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33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39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39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39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5.25</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7.59</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5.09</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7.11</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6.59</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5.27</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6.48</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6.68</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10.44</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7.90</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3.79</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4.99</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6.11</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7.03</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9.30</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7.62</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4.73</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5.79</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6.83</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9.05</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7.58</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7.47</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9.28</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8.08</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11.99</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17.04</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15.70</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10.63</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8.82</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12.78</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17.52</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17.62</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8.74</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9.92</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11.40</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9.59</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5.82</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10.07</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16.09</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11.95</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5.49</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7.51</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9.78</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14.29</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12.35</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9.08</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8.19</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10.27</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15.93</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10.85</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5.37</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5.64</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7.92</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7.72</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3.23</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5.49</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4.46</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4.62</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5.75</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6.16</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9.26</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8.43</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5.97</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6.81</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9.79</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9.36</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4.78</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5.82</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5.62</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5.18</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7.55</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6.37</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6.18</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8.71</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9.25</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4.23</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4.23</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4.81</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7.75</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6.52</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5.95</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5.45</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6.12</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8.70</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8.37</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6.31</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752"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c>
          <w:tcPr>
            <w:tcW w:w="3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p>
        </w:tc>
        <w:tc>
          <w:tcPr>
            <w:tcW w:w="39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w:t>
            </w:r>
          </w:p>
        </w:tc>
        <w:tc>
          <w:tcPr>
            <w:tcW w:w="39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w:t>
            </w:r>
          </w:p>
        </w:tc>
      </w:tr>
      <w:tr w:rsidR="007147B8" w:rsidTr="00E613FF">
        <w:trPr>
          <w:trHeight w:val="225"/>
        </w:trPr>
        <w:tc>
          <w:tcPr>
            <w:tcW w:w="1752"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3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3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33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w:t>
            </w:r>
          </w:p>
        </w:tc>
        <w:tc>
          <w:tcPr>
            <w:tcW w:w="33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39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5.14</w:t>
            </w:r>
          </w:p>
        </w:tc>
        <w:tc>
          <w:tcPr>
            <w:tcW w:w="33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39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39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39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r>
      <w:tr w:rsidR="007147B8" w:rsidTr="00E613FF">
        <w:trPr>
          <w:trHeight w:val="225"/>
        </w:trPr>
        <w:tc>
          <w:tcPr>
            <w:tcW w:w="1752"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37"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37"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37"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37"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91"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37"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91"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91"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90"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60"/>
        </w:trPr>
        <w:tc>
          <w:tcPr>
            <w:tcW w:w="1752"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337"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337"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337"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337"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391"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337"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391"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391"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390"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160"/>
        </w:trPr>
        <w:tc>
          <w:tcPr>
            <w:tcW w:w="1752" w:type="pct"/>
            <w:tcBorders>
              <w:top w:val="single" w:sz="4" w:space="0" w:color="auto"/>
              <w:left w:val="nil"/>
              <w:bottom w:val="nil"/>
              <w:right w:val="nil"/>
            </w:tcBorders>
            <w:noWrap/>
            <w:vAlign w:val="bottom"/>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337" w:type="pct"/>
            <w:tcBorders>
              <w:top w:val="single" w:sz="4" w:space="0" w:color="auto"/>
              <w:left w:val="nil"/>
              <w:bottom w:val="nil"/>
              <w:right w:val="nil"/>
            </w:tcBorders>
            <w:noWrap/>
            <w:vAlign w:val="bottom"/>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337" w:type="pct"/>
            <w:tcBorders>
              <w:top w:val="single" w:sz="4" w:space="0" w:color="auto"/>
              <w:left w:val="nil"/>
              <w:bottom w:val="nil"/>
              <w:right w:val="nil"/>
            </w:tcBorders>
            <w:noWrap/>
            <w:vAlign w:val="bottom"/>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337" w:type="pct"/>
            <w:tcBorders>
              <w:top w:val="single" w:sz="4" w:space="0" w:color="auto"/>
              <w:left w:val="nil"/>
              <w:bottom w:val="nil"/>
              <w:right w:val="nil"/>
            </w:tcBorders>
            <w:noWrap/>
            <w:vAlign w:val="bottom"/>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337" w:type="pct"/>
            <w:tcBorders>
              <w:top w:val="single" w:sz="4" w:space="0" w:color="auto"/>
              <w:left w:val="nil"/>
              <w:bottom w:val="nil"/>
              <w:right w:val="nil"/>
            </w:tcBorders>
            <w:noWrap/>
            <w:vAlign w:val="bottom"/>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391" w:type="pct"/>
            <w:tcBorders>
              <w:top w:val="single" w:sz="4" w:space="0" w:color="auto"/>
              <w:left w:val="nil"/>
              <w:bottom w:val="nil"/>
              <w:right w:val="nil"/>
            </w:tcBorders>
            <w:noWrap/>
            <w:vAlign w:val="bottom"/>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337" w:type="pct"/>
            <w:tcBorders>
              <w:top w:val="single" w:sz="4" w:space="0" w:color="auto"/>
              <w:left w:val="nil"/>
              <w:bottom w:val="nil"/>
              <w:right w:val="nil"/>
            </w:tcBorders>
            <w:noWrap/>
            <w:vAlign w:val="bottom"/>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391" w:type="pct"/>
            <w:tcBorders>
              <w:top w:val="single" w:sz="4" w:space="0" w:color="auto"/>
              <w:left w:val="nil"/>
              <w:bottom w:val="nil"/>
              <w:right w:val="nil"/>
            </w:tcBorders>
            <w:noWrap/>
            <w:vAlign w:val="bottom"/>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391" w:type="pct"/>
            <w:tcBorders>
              <w:top w:val="single" w:sz="4" w:space="0" w:color="auto"/>
              <w:left w:val="nil"/>
              <w:bottom w:val="nil"/>
              <w:right w:val="nil"/>
            </w:tcBorders>
            <w:noWrap/>
            <w:vAlign w:val="bottom"/>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390" w:type="pct"/>
            <w:tcBorders>
              <w:top w:val="single" w:sz="4" w:space="0" w:color="auto"/>
              <w:left w:val="nil"/>
              <w:bottom w:val="nil"/>
              <w:right w:val="nil"/>
            </w:tcBorders>
            <w:noWrap/>
            <w:vAlign w:val="bottom"/>
          </w:tcPr>
          <w:p w:rsidR="007147B8" w:rsidRDefault="007147B8" w:rsidP="00E613FF">
            <w:pPr>
              <w:spacing w:after="0" w:line="240" w:lineRule="auto"/>
              <w:rPr>
                <w:rFonts w:ascii="Times New Roman" w:eastAsia="Times New Roman" w:hAnsi="Times New Roman" w:cs="Times New Roman"/>
                <w:color w:val="000000"/>
                <w:sz w:val="16"/>
                <w:szCs w:val="16"/>
              </w:rPr>
            </w:pPr>
          </w:p>
        </w:tc>
      </w:tr>
    </w:tbl>
    <w:p w:rsidR="007147B8" w:rsidRDefault="007147B8" w:rsidP="007147B8">
      <w:pPr>
        <w:rPr>
          <w:rFonts w:ascii="Times New Roman" w:hAnsi="Times New Roman" w:cs="Times New Roman"/>
          <w:b/>
          <w:sz w:val="16"/>
          <w:szCs w:val="16"/>
        </w:rPr>
      </w:pPr>
    </w:p>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31</w:t>
      </w:r>
      <w:r w:rsidR="007147B8">
        <w:rPr>
          <w:rFonts w:ascii="Times New Roman" w:hAnsi="Times New Roman" w:cs="Times New Roman"/>
          <w:b/>
          <w:sz w:val="16"/>
          <w:szCs w:val="16"/>
        </w:rPr>
        <w:t xml:space="preserve">A: Cow #2 Average </w:t>
      </w:r>
      <w:r w:rsidR="007147B8">
        <w:rPr>
          <w:rFonts w:ascii="Times New Roman" w:eastAsia="Times New Roman" w:hAnsi="Times New Roman" w:cs="Times New Roman"/>
          <w:b/>
          <w:bCs/>
          <w:color w:val="000000"/>
          <w:sz w:val="16"/>
          <w:szCs w:val="16"/>
        </w:rPr>
        <w:t>µM in Plasma Used in Figure 8</w:t>
      </w:r>
    </w:p>
    <w:tbl>
      <w:tblPr>
        <w:tblpPr w:leftFromText="180" w:rightFromText="180" w:bottomFromText="200" w:vertAnchor="page" w:horzAnchor="margin" w:tblpY="1929"/>
        <w:tblW w:w="5000" w:type="pct"/>
        <w:tblLook w:val="04A0" w:firstRow="1" w:lastRow="0" w:firstColumn="1" w:lastColumn="0" w:noHBand="0" w:noVBand="1"/>
      </w:tblPr>
      <w:tblGrid>
        <w:gridCol w:w="2577"/>
        <w:gridCol w:w="752"/>
        <w:gridCol w:w="656"/>
        <w:gridCol w:w="736"/>
        <w:gridCol w:w="745"/>
        <w:gridCol w:w="753"/>
        <w:gridCol w:w="753"/>
        <w:gridCol w:w="870"/>
        <w:gridCol w:w="870"/>
        <w:gridCol w:w="864"/>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8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9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19.38</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14.63</w:t>
            </w:r>
          </w:p>
        </w:tc>
        <w:tc>
          <w:tcPr>
            <w:tcW w:w="38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11.88</w:t>
            </w:r>
          </w:p>
        </w:tc>
        <w:tc>
          <w:tcPr>
            <w:tcW w:w="38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50.55</w:t>
            </w:r>
          </w:p>
        </w:tc>
        <w:tc>
          <w:tcPr>
            <w:tcW w:w="39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28.00</w:t>
            </w:r>
          </w:p>
        </w:tc>
        <w:tc>
          <w:tcPr>
            <w:tcW w:w="39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16.37</w:t>
            </w:r>
          </w:p>
        </w:tc>
        <w:tc>
          <w:tcPr>
            <w:tcW w:w="45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20.72</w:t>
            </w:r>
          </w:p>
        </w:tc>
        <w:tc>
          <w:tcPr>
            <w:tcW w:w="45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23.13</w:t>
            </w:r>
          </w:p>
        </w:tc>
        <w:tc>
          <w:tcPr>
            <w:tcW w:w="4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34.50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29.89</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37.90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41.39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41.99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54.65</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32.81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30.50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73.75</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137.74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141.20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130.89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122.18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211.26</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119.06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32.55</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40.33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46.18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45.42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76.35</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41.79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30.05</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51.31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57.30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46.89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61.91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94.01</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67.07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71.46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166.24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267.28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280.57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265.95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263.52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436.27</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260.73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48.61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154.37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102.40</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107.38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16.98</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32.32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116.43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72.00</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43.54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51.77</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101.74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94.72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109.28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372.75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246.46</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237.17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88.52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264.06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248.39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248.06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928.54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643.87</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723.09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74.12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289.81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246.36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244.10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1081.53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875.27</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911.22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11.96</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33.76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31.52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34.61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148.76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79.93</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86.06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70.90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64.34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70.04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234.68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154.80</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163.63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14.04</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55.70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49.52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167.23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94.52</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339.08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262.87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588.39</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1260.77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1296.12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1343.99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3551.43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3221.07</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2604.69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202.51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135.95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266.93</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375.37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392.69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470.10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1002.86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973.84</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719.76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16.32</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130.71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95.39</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90.83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49.62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83.16</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177.76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173.91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185.52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522.68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415.29</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355.50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113.94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70.06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171.70</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393.48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363.88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423.84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1029.59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984.61</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833.99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361.99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222.92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493.47</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1437.87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1472.68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1327.49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3376.44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3309.32</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2740.90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159.98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89.45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197.36</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450.47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463.64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455.94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1034.83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1010.11</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831.95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1467.65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922.10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2124.71</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5013.77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5012.18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5087.58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13874.47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12290.83</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10601.67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0.30</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233.57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166.75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338.97</w:t>
            </w:r>
          </w:p>
        </w:tc>
        <w:tc>
          <w:tcPr>
            <w:tcW w:w="38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579.76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576.95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655.86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482.30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412.51</w:t>
            </w:r>
          </w:p>
        </w:tc>
        <w:tc>
          <w:tcPr>
            <w:tcW w:w="4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453.20</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0.39</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38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6.96</w:t>
            </w:r>
          </w:p>
        </w:tc>
        <w:tc>
          <w:tcPr>
            <w:tcW w:w="4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w:t>
            </w: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31</w:t>
      </w:r>
      <w:r w:rsidR="007147B8">
        <w:rPr>
          <w:rFonts w:ascii="Times New Roman" w:hAnsi="Times New Roman" w:cs="Times New Roman"/>
          <w:b/>
          <w:sz w:val="16"/>
          <w:szCs w:val="16"/>
        </w:rPr>
        <w:t>B: Cow #2 Fold Change in Plasma Used in Figure 8</w:t>
      </w:r>
    </w:p>
    <w:tbl>
      <w:tblPr>
        <w:tblW w:w="5017" w:type="pct"/>
        <w:tblLook w:val="04A0" w:firstRow="1" w:lastRow="0" w:firstColumn="1" w:lastColumn="0" w:noHBand="0" w:noVBand="1"/>
      </w:tblPr>
      <w:tblGrid>
        <w:gridCol w:w="2838"/>
        <w:gridCol w:w="696"/>
        <w:gridCol w:w="692"/>
        <w:gridCol w:w="692"/>
        <w:gridCol w:w="692"/>
        <w:gridCol w:w="692"/>
        <w:gridCol w:w="692"/>
        <w:gridCol w:w="872"/>
        <w:gridCol w:w="872"/>
        <w:gridCol w:w="871"/>
      </w:tblGrid>
      <w:tr w:rsidR="007147B8" w:rsidTr="00E613FF">
        <w:trPr>
          <w:trHeight w:val="260"/>
        </w:trPr>
        <w:tc>
          <w:tcPr>
            <w:tcW w:w="1477"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523"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180"/>
        </w:trPr>
        <w:tc>
          <w:tcPr>
            <w:tcW w:w="1477" w:type="pct"/>
            <w:noWrap/>
            <w:vAlign w:val="bottom"/>
            <w:hideMark/>
          </w:tcPr>
          <w:p w:rsidR="007147B8" w:rsidRDefault="007147B8" w:rsidP="00E613FF">
            <w:pPr>
              <w:spacing w:after="0"/>
              <w:rPr>
                <w:rFonts w:cs="Times New Roman"/>
              </w:rPr>
            </w:pPr>
          </w:p>
        </w:tc>
        <w:tc>
          <w:tcPr>
            <w:tcW w:w="3523"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300"/>
        </w:trPr>
        <w:tc>
          <w:tcPr>
            <w:tcW w:w="147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6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6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6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6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6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300"/>
        </w:trPr>
        <w:tc>
          <w:tcPr>
            <w:tcW w:w="1477"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6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36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36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p>
        </w:tc>
        <w:tc>
          <w:tcPr>
            <w:tcW w:w="36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36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45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45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45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4.77</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6.41</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6.57</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5.54</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3.47</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3.37</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6.43</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7.53</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3.27</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5.26</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5.13</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8.62</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4.90</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5.45</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3.65</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9.99</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8.14</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25.60</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6.51</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7.27</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6.42</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4.53</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9.76</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7.68</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7.50</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7.16</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3.45</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7.32</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3.97</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4.07</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7.57</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5.20</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3.42</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7.22</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0.31</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300"/>
        </w:trPr>
        <w:tc>
          <w:tcPr>
            <w:tcW w:w="1477"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w:t>
            </w:r>
          </w:p>
        </w:tc>
        <w:tc>
          <w:tcPr>
            <w:tcW w:w="36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w:t>
            </w:r>
          </w:p>
        </w:tc>
      </w:tr>
      <w:tr w:rsidR="007147B8" w:rsidTr="00E613FF">
        <w:trPr>
          <w:trHeight w:val="300"/>
        </w:trPr>
        <w:tc>
          <w:tcPr>
            <w:tcW w:w="1477"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0.08</w:t>
            </w:r>
          </w:p>
        </w:tc>
        <w:tc>
          <w:tcPr>
            <w:tcW w:w="36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36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w:t>
            </w:r>
          </w:p>
        </w:tc>
        <w:tc>
          <w:tcPr>
            <w:tcW w:w="36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w:t>
            </w:r>
          </w:p>
        </w:tc>
        <w:tc>
          <w:tcPr>
            <w:tcW w:w="36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5.14</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17.82</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6.83</w:t>
            </w:r>
          </w:p>
        </w:tc>
      </w:tr>
    </w:tbl>
    <w:tbl>
      <w:tblPr>
        <w:tblpPr w:leftFromText="180" w:rightFromText="180" w:bottomFromText="200" w:vertAnchor="text" w:horzAnchor="margin" w:tblpY="272"/>
        <w:tblW w:w="5002" w:type="pct"/>
        <w:tblBorders>
          <w:top w:val="single" w:sz="4" w:space="0" w:color="auto"/>
        </w:tblBorders>
        <w:tblLook w:val="04A0" w:firstRow="1" w:lastRow="0" w:firstColumn="1" w:lastColumn="0" w:noHBand="0" w:noVBand="1"/>
      </w:tblPr>
      <w:tblGrid>
        <w:gridCol w:w="9580"/>
      </w:tblGrid>
      <w:tr w:rsidR="007147B8" w:rsidTr="00E613FF">
        <w:trPr>
          <w:trHeight w:val="100"/>
        </w:trPr>
        <w:tc>
          <w:tcPr>
            <w:tcW w:w="5000" w:type="pct"/>
            <w:tcBorders>
              <w:top w:val="single" w:sz="4" w:space="0" w:color="auto"/>
              <w:left w:val="nil"/>
              <w:bottom w:val="nil"/>
              <w:right w:val="nil"/>
            </w:tcBorders>
          </w:tcPr>
          <w:p w:rsidR="007147B8" w:rsidRDefault="007147B8" w:rsidP="00E613FF"/>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32</w:t>
      </w:r>
      <w:r w:rsidR="007147B8">
        <w:rPr>
          <w:rFonts w:ascii="Times New Roman" w:hAnsi="Times New Roman" w:cs="Times New Roman"/>
          <w:b/>
          <w:sz w:val="16"/>
          <w:szCs w:val="16"/>
        </w:rPr>
        <w:t xml:space="preserve">A: Cow #3 Average </w:t>
      </w:r>
      <w:r w:rsidR="007147B8">
        <w:rPr>
          <w:rFonts w:ascii="Times New Roman" w:eastAsia="Times New Roman" w:hAnsi="Times New Roman" w:cs="Times New Roman"/>
          <w:b/>
          <w:bCs/>
          <w:color w:val="000000"/>
          <w:sz w:val="16"/>
          <w:szCs w:val="16"/>
        </w:rPr>
        <w:t>µM in Plasma Used in Figure 8</w:t>
      </w:r>
    </w:p>
    <w:tbl>
      <w:tblPr>
        <w:tblW w:w="5000" w:type="pct"/>
        <w:tblLook w:val="04A0" w:firstRow="1" w:lastRow="0" w:firstColumn="1" w:lastColumn="0" w:noHBand="0" w:noVBand="1"/>
      </w:tblPr>
      <w:tblGrid>
        <w:gridCol w:w="2577"/>
        <w:gridCol w:w="656"/>
        <w:gridCol w:w="736"/>
        <w:gridCol w:w="736"/>
        <w:gridCol w:w="736"/>
        <w:gridCol w:w="736"/>
        <w:gridCol w:w="831"/>
        <w:gridCol w:w="854"/>
        <w:gridCol w:w="854"/>
        <w:gridCol w:w="860"/>
      </w:tblGrid>
      <w:tr w:rsidR="007147B8" w:rsidTr="00E613FF">
        <w:trPr>
          <w:trHeight w:val="17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108"/>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3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23.34</w:t>
            </w:r>
          </w:p>
        </w:tc>
        <w:tc>
          <w:tcPr>
            <w:tcW w:w="38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22.85</w:t>
            </w:r>
          </w:p>
        </w:tc>
        <w:tc>
          <w:tcPr>
            <w:tcW w:w="38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18.19</w:t>
            </w:r>
          </w:p>
        </w:tc>
        <w:tc>
          <w:tcPr>
            <w:tcW w:w="38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11.84</w:t>
            </w:r>
          </w:p>
        </w:tc>
        <w:tc>
          <w:tcPr>
            <w:tcW w:w="38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13.15</w:t>
            </w:r>
          </w:p>
        </w:tc>
        <w:tc>
          <w:tcPr>
            <w:tcW w:w="43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13.62</w:t>
            </w:r>
          </w:p>
        </w:tc>
        <w:tc>
          <w:tcPr>
            <w:tcW w:w="44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37.03</w:t>
            </w:r>
          </w:p>
        </w:tc>
        <w:tc>
          <w:tcPr>
            <w:tcW w:w="44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33.98</w:t>
            </w:r>
          </w:p>
        </w:tc>
        <w:tc>
          <w:tcPr>
            <w:tcW w:w="44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37.18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5.98</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3.82</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27.70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27.16</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36.32</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31.56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30.57</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27.29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62.90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98.28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63.69</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112.46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116.31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106.35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67.59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34.26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31.42</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57.02</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51.13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40.57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50.30</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66.25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68.79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66.36</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42.05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72.15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155.23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151.45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210.20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172.57</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258.38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273.68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254.41</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165.33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48.16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48.80</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82.93</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156.44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214.19</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199.66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38.22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32.03</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70.44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70.19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93.31</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87.68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38.42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144.89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105.32</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248.20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344.98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462.42</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417.69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46.71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78.90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372.85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240.31</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539.36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992.71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1322.74</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1282.06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37.67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75.46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350.54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258.19</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695.11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1285.81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1779.35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1679.89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4.81</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19.37</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26.10</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68.31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53.69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79.69</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64.13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111.50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51.07</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136.55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278.38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347.23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321.21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52.75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51.46</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83.06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163.41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239.15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203.18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167.26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326.83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492.80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1368.46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1630.42</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3153.70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3252.94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4067.13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3951.00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97.53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179.10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253.80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529.97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514.83</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928.50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1170.13</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1413.01</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1362.69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39.07</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139.69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189.06</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165.34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44.05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69.44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225.86</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462.98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501.41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672.73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638.59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55.76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115.13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183.80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455.97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469.72</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1093.04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1262.48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1558.98</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1489.91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168.41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358.56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516.78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1394.79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1585.59</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3465.67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3636.49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4565.53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4479.44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80.02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170.12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238.96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561.57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491.87</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1021.48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1446.54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1690.68</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1658.13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653.43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1368.71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2031.19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5723.37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5775.46</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12146.17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14768.56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18714.55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18015.99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110.91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230.09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265.90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654.36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502.72</w:t>
            </w:r>
          </w:p>
        </w:tc>
        <w:tc>
          <w:tcPr>
            <w:tcW w:w="43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527.82</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412.52</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424.40</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497.76</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0.13</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c>
          <w:tcPr>
            <w:tcW w:w="43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5.06</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4.05</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w:t>
            </w:r>
          </w:p>
        </w:tc>
        <w:tc>
          <w:tcPr>
            <w:tcW w:w="4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r>
      <w:tr w:rsidR="007147B8" w:rsidTr="00E613FF">
        <w:trPr>
          <w:trHeight w:val="152"/>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32</w:t>
      </w:r>
      <w:r w:rsidR="007147B8">
        <w:rPr>
          <w:rFonts w:ascii="Times New Roman" w:hAnsi="Times New Roman" w:cs="Times New Roman"/>
          <w:b/>
          <w:sz w:val="16"/>
          <w:szCs w:val="16"/>
        </w:rPr>
        <w:t>B: Cow #3 Fold Change in Plasma Used in Figure 8</w:t>
      </w:r>
    </w:p>
    <w:tbl>
      <w:tblPr>
        <w:tblW w:w="5000" w:type="pct"/>
        <w:tblLook w:val="04A0" w:firstRow="1" w:lastRow="0" w:firstColumn="1" w:lastColumn="0" w:noHBand="0" w:noVBand="1"/>
      </w:tblPr>
      <w:tblGrid>
        <w:gridCol w:w="2577"/>
        <w:gridCol w:w="607"/>
        <w:gridCol w:w="607"/>
        <w:gridCol w:w="607"/>
        <w:gridCol w:w="778"/>
        <w:gridCol w:w="778"/>
        <w:gridCol w:w="778"/>
        <w:gridCol w:w="948"/>
        <w:gridCol w:w="950"/>
        <w:gridCol w:w="946"/>
      </w:tblGrid>
      <w:tr w:rsidR="007147B8" w:rsidTr="00E613FF">
        <w:trPr>
          <w:trHeight w:val="17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1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1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1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0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9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9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9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1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1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40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495"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49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w:t>
            </w:r>
          </w:p>
        </w:tc>
        <w:tc>
          <w:tcPr>
            <w:tcW w:w="49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3.23</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4.71</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4.72</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3.79</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3.53</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18.40</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34.71</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47.52</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44.30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20.04</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19.97</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26.54</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23.08</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32.08</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43.00</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38.84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31.09</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57.22</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76.24</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73.89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58.36</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107.95</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149.39</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141.03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3.86</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30.67</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31.72</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46.21</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19.88</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15.62</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23.19</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21.42</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43.68</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54.48</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19.80</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38.96</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57.02</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48.44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18.86</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19.45</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24.32</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9.52</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12.00</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14.49</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26.63</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44.29</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59.94</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52.42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24.59</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26.63</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35.73</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19.60</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22.64</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27.96</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20.58</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21.59</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27.11</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6.15</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12.77</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18.08</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21.13</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8.84</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18.59</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22.60</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28.64</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8.76</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14.85</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4.53</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4.76</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w:t>
            </w:r>
          </w:p>
        </w:tc>
        <w:tc>
          <w:tcPr>
            <w:tcW w:w="31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20.98</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10.59</w:t>
            </w:r>
          </w:p>
        </w:tc>
        <w:tc>
          <w:tcPr>
            <w:tcW w:w="40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34.57</w:t>
            </w:r>
          </w:p>
        </w:tc>
        <w:tc>
          <w:tcPr>
            <w:tcW w:w="4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27.68</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12.93</w:t>
            </w:r>
          </w:p>
        </w:tc>
        <w:tc>
          <w:tcPr>
            <w:tcW w:w="4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w:t>
            </w:r>
          </w:p>
        </w:tc>
      </w:tr>
      <w:tr w:rsidR="007147B8" w:rsidTr="00E613FF">
        <w:trPr>
          <w:trHeight w:val="225"/>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17"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17"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17"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0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0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0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95"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9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9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33</w:t>
      </w:r>
      <w:r w:rsidR="007147B8">
        <w:rPr>
          <w:rFonts w:ascii="Times New Roman" w:hAnsi="Times New Roman" w:cs="Times New Roman"/>
          <w:b/>
          <w:sz w:val="16"/>
          <w:szCs w:val="16"/>
        </w:rPr>
        <w:t xml:space="preserve">A: Cow #4 Average </w:t>
      </w:r>
      <w:r w:rsidR="007147B8">
        <w:rPr>
          <w:rFonts w:ascii="Times New Roman" w:eastAsia="Times New Roman" w:hAnsi="Times New Roman" w:cs="Times New Roman"/>
          <w:b/>
          <w:bCs/>
          <w:color w:val="000000"/>
          <w:sz w:val="16"/>
          <w:szCs w:val="16"/>
        </w:rPr>
        <w:t>µM in Plasma Used in Figure 8</w:t>
      </w:r>
    </w:p>
    <w:tbl>
      <w:tblPr>
        <w:tblW w:w="5000" w:type="pct"/>
        <w:tblLook w:val="04A0" w:firstRow="1" w:lastRow="0" w:firstColumn="1" w:lastColumn="0" w:noHBand="0" w:noVBand="1"/>
      </w:tblPr>
      <w:tblGrid>
        <w:gridCol w:w="2577"/>
        <w:gridCol w:w="752"/>
        <w:gridCol w:w="752"/>
        <w:gridCol w:w="753"/>
        <w:gridCol w:w="753"/>
        <w:gridCol w:w="753"/>
        <w:gridCol w:w="753"/>
        <w:gridCol w:w="870"/>
        <w:gridCol w:w="753"/>
        <w:gridCol w:w="860"/>
      </w:tblGrid>
      <w:tr w:rsidR="007147B8" w:rsidTr="00E613FF">
        <w:trPr>
          <w:trHeight w:val="17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198"/>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9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25.77</w:t>
            </w:r>
          </w:p>
        </w:tc>
        <w:tc>
          <w:tcPr>
            <w:tcW w:w="39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14.06</w:t>
            </w:r>
          </w:p>
        </w:tc>
        <w:tc>
          <w:tcPr>
            <w:tcW w:w="39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7.66</w:t>
            </w:r>
          </w:p>
        </w:tc>
        <w:tc>
          <w:tcPr>
            <w:tcW w:w="39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18.21</w:t>
            </w:r>
          </w:p>
        </w:tc>
        <w:tc>
          <w:tcPr>
            <w:tcW w:w="39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8.75</w:t>
            </w:r>
          </w:p>
        </w:tc>
        <w:tc>
          <w:tcPr>
            <w:tcW w:w="39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17.62</w:t>
            </w:r>
          </w:p>
        </w:tc>
        <w:tc>
          <w:tcPr>
            <w:tcW w:w="45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17.13</w:t>
            </w:r>
          </w:p>
        </w:tc>
        <w:tc>
          <w:tcPr>
            <w:tcW w:w="39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24.05</w:t>
            </w:r>
          </w:p>
        </w:tc>
        <w:tc>
          <w:tcPr>
            <w:tcW w:w="45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103.88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52.57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37.06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33.51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42.48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55.18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430.04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117.63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187.10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141.65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128.21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125.77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127.03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51.55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47.25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44.35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45.33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176.56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44.08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70.21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70.65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73.81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77.10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87.01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99.39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126.08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837.50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230.56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361.43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296.61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276.68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281.71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38.20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26.65</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107.91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72.93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140.85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99.40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81.37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100.96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79.08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336.00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216.56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336.50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62.94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38.50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273.37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231.23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212.52</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835.45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627.04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1044.66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41.49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36.68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271.61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251.20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211.00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949.90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748.24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1194.03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32.91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31.42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133.06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71.59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88.42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70.77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67.76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55.57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212.36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138.92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248.97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60.66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39.63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39.83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152.51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99.82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198.88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322.56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295.23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330.87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1182.17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1210.42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1086.51</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3184.13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2137.23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3068.55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174.55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125.02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143.10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363.85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359.65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311.94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786.07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561.57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891.46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38.41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31.77</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121.87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79.53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143.49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45.44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38.55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42.17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183.59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189.78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166.26</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547.35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344.96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527.54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101.99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116.90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393.80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455.32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350.40</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935.02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786.77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1123.92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277.34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334.00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378.94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1474.00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1449.71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1214.74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3202.85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2513.75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3442.45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132.38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128.07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149.37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452.07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436.65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360.99</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966.23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730.88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1072.56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1282.44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1159.05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1313.44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4970.28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4921.10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4199.23</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12593.20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9198.38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13621.31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2.26</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229.58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220.63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209.67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486.74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358.45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438.08</w:t>
            </w:r>
          </w:p>
        </w:tc>
        <w:tc>
          <w:tcPr>
            <w:tcW w:w="45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375.47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309.35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415.02</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0.04</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0.39</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14.50</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18.67</w:t>
            </w:r>
          </w:p>
        </w:tc>
        <w:tc>
          <w:tcPr>
            <w:tcW w:w="45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4.44</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w:t>
            </w: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33</w:t>
      </w:r>
      <w:r w:rsidR="007147B8">
        <w:rPr>
          <w:rFonts w:ascii="Times New Roman" w:hAnsi="Times New Roman" w:cs="Times New Roman"/>
          <w:b/>
          <w:sz w:val="16"/>
          <w:szCs w:val="16"/>
        </w:rPr>
        <w:t>B: Cow #4 Fold Change in Plasma Used in Figure 8</w:t>
      </w:r>
    </w:p>
    <w:tbl>
      <w:tblPr>
        <w:tblW w:w="5013" w:type="pct"/>
        <w:tblInd w:w="-12" w:type="dxa"/>
        <w:tblLook w:val="04A0" w:firstRow="1" w:lastRow="0" w:firstColumn="1" w:lastColumn="0" w:noHBand="0" w:noVBand="1"/>
      </w:tblPr>
      <w:tblGrid>
        <w:gridCol w:w="2585"/>
        <w:gridCol w:w="678"/>
        <w:gridCol w:w="676"/>
        <w:gridCol w:w="676"/>
        <w:gridCol w:w="862"/>
        <w:gridCol w:w="676"/>
        <w:gridCol w:w="862"/>
        <w:gridCol w:w="864"/>
        <w:gridCol w:w="864"/>
        <w:gridCol w:w="858"/>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5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4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4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5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35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0.30</w:t>
            </w:r>
          </w:p>
        </w:tc>
        <w:tc>
          <w:tcPr>
            <w:tcW w:w="44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35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0.34</w:t>
            </w:r>
          </w:p>
        </w:tc>
        <w:tc>
          <w:tcPr>
            <w:tcW w:w="44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45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45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44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5.67</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6.97</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11.83</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4.94</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6.14</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5.81</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18.04</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3.19</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3.34</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5.71</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4.93</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6.12</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3.66</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6.63</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3.27</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7.25</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4.18</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7.59</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4.76</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8.23</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5.52</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3.88</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3.84</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7.17</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5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w:t>
            </w:r>
          </w:p>
        </w:tc>
        <w:tc>
          <w:tcPr>
            <w:tcW w:w="4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5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4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10.51</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4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13.53</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w:t>
            </w:r>
          </w:p>
        </w:tc>
        <w:tc>
          <w:tcPr>
            <w:tcW w:w="44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w:t>
            </w:r>
          </w:p>
        </w:tc>
      </w:tr>
    </w:tbl>
    <w:tbl>
      <w:tblPr>
        <w:tblpPr w:leftFromText="180" w:rightFromText="180" w:bottomFromText="200" w:vertAnchor="text" w:horzAnchor="margin" w:tblpY="302"/>
        <w:tblW w:w="5013" w:type="pct"/>
        <w:tblBorders>
          <w:top w:val="single" w:sz="4" w:space="0" w:color="auto"/>
        </w:tblBorders>
        <w:tblLook w:val="04A0" w:firstRow="1" w:lastRow="0" w:firstColumn="1" w:lastColumn="0" w:noHBand="0" w:noVBand="1"/>
      </w:tblPr>
      <w:tblGrid>
        <w:gridCol w:w="9601"/>
      </w:tblGrid>
      <w:tr w:rsidR="007147B8" w:rsidTr="00E613FF">
        <w:trPr>
          <w:trHeight w:val="100"/>
        </w:trPr>
        <w:tc>
          <w:tcPr>
            <w:tcW w:w="5000" w:type="pct"/>
            <w:tcBorders>
              <w:top w:val="single" w:sz="4" w:space="0" w:color="auto"/>
              <w:left w:val="nil"/>
              <w:bottom w:val="nil"/>
              <w:right w:val="nil"/>
            </w:tcBorders>
          </w:tcPr>
          <w:p w:rsidR="007147B8" w:rsidRDefault="007147B8" w:rsidP="00E613FF"/>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34</w:t>
      </w:r>
      <w:r w:rsidR="007147B8">
        <w:rPr>
          <w:rFonts w:ascii="Times New Roman" w:hAnsi="Times New Roman" w:cs="Times New Roman"/>
          <w:b/>
          <w:sz w:val="16"/>
          <w:szCs w:val="16"/>
        </w:rPr>
        <w:t xml:space="preserve">A: Cow #5 Average </w:t>
      </w:r>
      <w:r w:rsidR="007147B8">
        <w:rPr>
          <w:rFonts w:ascii="Times New Roman" w:eastAsia="Times New Roman" w:hAnsi="Times New Roman" w:cs="Times New Roman"/>
          <w:b/>
          <w:bCs/>
          <w:color w:val="000000"/>
          <w:sz w:val="16"/>
          <w:szCs w:val="16"/>
        </w:rPr>
        <w:t>µM in Plasma Used in Figure 8</w:t>
      </w:r>
    </w:p>
    <w:tbl>
      <w:tblPr>
        <w:tblW w:w="5000" w:type="pct"/>
        <w:tblLook w:val="04A0" w:firstRow="1" w:lastRow="0" w:firstColumn="1" w:lastColumn="0" w:noHBand="0" w:noVBand="1"/>
      </w:tblPr>
      <w:tblGrid>
        <w:gridCol w:w="2578"/>
        <w:gridCol w:w="657"/>
        <w:gridCol w:w="753"/>
        <w:gridCol w:w="764"/>
        <w:gridCol w:w="764"/>
        <w:gridCol w:w="764"/>
        <w:gridCol w:w="764"/>
        <w:gridCol w:w="883"/>
        <w:gridCol w:w="883"/>
        <w:gridCol w:w="766"/>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6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6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0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19.56</w:t>
            </w:r>
          </w:p>
        </w:tc>
        <w:tc>
          <w:tcPr>
            <w:tcW w:w="39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11.83</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10.85</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10.99</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13.24</w:t>
            </w:r>
          </w:p>
        </w:tc>
        <w:tc>
          <w:tcPr>
            <w:tcW w:w="39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25.86</w:t>
            </w:r>
          </w:p>
        </w:tc>
        <w:tc>
          <w:tcPr>
            <w:tcW w:w="46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28.19</w:t>
            </w:r>
          </w:p>
        </w:tc>
        <w:tc>
          <w:tcPr>
            <w:tcW w:w="46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30.84</w:t>
            </w:r>
          </w:p>
        </w:tc>
        <w:tc>
          <w:tcPr>
            <w:tcW w:w="40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40.75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3.92</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3.82</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62.94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67.80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39.81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63.33</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29.03</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28.30</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43.47</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56.81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188.35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236.58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135.13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250.91</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115.28</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116.64</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90.54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92.75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81.61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45.46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78.61</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45.58</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47.91</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82.70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91.15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52.88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98.63</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56.15</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71.29</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50.79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110.13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129.57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426.74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477.15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273.29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491.48</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246.04</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264.13</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201.36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47.56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57.61</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105.96</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114.09</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74.89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34.66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40.12</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87.42</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74.84</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44.19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45.16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118.47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115.61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137.12</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276.99</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255.31</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175.39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77.43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274.93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263.26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349.06</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663.22</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712.72</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509.52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44.97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72.95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297.44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265.09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383.97</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732.53</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855.92</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681.12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18.24</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14.02</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4.42</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44.08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40.90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49.86</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105.47</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106.84</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49.14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33.37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102.64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109.39</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176.37</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190.98</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123.01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6.68</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56.46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53.91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65.46</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112.99</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128.98</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81.05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217.64</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316.93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548.54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1545.16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1688.11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1833.97</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2991.79</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2793.08</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2014.05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124.33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163.48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259.76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501.91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514.54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554.01</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933.52</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890.86</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678.33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49.77</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89.45</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93.39</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68.22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24.49</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69.09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200.44</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223.39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262.27</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431.75</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386.49</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276.46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79.01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120.70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180.81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512.43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617.72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689.50</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960.46</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1011.76</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720.14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206.53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367.35</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569.20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1637.87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1908.31</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2260.48</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3072.45</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3530.87</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2424.81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99.20</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160.49</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254.93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565.02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609.78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696.90</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1112.18</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1252.63</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883.02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857.03</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1345.62</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2184.90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5987.00</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6521.56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7548.82</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11870.79</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12412.79</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8812.01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0.11</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145.25</w:t>
            </w:r>
          </w:p>
        </w:tc>
        <w:tc>
          <w:tcPr>
            <w:tcW w:w="39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229.58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298.58</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723.43</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675.67</w:t>
            </w:r>
          </w:p>
        </w:tc>
        <w:tc>
          <w:tcPr>
            <w:tcW w:w="39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746.99</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446.12</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356.67</w:t>
            </w:r>
          </w:p>
        </w:tc>
        <w:tc>
          <w:tcPr>
            <w:tcW w:w="40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290.70</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w:t>
            </w:r>
          </w:p>
        </w:tc>
        <w:tc>
          <w:tcPr>
            <w:tcW w:w="39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5.93</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34.39</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39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22.52</w:t>
            </w:r>
          </w:p>
        </w:tc>
        <w:tc>
          <w:tcPr>
            <w:tcW w:w="46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w:t>
            </w:r>
          </w:p>
        </w:tc>
        <w:tc>
          <w:tcPr>
            <w:tcW w:w="46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w:t>
            </w:r>
          </w:p>
        </w:tc>
        <w:tc>
          <w:tcPr>
            <w:tcW w:w="40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w:t>
            </w:r>
          </w:p>
        </w:tc>
      </w:tr>
      <w:tr w:rsidR="007147B8" w:rsidTr="00E613FF">
        <w:trPr>
          <w:trHeight w:val="152"/>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34</w:t>
      </w:r>
      <w:r w:rsidR="007147B8">
        <w:rPr>
          <w:rFonts w:ascii="Times New Roman" w:hAnsi="Times New Roman" w:cs="Times New Roman"/>
          <w:b/>
          <w:sz w:val="16"/>
          <w:szCs w:val="16"/>
        </w:rPr>
        <w:t>B: Cow #5 Fold Change in Plasma Used in Figure 8</w:t>
      </w:r>
    </w:p>
    <w:tbl>
      <w:tblPr>
        <w:tblW w:w="5000" w:type="pct"/>
        <w:tblLook w:val="04A0" w:firstRow="1" w:lastRow="0" w:firstColumn="1" w:lastColumn="0" w:noHBand="0" w:noVBand="1"/>
      </w:tblPr>
      <w:tblGrid>
        <w:gridCol w:w="2577"/>
        <w:gridCol w:w="657"/>
        <w:gridCol w:w="657"/>
        <w:gridCol w:w="657"/>
        <w:gridCol w:w="839"/>
        <w:gridCol w:w="839"/>
        <w:gridCol w:w="839"/>
        <w:gridCol w:w="839"/>
        <w:gridCol w:w="839"/>
        <w:gridCol w:w="833"/>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3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w:t>
            </w:r>
          </w:p>
        </w:tc>
        <w:tc>
          <w:tcPr>
            <w:tcW w:w="43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3.38</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14.05</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15.60</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13.84</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28.81</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40.42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47.22</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22.62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17.38</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24.18</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15.11</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19.31</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12.83</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7.17</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13.24</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15.78</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12.81</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17.10</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12.63</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14.48</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19.52</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12.78</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w:t>
            </w:r>
          </w:p>
        </w:tc>
        <w:tc>
          <w:tcPr>
            <w:tcW w:w="43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r>
      <w:tr w:rsidR="007147B8" w:rsidTr="00E613FF">
        <w:trPr>
          <w:trHeight w:val="225"/>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4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4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4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7"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35</w:t>
      </w:r>
      <w:r w:rsidR="007147B8">
        <w:rPr>
          <w:rFonts w:ascii="Times New Roman" w:hAnsi="Times New Roman" w:cs="Times New Roman"/>
          <w:b/>
          <w:sz w:val="16"/>
          <w:szCs w:val="16"/>
        </w:rPr>
        <w:t xml:space="preserve">A: Cow #6 Average </w:t>
      </w:r>
      <w:r w:rsidR="007147B8">
        <w:rPr>
          <w:rFonts w:ascii="Times New Roman" w:eastAsia="Times New Roman" w:hAnsi="Times New Roman" w:cs="Times New Roman"/>
          <w:b/>
          <w:bCs/>
          <w:color w:val="000000"/>
          <w:sz w:val="16"/>
          <w:szCs w:val="16"/>
        </w:rPr>
        <w:t>µM in Plasma Used in Figure 8</w:t>
      </w:r>
    </w:p>
    <w:tbl>
      <w:tblPr>
        <w:tblW w:w="5000" w:type="pct"/>
        <w:tblLook w:val="04A0" w:firstRow="1" w:lastRow="0" w:firstColumn="1" w:lastColumn="0" w:noHBand="0" w:noVBand="1"/>
      </w:tblPr>
      <w:tblGrid>
        <w:gridCol w:w="2579"/>
        <w:gridCol w:w="668"/>
        <w:gridCol w:w="668"/>
        <w:gridCol w:w="791"/>
        <w:gridCol w:w="791"/>
        <w:gridCol w:w="791"/>
        <w:gridCol w:w="791"/>
        <w:gridCol w:w="791"/>
        <w:gridCol w:w="915"/>
        <w:gridCol w:w="791"/>
      </w:tblGrid>
      <w:tr w:rsidR="007147B8" w:rsidTr="00E613FF">
        <w:trPr>
          <w:trHeight w:val="170"/>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60"/>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4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35.77</w:t>
            </w:r>
          </w:p>
        </w:tc>
        <w:tc>
          <w:tcPr>
            <w:tcW w:w="34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19.60</w:t>
            </w:r>
          </w:p>
        </w:tc>
        <w:tc>
          <w:tcPr>
            <w:tcW w:w="41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11.92</w:t>
            </w:r>
          </w:p>
        </w:tc>
        <w:tc>
          <w:tcPr>
            <w:tcW w:w="41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14.61</w:t>
            </w:r>
          </w:p>
        </w:tc>
        <w:tc>
          <w:tcPr>
            <w:tcW w:w="41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14.20</w:t>
            </w:r>
          </w:p>
        </w:tc>
        <w:tc>
          <w:tcPr>
            <w:tcW w:w="41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12.91</w:t>
            </w:r>
          </w:p>
        </w:tc>
        <w:tc>
          <w:tcPr>
            <w:tcW w:w="41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28.70</w:t>
            </w:r>
          </w:p>
        </w:tc>
        <w:tc>
          <w:tcPr>
            <w:tcW w:w="47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45.88</w:t>
            </w:r>
          </w:p>
        </w:tc>
        <w:tc>
          <w:tcPr>
            <w:tcW w:w="41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84.16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22.07</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50.87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34.14</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30.15</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49.33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44.69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69.64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161.90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72.16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195.21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136.98</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116.21</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40.88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23.30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46.78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53.72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41.83</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35.34</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56.80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72.01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72.68</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61.50</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109.03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107.78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156.97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311.29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134.47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371.82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285.64</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243.21</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107.59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64.00</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103.71</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44.76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31.40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54.38</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80.66</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42.86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89.45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99.82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78.05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184.02</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290.50</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162.88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19.08</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32.73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58.57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224.75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232.93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206.61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525.90</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899.39</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488.87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63.08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232.45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228.51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239.75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622.96</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1026.29</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456.57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12.64</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15.99</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3.28</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37.64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95.50</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106.37</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61.37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59.92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74.29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49.96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145.77</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225.94</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134.02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33.22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37.66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90.04</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143.37</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59.40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260.15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257.86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413.56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1184.50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1246.03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1093.28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1936.70</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3045.52</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1013.72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115.27</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134.00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181.81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351.27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416.09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311.25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501.07</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807.91</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408.38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60.56</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104.16</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56.92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25.88</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53.77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162.63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167.81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151.97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280.75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444.36</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233.52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75.71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87.35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140.53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392.62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374.98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395.63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642.40</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1063.12</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361.95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200.38</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255.46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435.45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1256.31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1072.98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1288.50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2187.35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3447.39</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890.15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72.64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115.17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174.59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369.24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370.85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360.07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591.93</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931.74</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324.54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824.00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998.27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1612.16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4478.34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4456.55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4311.07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7995.95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12736.42</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4746.96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162.53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166.13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253.82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581.60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609.13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531.58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366.15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303.72</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325.30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4.34</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35</w:t>
      </w:r>
      <w:r w:rsidR="007147B8">
        <w:rPr>
          <w:rFonts w:ascii="Times New Roman" w:hAnsi="Times New Roman" w:cs="Times New Roman"/>
          <w:b/>
          <w:sz w:val="16"/>
          <w:szCs w:val="16"/>
        </w:rPr>
        <w:t>B: Cow #6 Fold Change in Plasma Used in Figure 8</w:t>
      </w:r>
    </w:p>
    <w:tbl>
      <w:tblPr>
        <w:tblW w:w="5000" w:type="pct"/>
        <w:tblLook w:val="04A0" w:firstRow="1" w:lastRow="0" w:firstColumn="1" w:lastColumn="0" w:noHBand="0" w:noVBand="1"/>
      </w:tblPr>
      <w:tblGrid>
        <w:gridCol w:w="2577"/>
        <w:gridCol w:w="657"/>
        <w:gridCol w:w="657"/>
        <w:gridCol w:w="657"/>
        <w:gridCol w:w="839"/>
        <w:gridCol w:w="839"/>
        <w:gridCol w:w="839"/>
        <w:gridCol w:w="839"/>
        <w:gridCol w:w="839"/>
        <w:gridCol w:w="833"/>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3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0.55</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0.40</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43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20.49</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19.38</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23.91</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47.15</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48.81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80.41</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25.26</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32.45</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36.75</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22.53</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11.71</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7.01</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24.04</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17.17</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14.04</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17.20</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12.83</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15.46</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6.82</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0.14</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4.64</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w:t>
            </w:r>
          </w:p>
        </w:tc>
        <w:tc>
          <w:tcPr>
            <w:tcW w:w="43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0.19</w:t>
            </w:r>
          </w:p>
        </w:tc>
      </w:tr>
      <w:tr w:rsidR="007147B8" w:rsidTr="00E613FF">
        <w:trPr>
          <w:trHeight w:val="225"/>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4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4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4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7"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36</w:t>
      </w:r>
      <w:r w:rsidR="007147B8">
        <w:rPr>
          <w:rFonts w:ascii="Times New Roman" w:hAnsi="Times New Roman" w:cs="Times New Roman"/>
          <w:b/>
          <w:sz w:val="16"/>
          <w:szCs w:val="16"/>
        </w:rPr>
        <w:t xml:space="preserve">A: Cow #7 Average </w:t>
      </w:r>
      <w:r w:rsidR="007147B8">
        <w:rPr>
          <w:rFonts w:ascii="Times New Roman" w:eastAsia="Times New Roman" w:hAnsi="Times New Roman" w:cs="Times New Roman"/>
          <w:b/>
          <w:bCs/>
          <w:color w:val="000000"/>
          <w:sz w:val="16"/>
          <w:szCs w:val="16"/>
        </w:rPr>
        <w:t>µM in Plasma Used in Figure 8</w:t>
      </w:r>
    </w:p>
    <w:tbl>
      <w:tblPr>
        <w:tblW w:w="5000" w:type="pct"/>
        <w:tblLook w:val="04A0" w:firstRow="1" w:lastRow="0" w:firstColumn="1" w:lastColumn="0" w:noHBand="0" w:noVBand="1"/>
      </w:tblPr>
      <w:tblGrid>
        <w:gridCol w:w="2577"/>
        <w:gridCol w:w="736"/>
        <w:gridCol w:w="736"/>
        <w:gridCol w:w="736"/>
        <w:gridCol w:w="736"/>
        <w:gridCol w:w="736"/>
        <w:gridCol w:w="816"/>
        <w:gridCol w:w="823"/>
        <w:gridCol w:w="840"/>
        <w:gridCol w:w="840"/>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2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3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3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8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18.85</w:t>
            </w:r>
          </w:p>
        </w:tc>
        <w:tc>
          <w:tcPr>
            <w:tcW w:w="38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16.83</w:t>
            </w:r>
          </w:p>
        </w:tc>
        <w:tc>
          <w:tcPr>
            <w:tcW w:w="38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13.41</w:t>
            </w:r>
          </w:p>
        </w:tc>
        <w:tc>
          <w:tcPr>
            <w:tcW w:w="38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16.41</w:t>
            </w:r>
          </w:p>
        </w:tc>
        <w:tc>
          <w:tcPr>
            <w:tcW w:w="38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19.49</w:t>
            </w:r>
          </w:p>
        </w:tc>
        <w:tc>
          <w:tcPr>
            <w:tcW w:w="42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14.42</w:t>
            </w:r>
          </w:p>
        </w:tc>
        <w:tc>
          <w:tcPr>
            <w:tcW w:w="43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42.20</w:t>
            </w:r>
          </w:p>
        </w:tc>
        <w:tc>
          <w:tcPr>
            <w:tcW w:w="43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47.13</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4.04</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3.64</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38.39</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38.97</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56.79</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37.72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48.75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78.36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97.31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142.84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100.53</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94.60</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224.26</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137.14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74.16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33.78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39.53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54.87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42.90</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45.22</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108.10</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57.48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33.51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42.98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55.99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49.71</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73.52</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143.32</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88.44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51.49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118.87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174.71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220.85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311.44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231.52</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252.32</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532.47</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320.78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187.18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38.80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52.78</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160.50</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239.58</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115.20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192.18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46.53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41.77</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132.93</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114.93</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55.40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95.50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36.43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38.94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153.22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123.83</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446.23</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589.16</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293.24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490.30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54.22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83.37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86.15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396.80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255.22</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1020.56</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1691.26</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879.35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1476.86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47.32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259.15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235.15</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1129.22</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2172.36</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1174.61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1907.81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5.96</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26.71</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21.98</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49.90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33.03</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179.73</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112.10</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51.35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84.50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120.11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63.35</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262.61</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431.17</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205.42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350.79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55.83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67.86</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256.70</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314.90</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156.77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251.88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332.52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465.24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559.11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1845.79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1758.32</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4411.23</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4450.93</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2445.42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4220.76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176.42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218.03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223.77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692.10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628.88</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1386.92</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1535.81</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791.86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1455.35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39.62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44.52</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142.88</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193.55</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99.43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155.66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47.22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67.80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84.73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276.32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265.69</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696.94</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683.93</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380.26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648.48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100.74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119.16</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138.19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421.17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431.14</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1346.47</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1691.31</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940.95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1642.59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346.84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430.97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457.09</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1422.80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1474.78</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4578.13</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5306.64</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2865.96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5109.72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143.85</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166.90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160.53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537.88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480.66</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1433.49</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1917.79</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948.46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1738.58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1310.57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1709.94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1870.08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6362.82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5962.93</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17611.27</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21467.41</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11414.67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19838.92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193.63</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218.60</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253.47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806.07</w:t>
            </w:r>
          </w:p>
        </w:tc>
        <w:tc>
          <w:tcPr>
            <w:tcW w:w="38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571.10</w:t>
            </w:r>
          </w:p>
        </w:tc>
        <w:tc>
          <w:tcPr>
            <w:tcW w:w="42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526.52</w:t>
            </w:r>
          </w:p>
        </w:tc>
        <w:tc>
          <w:tcPr>
            <w:tcW w:w="43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393.89</w:t>
            </w:r>
          </w:p>
        </w:tc>
        <w:tc>
          <w:tcPr>
            <w:tcW w:w="43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393.38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584.86</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9.42</w:t>
            </w:r>
          </w:p>
        </w:tc>
        <w:tc>
          <w:tcPr>
            <w:tcW w:w="38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w:t>
            </w:r>
          </w:p>
        </w:tc>
        <w:tc>
          <w:tcPr>
            <w:tcW w:w="42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w:t>
            </w:r>
          </w:p>
        </w:tc>
        <w:tc>
          <w:tcPr>
            <w:tcW w:w="43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19.51</w:t>
            </w:r>
          </w:p>
        </w:tc>
        <w:tc>
          <w:tcPr>
            <w:tcW w:w="43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6.56</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w:t>
            </w: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36</w:t>
      </w:r>
      <w:r w:rsidR="007147B8">
        <w:rPr>
          <w:rFonts w:ascii="Times New Roman" w:hAnsi="Times New Roman" w:cs="Times New Roman"/>
          <w:b/>
          <w:sz w:val="16"/>
          <w:szCs w:val="16"/>
        </w:rPr>
        <w:t>B: Cow #7 Fold Change in Plasma Used in Figure 8</w:t>
      </w:r>
    </w:p>
    <w:tbl>
      <w:tblPr>
        <w:tblW w:w="5000" w:type="pct"/>
        <w:tblLook w:val="04A0" w:firstRow="1" w:lastRow="0" w:firstColumn="1" w:lastColumn="0" w:noHBand="0" w:noVBand="1"/>
      </w:tblPr>
      <w:tblGrid>
        <w:gridCol w:w="2579"/>
        <w:gridCol w:w="693"/>
        <w:gridCol w:w="693"/>
        <w:gridCol w:w="693"/>
        <w:gridCol w:w="691"/>
        <w:gridCol w:w="691"/>
        <w:gridCol w:w="885"/>
        <w:gridCol w:w="885"/>
        <w:gridCol w:w="885"/>
        <w:gridCol w:w="881"/>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6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6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6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6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36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36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36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46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46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46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2.50</w:t>
            </w:r>
          </w:p>
        </w:tc>
        <w:tc>
          <w:tcPr>
            <w:tcW w:w="46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0.64</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4.60</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2.22</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4.37</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2.32</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5.98</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3.69</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4.48</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5.02</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6.83</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20.78</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31.01</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14.91</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6.74</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6.05</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19.25</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16.64</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8.02</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4.77</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17.19</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22.70</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11.30</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7.32</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4.71</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18.82</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31.19</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16.22</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27.24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8.74</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7.93</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38.06</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73.22</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39.59</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64.30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6.47</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5.67</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25.40</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20.90</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10.46</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7.96</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5.27</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28.68</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17.89</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8.19</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8.23</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4.34</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18.00</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29.55</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14.08</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5.63</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6.84</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25.88</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31.75</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15.81</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5.55</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5.29</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13.27</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13.39</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7.35</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3.92</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3.56</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7.86</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8.71</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4.49</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5.92</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6.65</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21.36</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28.93</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14.86</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23.27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5.85</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5.63</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14.76</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14.48</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8.05</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4.18</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4.28</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13.37</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16.79</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9.34</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13.20</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15.30</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8.26</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3.74</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3.34</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9.97</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13.33</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6.59</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4.86</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13.44</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16.38</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8.71</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2.33</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6.03</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5.09</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w:t>
            </w:r>
          </w:p>
        </w:tc>
        <w:tc>
          <w:tcPr>
            <w:tcW w:w="3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w:t>
            </w:r>
          </w:p>
        </w:tc>
        <w:tc>
          <w:tcPr>
            <w:tcW w:w="3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2.72</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w:t>
            </w:r>
          </w:p>
        </w:tc>
        <w:tc>
          <w:tcPr>
            <w:tcW w:w="46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w:t>
            </w:r>
          </w:p>
        </w:tc>
        <w:tc>
          <w:tcPr>
            <w:tcW w:w="46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3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3.01</w:t>
            </w:r>
          </w:p>
        </w:tc>
        <w:tc>
          <w:tcPr>
            <w:tcW w:w="36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4.92</w:t>
            </w:r>
          </w:p>
        </w:tc>
        <w:tc>
          <w:tcPr>
            <w:tcW w:w="36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w:t>
            </w:r>
          </w:p>
        </w:tc>
        <w:tc>
          <w:tcPr>
            <w:tcW w:w="4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2.35</w:t>
            </w:r>
          </w:p>
        </w:tc>
        <w:tc>
          <w:tcPr>
            <w:tcW w:w="4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10.20</w:t>
            </w:r>
          </w:p>
        </w:tc>
        <w:tc>
          <w:tcPr>
            <w:tcW w:w="46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w:t>
            </w:r>
          </w:p>
        </w:tc>
        <w:tc>
          <w:tcPr>
            <w:tcW w:w="46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r>
      <w:tr w:rsidR="007147B8" w:rsidTr="00E613FF">
        <w:trPr>
          <w:trHeight w:val="225"/>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6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6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6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6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6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6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6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6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6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37</w:t>
      </w:r>
      <w:r w:rsidR="007147B8">
        <w:rPr>
          <w:rFonts w:ascii="Times New Roman" w:hAnsi="Times New Roman" w:cs="Times New Roman"/>
          <w:b/>
          <w:sz w:val="16"/>
          <w:szCs w:val="16"/>
        </w:rPr>
        <w:t xml:space="preserve">A: Cow #8 Average </w:t>
      </w:r>
      <w:r w:rsidR="007147B8">
        <w:rPr>
          <w:rFonts w:ascii="Times New Roman" w:eastAsia="Times New Roman" w:hAnsi="Times New Roman" w:cs="Times New Roman"/>
          <w:b/>
          <w:bCs/>
          <w:color w:val="000000"/>
          <w:sz w:val="16"/>
          <w:szCs w:val="16"/>
        </w:rPr>
        <w:t>µM in Plasma Used in Figure 8</w:t>
      </w:r>
    </w:p>
    <w:tbl>
      <w:tblPr>
        <w:tblW w:w="5000" w:type="pct"/>
        <w:tblLook w:val="04A0" w:firstRow="1" w:lastRow="0" w:firstColumn="1" w:lastColumn="0" w:noHBand="0" w:noVBand="1"/>
      </w:tblPr>
      <w:tblGrid>
        <w:gridCol w:w="2579"/>
        <w:gridCol w:w="669"/>
        <w:gridCol w:w="668"/>
        <w:gridCol w:w="668"/>
        <w:gridCol w:w="791"/>
        <w:gridCol w:w="791"/>
        <w:gridCol w:w="791"/>
        <w:gridCol w:w="915"/>
        <w:gridCol w:w="915"/>
        <w:gridCol w:w="789"/>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41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41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1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7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7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1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4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30.73</w:t>
            </w:r>
          </w:p>
        </w:tc>
        <w:tc>
          <w:tcPr>
            <w:tcW w:w="34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27.41</w:t>
            </w:r>
          </w:p>
        </w:tc>
        <w:tc>
          <w:tcPr>
            <w:tcW w:w="349"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20.02</w:t>
            </w:r>
          </w:p>
        </w:tc>
        <w:tc>
          <w:tcPr>
            <w:tcW w:w="41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17.22</w:t>
            </w:r>
          </w:p>
        </w:tc>
        <w:tc>
          <w:tcPr>
            <w:tcW w:w="41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15.45</w:t>
            </w:r>
          </w:p>
        </w:tc>
        <w:tc>
          <w:tcPr>
            <w:tcW w:w="41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11.40</w:t>
            </w:r>
          </w:p>
        </w:tc>
        <w:tc>
          <w:tcPr>
            <w:tcW w:w="47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14.37</w:t>
            </w:r>
          </w:p>
        </w:tc>
        <w:tc>
          <w:tcPr>
            <w:tcW w:w="47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18.37</w:t>
            </w:r>
          </w:p>
        </w:tc>
        <w:tc>
          <w:tcPr>
            <w:tcW w:w="41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4.59</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8.68</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25.92</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49.59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43.70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50.04</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25.13</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24.34</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57.39</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126.92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131.00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146.56</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56.24</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80.13</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53.89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7.78</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30.39</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58.28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62.87</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25.36</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32.36</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6.49</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42.93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48.57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58.46</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39.19</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45.31</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37.79</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136.46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79.57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277.72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279.28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317.93</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145.92</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182.15</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150.49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5.29</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44.64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155.65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120.79</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93.83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32.68</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117.86</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86.97</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61.37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13.42</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94.65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113.22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118.84</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412.67</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318.02</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239.94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12.32</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21.59</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205.53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270.62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285.44</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1036.05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872.61</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606.92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13.47</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196.42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301.86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298.76</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1007.48</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995.16</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707.54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7.66</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16.83</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3.62</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40.19</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177.84</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94.43</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64.75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5.88</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56.29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74.42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84.94</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297.93</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224.95</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181.26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3.32</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36.75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43.69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161.32</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128.50</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102.03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128.25</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210.94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245.08</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1104.24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1265.77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1078.53</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3326.69</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2971.68</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1666.66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63.37</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120.30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132.43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479.36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502.75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413.08</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1065.66</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914.01</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1003.73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3.88</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32.82</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132.25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133.34</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78.08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13.78</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152.00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189.82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169.29</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554.81</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519.08</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277.55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47.18</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71.73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88.22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360.55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475.10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444.03</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1186.20</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1073.68</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520.34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110.71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197.43</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245.03</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841.07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1161.10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1103.91</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3430.63</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3121.33</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1665.63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43.79</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83.57</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102.04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353.85</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438.37</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417.02</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1168.35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1011.41</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803.59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457.61</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790.30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959.14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4009.46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4989.92</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4605.48</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14258.13</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12602.80</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8082.18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91.62</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150.29</w:t>
            </w:r>
          </w:p>
        </w:tc>
        <w:tc>
          <w:tcPr>
            <w:tcW w:w="349"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180.94</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606.99</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516.86</w:t>
            </w:r>
          </w:p>
        </w:tc>
        <w:tc>
          <w:tcPr>
            <w:tcW w:w="41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608.75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490.45</w:t>
            </w:r>
          </w:p>
        </w:tc>
        <w:tc>
          <w:tcPr>
            <w:tcW w:w="47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307.81</w:t>
            </w:r>
          </w:p>
        </w:tc>
        <w:tc>
          <w:tcPr>
            <w:tcW w:w="41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387.77</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0.05</w:t>
            </w:r>
          </w:p>
        </w:tc>
        <w:tc>
          <w:tcPr>
            <w:tcW w:w="3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349"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0.03</w:t>
            </w:r>
          </w:p>
        </w:tc>
        <w:tc>
          <w:tcPr>
            <w:tcW w:w="41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9.83</w:t>
            </w:r>
          </w:p>
        </w:tc>
        <w:tc>
          <w:tcPr>
            <w:tcW w:w="41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41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7.11</w:t>
            </w:r>
          </w:p>
        </w:tc>
        <w:tc>
          <w:tcPr>
            <w:tcW w:w="47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0.39</w:t>
            </w:r>
          </w:p>
        </w:tc>
        <w:tc>
          <w:tcPr>
            <w:tcW w:w="47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41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37</w:t>
      </w:r>
      <w:r w:rsidR="007147B8">
        <w:rPr>
          <w:rFonts w:ascii="Times New Roman" w:hAnsi="Times New Roman" w:cs="Times New Roman"/>
          <w:b/>
          <w:sz w:val="16"/>
          <w:szCs w:val="16"/>
        </w:rPr>
        <w:t>B: Cow #8 Fold Change in Plasma Used in Figure 8</w:t>
      </w:r>
    </w:p>
    <w:tbl>
      <w:tblPr>
        <w:tblW w:w="5000" w:type="pct"/>
        <w:tblLook w:val="04A0" w:firstRow="1" w:lastRow="0" w:firstColumn="1" w:lastColumn="0" w:noHBand="0" w:noVBand="1"/>
      </w:tblPr>
      <w:tblGrid>
        <w:gridCol w:w="2578"/>
        <w:gridCol w:w="622"/>
        <w:gridCol w:w="622"/>
        <w:gridCol w:w="622"/>
        <w:gridCol w:w="973"/>
        <w:gridCol w:w="797"/>
        <w:gridCol w:w="973"/>
        <w:gridCol w:w="797"/>
        <w:gridCol w:w="797"/>
        <w:gridCol w:w="795"/>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2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2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2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50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41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50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1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1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1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25"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325"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50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0.56</w:t>
            </w:r>
          </w:p>
        </w:tc>
        <w:tc>
          <w:tcPr>
            <w:tcW w:w="41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w:t>
            </w:r>
          </w:p>
        </w:tc>
        <w:tc>
          <w:tcPr>
            <w:tcW w:w="50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41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41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41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2.99</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2.90</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2.80</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8.55</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8.83</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9.87</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3.79</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5.40</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7.49</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7.20</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8.08</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6.62</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7.49</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6.04</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6.99</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7.35</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7.39</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13.18</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14.48</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13.32</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50.49</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39.18</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8.53</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9.71</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9.72</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35.04</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11.27</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13.49</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49.15</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37.88</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16.68</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21.96</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84.06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70.80</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49.25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18.97</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29.16</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97.31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96.12</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68.34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19.09</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21.29</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46.77</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10.24</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13.52</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16.03</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70.95</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37.67</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1.92</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17.46</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19.93</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69.91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52.79</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11.07</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13.16</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11.22</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48.59</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38.70</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9.87</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25.94</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23.17</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7.93</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6.52</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16.82</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14.42</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11.23</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13.71</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12.80</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51.58</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52.01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11.03</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13.78</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12.29</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40.26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37.67</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7.64</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10.07</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9.41</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25.14</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7.60</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10.49</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9.97</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30.99</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28.19</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2.33</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8.08</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10.01</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9.52</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26.68</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23.10</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10.90</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31.16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27.54</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4.20</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w:t>
            </w:r>
          </w:p>
        </w:tc>
        <w:tc>
          <w:tcPr>
            <w:tcW w:w="32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1.97</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6.63</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5.64</w:t>
            </w:r>
          </w:p>
        </w:tc>
        <w:tc>
          <w:tcPr>
            <w:tcW w:w="50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6.64</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5.35</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w:t>
            </w:r>
          </w:p>
        </w:tc>
        <w:tc>
          <w:tcPr>
            <w:tcW w:w="41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4.23</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2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2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8.90</w:t>
            </w:r>
          </w:p>
        </w:tc>
        <w:tc>
          <w:tcPr>
            <w:tcW w:w="32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50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193.10</w:t>
            </w:r>
          </w:p>
        </w:tc>
        <w:tc>
          <w:tcPr>
            <w:tcW w:w="41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14.62</w:t>
            </w:r>
          </w:p>
        </w:tc>
        <w:tc>
          <w:tcPr>
            <w:tcW w:w="50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139.63</w:t>
            </w:r>
          </w:p>
        </w:tc>
        <w:tc>
          <w:tcPr>
            <w:tcW w:w="41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7.62</w:t>
            </w:r>
          </w:p>
        </w:tc>
        <w:tc>
          <w:tcPr>
            <w:tcW w:w="41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20.94</w:t>
            </w:r>
          </w:p>
        </w:tc>
        <w:tc>
          <w:tcPr>
            <w:tcW w:w="41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29.91</w:t>
            </w:r>
          </w:p>
        </w:tc>
      </w:tr>
      <w:tr w:rsidR="007147B8" w:rsidTr="00E613FF">
        <w:trPr>
          <w:trHeight w:val="225"/>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25"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25"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25"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0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0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38</w:t>
      </w:r>
      <w:r w:rsidR="007147B8">
        <w:rPr>
          <w:rFonts w:ascii="Times New Roman" w:hAnsi="Times New Roman" w:cs="Times New Roman"/>
          <w:b/>
          <w:sz w:val="16"/>
          <w:szCs w:val="16"/>
        </w:rPr>
        <w:t xml:space="preserve">A: Cow #9 Average </w:t>
      </w:r>
      <w:r w:rsidR="007147B8">
        <w:rPr>
          <w:rFonts w:ascii="Times New Roman" w:eastAsia="Times New Roman" w:hAnsi="Times New Roman" w:cs="Times New Roman"/>
          <w:b/>
          <w:bCs/>
          <w:color w:val="000000"/>
          <w:sz w:val="16"/>
          <w:szCs w:val="16"/>
        </w:rPr>
        <w:t>µM in Plasma Used in Figure 8</w:t>
      </w:r>
    </w:p>
    <w:tbl>
      <w:tblPr>
        <w:tblW w:w="5000" w:type="pct"/>
        <w:tblLook w:val="04A0" w:firstRow="1" w:lastRow="0" w:firstColumn="1" w:lastColumn="0" w:noHBand="0" w:noVBand="1"/>
      </w:tblPr>
      <w:tblGrid>
        <w:gridCol w:w="2579"/>
        <w:gridCol w:w="738"/>
        <w:gridCol w:w="739"/>
        <w:gridCol w:w="739"/>
        <w:gridCol w:w="739"/>
        <w:gridCol w:w="739"/>
        <w:gridCol w:w="739"/>
        <w:gridCol w:w="854"/>
        <w:gridCol w:w="854"/>
        <w:gridCol w:w="856"/>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8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4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85"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32.67</w:t>
            </w:r>
          </w:p>
        </w:tc>
        <w:tc>
          <w:tcPr>
            <w:tcW w:w="38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26.98</w:t>
            </w:r>
          </w:p>
        </w:tc>
        <w:tc>
          <w:tcPr>
            <w:tcW w:w="38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13.72</w:t>
            </w:r>
          </w:p>
        </w:tc>
        <w:tc>
          <w:tcPr>
            <w:tcW w:w="38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20.48</w:t>
            </w:r>
          </w:p>
        </w:tc>
        <w:tc>
          <w:tcPr>
            <w:tcW w:w="38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31.74</w:t>
            </w:r>
          </w:p>
        </w:tc>
        <w:tc>
          <w:tcPr>
            <w:tcW w:w="38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42.64</w:t>
            </w:r>
          </w:p>
        </w:tc>
        <w:tc>
          <w:tcPr>
            <w:tcW w:w="44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53.84</w:t>
            </w:r>
          </w:p>
        </w:tc>
        <w:tc>
          <w:tcPr>
            <w:tcW w:w="44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77.63</w:t>
            </w:r>
          </w:p>
        </w:tc>
        <w:tc>
          <w:tcPr>
            <w:tcW w:w="44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56.22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4.39</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56.98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86.88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21.30</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36.65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55.17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75.37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96.36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175.25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205.15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347.95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106.80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59.28</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142.46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59.77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69.42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110.95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38.17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23.20</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56.52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43.87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76.86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86.06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151.01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68.42</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39.33</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85.29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140.21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160.46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213.35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358.81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417.60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696.79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242.09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143.11</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320.92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45.16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49.52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59.00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188.01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112.36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101.73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35.43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51.83</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130.73</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72.77</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62.03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50.96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127.49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134.27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186.41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469.39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304.56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268.74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33.08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90.84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66.64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304.21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329.37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500.20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1439.08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1014.00</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893.23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75.47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80.04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341.35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358.00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544.81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1958.46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1399.89</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1202.59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12.13</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27.72</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38.41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46.21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60.76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215.62</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97.57</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69.79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79.72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80.88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123.97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349.71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237.16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225.14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51.36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58.54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77.21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253.96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138.47</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129.66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295.65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547.36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478.50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1449.26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1607.99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1919.10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4218.00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2826.42</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2391.08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158.62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220.92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188.74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443.25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510.86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571.14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1214.97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937.32</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785.04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44.98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47.14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61.57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170.67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120.72</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109.40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81.63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66.30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221.50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243.51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307.66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653.31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450.73</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379.75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102.74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183.64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184.57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558.42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585.74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691.87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1475.20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1011.31</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852.61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251.70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485.92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532.12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1709.17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1912.59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2348.45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4994.55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3386.50</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2755.61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119.44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194.30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201.68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540.91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631.04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735.40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1582.63</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1088.06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910.85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1098.01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2044.57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1912.10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5998.07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6646.26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8251.54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19342.02</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13212.63</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11149.40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204.88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268.94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236.89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537.31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572.58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747.95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444.48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458.86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300.41</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8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0.21</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4.09</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2.97</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w:t>
            </w:r>
          </w:p>
        </w:tc>
        <w:tc>
          <w:tcPr>
            <w:tcW w:w="44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11.64</w:t>
            </w: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38</w:t>
      </w:r>
      <w:r w:rsidR="007147B8">
        <w:rPr>
          <w:rFonts w:ascii="Times New Roman" w:hAnsi="Times New Roman" w:cs="Times New Roman"/>
          <w:b/>
          <w:sz w:val="16"/>
          <w:szCs w:val="16"/>
        </w:rPr>
        <w:t>B: Cow #9 Fold Change in Plasma Used in Figure 8</w:t>
      </w:r>
    </w:p>
    <w:tbl>
      <w:tblPr>
        <w:tblW w:w="5000" w:type="pct"/>
        <w:tblLook w:val="04A0" w:firstRow="1" w:lastRow="0" w:firstColumn="1" w:lastColumn="0" w:noHBand="0" w:noVBand="1"/>
      </w:tblPr>
      <w:tblGrid>
        <w:gridCol w:w="2577"/>
        <w:gridCol w:w="657"/>
        <w:gridCol w:w="657"/>
        <w:gridCol w:w="657"/>
        <w:gridCol w:w="839"/>
        <w:gridCol w:w="839"/>
        <w:gridCol w:w="839"/>
        <w:gridCol w:w="839"/>
        <w:gridCol w:w="839"/>
        <w:gridCol w:w="833"/>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3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343"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w:t>
            </w:r>
          </w:p>
        </w:tc>
        <w:tc>
          <w:tcPr>
            <w:tcW w:w="43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c>
          <w:tcPr>
            <w:tcW w:w="43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10.42</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11.72</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14.33</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43.51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30.66</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65.71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46.97</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40.35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13.94</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42.92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19.42</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32.65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22.14</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15.52</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9.56</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5.91</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13.85</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13.13</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9.84</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13.45</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4.53</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5.28</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9.11</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7.51</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12.03</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343"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3.65</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w:t>
            </w:r>
          </w:p>
        </w:tc>
        <w:tc>
          <w:tcPr>
            <w:tcW w:w="43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43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0.07</w:t>
            </w:r>
          </w:p>
        </w:tc>
        <w:tc>
          <w:tcPr>
            <w:tcW w:w="343"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43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0.15</w:t>
            </w:r>
          </w:p>
        </w:tc>
        <w:tc>
          <w:tcPr>
            <w:tcW w:w="43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3.82</w:t>
            </w:r>
          </w:p>
        </w:tc>
      </w:tr>
      <w:tr w:rsidR="007147B8" w:rsidTr="00E613FF">
        <w:trPr>
          <w:trHeight w:val="225"/>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4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4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43"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8"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37"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39</w:t>
      </w:r>
      <w:r w:rsidR="007147B8">
        <w:rPr>
          <w:rFonts w:ascii="Times New Roman" w:hAnsi="Times New Roman" w:cs="Times New Roman"/>
          <w:b/>
          <w:sz w:val="16"/>
          <w:szCs w:val="16"/>
        </w:rPr>
        <w:t xml:space="preserve">A: Cow #10 Average </w:t>
      </w:r>
      <w:r w:rsidR="007147B8">
        <w:rPr>
          <w:rFonts w:ascii="Times New Roman" w:eastAsia="Times New Roman" w:hAnsi="Times New Roman" w:cs="Times New Roman"/>
          <w:b/>
          <w:bCs/>
          <w:color w:val="000000"/>
          <w:sz w:val="16"/>
          <w:szCs w:val="16"/>
        </w:rPr>
        <w:t>µM in Plasma Used in Figure 8</w:t>
      </w:r>
    </w:p>
    <w:tbl>
      <w:tblPr>
        <w:tblW w:w="5000" w:type="pct"/>
        <w:tblLook w:val="04A0" w:firstRow="1" w:lastRow="0" w:firstColumn="1" w:lastColumn="0" w:noHBand="0" w:noVBand="1"/>
      </w:tblPr>
      <w:tblGrid>
        <w:gridCol w:w="2579"/>
        <w:gridCol w:w="738"/>
        <w:gridCol w:w="739"/>
        <w:gridCol w:w="739"/>
        <w:gridCol w:w="739"/>
        <w:gridCol w:w="739"/>
        <w:gridCol w:w="739"/>
        <w:gridCol w:w="854"/>
        <w:gridCol w:w="854"/>
        <w:gridCol w:w="856"/>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8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4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85"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22.02</w:t>
            </w:r>
          </w:p>
        </w:tc>
        <w:tc>
          <w:tcPr>
            <w:tcW w:w="38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19.66</w:t>
            </w:r>
          </w:p>
        </w:tc>
        <w:tc>
          <w:tcPr>
            <w:tcW w:w="38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20.55</w:t>
            </w:r>
          </w:p>
        </w:tc>
        <w:tc>
          <w:tcPr>
            <w:tcW w:w="38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16.65</w:t>
            </w:r>
          </w:p>
        </w:tc>
        <w:tc>
          <w:tcPr>
            <w:tcW w:w="38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18.93</w:t>
            </w:r>
          </w:p>
        </w:tc>
        <w:tc>
          <w:tcPr>
            <w:tcW w:w="38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24.11</w:t>
            </w:r>
          </w:p>
        </w:tc>
        <w:tc>
          <w:tcPr>
            <w:tcW w:w="44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45.06</w:t>
            </w:r>
          </w:p>
        </w:tc>
        <w:tc>
          <w:tcPr>
            <w:tcW w:w="44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56.38</w:t>
            </w:r>
          </w:p>
        </w:tc>
        <w:tc>
          <w:tcPr>
            <w:tcW w:w="448"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66.89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28.14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65.34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34.80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49.11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24.78</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41.97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62.94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64.00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163.71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79.17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136.54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76.09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54.20</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85.88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34.99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78.69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32.82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53.26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32.48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23.63</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43.17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76.87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66.81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48.35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45.09</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62.38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116.75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152.61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155.12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384.61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186.16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305.72</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186.60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147.71</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221.45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61.61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218.04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132.63</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127.09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50.88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55.82</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161.61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88.37</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73.54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183.13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72.31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218.20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537.40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357.45</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309.92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47.47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76.60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398.72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155.73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524.69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1435.77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1041.15</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961.16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43.99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64.64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322.32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180.54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504.68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1533.81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1240.86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1058.84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16.28</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63.77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68.85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221.80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109.26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81.66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19.11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137.30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41.88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156.15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370.07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226.53</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219.09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69.79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35.48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83.18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292.50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158.78</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133.11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268.24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359.99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475.15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1500.32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1145.92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1932.27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4211.84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3417.46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2555.70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189.00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210.04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244.67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652.49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491.93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695.69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1512.97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1094.71</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1028.83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58.35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30.06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68.68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198.37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135.37</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132.15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72.89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241.84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152.89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298.49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721.23</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542.06</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468.12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81.90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116.37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142.31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420.40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345.74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600.61</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1388.08</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1213.40</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937.15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256.36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345.98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429.20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1274.83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1262.16</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1999.35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4679.70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4022.69</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2843.38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139.77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165.68</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195.22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557.74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502.97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741.46</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1873.85</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1337.24</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1120.92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1142.82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1441.03</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1843.80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6002.35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4488.82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8027.99</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19389.04</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15134.25</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12065.58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8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188.00</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251.01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285.41</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565.74</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710.89</w:t>
            </w:r>
          </w:p>
        </w:tc>
        <w:tc>
          <w:tcPr>
            <w:tcW w:w="38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799.23</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550.67</w:t>
            </w:r>
          </w:p>
        </w:tc>
        <w:tc>
          <w:tcPr>
            <w:tcW w:w="44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510.08</w:t>
            </w:r>
          </w:p>
        </w:tc>
        <w:tc>
          <w:tcPr>
            <w:tcW w:w="448"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396.41</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8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0.23</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0.26</w:t>
            </w:r>
          </w:p>
        </w:tc>
        <w:tc>
          <w:tcPr>
            <w:tcW w:w="38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4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448"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39</w:t>
      </w:r>
      <w:r w:rsidR="007147B8">
        <w:rPr>
          <w:rFonts w:ascii="Times New Roman" w:hAnsi="Times New Roman" w:cs="Times New Roman"/>
          <w:b/>
          <w:sz w:val="16"/>
          <w:szCs w:val="16"/>
        </w:rPr>
        <w:t>B: Cow #10 Fold Change in Plasma Used in Figure 8</w:t>
      </w:r>
    </w:p>
    <w:tbl>
      <w:tblPr>
        <w:tblW w:w="5000" w:type="pct"/>
        <w:tblLook w:val="04A0" w:firstRow="1" w:lastRow="0" w:firstColumn="1" w:lastColumn="0" w:noHBand="0" w:noVBand="1"/>
      </w:tblPr>
      <w:tblGrid>
        <w:gridCol w:w="2578"/>
        <w:gridCol w:w="674"/>
        <w:gridCol w:w="674"/>
        <w:gridCol w:w="674"/>
        <w:gridCol w:w="862"/>
        <w:gridCol w:w="674"/>
        <w:gridCol w:w="862"/>
        <w:gridCol w:w="862"/>
        <w:gridCol w:w="862"/>
        <w:gridCol w:w="854"/>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7</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8</w:t>
            </w:r>
          </w:p>
        </w:tc>
        <w:tc>
          <w:tcPr>
            <w:tcW w:w="44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9</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35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35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45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35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45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45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w:t>
            </w:r>
          </w:p>
        </w:tc>
        <w:tc>
          <w:tcPr>
            <w:tcW w:w="450"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w:t>
            </w:r>
          </w:p>
        </w:tc>
        <w:tc>
          <w:tcPr>
            <w:tcW w:w="44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3.29</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7.57</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16.29</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5.88</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10.21</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11.40</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24.64</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22.75</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10.98</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52.25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42.27</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36.07</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7.36</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26.54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13.50</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12.38</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13.94</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7.18</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11.85</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8.19</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9.77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34.34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18.64</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5.59</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12.74</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9.53</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5.79</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5.59</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12.96</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3.76</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13.33</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11.51</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5.13</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14.82</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11.44</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15.69</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11.09</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3.99</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9.57</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8.02</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5.25</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16.97</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13.24</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10.56</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3.01</w:t>
            </w:r>
          </w:p>
        </w:tc>
        <w:tc>
          <w:tcPr>
            <w:tcW w:w="35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4.25</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w:t>
            </w:r>
          </w:p>
        </w:tc>
        <w:tc>
          <w:tcPr>
            <w:tcW w:w="450"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2.71</w:t>
            </w:r>
          </w:p>
        </w:tc>
        <w:tc>
          <w:tcPr>
            <w:tcW w:w="44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4.17</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6.26</w:t>
            </w:r>
          </w:p>
        </w:tc>
        <w:tc>
          <w:tcPr>
            <w:tcW w:w="35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5.58</w:t>
            </w:r>
          </w:p>
        </w:tc>
        <w:tc>
          <w:tcPr>
            <w:tcW w:w="450"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w:t>
            </w:r>
          </w:p>
        </w:tc>
        <w:tc>
          <w:tcPr>
            <w:tcW w:w="44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6.34</w:t>
            </w:r>
          </w:p>
        </w:tc>
      </w:tr>
      <w:tr w:rsidR="007147B8" w:rsidTr="00E613FF">
        <w:trPr>
          <w:trHeight w:val="225"/>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5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5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5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50"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35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50"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50"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50"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47"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40</w:t>
      </w:r>
      <w:r w:rsidR="007147B8">
        <w:rPr>
          <w:rFonts w:ascii="Times New Roman" w:hAnsi="Times New Roman" w:cs="Times New Roman"/>
          <w:b/>
          <w:sz w:val="16"/>
          <w:szCs w:val="16"/>
        </w:rPr>
        <w:t xml:space="preserve">A: Cow #11 Average </w:t>
      </w:r>
      <w:r w:rsidR="007147B8">
        <w:rPr>
          <w:rFonts w:ascii="Times New Roman" w:eastAsia="Times New Roman" w:hAnsi="Times New Roman" w:cs="Times New Roman"/>
          <w:b/>
          <w:bCs/>
          <w:color w:val="000000"/>
          <w:sz w:val="16"/>
          <w:szCs w:val="16"/>
        </w:rPr>
        <w:t>µM in Plasma Used in Figure 8</w:t>
      </w:r>
    </w:p>
    <w:tbl>
      <w:tblPr>
        <w:tblW w:w="5000" w:type="pct"/>
        <w:tblLook w:val="04A0" w:firstRow="1" w:lastRow="0" w:firstColumn="1" w:lastColumn="0" w:noHBand="0" w:noVBand="1"/>
      </w:tblPr>
      <w:tblGrid>
        <w:gridCol w:w="2579"/>
        <w:gridCol w:w="1056"/>
        <w:gridCol w:w="1055"/>
        <w:gridCol w:w="1055"/>
        <w:gridCol w:w="1055"/>
        <w:gridCol w:w="1055"/>
        <w:gridCol w:w="1055"/>
        <w:gridCol w:w="222"/>
        <w:gridCol w:w="222"/>
        <w:gridCol w:w="222"/>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3654" w:type="pct"/>
            <w:gridSpan w:val="9"/>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32.90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37.71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53.19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73.06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57.24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54.97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59.77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175.76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100.42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186.87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68.69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28.95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27.92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61.62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56.58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83.83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47.38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84.55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315.82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125.05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139.12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408.68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217.39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390.28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11.62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65.19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48.66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52.47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60.51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41.19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43.75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190.31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145.95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149.83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90.24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129.47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62.10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502.29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430.36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455.56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65.13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385.26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443.79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469.10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8.98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77.13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56.07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58.61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40.84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161.56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111.48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114.41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16.50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90.72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67.06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74.09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562.33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576.51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456.59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2141.18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1694.69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1742.78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257.67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283.33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882.42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513.77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540.70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51.84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49.37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80.86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84.35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285.42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254.28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166.95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146.44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505.61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545.22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582.47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458.84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493.81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466.87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1756.89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1960.67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195.40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232.83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204.91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853.25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558.74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614.94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2015.54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2244.94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1796.50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8114.20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6713.10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7170.87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313.55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354.35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1041.48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703.55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771.51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10.74</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13.12</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55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3.70</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40</w:t>
      </w:r>
      <w:r w:rsidR="007147B8">
        <w:rPr>
          <w:rFonts w:ascii="Times New Roman" w:hAnsi="Times New Roman" w:cs="Times New Roman"/>
          <w:b/>
          <w:sz w:val="16"/>
          <w:szCs w:val="16"/>
        </w:rPr>
        <w:t>B: Cow #11 Fold Change in Plasma Used in Figure 8</w:t>
      </w:r>
    </w:p>
    <w:tbl>
      <w:tblPr>
        <w:tblW w:w="5000" w:type="pct"/>
        <w:tblLook w:val="04A0" w:firstRow="1" w:lastRow="0" w:firstColumn="1" w:lastColumn="0" w:noHBand="0" w:noVBand="1"/>
      </w:tblPr>
      <w:tblGrid>
        <w:gridCol w:w="2579"/>
        <w:gridCol w:w="1056"/>
        <w:gridCol w:w="1055"/>
        <w:gridCol w:w="1055"/>
        <w:gridCol w:w="1055"/>
        <w:gridCol w:w="1055"/>
        <w:gridCol w:w="1055"/>
        <w:gridCol w:w="222"/>
        <w:gridCol w:w="222"/>
        <w:gridCol w:w="222"/>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0.31</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55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2.86</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0.07</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0.04</w:t>
            </w:r>
          </w:p>
        </w:tc>
        <w:tc>
          <w:tcPr>
            <w:tcW w:w="55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5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 xml:space="preserve">Table </w:t>
      </w:r>
      <w:r w:rsidR="00BB0756">
        <w:rPr>
          <w:rFonts w:ascii="Times New Roman" w:hAnsi="Times New Roman" w:cs="Times New Roman"/>
          <w:b/>
          <w:sz w:val="16"/>
          <w:szCs w:val="16"/>
        </w:rPr>
        <w:t>41</w:t>
      </w:r>
      <w:r>
        <w:rPr>
          <w:rFonts w:ascii="Times New Roman" w:hAnsi="Times New Roman" w:cs="Times New Roman"/>
          <w:b/>
          <w:sz w:val="16"/>
          <w:szCs w:val="16"/>
        </w:rPr>
        <w:t xml:space="preserve">A: Cow #12 Average </w:t>
      </w:r>
      <w:r>
        <w:rPr>
          <w:rFonts w:ascii="Times New Roman" w:eastAsia="Times New Roman" w:hAnsi="Times New Roman" w:cs="Times New Roman"/>
          <w:b/>
          <w:bCs/>
          <w:color w:val="000000"/>
          <w:sz w:val="16"/>
          <w:szCs w:val="16"/>
        </w:rPr>
        <w:t>µM in Plasma Used in Figure 8</w:t>
      </w:r>
    </w:p>
    <w:tbl>
      <w:tblPr>
        <w:tblW w:w="5000" w:type="pct"/>
        <w:tblLook w:val="04A0" w:firstRow="1" w:lastRow="0" w:firstColumn="1" w:lastColumn="0" w:noHBand="0" w:noVBand="1"/>
      </w:tblPr>
      <w:tblGrid>
        <w:gridCol w:w="2577"/>
        <w:gridCol w:w="911"/>
        <w:gridCol w:w="1084"/>
        <w:gridCol w:w="1084"/>
        <w:gridCol w:w="1084"/>
        <w:gridCol w:w="1084"/>
        <w:gridCol w:w="1086"/>
        <w:gridCol w:w="222"/>
        <w:gridCol w:w="222"/>
        <w:gridCol w:w="222"/>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47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56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56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56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56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56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47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13.12</w:t>
            </w:r>
          </w:p>
        </w:tc>
        <w:tc>
          <w:tcPr>
            <w:tcW w:w="56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12.43</w:t>
            </w:r>
          </w:p>
        </w:tc>
        <w:tc>
          <w:tcPr>
            <w:tcW w:w="56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9.69</w:t>
            </w:r>
          </w:p>
        </w:tc>
        <w:tc>
          <w:tcPr>
            <w:tcW w:w="56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8.22</w:t>
            </w:r>
          </w:p>
        </w:tc>
        <w:tc>
          <w:tcPr>
            <w:tcW w:w="56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13.25</w:t>
            </w:r>
          </w:p>
        </w:tc>
        <w:tc>
          <w:tcPr>
            <w:tcW w:w="567"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11.58</w:t>
            </w: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4.47</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3.77</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5.64</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14.16</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21.39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28.74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30.59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52.35</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51.25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29.74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53.87</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75.56</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87.88</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158.46</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162.47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15.65</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25.24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33.59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59.18</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53.14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14.52</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23.47</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32.82</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66.58</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72.86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74.07</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123.97</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171.03</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183.14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336.58</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339.72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6.27</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10.81</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40.86</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36.92</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4.32</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9.05</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9.65</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26.65</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31.09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32.99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120.15</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92.11</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106.86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25.30</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51.04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65.01</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256.82</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212.75</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270.20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14.22</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34.69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53.75</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227.61</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177.07</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259.99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0.52</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5.86</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5.49</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10.46</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39.82</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28.85</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23.30</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26.70</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91.34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67.34</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74.19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7.80</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9.91</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12.21</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49.81</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60.86</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219.15</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386.49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423.29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1299.41</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1184.80</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1266.00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115.72</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179.55</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186.67</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452.33</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434.38</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406.45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7.78</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10.50</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11.78</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37.81</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30.42</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36.51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27.60</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49.31</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57.25</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175.74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156.15</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183.75</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68.16</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120.28</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128.06</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380.97</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372.96</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384.20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204.19</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364.16</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415.25</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1241.61</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1291.88</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1411.68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86.58</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157.28</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168.82</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455.77</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486.91</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483.13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817.07</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1448.18</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1617.44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4909.06</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4665.54</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5048.94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3.12</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47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155.31</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215.23</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223.80</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568.74</w:t>
            </w:r>
          </w:p>
        </w:tc>
        <w:tc>
          <w:tcPr>
            <w:tcW w:w="56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561.01</w:t>
            </w:r>
          </w:p>
        </w:tc>
        <w:tc>
          <w:tcPr>
            <w:tcW w:w="567"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558.46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47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1.09</w:t>
            </w:r>
          </w:p>
        </w:tc>
        <w:tc>
          <w:tcPr>
            <w:tcW w:w="56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w:t>
            </w:r>
          </w:p>
        </w:tc>
        <w:tc>
          <w:tcPr>
            <w:tcW w:w="56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4.02</w:t>
            </w:r>
          </w:p>
        </w:tc>
        <w:tc>
          <w:tcPr>
            <w:tcW w:w="56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56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18.70</w:t>
            </w:r>
          </w:p>
        </w:tc>
        <w:tc>
          <w:tcPr>
            <w:tcW w:w="567"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17.23</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300"/>
        </w:trPr>
        <w:tc>
          <w:tcPr>
            <w:tcW w:w="5000" w:type="pct"/>
            <w:gridSpan w:val="10"/>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41</w:t>
      </w:r>
      <w:r w:rsidR="007147B8">
        <w:rPr>
          <w:rFonts w:ascii="Times New Roman" w:hAnsi="Times New Roman" w:cs="Times New Roman"/>
          <w:b/>
          <w:sz w:val="16"/>
          <w:szCs w:val="16"/>
        </w:rPr>
        <w:t>B: Cow #12 Fold Change in Plasma Used in Figure 8</w:t>
      </w:r>
    </w:p>
    <w:tbl>
      <w:tblPr>
        <w:tblW w:w="5000" w:type="pct"/>
        <w:tblLook w:val="04A0" w:firstRow="1" w:lastRow="0" w:firstColumn="1" w:lastColumn="0" w:noHBand="0" w:noVBand="1"/>
      </w:tblPr>
      <w:tblGrid>
        <w:gridCol w:w="2579"/>
        <w:gridCol w:w="922"/>
        <w:gridCol w:w="921"/>
        <w:gridCol w:w="921"/>
        <w:gridCol w:w="1189"/>
        <w:gridCol w:w="1189"/>
        <w:gridCol w:w="1189"/>
        <w:gridCol w:w="222"/>
        <w:gridCol w:w="222"/>
        <w:gridCol w:w="222"/>
      </w:tblGrid>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rPr>
                <w:rFonts w:cs="Times New Roman"/>
              </w:rPr>
            </w:pPr>
          </w:p>
        </w:tc>
        <w:tc>
          <w:tcPr>
            <w:tcW w:w="3654" w:type="pct"/>
            <w:gridSpan w:val="9"/>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Fold Change Relative to Week 1</w:t>
            </w:r>
          </w:p>
        </w:tc>
      </w:tr>
      <w:tr w:rsidR="007147B8" w:rsidTr="00E613FF">
        <w:trPr>
          <w:trHeight w:val="225"/>
        </w:trPr>
        <w:tc>
          <w:tcPr>
            <w:tcW w:w="1346" w:type="pct"/>
            <w:noWrap/>
            <w:vAlign w:val="bottom"/>
            <w:hideMark/>
          </w:tcPr>
          <w:p w:rsidR="007147B8" w:rsidRDefault="007147B8" w:rsidP="00E613FF">
            <w:pPr>
              <w:spacing w:after="0"/>
              <w:rPr>
                <w:rFonts w:cs="Times New Roman"/>
              </w:rPr>
            </w:pPr>
          </w:p>
        </w:tc>
        <w:tc>
          <w:tcPr>
            <w:tcW w:w="3654" w:type="pct"/>
            <w:gridSpan w:val="9"/>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Week of Lactation</w:t>
            </w: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48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1</w:t>
            </w:r>
          </w:p>
        </w:tc>
        <w:tc>
          <w:tcPr>
            <w:tcW w:w="48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2</w:t>
            </w:r>
          </w:p>
        </w:tc>
        <w:tc>
          <w:tcPr>
            <w:tcW w:w="48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3</w:t>
            </w:r>
          </w:p>
        </w:tc>
        <w:tc>
          <w:tcPr>
            <w:tcW w:w="62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4</w:t>
            </w:r>
          </w:p>
        </w:tc>
        <w:tc>
          <w:tcPr>
            <w:tcW w:w="62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5</w:t>
            </w:r>
          </w:p>
        </w:tc>
        <w:tc>
          <w:tcPr>
            <w:tcW w:w="62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6</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225"/>
        </w:trPr>
        <w:tc>
          <w:tcPr>
            <w:tcW w:w="1346"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48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48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62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62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621"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1.08</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2.26</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2.16</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3.70</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1.81</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2.54</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5.33</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2.15</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2.28</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2.26</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4.59</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5.02</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2.47</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4.54</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6.52</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5.89</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2.09</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2.23</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7.67</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6.17</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1.94</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7.05</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10.15</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8.41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2.44</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16.00</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12.45</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2.84</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3.18</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11.23</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10.53</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11.03</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3.09</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11.75</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8.51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7.45</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6.39</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7.80</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7.27</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1.93</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5.93</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4.86</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6.37</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5.66</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6.66</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5.59</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5.47</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5.64</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2.03</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6.08</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6.33</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6.91</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1.82</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1.95</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5.26</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5.62</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1.77</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2.41</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6.99</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7.88</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w:t>
            </w:r>
          </w:p>
        </w:tc>
        <w:tc>
          <w:tcPr>
            <w:tcW w:w="48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3.66</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3.61</w:t>
            </w:r>
          </w:p>
        </w:tc>
        <w:tc>
          <w:tcPr>
            <w:tcW w:w="621"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3.60</w:t>
            </w: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48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48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w:t>
            </w:r>
          </w:p>
        </w:tc>
        <w:tc>
          <w:tcPr>
            <w:tcW w:w="48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c>
          <w:tcPr>
            <w:tcW w:w="62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62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17.09</w:t>
            </w:r>
          </w:p>
        </w:tc>
        <w:tc>
          <w:tcPr>
            <w:tcW w:w="621"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15.74</w:t>
            </w:r>
          </w:p>
        </w:tc>
        <w:tc>
          <w:tcPr>
            <w:tcW w:w="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r w:rsidR="007147B8" w:rsidTr="00E613FF">
        <w:trPr>
          <w:trHeight w:val="225"/>
        </w:trPr>
        <w:tc>
          <w:tcPr>
            <w:tcW w:w="134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8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8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48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62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62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62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c>
          <w:tcPr>
            <w:tcW w:w="116" w:type="pct"/>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137428" w:rsidRDefault="0013742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tbl>
      <w:tblPr>
        <w:tblpPr w:leftFromText="180" w:rightFromText="180" w:bottomFromText="200" w:vertAnchor="page" w:horzAnchor="margin" w:tblpY="1936"/>
        <w:tblW w:w="5000" w:type="pct"/>
        <w:tblLook w:val="04A0" w:firstRow="1" w:lastRow="0" w:firstColumn="1" w:lastColumn="0" w:noHBand="0" w:noVBand="1"/>
      </w:tblPr>
      <w:tblGrid>
        <w:gridCol w:w="2765"/>
        <w:gridCol w:w="1134"/>
        <w:gridCol w:w="1134"/>
        <w:gridCol w:w="1134"/>
        <w:gridCol w:w="1134"/>
        <w:gridCol w:w="1134"/>
        <w:gridCol w:w="1141"/>
      </w:tblGrid>
      <w:tr w:rsidR="007147B8" w:rsidTr="00E613FF">
        <w:trPr>
          <w:trHeight w:val="300"/>
        </w:trPr>
        <w:tc>
          <w:tcPr>
            <w:tcW w:w="1444"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556" w:type="pct"/>
            <w:gridSpan w:val="6"/>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300"/>
        </w:trPr>
        <w:tc>
          <w:tcPr>
            <w:tcW w:w="1444" w:type="pct"/>
            <w:tcBorders>
              <w:top w:val="nil"/>
              <w:left w:val="nil"/>
              <w:bottom w:val="nil"/>
              <w:right w:val="single" w:sz="4" w:space="0" w:color="auto"/>
            </w:tcBorders>
            <w:noWrap/>
            <w:vAlign w:val="bottom"/>
            <w:hideMark/>
          </w:tcPr>
          <w:p w:rsidR="007147B8" w:rsidRDefault="007147B8" w:rsidP="00E613FF">
            <w:pPr>
              <w:spacing w:after="0"/>
              <w:rPr>
                <w:rFonts w:cs="Times New Roman"/>
              </w:rPr>
            </w:pPr>
          </w:p>
        </w:tc>
        <w:tc>
          <w:tcPr>
            <w:tcW w:w="1184" w:type="pct"/>
            <w:gridSpan w:val="2"/>
            <w:tcBorders>
              <w:top w:val="nil"/>
              <w:left w:val="single" w:sz="4" w:space="0" w:color="auto"/>
              <w:bottom w:val="nil"/>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#1</w:t>
            </w:r>
          </w:p>
        </w:tc>
        <w:tc>
          <w:tcPr>
            <w:tcW w:w="1184" w:type="pct"/>
            <w:gridSpan w:val="2"/>
            <w:tcBorders>
              <w:top w:val="nil"/>
              <w:left w:val="single" w:sz="4" w:space="0" w:color="auto"/>
              <w:bottom w:val="nil"/>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#2</w:t>
            </w:r>
          </w:p>
        </w:tc>
        <w:tc>
          <w:tcPr>
            <w:tcW w:w="1188" w:type="pct"/>
            <w:gridSpan w:val="2"/>
            <w:tcBorders>
              <w:top w:val="nil"/>
              <w:left w:val="single" w:sz="4" w:space="0" w:color="auto"/>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#3</w:t>
            </w:r>
          </w:p>
        </w:tc>
      </w:tr>
      <w:tr w:rsidR="007147B8" w:rsidTr="00E613FF">
        <w:trPr>
          <w:trHeight w:val="300"/>
        </w:trPr>
        <w:tc>
          <w:tcPr>
            <w:tcW w:w="1444"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2"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2"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r>
      <w:tr w:rsidR="007147B8" w:rsidTr="00E613FF">
        <w:trPr>
          <w:trHeight w:val="300"/>
        </w:trPr>
        <w:tc>
          <w:tcPr>
            <w:tcW w:w="1444"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0.01</w:t>
            </w:r>
          </w:p>
        </w:tc>
        <w:tc>
          <w:tcPr>
            <w:tcW w:w="596"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0.02</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50.29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43.99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20.64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14.47</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14.99</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37.48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178.59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62.02</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62.08</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0.29</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0.45</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0.33</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0.32</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0.38</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8.29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8.13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5.81</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5.76</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0.51</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0.49</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1.62</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0.18</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0.28</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0.27</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0.24</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0.25</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36.95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24.51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18.30</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76.99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20.75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17.92</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18.39</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120.99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114.69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49.82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40.87</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39.14</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0.36</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0.40</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4.13</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4.09</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47.52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41.52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14.16</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14.01</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141.22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91.61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25.15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26.79</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27.29</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72.01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53.40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13.73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12.79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13.99</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14.34</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545.54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421.51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166.29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153.86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147.52</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148.97</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642.96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564.68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113.72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99.09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164.91</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160.64</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45.79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33.76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38.75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37.87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30.28</w:t>
            </w:r>
          </w:p>
        </w:tc>
        <w:tc>
          <w:tcPr>
            <w:tcW w:w="596"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29.57</w:t>
            </w:r>
          </w:p>
        </w:tc>
      </w:tr>
      <w:tr w:rsidR="007147B8" w:rsidTr="00E613FF">
        <w:trPr>
          <w:trHeight w:val="300"/>
        </w:trPr>
        <w:tc>
          <w:tcPr>
            <w:tcW w:w="1444"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212.12</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224.23</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429.65</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410.09</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71.10</w:t>
            </w:r>
          </w:p>
        </w:tc>
        <w:tc>
          <w:tcPr>
            <w:tcW w:w="596"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44.31</w:t>
            </w:r>
          </w:p>
        </w:tc>
      </w:tr>
      <w:tr w:rsidR="007147B8" w:rsidTr="00E613FF">
        <w:trPr>
          <w:trHeight w:val="300"/>
        </w:trPr>
        <w:tc>
          <w:tcPr>
            <w:tcW w:w="5000" w:type="pct"/>
            <w:gridSpan w:val="7"/>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t>Table 42</w:t>
      </w:r>
      <w:r w:rsidR="007147B8">
        <w:rPr>
          <w:rFonts w:ascii="Times New Roman" w:hAnsi="Times New Roman" w:cs="Times New Roman"/>
          <w:b/>
          <w:sz w:val="16"/>
          <w:szCs w:val="16"/>
        </w:rPr>
        <w:t xml:space="preserve">A: Average </w:t>
      </w:r>
      <w:r w:rsidR="007147B8">
        <w:rPr>
          <w:rFonts w:ascii="Times New Roman" w:eastAsia="Times New Roman" w:hAnsi="Times New Roman" w:cs="Times New Roman"/>
          <w:b/>
          <w:bCs/>
          <w:color w:val="000000"/>
          <w:sz w:val="16"/>
          <w:szCs w:val="16"/>
        </w:rPr>
        <w:t>µM in Milk Used in Figure 9</w:t>
      </w:r>
    </w:p>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42</w:t>
      </w:r>
      <w:r w:rsidR="007147B8">
        <w:rPr>
          <w:rFonts w:ascii="Times New Roman" w:hAnsi="Times New Roman" w:cs="Times New Roman"/>
          <w:b/>
          <w:sz w:val="16"/>
          <w:szCs w:val="16"/>
        </w:rPr>
        <w:t>B: Fold Change in Milk Used in Figure 9</w:t>
      </w:r>
    </w:p>
    <w:tbl>
      <w:tblPr>
        <w:tblpPr w:leftFromText="180" w:rightFromText="180" w:bottomFromText="200" w:vertAnchor="page" w:horzAnchor="margin" w:tblpY="1871"/>
        <w:tblW w:w="5000" w:type="pct"/>
        <w:tblLook w:val="04A0" w:firstRow="1" w:lastRow="0" w:firstColumn="1" w:lastColumn="0" w:noHBand="0" w:noVBand="1"/>
      </w:tblPr>
      <w:tblGrid>
        <w:gridCol w:w="2766"/>
        <w:gridCol w:w="1134"/>
        <w:gridCol w:w="1134"/>
        <w:gridCol w:w="1134"/>
        <w:gridCol w:w="1134"/>
        <w:gridCol w:w="1134"/>
        <w:gridCol w:w="1140"/>
      </w:tblGrid>
      <w:tr w:rsidR="007147B8" w:rsidTr="00E613FF">
        <w:trPr>
          <w:trHeight w:val="300"/>
        </w:trPr>
        <w:tc>
          <w:tcPr>
            <w:tcW w:w="1445"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555" w:type="pct"/>
            <w:gridSpan w:val="6"/>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Fold Change Relative to Extraction 1  </w:t>
            </w:r>
          </w:p>
        </w:tc>
      </w:tr>
      <w:tr w:rsidR="007147B8" w:rsidTr="00E613FF">
        <w:trPr>
          <w:trHeight w:val="300"/>
        </w:trPr>
        <w:tc>
          <w:tcPr>
            <w:tcW w:w="1445" w:type="pct"/>
            <w:tcBorders>
              <w:top w:val="nil"/>
              <w:left w:val="nil"/>
              <w:bottom w:val="nil"/>
              <w:right w:val="single" w:sz="4" w:space="0" w:color="auto"/>
            </w:tcBorders>
            <w:noWrap/>
            <w:vAlign w:val="bottom"/>
            <w:hideMark/>
          </w:tcPr>
          <w:p w:rsidR="007147B8" w:rsidRDefault="007147B8" w:rsidP="00E613FF">
            <w:pPr>
              <w:spacing w:after="0"/>
              <w:rPr>
                <w:rFonts w:cs="Times New Roman"/>
              </w:rPr>
            </w:pPr>
          </w:p>
        </w:tc>
        <w:tc>
          <w:tcPr>
            <w:tcW w:w="1184" w:type="pct"/>
            <w:gridSpan w:val="2"/>
            <w:tcBorders>
              <w:top w:val="nil"/>
              <w:left w:val="single" w:sz="4" w:space="0" w:color="auto"/>
              <w:bottom w:val="nil"/>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#1</w:t>
            </w:r>
          </w:p>
        </w:tc>
        <w:tc>
          <w:tcPr>
            <w:tcW w:w="1184" w:type="pct"/>
            <w:gridSpan w:val="2"/>
            <w:tcBorders>
              <w:top w:val="nil"/>
              <w:left w:val="single" w:sz="4" w:space="0" w:color="auto"/>
              <w:bottom w:val="nil"/>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#2</w:t>
            </w:r>
          </w:p>
        </w:tc>
        <w:tc>
          <w:tcPr>
            <w:tcW w:w="1186" w:type="pct"/>
            <w:gridSpan w:val="2"/>
            <w:tcBorders>
              <w:top w:val="nil"/>
              <w:left w:val="single" w:sz="4" w:space="0" w:color="auto"/>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#3</w:t>
            </w:r>
          </w:p>
        </w:tc>
      </w:tr>
      <w:tr w:rsidR="007147B8" w:rsidTr="00E613FF">
        <w:trPr>
          <w:trHeight w:val="300"/>
        </w:trPr>
        <w:tc>
          <w:tcPr>
            <w:tcW w:w="1445"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2"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2"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r>
      <w:tr w:rsidR="007147B8" w:rsidTr="00E613FF">
        <w:trPr>
          <w:trHeight w:val="300"/>
        </w:trPr>
        <w:tc>
          <w:tcPr>
            <w:tcW w:w="1445"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AcCho </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0.00</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1.35</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0.73</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0.53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1.10</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1.02</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1.03</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r>
      <w:tr w:rsidR="007147B8" w:rsidTr="00E613FF">
        <w:trPr>
          <w:trHeight w:val="300"/>
        </w:trPr>
        <w:tc>
          <w:tcPr>
            <w:tcW w:w="1445"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r>
      <w:tr w:rsidR="007147B8" w:rsidTr="00E613FF">
        <w:trPr>
          <w:trHeight w:val="300"/>
        </w:trPr>
        <w:tc>
          <w:tcPr>
            <w:tcW w:w="1445"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1.06</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4"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0.62</w:t>
            </w:r>
          </w:p>
        </w:tc>
      </w:tr>
      <w:tr w:rsidR="007147B8" w:rsidTr="00E613FF">
        <w:trPr>
          <w:trHeight w:val="300"/>
        </w:trPr>
        <w:tc>
          <w:tcPr>
            <w:tcW w:w="1445"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4"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spacing w:line="240" w:lineRule="atLeast"/>
        <w:jc w:val="both"/>
        <w:rPr>
          <w:rFonts w:ascii="Times New Roman" w:eastAsia="Times New Roman" w:hAnsi="Times New Roman" w:cs="Times New Roman"/>
          <w:b/>
          <w:bCs/>
          <w:color w:val="000000"/>
          <w:sz w:val="16"/>
          <w:szCs w:val="16"/>
        </w:rPr>
      </w:pPr>
      <w:r>
        <w:rPr>
          <w:rFonts w:ascii="Times New Roman" w:hAnsi="Times New Roman" w:cs="Times New Roman"/>
          <w:b/>
          <w:sz w:val="16"/>
          <w:szCs w:val="16"/>
        </w:rPr>
        <w:lastRenderedPageBreak/>
        <w:t>Table 43</w:t>
      </w:r>
      <w:r w:rsidR="007147B8">
        <w:rPr>
          <w:rFonts w:ascii="Times New Roman" w:hAnsi="Times New Roman" w:cs="Times New Roman"/>
          <w:b/>
          <w:sz w:val="16"/>
          <w:szCs w:val="16"/>
        </w:rPr>
        <w:t xml:space="preserve">A: Average </w:t>
      </w:r>
      <w:r w:rsidR="007147B8">
        <w:rPr>
          <w:rFonts w:ascii="Times New Roman" w:eastAsia="Times New Roman" w:hAnsi="Times New Roman" w:cs="Times New Roman"/>
          <w:b/>
          <w:bCs/>
          <w:color w:val="000000"/>
          <w:sz w:val="16"/>
          <w:szCs w:val="16"/>
        </w:rPr>
        <w:t>µM in Plasma Used in Figure 10</w:t>
      </w:r>
    </w:p>
    <w:tbl>
      <w:tblPr>
        <w:tblpPr w:leftFromText="180" w:rightFromText="180" w:bottomFromText="200" w:vertAnchor="page" w:horzAnchor="margin" w:tblpY="1921"/>
        <w:tblW w:w="5000" w:type="pct"/>
        <w:tblLook w:val="04A0" w:firstRow="1" w:lastRow="0" w:firstColumn="1" w:lastColumn="0" w:noHBand="0" w:noVBand="1"/>
      </w:tblPr>
      <w:tblGrid>
        <w:gridCol w:w="2765"/>
        <w:gridCol w:w="1134"/>
        <w:gridCol w:w="1134"/>
        <w:gridCol w:w="1134"/>
        <w:gridCol w:w="1134"/>
        <w:gridCol w:w="1134"/>
        <w:gridCol w:w="1141"/>
      </w:tblGrid>
      <w:tr w:rsidR="007147B8" w:rsidTr="00E613FF">
        <w:trPr>
          <w:trHeight w:val="300"/>
        </w:trPr>
        <w:tc>
          <w:tcPr>
            <w:tcW w:w="1444"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556" w:type="pct"/>
            <w:gridSpan w:val="6"/>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Average µM</w:t>
            </w:r>
          </w:p>
        </w:tc>
      </w:tr>
      <w:tr w:rsidR="007147B8" w:rsidTr="00E613FF">
        <w:trPr>
          <w:trHeight w:val="300"/>
        </w:trPr>
        <w:tc>
          <w:tcPr>
            <w:tcW w:w="1444" w:type="pct"/>
            <w:tcBorders>
              <w:top w:val="nil"/>
              <w:left w:val="nil"/>
              <w:bottom w:val="nil"/>
              <w:right w:val="single" w:sz="4" w:space="0" w:color="auto"/>
            </w:tcBorders>
            <w:noWrap/>
            <w:vAlign w:val="bottom"/>
            <w:hideMark/>
          </w:tcPr>
          <w:p w:rsidR="007147B8" w:rsidRDefault="007147B8" w:rsidP="00E613FF">
            <w:pPr>
              <w:spacing w:after="0"/>
              <w:rPr>
                <w:rFonts w:cs="Times New Roman"/>
              </w:rPr>
            </w:pPr>
          </w:p>
        </w:tc>
        <w:tc>
          <w:tcPr>
            <w:tcW w:w="1184" w:type="pct"/>
            <w:gridSpan w:val="2"/>
            <w:tcBorders>
              <w:top w:val="nil"/>
              <w:left w:val="single" w:sz="4" w:space="0" w:color="auto"/>
              <w:bottom w:val="nil"/>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#1</w:t>
            </w:r>
          </w:p>
        </w:tc>
        <w:tc>
          <w:tcPr>
            <w:tcW w:w="1184" w:type="pct"/>
            <w:gridSpan w:val="2"/>
            <w:tcBorders>
              <w:top w:val="nil"/>
              <w:left w:val="single" w:sz="4" w:space="0" w:color="auto"/>
              <w:bottom w:val="nil"/>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#2</w:t>
            </w:r>
          </w:p>
        </w:tc>
        <w:tc>
          <w:tcPr>
            <w:tcW w:w="1187" w:type="pct"/>
            <w:gridSpan w:val="2"/>
            <w:tcBorders>
              <w:top w:val="nil"/>
              <w:left w:val="single" w:sz="4" w:space="0" w:color="auto"/>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#3</w:t>
            </w:r>
          </w:p>
        </w:tc>
      </w:tr>
      <w:tr w:rsidR="007147B8" w:rsidTr="00E613FF">
        <w:trPr>
          <w:trHeight w:val="300"/>
        </w:trPr>
        <w:tc>
          <w:tcPr>
            <w:tcW w:w="1444"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2"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2"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r>
      <w:tr w:rsidR="007147B8" w:rsidTr="00E613FF">
        <w:trPr>
          <w:trHeight w:val="300"/>
        </w:trPr>
        <w:tc>
          <w:tcPr>
            <w:tcW w:w="1444"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16.05</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15.18</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15.09</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11.84</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12.24</w:t>
            </w:r>
          </w:p>
        </w:tc>
        <w:tc>
          <w:tcPr>
            <w:tcW w:w="595"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13.15</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5.98</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26.39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47.29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29.60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27.16</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73.36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77.37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148.70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98.28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73.43</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63.69</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32.97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34.42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60.47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32.75</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31.42</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28.85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60.26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40.57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44.92</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50.30</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161.31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167.42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316.73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210.20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180.69</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172.57</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25.36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61.65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48.16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54.75</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48.80</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47.95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38.22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36.98</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32.03</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90.20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69.01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185.79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144.89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122.89</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105.32</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198.49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152.03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480.17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372.85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268.25</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240.31</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188.60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142.53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447.67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350.54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269.70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258.19</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9.62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7.55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4.81</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29.12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22.06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63.19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32.31</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26.10</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62.93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48.38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146.74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111.50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61.44</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51.07</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29.21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22.96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69.63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52.75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66.11</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51.46</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760.42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580.80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1713.90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1368.46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1695.37</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1630.42</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333.85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257.52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678.88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529.97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543.14</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514.83</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18.35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46.38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42.98</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39.07</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118.59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90.58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255.23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201.97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238.12</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225.86</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239.71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184.51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574.45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455.97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471.58</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469.72</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641.88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489.90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1763.36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1394.79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1564.10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1585.59</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275.84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211.58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704.78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561.57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494.84</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491.87</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3048.86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2333.48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7249.42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5723.37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5968.38</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5775.46</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2.48</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3.31</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365.87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358.26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925.85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654.36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451.18</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502.72</w:t>
            </w:r>
          </w:p>
        </w:tc>
      </w:tr>
      <w:tr w:rsidR="007147B8" w:rsidTr="00E613FF">
        <w:trPr>
          <w:trHeight w:val="300"/>
        </w:trPr>
        <w:tc>
          <w:tcPr>
            <w:tcW w:w="1444"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6.38</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3.07</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3.66</w:t>
            </w:r>
          </w:p>
        </w:tc>
        <w:tc>
          <w:tcPr>
            <w:tcW w:w="59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w:t>
            </w:r>
          </w:p>
        </w:tc>
      </w:tr>
      <w:tr w:rsidR="007147B8" w:rsidTr="00E613FF">
        <w:trPr>
          <w:trHeight w:val="300"/>
        </w:trPr>
        <w:tc>
          <w:tcPr>
            <w:tcW w:w="5000" w:type="pct"/>
            <w:gridSpan w:val="7"/>
            <w:tcBorders>
              <w:top w:val="single" w:sz="4" w:space="0" w:color="auto"/>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Average of triplicate injections</w:t>
            </w: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BB0756" w:rsidP="007147B8">
      <w:pPr>
        <w:rPr>
          <w:rFonts w:ascii="Times New Roman" w:hAnsi="Times New Roman" w:cs="Times New Roman"/>
          <w:b/>
          <w:sz w:val="16"/>
          <w:szCs w:val="16"/>
        </w:rPr>
      </w:pPr>
      <w:r>
        <w:rPr>
          <w:rFonts w:ascii="Times New Roman" w:hAnsi="Times New Roman" w:cs="Times New Roman"/>
          <w:b/>
          <w:sz w:val="16"/>
          <w:szCs w:val="16"/>
        </w:rPr>
        <w:lastRenderedPageBreak/>
        <w:t>Table 43</w:t>
      </w:r>
      <w:r w:rsidR="007147B8">
        <w:rPr>
          <w:rFonts w:ascii="Times New Roman" w:hAnsi="Times New Roman" w:cs="Times New Roman"/>
          <w:b/>
          <w:sz w:val="16"/>
          <w:szCs w:val="16"/>
        </w:rPr>
        <w:t>B: Fold Change in Plasma Used in Figure 10</w:t>
      </w:r>
    </w:p>
    <w:tbl>
      <w:tblPr>
        <w:tblpPr w:leftFromText="180" w:rightFromText="180" w:bottomFromText="200" w:vertAnchor="page" w:horzAnchor="margin" w:tblpY="1871"/>
        <w:tblW w:w="5000" w:type="pct"/>
        <w:tblLook w:val="04A0" w:firstRow="1" w:lastRow="0" w:firstColumn="1" w:lastColumn="0" w:noHBand="0" w:noVBand="1"/>
      </w:tblPr>
      <w:tblGrid>
        <w:gridCol w:w="2765"/>
        <w:gridCol w:w="1134"/>
        <w:gridCol w:w="1134"/>
        <w:gridCol w:w="1134"/>
        <w:gridCol w:w="1134"/>
        <w:gridCol w:w="1134"/>
        <w:gridCol w:w="1141"/>
      </w:tblGrid>
      <w:tr w:rsidR="007147B8" w:rsidTr="00E613FF">
        <w:trPr>
          <w:trHeight w:val="300"/>
        </w:trPr>
        <w:tc>
          <w:tcPr>
            <w:tcW w:w="1444" w:type="pct"/>
            <w:tcBorders>
              <w:top w:val="single" w:sz="4" w:space="0" w:color="auto"/>
              <w:left w:val="nil"/>
              <w:bottom w:val="nil"/>
              <w:right w:val="nil"/>
            </w:tcBorders>
            <w:noWrap/>
            <w:vAlign w:val="bottom"/>
            <w:hideMark/>
          </w:tcPr>
          <w:p w:rsidR="007147B8" w:rsidRDefault="007147B8" w:rsidP="00E613FF">
            <w:pPr>
              <w:spacing w:after="0"/>
              <w:rPr>
                <w:rFonts w:cs="Times New Roman"/>
              </w:rPr>
            </w:pPr>
          </w:p>
        </w:tc>
        <w:tc>
          <w:tcPr>
            <w:tcW w:w="3556" w:type="pct"/>
            <w:gridSpan w:val="6"/>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Fold Change Relative to Extraction 1  </w:t>
            </w:r>
          </w:p>
        </w:tc>
      </w:tr>
      <w:tr w:rsidR="007147B8" w:rsidTr="00E613FF">
        <w:trPr>
          <w:trHeight w:val="300"/>
        </w:trPr>
        <w:tc>
          <w:tcPr>
            <w:tcW w:w="1444" w:type="pct"/>
            <w:tcBorders>
              <w:top w:val="nil"/>
              <w:left w:val="nil"/>
              <w:bottom w:val="nil"/>
              <w:right w:val="single" w:sz="4" w:space="0" w:color="auto"/>
            </w:tcBorders>
            <w:noWrap/>
            <w:vAlign w:val="bottom"/>
            <w:hideMark/>
          </w:tcPr>
          <w:p w:rsidR="007147B8" w:rsidRDefault="007147B8" w:rsidP="00E613FF">
            <w:pPr>
              <w:spacing w:after="0"/>
              <w:rPr>
                <w:rFonts w:cs="Times New Roman"/>
              </w:rPr>
            </w:pPr>
          </w:p>
        </w:tc>
        <w:tc>
          <w:tcPr>
            <w:tcW w:w="1184" w:type="pct"/>
            <w:gridSpan w:val="2"/>
            <w:tcBorders>
              <w:top w:val="nil"/>
              <w:left w:val="single" w:sz="4" w:space="0" w:color="auto"/>
              <w:bottom w:val="nil"/>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#1</w:t>
            </w:r>
          </w:p>
        </w:tc>
        <w:tc>
          <w:tcPr>
            <w:tcW w:w="1184" w:type="pct"/>
            <w:gridSpan w:val="2"/>
            <w:tcBorders>
              <w:top w:val="nil"/>
              <w:left w:val="single" w:sz="4" w:space="0" w:color="auto"/>
              <w:bottom w:val="nil"/>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#2</w:t>
            </w:r>
          </w:p>
        </w:tc>
        <w:tc>
          <w:tcPr>
            <w:tcW w:w="1187" w:type="pct"/>
            <w:gridSpan w:val="2"/>
            <w:tcBorders>
              <w:top w:val="nil"/>
              <w:left w:val="single" w:sz="4" w:space="0" w:color="auto"/>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Sample #3</w:t>
            </w:r>
          </w:p>
        </w:tc>
      </w:tr>
      <w:tr w:rsidR="007147B8" w:rsidTr="00E613FF">
        <w:trPr>
          <w:trHeight w:val="300"/>
        </w:trPr>
        <w:tc>
          <w:tcPr>
            <w:tcW w:w="1444"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Lipid</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2"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2" w:type="pct"/>
            <w:tcBorders>
              <w:top w:val="nil"/>
              <w:left w:val="nil"/>
              <w:bottom w:val="single" w:sz="4" w:space="0" w:color="auto"/>
              <w:right w:val="single" w:sz="4" w:space="0" w:color="auto"/>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c>
          <w:tcPr>
            <w:tcW w:w="592" w:type="pct"/>
            <w:tcBorders>
              <w:top w:val="nil"/>
              <w:left w:val="single" w:sz="4" w:space="0" w:color="auto"/>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1</w:t>
            </w:r>
          </w:p>
        </w:tc>
        <w:tc>
          <w:tcPr>
            <w:tcW w:w="59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Extraction 2</w:t>
            </w:r>
          </w:p>
        </w:tc>
      </w:tr>
      <w:tr w:rsidR="007147B8" w:rsidTr="00E613FF">
        <w:trPr>
          <w:trHeight w:val="300"/>
        </w:trPr>
        <w:tc>
          <w:tcPr>
            <w:tcW w:w="1444" w:type="pct"/>
            <w:tcBorders>
              <w:top w:val="single" w:sz="4" w:space="0" w:color="auto"/>
              <w:left w:val="nil"/>
              <w:bottom w:val="nil"/>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Bet </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592"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tcBorders>
              <w:top w:val="single" w:sz="4" w:space="0" w:color="auto"/>
              <w:left w:val="nil"/>
              <w:bottom w:val="nil"/>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1.07</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Cho </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16:0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0.92</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18:0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LPC Total</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0.66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0.89</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16:0/22:6,18:1/22:5,18:2/20:4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0.87</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18:1/20:4,18:0/20:5,16:0/22:5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0.86</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0.90</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18:0/20:3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18:1/22:6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18:0/22:6,18:1/22:5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0.81</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18:0/22:5</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0.83</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16:0/16:0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16:0/18:2</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0.96</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16:0/20:5,16:1/20:4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0.91</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0.95</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16:0/20:3</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18:0/18:2,18:1/18:1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0.76</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1.01</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18:0/18:1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0.99</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PtCho Total</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0.77</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0.79</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0.97</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Pcho</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0.84</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1.34</w:t>
            </w:r>
          </w:p>
        </w:tc>
      </w:tr>
      <w:tr w:rsidR="007147B8" w:rsidTr="00E613FF">
        <w:trPr>
          <w:trHeight w:val="300"/>
        </w:trPr>
        <w:tc>
          <w:tcPr>
            <w:tcW w:w="1444" w:type="pct"/>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SM </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0.98</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0.71</w:t>
            </w:r>
          </w:p>
        </w:tc>
        <w:tc>
          <w:tcPr>
            <w:tcW w:w="592"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1.11</w:t>
            </w:r>
          </w:p>
        </w:tc>
      </w:tr>
      <w:tr w:rsidR="007147B8" w:rsidTr="00E613FF">
        <w:trPr>
          <w:trHeight w:val="300"/>
        </w:trPr>
        <w:tc>
          <w:tcPr>
            <w:tcW w:w="1444" w:type="pct"/>
            <w:tcBorders>
              <w:top w:val="nil"/>
              <w:left w:val="nil"/>
              <w:bottom w:val="single" w:sz="4" w:space="0" w:color="auto"/>
              <w:right w:val="nil"/>
            </w:tcBorders>
            <w:noWrap/>
            <w:vAlign w:val="bottom"/>
            <w:hideMark/>
          </w:tcPr>
          <w:p w:rsidR="007147B8" w:rsidRDefault="007147B8" w:rsidP="00E613FF">
            <w:pPr>
              <w:spacing w:after="0" w:line="240" w:lineRule="atLeas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GPC </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0.48</w:t>
            </w:r>
          </w:p>
        </w:tc>
        <w:tc>
          <w:tcPr>
            <w:tcW w:w="592"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w:t>
            </w:r>
          </w:p>
        </w:tc>
        <w:tc>
          <w:tcPr>
            <w:tcW w:w="595" w:type="pct"/>
            <w:tcBorders>
              <w:top w:val="nil"/>
              <w:left w:val="nil"/>
              <w:bottom w:val="single" w:sz="4" w:space="0" w:color="auto"/>
              <w:right w:val="nil"/>
            </w:tcBorders>
            <w:noWrap/>
            <w:vAlign w:val="bottom"/>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0.42</w:t>
            </w:r>
          </w:p>
        </w:tc>
      </w:tr>
      <w:tr w:rsidR="007147B8" w:rsidTr="00E613FF">
        <w:trPr>
          <w:trHeight w:val="300"/>
        </w:trPr>
        <w:tc>
          <w:tcPr>
            <w:tcW w:w="1444"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2"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595"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7147B8" w:rsidRDefault="007147B8" w:rsidP="007147B8"/>
    <w:p w:rsidR="007147B8" w:rsidRDefault="007147B8" w:rsidP="007147B8"/>
    <w:p w:rsidR="007147B8" w:rsidRDefault="007147B8" w:rsidP="007147B8"/>
    <w:p w:rsidR="007147B8" w:rsidRDefault="007147B8" w:rsidP="007147B8"/>
    <w:tbl>
      <w:tblPr>
        <w:tblW w:w="5000" w:type="pct"/>
        <w:tblLook w:val="04A0" w:firstRow="1" w:lastRow="0" w:firstColumn="1" w:lastColumn="0" w:noHBand="0" w:noVBand="1"/>
      </w:tblPr>
      <w:tblGrid>
        <w:gridCol w:w="3465"/>
        <w:gridCol w:w="1745"/>
        <w:gridCol w:w="2229"/>
        <w:gridCol w:w="2137"/>
      </w:tblGrid>
      <w:tr w:rsidR="007147B8" w:rsidTr="00E613FF">
        <w:trPr>
          <w:trHeight w:val="360"/>
        </w:trPr>
        <w:tc>
          <w:tcPr>
            <w:tcW w:w="2720" w:type="pct"/>
            <w:gridSpan w:val="2"/>
            <w:tcBorders>
              <w:top w:val="nil"/>
              <w:left w:val="nil"/>
              <w:bottom w:val="single" w:sz="4" w:space="0" w:color="auto"/>
              <w:right w:val="nil"/>
            </w:tcBorders>
            <w:noWrap/>
            <w:vAlign w:val="bottom"/>
            <w:hideMark/>
          </w:tcPr>
          <w:p w:rsidR="007147B8" w:rsidRDefault="00BB0756" w:rsidP="00E613FF">
            <w:pPr>
              <w:spacing w:after="0" w:line="240" w:lineRule="atLeast"/>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lastRenderedPageBreak/>
              <w:t>Table 44</w:t>
            </w:r>
            <w:r w:rsidR="007147B8">
              <w:rPr>
                <w:rFonts w:ascii="Times New Roman" w:eastAsia="Times New Roman" w:hAnsi="Times New Roman" w:cs="Times New Roman"/>
                <w:b/>
                <w:bCs/>
                <w:color w:val="000000"/>
                <w:sz w:val="16"/>
                <w:szCs w:val="16"/>
              </w:rPr>
              <w:t>: GPC External Calibration Curve Used in Figure 11</w:t>
            </w:r>
          </w:p>
        </w:tc>
        <w:tc>
          <w:tcPr>
            <w:tcW w:w="1164"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c>
          <w:tcPr>
            <w:tcW w:w="1116" w:type="pct"/>
            <w:tcBorders>
              <w:top w:val="nil"/>
              <w:left w:val="nil"/>
              <w:bottom w:val="single" w:sz="4" w:space="0" w:color="auto"/>
              <w:right w:val="nil"/>
            </w:tcBorders>
            <w:noWrap/>
            <w:vAlign w:val="bottom"/>
            <w:hideMark/>
          </w:tcPr>
          <w:p w:rsidR="007147B8" w:rsidRDefault="007147B8" w:rsidP="00E613FF">
            <w:pPr>
              <w:spacing w:after="0"/>
              <w:rPr>
                <w:rFonts w:cs="Times New Roman"/>
              </w:rPr>
            </w:pPr>
          </w:p>
        </w:tc>
      </w:tr>
      <w:tr w:rsidR="007147B8" w:rsidTr="00E613FF">
        <w:trPr>
          <w:trHeight w:val="225"/>
        </w:trPr>
        <w:tc>
          <w:tcPr>
            <w:tcW w:w="1809" w:type="pct"/>
            <w:tcBorders>
              <w:top w:val="single" w:sz="4" w:space="0" w:color="auto"/>
              <w:left w:val="nil"/>
              <w:bottom w:val="single" w:sz="4" w:space="0" w:color="auto"/>
              <w:right w:val="nil"/>
            </w:tcBorders>
            <w:noWrap/>
            <w:vAlign w:val="center"/>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Calibration Level</w:t>
            </w:r>
          </w:p>
        </w:tc>
        <w:tc>
          <w:tcPr>
            <w:tcW w:w="911" w:type="pct"/>
            <w:tcBorders>
              <w:top w:val="single" w:sz="4" w:space="0" w:color="auto"/>
              <w:left w:val="nil"/>
              <w:bottom w:val="single" w:sz="4" w:space="0" w:color="auto"/>
              <w:right w:val="nil"/>
            </w:tcBorders>
            <w:noWrap/>
            <w:vAlign w:val="center"/>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M</w:t>
            </w:r>
          </w:p>
        </w:tc>
        <w:tc>
          <w:tcPr>
            <w:tcW w:w="1164" w:type="pct"/>
            <w:tcBorders>
              <w:top w:val="single" w:sz="4" w:space="0" w:color="auto"/>
              <w:left w:val="nil"/>
              <w:bottom w:val="single" w:sz="4" w:space="0" w:color="auto"/>
              <w:right w:val="nil"/>
            </w:tcBorders>
            <w:noWrap/>
            <w:vAlign w:val="center"/>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Injection #</w:t>
            </w:r>
          </w:p>
        </w:tc>
        <w:tc>
          <w:tcPr>
            <w:tcW w:w="1116" w:type="pct"/>
            <w:tcBorders>
              <w:top w:val="single" w:sz="4" w:space="0" w:color="auto"/>
              <w:left w:val="nil"/>
              <w:bottom w:val="single" w:sz="4" w:space="0" w:color="auto"/>
              <w:right w:val="nil"/>
            </w:tcBorders>
            <w:noWrap/>
            <w:vAlign w:val="center"/>
            <w:hideMark/>
          </w:tcPr>
          <w:p w:rsidR="007147B8" w:rsidRDefault="007147B8" w:rsidP="00E613FF">
            <w:pPr>
              <w:spacing w:after="0" w:line="240" w:lineRule="atLeast"/>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Area</w:t>
            </w:r>
          </w:p>
        </w:tc>
      </w:tr>
      <w:tr w:rsidR="007147B8" w:rsidTr="00E613FF">
        <w:trPr>
          <w:trHeight w:val="225"/>
        </w:trPr>
        <w:tc>
          <w:tcPr>
            <w:tcW w:w="1809" w:type="pct"/>
            <w:vMerge w:val="restart"/>
            <w:tcBorders>
              <w:top w:val="single" w:sz="4" w:space="0" w:color="auto"/>
              <w:left w:val="nil"/>
              <w:bottom w:val="nil"/>
              <w:right w:val="nil"/>
            </w:tcBorders>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911" w:type="pct"/>
            <w:vMerge w:val="restart"/>
            <w:tcBorders>
              <w:top w:val="single" w:sz="4" w:space="0" w:color="auto"/>
              <w:left w:val="nil"/>
              <w:bottom w:val="nil"/>
              <w:right w:val="nil"/>
            </w:tcBorders>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1.19E-02</w:t>
            </w:r>
          </w:p>
        </w:tc>
        <w:tc>
          <w:tcPr>
            <w:tcW w:w="1164" w:type="pct"/>
            <w:tcBorders>
              <w:top w:val="single" w:sz="4" w:space="0" w:color="auto"/>
              <w:left w:val="nil"/>
              <w:bottom w:val="nil"/>
              <w:right w:val="nil"/>
            </w:tcBorders>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tcBorders>
              <w:top w:val="single" w:sz="4" w:space="0" w:color="auto"/>
              <w:left w:val="nil"/>
              <w:bottom w:val="nil"/>
              <w:right w:val="nil"/>
            </w:tcBorders>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3.88E+09</w:t>
            </w:r>
          </w:p>
        </w:tc>
      </w:tr>
      <w:tr w:rsidR="007147B8" w:rsidTr="00E613FF">
        <w:trPr>
          <w:trHeight w:val="225"/>
        </w:trPr>
        <w:tc>
          <w:tcPr>
            <w:tcW w:w="0" w:type="auto"/>
            <w:vMerge/>
            <w:tcBorders>
              <w:top w:val="single" w:sz="4" w:space="0" w:color="auto"/>
              <w:left w:val="nil"/>
              <w:bottom w:val="nil"/>
              <w:right w:val="nil"/>
            </w:tcBorders>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tcBorders>
              <w:top w:val="single" w:sz="4" w:space="0" w:color="auto"/>
              <w:left w:val="nil"/>
              <w:bottom w:val="nil"/>
              <w:right w:val="nil"/>
            </w:tcBorders>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3.93E+09</w:t>
            </w:r>
          </w:p>
        </w:tc>
      </w:tr>
      <w:tr w:rsidR="007147B8" w:rsidTr="00E613FF">
        <w:trPr>
          <w:trHeight w:val="225"/>
        </w:trPr>
        <w:tc>
          <w:tcPr>
            <w:tcW w:w="0" w:type="auto"/>
            <w:vMerge/>
            <w:tcBorders>
              <w:top w:val="single" w:sz="4" w:space="0" w:color="auto"/>
              <w:left w:val="nil"/>
              <w:bottom w:val="nil"/>
              <w:right w:val="nil"/>
            </w:tcBorders>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tcBorders>
              <w:top w:val="single" w:sz="4" w:space="0" w:color="auto"/>
              <w:left w:val="nil"/>
              <w:bottom w:val="nil"/>
              <w:right w:val="nil"/>
            </w:tcBorders>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3.85E+09</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3.75E-03</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2.73E+09</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2.74E+09</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2.82E+09</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1.18E-03</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1.86E+09</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1.90E+09</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1.89E+09</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3.74E-04</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1.17E+09</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1.19E+09</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1.13E+09</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1.18E-04</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6.38E+08</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6.28E+08</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6.28E+08</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3.74E-05</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3.49E+08</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3.28E+08</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3.59E+08</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1.18E-05</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1.40E+08</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1.50E+08</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1.55E+08</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3.73E-06</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5.56E+07</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6.23E+07</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5.58E+07</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1.18E-06</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1.73E+07</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1.74E+07</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1.63E+07</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3.73E-07</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4.67E+06</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4.49E+06</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5.29E+06</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1.18E-07</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1.61E+06</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1.52E+06</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1.48E+06</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3.72E-08</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2.39E+05</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2.38E+05</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3.93E+05</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1.18E-08</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1.40E+05</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1.40E+05</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1.25E+05</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3.71E-09</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2.94E+04</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4.45E+04</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5.37E+04</w:t>
            </w:r>
          </w:p>
        </w:tc>
      </w:tr>
      <w:tr w:rsidR="007147B8" w:rsidTr="00E613FF">
        <w:trPr>
          <w:trHeight w:val="225"/>
        </w:trPr>
        <w:tc>
          <w:tcPr>
            <w:tcW w:w="1809"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w:t>
            </w:r>
          </w:p>
        </w:tc>
        <w:tc>
          <w:tcPr>
            <w:tcW w:w="911" w:type="pct"/>
            <w:vMerge w:val="restar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1.17E-09</w:t>
            </w: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1.96E+04</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2.30E+04</w:t>
            </w:r>
          </w:p>
        </w:tc>
      </w:tr>
      <w:tr w:rsidR="007147B8" w:rsidTr="00E613FF">
        <w:trPr>
          <w:trHeight w:val="225"/>
        </w:trPr>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0" w:type="auto"/>
            <w:vMerge/>
            <w:vAlign w:val="center"/>
            <w:hideMark/>
          </w:tcPr>
          <w:p w:rsidR="007147B8" w:rsidRDefault="007147B8" w:rsidP="00E613FF">
            <w:pPr>
              <w:spacing w:after="0" w:line="240" w:lineRule="auto"/>
              <w:rPr>
                <w:rFonts w:ascii="Times New Roman" w:eastAsia="Times New Roman" w:hAnsi="Times New Roman" w:cs="Times New Roman"/>
                <w:color w:val="000000"/>
                <w:sz w:val="16"/>
                <w:szCs w:val="16"/>
              </w:rPr>
            </w:pPr>
          </w:p>
        </w:tc>
        <w:tc>
          <w:tcPr>
            <w:tcW w:w="1164"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116" w:type="pct"/>
            <w:noWrap/>
            <w:vAlign w:val="center"/>
            <w:hideMark/>
          </w:tcPr>
          <w:p w:rsidR="007147B8" w:rsidRDefault="007147B8" w:rsidP="00E613FF">
            <w:pPr>
              <w:spacing w:after="0" w:line="240" w:lineRule="atLeast"/>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2.49E+04</w:t>
            </w:r>
          </w:p>
        </w:tc>
      </w:tr>
      <w:tr w:rsidR="007147B8" w:rsidTr="00E613FF">
        <w:trPr>
          <w:trHeight w:val="225"/>
        </w:trPr>
        <w:tc>
          <w:tcPr>
            <w:tcW w:w="1809"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911"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64"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c>
          <w:tcPr>
            <w:tcW w:w="1116" w:type="pct"/>
            <w:tcBorders>
              <w:top w:val="single" w:sz="4" w:space="0" w:color="auto"/>
              <w:left w:val="nil"/>
              <w:bottom w:val="single" w:sz="4" w:space="0" w:color="auto"/>
              <w:right w:val="nil"/>
            </w:tcBorders>
            <w:noWrap/>
            <w:vAlign w:val="bottom"/>
            <w:hideMark/>
          </w:tcPr>
          <w:p w:rsidR="007147B8" w:rsidRDefault="007147B8" w:rsidP="00E613FF">
            <w:pPr>
              <w:spacing w:after="0"/>
              <w:rPr>
                <w:rFonts w:cs="Times New Roman"/>
              </w:rPr>
            </w:pPr>
          </w:p>
        </w:tc>
      </w:tr>
    </w:tbl>
    <w:p w:rsidR="007147B8" w:rsidRDefault="007147B8" w:rsidP="007147B8"/>
    <w:p w:rsidR="007147B8" w:rsidRDefault="007147B8" w:rsidP="007147B8"/>
    <w:p w:rsidR="002668EA" w:rsidRDefault="002668EA" w:rsidP="002668EA">
      <w:pPr>
        <w:jc w:val="center"/>
        <w:rPr>
          <w:rFonts w:ascii="Times New Roman" w:hAnsi="Times New Roman" w:cs="Times New Roman"/>
          <w:b/>
          <w:sz w:val="28"/>
          <w:szCs w:val="28"/>
        </w:rPr>
      </w:pPr>
      <w:r w:rsidRPr="000660D0">
        <w:rPr>
          <w:rFonts w:ascii="Times New Roman" w:hAnsi="Times New Roman" w:cs="Times New Roman"/>
          <w:b/>
          <w:sz w:val="28"/>
          <w:szCs w:val="28"/>
        </w:rPr>
        <w:lastRenderedPageBreak/>
        <w:t>Vita</w:t>
      </w:r>
    </w:p>
    <w:p w:rsidR="002668EA" w:rsidRPr="000660D0" w:rsidRDefault="002668EA" w:rsidP="00A866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Jesse Lee Middleton was born </w:t>
      </w:r>
      <w:r w:rsidR="00781A36">
        <w:rPr>
          <w:rFonts w:ascii="Times New Roman" w:hAnsi="Times New Roman" w:cs="Times New Roman"/>
          <w:sz w:val="24"/>
          <w:szCs w:val="24"/>
        </w:rPr>
        <w:t xml:space="preserve">on June 28, 1985 in Jellico, TN to the parents of Christine Stephens and Jesse Lee Middleton Sr.  </w:t>
      </w:r>
      <w:r>
        <w:rPr>
          <w:rFonts w:ascii="Times New Roman" w:hAnsi="Times New Roman" w:cs="Times New Roman"/>
          <w:sz w:val="24"/>
          <w:szCs w:val="24"/>
        </w:rPr>
        <w:t xml:space="preserve">He attended Whitley County High School in Williamsburg, KY and later graduated from Eastern Kentucky University in Richmond, KY </w:t>
      </w:r>
      <w:r w:rsidR="00E82EC9">
        <w:rPr>
          <w:rFonts w:ascii="Times New Roman" w:hAnsi="Times New Roman" w:cs="Times New Roman"/>
          <w:sz w:val="24"/>
          <w:szCs w:val="24"/>
        </w:rPr>
        <w:t>where he received his Bachelor</w:t>
      </w:r>
      <w:r>
        <w:rPr>
          <w:rFonts w:ascii="Times New Roman" w:hAnsi="Times New Roman" w:cs="Times New Roman"/>
          <w:sz w:val="24"/>
          <w:szCs w:val="24"/>
        </w:rPr>
        <w:t xml:space="preserve"> of Science in Chemistry in the spring of 2010.  He began his graduate studies in chemistry at the University of Tennessee in Knoxville, T</w:t>
      </w:r>
      <w:r w:rsidR="00E82EC9">
        <w:rPr>
          <w:rFonts w:ascii="Times New Roman" w:hAnsi="Times New Roman" w:cs="Times New Roman"/>
          <w:sz w:val="24"/>
          <w:szCs w:val="24"/>
        </w:rPr>
        <w:t>N and received his Master</w:t>
      </w:r>
      <w:r>
        <w:rPr>
          <w:rFonts w:ascii="Times New Roman" w:hAnsi="Times New Roman" w:cs="Times New Roman"/>
          <w:sz w:val="24"/>
          <w:szCs w:val="24"/>
        </w:rPr>
        <w:t xml:space="preserve"> of </w:t>
      </w:r>
      <w:r w:rsidR="00BA23FD">
        <w:rPr>
          <w:rFonts w:ascii="Times New Roman" w:hAnsi="Times New Roman" w:cs="Times New Roman"/>
          <w:sz w:val="24"/>
          <w:szCs w:val="24"/>
        </w:rPr>
        <w:t>Science in Chemistry in May 2013</w:t>
      </w:r>
      <w:r>
        <w:rPr>
          <w:rFonts w:ascii="Times New Roman" w:hAnsi="Times New Roman" w:cs="Times New Roman"/>
          <w:sz w:val="24"/>
          <w:szCs w:val="24"/>
        </w:rPr>
        <w:t>.</w:t>
      </w:r>
    </w:p>
    <w:p w:rsidR="007147B8" w:rsidRDefault="007147B8" w:rsidP="007147B8">
      <w:pP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p w:rsidR="007147B8" w:rsidRDefault="007147B8" w:rsidP="007147B8">
      <w:pPr>
        <w:jc w:val="center"/>
        <w:rPr>
          <w:rFonts w:ascii="Times New Roman" w:hAnsi="Times New Roman" w:cs="Times New Roman"/>
          <w:b/>
          <w:sz w:val="28"/>
          <w:szCs w:val="28"/>
        </w:rPr>
      </w:pPr>
    </w:p>
    <w:bookmarkEnd w:id="1"/>
    <w:p w:rsidR="007147B8" w:rsidRDefault="007147B8" w:rsidP="007147B8">
      <w:pPr>
        <w:jc w:val="center"/>
        <w:rPr>
          <w:rFonts w:ascii="Times New Roman" w:hAnsi="Times New Roman" w:cs="Times New Roman"/>
          <w:b/>
          <w:sz w:val="28"/>
          <w:szCs w:val="28"/>
        </w:rPr>
      </w:pPr>
    </w:p>
    <w:sectPr w:rsidR="007147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94B" w:rsidRDefault="0079094B" w:rsidP="00765F69">
      <w:pPr>
        <w:spacing w:after="0" w:line="240" w:lineRule="auto"/>
      </w:pPr>
      <w:r>
        <w:separator/>
      </w:r>
    </w:p>
  </w:endnote>
  <w:endnote w:type="continuationSeparator" w:id="0">
    <w:p w:rsidR="0079094B" w:rsidRDefault="0079094B" w:rsidP="00765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248006"/>
      <w:docPartObj>
        <w:docPartGallery w:val="Page Numbers (Bottom of Page)"/>
        <w:docPartUnique/>
      </w:docPartObj>
    </w:sdtPr>
    <w:sdtEndPr>
      <w:rPr>
        <w:noProof/>
      </w:rPr>
    </w:sdtEndPr>
    <w:sdtContent>
      <w:p w:rsidR="00CB2AB9" w:rsidRDefault="00CB2AB9">
        <w:pPr>
          <w:pStyle w:val="Footer"/>
          <w:jc w:val="right"/>
        </w:pPr>
        <w:r>
          <w:fldChar w:fldCharType="begin"/>
        </w:r>
        <w:r>
          <w:instrText xml:space="preserve"> PAGE   \* MERGEFORMAT </w:instrText>
        </w:r>
        <w:r>
          <w:fldChar w:fldCharType="separate"/>
        </w:r>
        <w:r w:rsidR="00BB42EC">
          <w:rPr>
            <w:noProof/>
          </w:rPr>
          <w:t>62</w:t>
        </w:r>
        <w:r>
          <w:rPr>
            <w:noProof/>
          </w:rPr>
          <w:fldChar w:fldCharType="end"/>
        </w:r>
      </w:p>
    </w:sdtContent>
  </w:sdt>
  <w:p w:rsidR="00CB2AB9" w:rsidRDefault="00CB2A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94B" w:rsidRDefault="0079094B" w:rsidP="00765F69">
      <w:pPr>
        <w:spacing w:after="0" w:line="240" w:lineRule="auto"/>
      </w:pPr>
      <w:r>
        <w:separator/>
      </w:r>
    </w:p>
  </w:footnote>
  <w:footnote w:type="continuationSeparator" w:id="0">
    <w:p w:rsidR="0079094B" w:rsidRDefault="0079094B" w:rsidP="00765F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CAB"/>
    <w:rsid w:val="00004438"/>
    <w:rsid w:val="00015D97"/>
    <w:rsid w:val="000270BE"/>
    <w:rsid w:val="00062EAD"/>
    <w:rsid w:val="000716DD"/>
    <w:rsid w:val="00073DA4"/>
    <w:rsid w:val="00080007"/>
    <w:rsid w:val="00081946"/>
    <w:rsid w:val="000943CB"/>
    <w:rsid w:val="000A5807"/>
    <w:rsid w:val="000A6C82"/>
    <w:rsid w:val="000A7499"/>
    <w:rsid w:val="000B6086"/>
    <w:rsid w:val="000B6289"/>
    <w:rsid w:val="000D3B69"/>
    <w:rsid w:val="000E1449"/>
    <w:rsid w:val="000F5B21"/>
    <w:rsid w:val="00116209"/>
    <w:rsid w:val="00137428"/>
    <w:rsid w:val="0014556E"/>
    <w:rsid w:val="00145CAB"/>
    <w:rsid w:val="00160A14"/>
    <w:rsid w:val="001871F7"/>
    <w:rsid w:val="00195989"/>
    <w:rsid w:val="001A60C3"/>
    <w:rsid w:val="001E7932"/>
    <w:rsid w:val="001F5C2E"/>
    <w:rsid w:val="001F6DEB"/>
    <w:rsid w:val="00205383"/>
    <w:rsid w:val="00207B68"/>
    <w:rsid w:val="00220CE7"/>
    <w:rsid w:val="002325BB"/>
    <w:rsid w:val="002668EA"/>
    <w:rsid w:val="00271ABF"/>
    <w:rsid w:val="00276033"/>
    <w:rsid w:val="0029102F"/>
    <w:rsid w:val="0029685F"/>
    <w:rsid w:val="002A449E"/>
    <w:rsid w:val="002A6FFF"/>
    <w:rsid w:val="002D11BE"/>
    <w:rsid w:val="002D3CD0"/>
    <w:rsid w:val="00303E63"/>
    <w:rsid w:val="003440BB"/>
    <w:rsid w:val="00350523"/>
    <w:rsid w:val="00365768"/>
    <w:rsid w:val="003775EC"/>
    <w:rsid w:val="00392D2C"/>
    <w:rsid w:val="003A1E24"/>
    <w:rsid w:val="003B707E"/>
    <w:rsid w:val="003B730A"/>
    <w:rsid w:val="003D1B25"/>
    <w:rsid w:val="003D207D"/>
    <w:rsid w:val="003F19A5"/>
    <w:rsid w:val="004043D4"/>
    <w:rsid w:val="00415D15"/>
    <w:rsid w:val="00420CB2"/>
    <w:rsid w:val="0042122B"/>
    <w:rsid w:val="004404B4"/>
    <w:rsid w:val="00464D7A"/>
    <w:rsid w:val="00471B3A"/>
    <w:rsid w:val="00490B0C"/>
    <w:rsid w:val="00491FC4"/>
    <w:rsid w:val="004B2447"/>
    <w:rsid w:val="004C1F11"/>
    <w:rsid w:val="004E252D"/>
    <w:rsid w:val="00533D1E"/>
    <w:rsid w:val="005531B2"/>
    <w:rsid w:val="005C0F2A"/>
    <w:rsid w:val="005D64C2"/>
    <w:rsid w:val="005E3076"/>
    <w:rsid w:val="00620804"/>
    <w:rsid w:val="00644C7E"/>
    <w:rsid w:val="00673993"/>
    <w:rsid w:val="006A1574"/>
    <w:rsid w:val="006A7D19"/>
    <w:rsid w:val="006B00B1"/>
    <w:rsid w:val="006B61E2"/>
    <w:rsid w:val="006E1D98"/>
    <w:rsid w:val="006E227D"/>
    <w:rsid w:val="006F4CF1"/>
    <w:rsid w:val="007075D5"/>
    <w:rsid w:val="007130C0"/>
    <w:rsid w:val="007147B8"/>
    <w:rsid w:val="00717D3B"/>
    <w:rsid w:val="00765F69"/>
    <w:rsid w:val="00772273"/>
    <w:rsid w:val="00781A36"/>
    <w:rsid w:val="0079094B"/>
    <w:rsid w:val="007E4983"/>
    <w:rsid w:val="00817A76"/>
    <w:rsid w:val="00823904"/>
    <w:rsid w:val="00825A49"/>
    <w:rsid w:val="00850DF8"/>
    <w:rsid w:val="00851C63"/>
    <w:rsid w:val="008540CE"/>
    <w:rsid w:val="008561EF"/>
    <w:rsid w:val="00857B2E"/>
    <w:rsid w:val="00896A2C"/>
    <w:rsid w:val="008A52B7"/>
    <w:rsid w:val="008E654C"/>
    <w:rsid w:val="008F1122"/>
    <w:rsid w:val="00913B58"/>
    <w:rsid w:val="0092706B"/>
    <w:rsid w:val="00961A0B"/>
    <w:rsid w:val="009C68DC"/>
    <w:rsid w:val="009D6540"/>
    <w:rsid w:val="009E768D"/>
    <w:rsid w:val="009F698C"/>
    <w:rsid w:val="00A00D93"/>
    <w:rsid w:val="00A175C8"/>
    <w:rsid w:val="00A22139"/>
    <w:rsid w:val="00A33A36"/>
    <w:rsid w:val="00A517D3"/>
    <w:rsid w:val="00A60DCC"/>
    <w:rsid w:val="00A643B1"/>
    <w:rsid w:val="00A866A8"/>
    <w:rsid w:val="00A866B6"/>
    <w:rsid w:val="00AC30E2"/>
    <w:rsid w:val="00AD782A"/>
    <w:rsid w:val="00AF31E1"/>
    <w:rsid w:val="00B0192A"/>
    <w:rsid w:val="00B02D18"/>
    <w:rsid w:val="00B353B5"/>
    <w:rsid w:val="00B408CA"/>
    <w:rsid w:val="00B463F8"/>
    <w:rsid w:val="00B52A5F"/>
    <w:rsid w:val="00B54D6B"/>
    <w:rsid w:val="00B56605"/>
    <w:rsid w:val="00B618F3"/>
    <w:rsid w:val="00B80476"/>
    <w:rsid w:val="00B97FE6"/>
    <w:rsid w:val="00BA0AF1"/>
    <w:rsid w:val="00BA23FD"/>
    <w:rsid w:val="00BA29D8"/>
    <w:rsid w:val="00BB0756"/>
    <w:rsid w:val="00BB1F74"/>
    <w:rsid w:val="00BB2317"/>
    <w:rsid w:val="00BB42EC"/>
    <w:rsid w:val="00BC0E44"/>
    <w:rsid w:val="00BD09FC"/>
    <w:rsid w:val="00BD58F5"/>
    <w:rsid w:val="00BF1531"/>
    <w:rsid w:val="00C012E5"/>
    <w:rsid w:val="00C32F90"/>
    <w:rsid w:val="00C4277D"/>
    <w:rsid w:val="00C76033"/>
    <w:rsid w:val="00CB19C5"/>
    <w:rsid w:val="00CB2AB9"/>
    <w:rsid w:val="00CB7AD8"/>
    <w:rsid w:val="00CC3CE4"/>
    <w:rsid w:val="00D00ACE"/>
    <w:rsid w:val="00D15481"/>
    <w:rsid w:val="00D3517D"/>
    <w:rsid w:val="00D402E9"/>
    <w:rsid w:val="00D71EC9"/>
    <w:rsid w:val="00DA2815"/>
    <w:rsid w:val="00DB67A8"/>
    <w:rsid w:val="00DC178D"/>
    <w:rsid w:val="00DD7165"/>
    <w:rsid w:val="00E25F8C"/>
    <w:rsid w:val="00E35DD4"/>
    <w:rsid w:val="00E5538D"/>
    <w:rsid w:val="00E56D9A"/>
    <w:rsid w:val="00E613FF"/>
    <w:rsid w:val="00E82EC9"/>
    <w:rsid w:val="00E8638F"/>
    <w:rsid w:val="00E93242"/>
    <w:rsid w:val="00EA0303"/>
    <w:rsid w:val="00EB6CAA"/>
    <w:rsid w:val="00F16D78"/>
    <w:rsid w:val="00F215E3"/>
    <w:rsid w:val="00F31CBD"/>
    <w:rsid w:val="00F42A46"/>
    <w:rsid w:val="00F927C1"/>
    <w:rsid w:val="00FA1F5F"/>
    <w:rsid w:val="00FB27F7"/>
    <w:rsid w:val="00FB32FD"/>
    <w:rsid w:val="00FC1FD8"/>
    <w:rsid w:val="00FC4CC9"/>
    <w:rsid w:val="00FD69D8"/>
    <w:rsid w:val="00FE7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307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5E30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3076"/>
    <w:rPr>
      <w:rFonts w:ascii="Tahoma" w:hAnsi="Tahoma" w:cs="Tahoma"/>
      <w:sz w:val="16"/>
      <w:szCs w:val="16"/>
    </w:rPr>
  </w:style>
  <w:style w:type="character" w:styleId="PlaceholderText">
    <w:name w:val="Placeholder Text"/>
    <w:basedOn w:val="DefaultParagraphFont"/>
    <w:uiPriority w:val="99"/>
    <w:semiHidden/>
    <w:rsid w:val="005E3076"/>
    <w:rPr>
      <w:color w:val="808080"/>
    </w:rPr>
  </w:style>
  <w:style w:type="paragraph" w:styleId="Header">
    <w:name w:val="header"/>
    <w:basedOn w:val="Normal"/>
    <w:link w:val="HeaderChar"/>
    <w:uiPriority w:val="99"/>
    <w:unhideWhenUsed/>
    <w:rsid w:val="00714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7B8"/>
  </w:style>
  <w:style w:type="paragraph" w:styleId="Footer">
    <w:name w:val="footer"/>
    <w:basedOn w:val="Normal"/>
    <w:link w:val="FooterChar"/>
    <w:uiPriority w:val="99"/>
    <w:unhideWhenUsed/>
    <w:rsid w:val="00714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7B8"/>
  </w:style>
  <w:style w:type="numbering" w:customStyle="1" w:styleId="NoList1">
    <w:name w:val="No List1"/>
    <w:next w:val="NoList"/>
    <w:uiPriority w:val="99"/>
    <w:semiHidden/>
    <w:unhideWhenUsed/>
    <w:rsid w:val="007147B8"/>
  </w:style>
  <w:style w:type="character" w:styleId="Hyperlink">
    <w:name w:val="Hyperlink"/>
    <w:basedOn w:val="DefaultParagraphFont"/>
    <w:uiPriority w:val="99"/>
    <w:semiHidden/>
    <w:unhideWhenUsed/>
    <w:rsid w:val="007147B8"/>
    <w:rPr>
      <w:color w:val="0000FF"/>
      <w:u w:val="single"/>
    </w:rPr>
  </w:style>
  <w:style w:type="character" w:styleId="FollowedHyperlink">
    <w:name w:val="FollowedHyperlink"/>
    <w:basedOn w:val="DefaultParagraphFont"/>
    <w:uiPriority w:val="99"/>
    <w:semiHidden/>
    <w:unhideWhenUsed/>
    <w:rsid w:val="007147B8"/>
    <w:rPr>
      <w:color w:val="800080"/>
      <w:u w:val="single"/>
    </w:rPr>
  </w:style>
  <w:style w:type="paragraph" w:customStyle="1" w:styleId="xl66">
    <w:name w:val="xl66"/>
    <w:basedOn w:val="Normal"/>
    <w:rsid w:val="007147B8"/>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67">
    <w:name w:val="xl67"/>
    <w:basedOn w:val="Normal"/>
    <w:rsid w:val="007147B8"/>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8">
    <w:name w:val="xl68"/>
    <w:basedOn w:val="Normal"/>
    <w:rsid w:val="007147B8"/>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9">
    <w:name w:val="xl69"/>
    <w:basedOn w:val="Normal"/>
    <w:rsid w:val="007147B8"/>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70">
    <w:name w:val="xl70"/>
    <w:basedOn w:val="Normal"/>
    <w:rsid w:val="007147B8"/>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71">
    <w:name w:val="xl71"/>
    <w:basedOn w:val="Normal"/>
    <w:rsid w:val="007147B8"/>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72">
    <w:name w:val="xl72"/>
    <w:basedOn w:val="Normal"/>
    <w:rsid w:val="007147B8"/>
    <w:pPr>
      <w:pBdr>
        <w:top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14"/>
      <w:szCs w:val="14"/>
    </w:rPr>
  </w:style>
  <w:style w:type="paragraph" w:customStyle="1" w:styleId="xl73">
    <w:name w:val="xl73"/>
    <w:basedOn w:val="Normal"/>
    <w:rsid w:val="007147B8"/>
    <w:pP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74">
    <w:name w:val="xl74"/>
    <w:basedOn w:val="Normal"/>
    <w:rsid w:val="007147B8"/>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75">
    <w:name w:val="xl75"/>
    <w:basedOn w:val="Normal"/>
    <w:rsid w:val="007147B8"/>
    <w:pPr>
      <w:pBdr>
        <w:bottom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14"/>
      <w:szCs w:val="14"/>
    </w:rPr>
  </w:style>
  <w:style w:type="paragraph" w:customStyle="1" w:styleId="xl76">
    <w:name w:val="xl76"/>
    <w:basedOn w:val="Normal"/>
    <w:rsid w:val="007147B8"/>
    <w:pPr>
      <w:spacing w:before="100" w:beforeAutospacing="1" w:after="100" w:afterAutospacing="1" w:line="240" w:lineRule="auto"/>
    </w:pPr>
    <w:rPr>
      <w:rFonts w:ascii="Times New Roman" w:eastAsia="Times New Roman" w:hAnsi="Times New Roman" w:cs="Times New Roman"/>
      <w:b/>
      <w:bCs/>
      <w:sz w:val="14"/>
      <w:szCs w:val="14"/>
    </w:rPr>
  </w:style>
  <w:style w:type="numbering" w:customStyle="1" w:styleId="NoList2">
    <w:name w:val="No List2"/>
    <w:next w:val="NoList"/>
    <w:uiPriority w:val="99"/>
    <w:semiHidden/>
    <w:unhideWhenUsed/>
    <w:rsid w:val="007147B8"/>
  </w:style>
  <w:style w:type="table" w:styleId="TableGrid">
    <w:name w:val="Table Grid"/>
    <w:basedOn w:val="TableNormal"/>
    <w:uiPriority w:val="59"/>
    <w:rsid w:val="00DA28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3076"/>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5E30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3076"/>
    <w:rPr>
      <w:rFonts w:ascii="Tahoma" w:hAnsi="Tahoma" w:cs="Tahoma"/>
      <w:sz w:val="16"/>
      <w:szCs w:val="16"/>
    </w:rPr>
  </w:style>
  <w:style w:type="character" w:styleId="PlaceholderText">
    <w:name w:val="Placeholder Text"/>
    <w:basedOn w:val="DefaultParagraphFont"/>
    <w:uiPriority w:val="99"/>
    <w:semiHidden/>
    <w:rsid w:val="005E3076"/>
    <w:rPr>
      <w:color w:val="808080"/>
    </w:rPr>
  </w:style>
  <w:style w:type="paragraph" w:styleId="Header">
    <w:name w:val="header"/>
    <w:basedOn w:val="Normal"/>
    <w:link w:val="HeaderChar"/>
    <w:uiPriority w:val="99"/>
    <w:unhideWhenUsed/>
    <w:rsid w:val="007147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7B8"/>
  </w:style>
  <w:style w:type="paragraph" w:styleId="Footer">
    <w:name w:val="footer"/>
    <w:basedOn w:val="Normal"/>
    <w:link w:val="FooterChar"/>
    <w:uiPriority w:val="99"/>
    <w:unhideWhenUsed/>
    <w:rsid w:val="007147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7B8"/>
  </w:style>
  <w:style w:type="numbering" w:customStyle="1" w:styleId="NoList1">
    <w:name w:val="No List1"/>
    <w:next w:val="NoList"/>
    <w:uiPriority w:val="99"/>
    <w:semiHidden/>
    <w:unhideWhenUsed/>
    <w:rsid w:val="007147B8"/>
  </w:style>
  <w:style w:type="character" w:styleId="Hyperlink">
    <w:name w:val="Hyperlink"/>
    <w:basedOn w:val="DefaultParagraphFont"/>
    <w:uiPriority w:val="99"/>
    <w:semiHidden/>
    <w:unhideWhenUsed/>
    <w:rsid w:val="007147B8"/>
    <w:rPr>
      <w:color w:val="0000FF"/>
      <w:u w:val="single"/>
    </w:rPr>
  </w:style>
  <w:style w:type="character" w:styleId="FollowedHyperlink">
    <w:name w:val="FollowedHyperlink"/>
    <w:basedOn w:val="DefaultParagraphFont"/>
    <w:uiPriority w:val="99"/>
    <w:semiHidden/>
    <w:unhideWhenUsed/>
    <w:rsid w:val="007147B8"/>
    <w:rPr>
      <w:color w:val="800080"/>
      <w:u w:val="single"/>
    </w:rPr>
  </w:style>
  <w:style w:type="paragraph" w:customStyle="1" w:styleId="xl66">
    <w:name w:val="xl66"/>
    <w:basedOn w:val="Normal"/>
    <w:rsid w:val="007147B8"/>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67">
    <w:name w:val="xl67"/>
    <w:basedOn w:val="Normal"/>
    <w:rsid w:val="007147B8"/>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8">
    <w:name w:val="xl68"/>
    <w:basedOn w:val="Normal"/>
    <w:rsid w:val="007147B8"/>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9">
    <w:name w:val="xl69"/>
    <w:basedOn w:val="Normal"/>
    <w:rsid w:val="007147B8"/>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70">
    <w:name w:val="xl70"/>
    <w:basedOn w:val="Normal"/>
    <w:rsid w:val="007147B8"/>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71">
    <w:name w:val="xl71"/>
    <w:basedOn w:val="Normal"/>
    <w:rsid w:val="007147B8"/>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72">
    <w:name w:val="xl72"/>
    <w:basedOn w:val="Normal"/>
    <w:rsid w:val="007147B8"/>
    <w:pPr>
      <w:pBdr>
        <w:top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14"/>
      <w:szCs w:val="14"/>
    </w:rPr>
  </w:style>
  <w:style w:type="paragraph" w:customStyle="1" w:styleId="xl73">
    <w:name w:val="xl73"/>
    <w:basedOn w:val="Normal"/>
    <w:rsid w:val="007147B8"/>
    <w:pP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74">
    <w:name w:val="xl74"/>
    <w:basedOn w:val="Normal"/>
    <w:rsid w:val="007147B8"/>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75">
    <w:name w:val="xl75"/>
    <w:basedOn w:val="Normal"/>
    <w:rsid w:val="007147B8"/>
    <w:pPr>
      <w:pBdr>
        <w:bottom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14"/>
      <w:szCs w:val="14"/>
    </w:rPr>
  </w:style>
  <w:style w:type="paragraph" w:customStyle="1" w:styleId="xl76">
    <w:name w:val="xl76"/>
    <w:basedOn w:val="Normal"/>
    <w:rsid w:val="007147B8"/>
    <w:pPr>
      <w:spacing w:before="100" w:beforeAutospacing="1" w:after="100" w:afterAutospacing="1" w:line="240" w:lineRule="auto"/>
    </w:pPr>
    <w:rPr>
      <w:rFonts w:ascii="Times New Roman" w:eastAsia="Times New Roman" w:hAnsi="Times New Roman" w:cs="Times New Roman"/>
      <w:b/>
      <w:bCs/>
      <w:sz w:val="14"/>
      <w:szCs w:val="14"/>
    </w:rPr>
  </w:style>
  <w:style w:type="numbering" w:customStyle="1" w:styleId="NoList2">
    <w:name w:val="No List2"/>
    <w:next w:val="NoList"/>
    <w:uiPriority w:val="99"/>
    <w:semiHidden/>
    <w:unhideWhenUsed/>
    <w:rsid w:val="007147B8"/>
  </w:style>
  <w:style w:type="table" w:styleId="TableGrid">
    <w:name w:val="Table Grid"/>
    <w:basedOn w:val="TableNormal"/>
    <w:uiPriority w:val="59"/>
    <w:rsid w:val="00DA28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chart" Target="charts/chart1.xml"/><Relationship Id="rId17" Type="http://schemas.openxmlformats.org/officeDocument/2006/relationships/image" Target="media/image8.emf"/><Relationship Id="rId2" Type="http://schemas.microsoft.com/office/2007/relationships/stylesWithEffects" Target="stylesWithEffects.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image" Target="media/image3.png"/><Relationship Id="rId19" Type="http://schemas.openxmlformats.org/officeDocument/2006/relationships/hyperlink" Target="http://apps.webofknowledge.com/full_record.do?product=WOS&amp;search_mode=DaisyMultiClustViewRecords&amp;qid=59&amp;SID=3EaHkD3b9Jh4Ni8pegl&amp;page=1&amp;doc=1&amp;cacheurlFromRightClick=no"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638117261364633E-2"/>
          <c:y val="0.1104753572470108"/>
          <c:w val="0.8562019597369076"/>
          <c:h val="0.76613067044780325"/>
        </c:manualLayout>
      </c:layout>
      <c:scatterChart>
        <c:scatterStyle val="lineMarker"/>
        <c:varyColors val="0"/>
        <c:ser>
          <c:idx val="0"/>
          <c:order val="0"/>
          <c:spPr>
            <a:ln w="28575">
              <a:noFill/>
            </a:ln>
          </c:spPr>
          <c:marker>
            <c:symbol val="diamond"/>
            <c:size val="2"/>
          </c:marker>
          <c:trendline>
            <c:trendlineType val="linear"/>
            <c:dispRSqr val="1"/>
            <c:dispEq val="1"/>
            <c:trendlineLbl>
              <c:layout>
                <c:manualLayout>
                  <c:x val="-0.29170965229553453"/>
                  <c:y val="-0.10178759264287367"/>
                </c:manualLayout>
              </c:layout>
              <c:numFmt formatCode="#,##0.0000" sourceLinked="0"/>
              <c:txPr>
                <a:bodyPr/>
                <a:lstStyle/>
                <a:p>
                  <a:pPr>
                    <a:defRPr sz="1400">
                      <a:latin typeface="Times New Roman" pitchFamily="18" charset="0"/>
                      <a:cs typeface="Times New Roman" pitchFamily="18" charset="0"/>
                    </a:defRPr>
                  </a:pPr>
                  <a:endParaRPr lang="en-US"/>
                </a:p>
              </c:txPr>
            </c:trendlineLbl>
          </c:trendline>
          <c:xVal>
            <c:numRef>
              <c:f>'C:\Users\chemuser\Desktop\R&amp;D\Metabolomics\2013 GLU and GLN Calibration Curve\[120717_JLM_GLU&amp;GLN_Fitted Concentrations_MEDIA.xls]Trying Graphs'!$A$60:$A$75</c:f>
              <c:numCache>
                <c:formatCode>General</c:formatCode>
                <c:ptCount val="16"/>
                <c:pt idx="0">
                  <c:v>-1.6161846340195687</c:v>
                </c:pt>
                <c:pt idx="1">
                  <c:v>-1.6161846340195687</c:v>
                </c:pt>
                <c:pt idx="2">
                  <c:v>-2.1390633792999063</c:v>
                </c:pt>
                <c:pt idx="3">
                  <c:v>-2.1390633792999063</c:v>
                </c:pt>
                <c:pt idx="4">
                  <c:v>-2.6619421245802437</c:v>
                </c:pt>
                <c:pt idx="5">
                  <c:v>-2.6619421245802437</c:v>
                </c:pt>
                <c:pt idx="6">
                  <c:v>-3.1848208698605815</c:v>
                </c:pt>
                <c:pt idx="7">
                  <c:v>-3.1848208698605815</c:v>
                </c:pt>
                <c:pt idx="8">
                  <c:v>-3.7076996151409189</c:v>
                </c:pt>
                <c:pt idx="9">
                  <c:v>-3.7076996151409189</c:v>
                </c:pt>
                <c:pt idx="10">
                  <c:v>-4.2305783604212568</c:v>
                </c:pt>
                <c:pt idx="11">
                  <c:v>-4.2305783604212568</c:v>
                </c:pt>
                <c:pt idx="12">
                  <c:v>-4.7534571057015942</c:v>
                </c:pt>
                <c:pt idx="13">
                  <c:v>-4.7534571057015942</c:v>
                </c:pt>
                <c:pt idx="14">
                  <c:v>-5.2763358509819316</c:v>
                </c:pt>
                <c:pt idx="15">
                  <c:v>-5.2763358509819316</c:v>
                </c:pt>
              </c:numCache>
            </c:numRef>
          </c:xVal>
          <c:yVal>
            <c:numRef>
              <c:f>'C:\Users\chemuser\Desktop\R&amp;D\Metabolomics\2013 GLU and GLN Calibration Curve\[120717_JLM_GLU&amp;GLN_Fitted Concentrations_MEDIA.xls]Trying Graphs'!$B$60:$B$75</c:f>
              <c:numCache>
                <c:formatCode>General</c:formatCode>
                <c:ptCount val="16"/>
                <c:pt idx="0">
                  <c:v>8.1500155577737843</c:v>
                </c:pt>
                <c:pt idx="1">
                  <c:v>8.2292310070388197</c:v>
                </c:pt>
                <c:pt idx="2">
                  <c:v>7.3842567788693625</c:v>
                </c:pt>
                <c:pt idx="3">
                  <c:v>7.329631488106827</c:v>
                </c:pt>
                <c:pt idx="4">
                  <c:v>6.9546246743210611</c:v>
                </c:pt>
                <c:pt idx="5">
                  <c:v>7.0080070251809339</c:v>
                </c:pt>
                <c:pt idx="6">
                  <c:v>6.2592504402664284</c:v>
                </c:pt>
                <c:pt idx="7">
                  <c:v>6.3168437978267304</c:v>
                </c:pt>
                <c:pt idx="8">
                  <c:v>5.580351819065072</c:v>
                </c:pt>
                <c:pt idx="9">
                  <c:v>5.6405644021489643</c:v>
                </c:pt>
                <c:pt idx="10">
                  <c:v>4.8103078071063914</c:v>
                </c:pt>
                <c:pt idx="11">
                  <c:v>4.9440272138272121</c:v>
                </c:pt>
                <c:pt idx="12">
                  <c:v>4.7239290330378942</c:v>
                </c:pt>
                <c:pt idx="13">
                  <c:v>4.7983421108436328</c:v>
                </c:pt>
                <c:pt idx="14">
                  <c:v>3.9566989640399517</c:v>
                </c:pt>
                <c:pt idx="15">
                  <c:v>4.0727030777652606</c:v>
                </c:pt>
              </c:numCache>
            </c:numRef>
          </c:yVal>
          <c:smooth val="0"/>
        </c:ser>
        <c:dLbls>
          <c:showLegendKey val="0"/>
          <c:showVal val="0"/>
          <c:showCatName val="0"/>
          <c:showSerName val="0"/>
          <c:showPercent val="0"/>
          <c:showBubbleSize val="0"/>
        </c:dLbls>
        <c:axId val="144572416"/>
        <c:axId val="25416064"/>
      </c:scatterChart>
      <c:valAx>
        <c:axId val="144572416"/>
        <c:scaling>
          <c:orientation val="minMax"/>
          <c:max val="0"/>
          <c:min val="-6"/>
        </c:scaling>
        <c:delete val="0"/>
        <c:axPos val="b"/>
        <c:title>
          <c:tx>
            <c:rich>
              <a:bodyPr/>
              <a:lstStyle/>
              <a:p>
                <a:pPr>
                  <a:defRPr/>
                </a:pPr>
                <a:r>
                  <a:rPr lang="en-US" sz="1200">
                    <a:latin typeface="Times New Roman" pitchFamily="18" charset="0"/>
                    <a:cs typeface="Times New Roman" pitchFamily="18" charset="0"/>
                  </a:rPr>
                  <a:t>Log</a:t>
                </a:r>
                <a:r>
                  <a:rPr lang="en-US" sz="1200" baseline="-25000">
                    <a:latin typeface="Times New Roman" pitchFamily="18" charset="0"/>
                    <a:cs typeface="Times New Roman" pitchFamily="18" charset="0"/>
                  </a:rPr>
                  <a:t>10 </a:t>
                </a:r>
                <a:r>
                  <a:rPr lang="en-US" sz="1200" baseline="0">
                    <a:latin typeface="Times New Roman" pitchFamily="18" charset="0"/>
                    <a:cs typeface="Times New Roman" pitchFamily="18" charset="0"/>
                  </a:rPr>
                  <a:t>(M) </a:t>
                </a:r>
              </a:p>
            </c:rich>
          </c:tx>
          <c:overlay val="0"/>
        </c:title>
        <c:numFmt formatCode="#,##0.00" sourceLinked="0"/>
        <c:majorTickMark val="out"/>
        <c:minorTickMark val="none"/>
        <c:tickLblPos val="nextTo"/>
        <c:spPr>
          <a:ln>
            <a:solidFill>
              <a:schemeClr val="tx1"/>
            </a:solidFill>
          </a:ln>
        </c:spPr>
        <c:txPr>
          <a:bodyPr rot="0" vert="horz"/>
          <a:lstStyle/>
          <a:p>
            <a:pPr>
              <a:defRPr sz="1000" b="0" i="0" u="none" strike="noStrike" baseline="0">
                <a:solidFill>
                  <a:srgbClr val="000000"/>
                </a:solidFill>
                <a:latin typeface="Calibri"/>
                <a:ea typeface="Calibri"/>
                <a:cs typeface="Calibri"/>
              </a:defRPr>
            </a:pPr>
            <a:endParaRPr lang="en-US"/>
          </a:p>
        </c:txPr>
        <c:crossAx val="25416064"/>
        <c:crosses val="autoZero"/>
        <c:crossBetween val="midCat"/>
        <c:majorUnit val="1"/>
        <c:minorUnit val="0.2"/>
      </c:valAx>
      <c:valAx>
        <c:axId val="25416064"/>
        <c:scaling>
          <c:orientation val="minMax"/>
          <c:max val="10"/>
          <c:min val="0"/>
        </c:scaling>
        <c:delete val="0"/>
        <c:axPos val="l"/>
        <c:title>
          <c:tx>
            <c:rich>
              <a:bodyPr rot="-5400000" vert="horz"/>
              <a:lstStyle/>
              <a:p>
                <a:pPr>
                  <a:defRPr/>
                </a:pPr>
                <a:r>
                  <a:rPr lang="en-US" sz="1200">
                    <a:latin typeface="Times New Roman" pitchFamily="18" charset="0"/>
                    <a:cs typeface="Times New Roman" pitchFamily="18" charset="0"/>
                  </a:rPr>
                  <a:t>Log</a:t>
                </a:r>
                <a:r>
                  <a:rPr lang="en-US" sz="1200" baseline="-25000">
                    <a:latin typeface="Times New Roman" pitchFamily="18" charset="0"/>
                    <a:cs typeface="Times New Roman" pitchFamily="18" charset="0"/>
                  </a:rPr>
                  <a:t>10</a:t>
                </a:r>
                <a:r>
                  <a:rPr lang="en-US" sz="1200">
                    <a:latin typeface="Times New Roman" pitchFamily="18" charset="0"/>
                    <a:cs typeface="Times New Roman" pitchFamily="18" charset="0"/>
                  </a:rPr>
                  <a:t> (Area)</a:t>
                </a:r>
              </a:p>
            </c:rich>
          </c:tx>
          <c:layout>
            <c:manualLayout>
              <c:xMode val="edge"/>
              <c:yMode val="edge"/>
              <c:x val="0.95557407732112198"/>
              <c:y val="0.3918753833931678"/>
            </c:manualLayout>
          </c:layout>
          <c:overlay val="0"/>
        </c:title>
        <c:numFmt formatCode="#,##0.00" sourceLinked="0"/>
        <c:majorTickMark val="in"/>
        <c:minorTickMark val="none"/>
        <c:tickLblPos val="high"/>
        <c:spPr>
          <a:ln>
            <a:solidFill>
              <a:schemeClr val="tx1"/>
            </a:solidFill>
          </a:ln>
        </c:spPr>
        <c:crossAx val="144572416"/>
        <c:crosses val="autoZero"/>
        <c:crossBetween val="midCat"/>
        <c:majorUnit val="2"/>
        <c:minorUnit val="0.2"/>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647837498573551E-2"/>
          <c:y val="0.10917127323622591"/>
          <c:w val="0.85672065092957705"/>
          <c:h val="0.7777394904249938"/>
        </c:manualLayout>
      </c:layout>
      <c:scatterChart>
        <c:scatterStyle val="lineMarker"/>
        <c:varyColors val="0"/>
        <c:ser>
          <c:idx val="0"/>
          <c:order val="0"/>
          <c:tx>
            <c:strRef>
              <c:f>'C:\Users\chemuser\Desktop\R&amp;D\Metabolomics\2013 GLU and GLN Calibration Curve\[120717_JLM_GLU&amp;GLN_Fitted Concentrations_MEDIA.xls]Trying Graphs'!$D$83</c:f>
              <c:strCache>
                <c:ptCount val="1"/>
                <c:pt idx="0">
                  <c:v>-7.371454956</c:v>
                </c:pt>
              </c:strCache>
            </c:strRef>
          </c:tx>
          <c:spPr>
            <a:ln w="28575">
              <a:noFill/>
            </a:ln>
          </c:spPr>
          <c:marker>
            <c:symbol val="diamond"/>
            <c:size val="2"/>
          </c:marker>
          <c:xVal>
            <c:numRef>
              <c:f>'C:\Users\chemuser\Desktop\R&amp;D\Metabolomics\2013 GLU and GLN Calibration Curve\[120717_JLM_GLU&amp;GLN_Fitted Concentrations_MEDIA.xls]Trying Graphs'!$D$60:$D$77</c:f>
              <c:numCache>
                <c:formatCode>General</c:formatCode>
                <c:ptCount val="18"/>
                <c:pt idx="0">
                  <c:v>-1.6197887582883939</c:v>
                </c:pt>
                <c:pt idx="1">
                  <c:v>-1.6197887582883939</c:v>
                </c:pt>
                <c:pt idx="2">
                  <c:v>-2.1426675035687315</c:v>
                </c:pt>
                <c:pt idx="3">
                  <c:v>-2.1426675035687315</c:v>
                </c:pt>
                <c:pt idx="4">
                  <c:v>-2.6655462488490689</c:v>
                </c:pt>
                <c:pt idx="5">
                  <c:v>-2.6655462488490689</c:v>
                </c:pt>
                <c:pt idx="6">
                  <c:v>-3.1884249941294067</c:v>
                </c:pt>
                <c:pt idx="7">
                  <c:v>-3.1884249941294067</c:v>
                </c:pt>
                <c:pt idx="8">
                  <c:v>-3.7113037394097441</c:v>
                </c:pt>
                <c:pt idx="9">
                  <c:v>-3.7113037394097441</c:v>
                </c:pt>
                <c:pt idx="10">
                  <c:v>-4.2341824846900815</c:v>
                </c:pt>
                <c:pt idx="11">
                  <c:v>-4.2341824846900815</c:v>
                </c:pt>
                <c:pt idx="12">
                  <c:v>-4.7570612299704189</c:v>
                </c:pt>
                <c:pt idx="13">
                  <c:v>-4.7570612299704189</c:v>
                </c:pt>
                <c:pt idx="14">
                  <c:v>-5.2799399752507572</c:v>
                </c:pt>
                <c:pt idx="15">
                  <c:v>-5.2799399752507572</c:v>
                </c:pt>
                <c:pt idx="16">
                  <c:v>-5.8028187205310946</c:v>
                </c:pt>
                <c:pt idx="17">
                  <c:v>-5.8028187205310946</c:v>
                </c:pt>
              </c:numCache>
            </c:numRef>
          </c:xVal>
          <c:yVal>
            <c:numRef>
              <c:f>'C:\Users\chemuser\Desktop\R&amp;D\Metabolomics\2013 GLU and GLN Calibration Curve\[120717_JLM_GLU&amp;GLN_Fitted Concentrations_MEDIA.xls]Trying Graphs'!$E$60:$E$77</c:f>
              <c:numCache>
                <c:formatCode>General</c:formatCode>
                <c:ptCount val="18"/>
                <c:pt idx="0">
                  <c:v>8.3472579060823513</c:v>
                </c:pt>
                <c:pt idx="1">
                  <c:v>8.3583869656661633</c:v>
                </c:pt>
                <c:pt idx="2">
                  <c:v>7.826684203608596</c:v>
                </c:pt>
                <c:pt idx="3">
                  <c:v>7.792626804151852</c:v>
                </c:pt>
                <c:pt idx="4">
                  <c:v>7.2188396592557869</c:v>
                </c:pt>
                <c:pt idx="5">
                  <c:v>7.2324388030529407</c:v>
                </c:pt>
                <c:pt idx="6">
                  <c:v>6.2056185169221916</c:v>
                </c:pt>
                <c:pt idx="7">
                  <c:v>6.5752724351750462</c:v>
                </c:pt>
                <c:pt idx="8">
                  <c:v>5.5419352194917062</c:v>
                </c:pt>
                <c:pt idx="9">
                  <c:v>5.4892288565062017</c:v>
                </c:pt>
                <c:pt idx="10">
                  <c:v>4.9357053737884753</c:v>
                </c:pt>
                <c:pt idx="11">
                  <c:v>5.0258809654775458</c:v>
                </c:pt>
                <c:pt idx="12">
                  <c:v>4.4789557432999381</c:v>
                </c:pt>
                <c:pt idx="13">
                  <c:v>4.5808452907166703</c:v>
                </c:pt>
                <c:pt idx="14">
                  <c:v>3.8845784456570907</c:v>
                </c:pt>
                <c:pt idx="15">
                  <c:v>3.5487234568193116</c:v>
                </c:pt>
                <c:pt idx="16">
                  <c:v>2.2995944539249229</c:v>
                </c:pt>
                <c:pt idx="17">
                  <c:v>2.4460864848133355</c:v>
                </c:pt>
              </c:numCache>
            </c:numRef>
          </c:yVal>
          <c:smooth val="0"/>
        </c:ser>
        <c:ser>
          <c:idx val="1"/>
          <c:order val="1"/>
          <c:spPr>
            <a:ln w="28575">
              <a:noFill/>
            </a:ln>
          </c:spPr>
          <c:marker>
            <c:symbol val="none"/>
          </c:marker>
          <c:trendline>
            <c:trendlineType val="linear"/>
            <c:dispRSqr val="1"/>
            <c:dispEq val="1"/>
            <c:trendlineLbl>
              <c:layout>
                <c:manualLayout>
                  <c:x val="-0.27773553318862759"/>
                  <c:y val="-2.6580455411883613E-2"/>
                </c:manualLayout>
              </c:layout>
              <c:tx>
                <c:rich>
                  <a:bodyPr/>
                  <a:lstStyle/>
                  <a:p>
                    <a:pPr>
                      <a:defRPr/>
                    </a:pPr>
                    <a:r>
                      <a:rPr lang="en-US" sz="1400" baseline="0">
                        <a:latin typeface="Times New Roman" pitchFamily="18" charset="0"/>
                        <a:cs typeface="Times New Roman" pitchFamily="18" charset="0"/>
                      </a:rPr>
                      <a:t>y = 1.2855x + 10.5000
R² = 0.9910</a:t>
                    </a:r>
                    <a:endParaRPr lang="en-US" sz="1400">
                      <a:latin typeface="Times New Roman" pitchFamily="18" charset="0"/>
                      <a:cs typeface="Times New Roman" pitchFamily="18" charset="0"/>
                    </a:endParaRPr>
                  </a:p>
                </c:rich>
              </c:tx>
              <c:numFmt formatCode="#,##0.0000" sourceLinked="0"/>
            </c:trendlineLbl>
          </c:trendline>
          <c:xVal>
            <c:numRef>
              <c:f>'C:\Users\chemuser\Desktop\R&amp;D\Metabolomics\2013 GLU and GLN Calibration Curve\[120717_JLM_GLU&amp;GLN_Fitted Concentrations_MEDIA.xls]Trying Graphs'!$D$60:$D$75</c:f>
              <c:numCache>
                <c:formatCode>General</c:formatCode>
                <c:ptCount val="16"/>
                <c:pt idx="0">
                  <c:v>-1.6197887582883939</c:v>
                </c:pt>
                <c:pt idx="1">
                  <c:v>-1.6197887582883939</c:v>
                </c:pt>
                <c:pt idx="2">
                  <c:v>-2.1426675035687315</c:v>
                </c:pt>
                <c:pt idx="3">
                  <c:v>-2.1426675035687315</c:v>
                </c:pt>
                <c:pt idx="4">
                  <c:v>-2.6655462488490689</c:v>
                </c:pt>
                <c:pt idx="5">
                  <c:v>-2.6655462488490689</c:v>
                </c:pt>
                <c:pt idx="6">
                  <c:v>-3.1884249941294067</c:v>
                </c:pt>
                <c:pt idx="7">
                  <c:v>-3.1884249941294067</c:v>
                </c:pt>
                <c:pt idx="8">
                  <c:v>-3.7113037394097441</c:v>
                </c:pt>
                <c:pt idx="9">
                  <c:v>-3.7113037394097441</c:v>
                </c:pt>
                <c:pt idx="10">
                  <c:v>-4.2341824846900815</c:v>
                </c:pt>
                <c:pt idx="11">
                  <c:v>-4.2341824846900815</c:v>
                </c:pt>
                <c:pt idx="12">
                  <c:v>-4.7570612299704189</c:v>
                </c:pt>
                <c:pt idx="13">
                  <c:v>-4.7570612299704189</c:v>
                </c:pt>
                <c:pt idx="14">
                  <c:v>-5.2799399752507572</c:v>
                </c:pt>
                <c:pt idx="15">
                  <c:v>-5.2799399752507572</c:v>
                </c:pt>
              </c:numCache>
            </c:numRef>
          </c:xVal>
          <c:yVal>
            <c:numRef>
              <c:f>'C:\Users\chemuser\Desktop\R&amp;D\Metabolomics\2013 GLU and GLN Calibration Curve\[120717_JLM_GLU&amp;GLN_Fitted Concentrations_MEDIA.xls]Trying Graphs'!$E$60:$E$75</c:f>
              <c:numCache>
                <c:formatCode>General</c:formatCode>
                <c:ptCount val="16"/>
                <c:pt idx="0">
                  <c:v>8.3472579060823513</c:v>
                </c:pt>
                <c:pt idx="1">
                  <c:v>8.3583869656661633</c:v>
                </c:pt>
                <c:pt idx="2">
                  <c:v>7.826684203608596</c:v>
                </c:pt>
                <c:pt idx="3">
                  <c:v>7.792626804151852</c:v>
                </c:pt>
                <c:pt idx="4">
                  <c:v>7.2188396592557869</c:v>
                </c:pt>
                <c:pt idx="5">
                  <c:v>7.2324388030529407</c:v>
                </c:pt>
                <c:pt idx="6">
                  <c:v>6.2056185169221916</c:v>
                </c:pt>
                <c:pt idx="7">
                  <c:v>6.5752724351750462</c:v>
                </c:pt>
                <c:pt idx="8">
                  <c:v>5.5419352194917062</c:v>
                </c:pt>
                <c:pt idx="9">
                  <c:v>5.4892288565062017</c:v>
                </c:pt>
                <c:pt idx="10">
                  <c:v>4.9357053737884753</c:v>
                </c:pt>
                <c:pt idx="11">
                  <c:v>5.0258809654775458</c:v>
                </c:pt>
                <c:pt idx="12">
                  <c:v>4.4789557432999381</c:v>
                </c:pt>
                <c:pt idx="13">
                  <c:v>4.5808452907166703</c:v>
                </c:pt>
                <c:pt idx="14">
                  <c:v>3.8845784456570907</c:v>
                </c:pt>
                <c:pt idx="15">
                  <c:v>3.5487234568193116</c:v>
                </c:pt>
              </c:numCache>
            </c:numRef>
          </c:yVal>
          <c:smooth val="0"/>
        </c:ser>
        <c:dLbls>
          <c:showLegendKey val="0"/>
          <c:showVal val="0"/>
          <c:showCatName val="0"/>
          <c:showSerName val="0"/>
          <c:showPercent val="0"/>
          <c:showBubbleSize val="0"/>
        </c:dLbls>
        <c:axId val="68736512"/>
        <c:axId val="68738432"/>
      </c:scatterChart>
      <c:valAx>
        <c:axId val="68736512"/>
        <c:scaling>
          <c:orientation val="minMax"/>
          <c:max val="0"/>
          <c:min val="-6"/>
        </c:scaling>
        <c:delete val="0"/>
        <c:axPos val="b"/>
        <c:title>
          <c:tx>
            <c:rich>
              <a:bodyPr/>
              <a:lstStyle/>
              <a:p>
                <a:pPr>
                  <a:defRPr/>
                </a:pPr>
                <a:r>
                  <a:rPr lang="en-US" sz="1200">
                    <a:latin typeface="Times New Roman" pitchFamily="18" charset="0"/>
                    <a:cs typeface="Times New Roman" pitchFamily="18" charset="0"/>
                  </a:rPr>
                  <a:t>Log</a:t>
                </a:r>
                <a:r>
                  <a:rPr lang="en-US" sz="1200" baseline="-25000">
                    <a:latin typeface="Times New Roman" pitchFamily="18" charset="0"/>
                    <a:cs typeface="Times New Roman" pitchFamily="18" charset="0"/>
                  </a:rPr>
                  <a:t>10 </a:t>
                </a:r>
                <a:r>
                  <a:rPr lang="en-US" sz="1200" baseline="0">
                    <a:latin typeface="Times New Roman" pitchFamily="18" charset="0"/>
                    <a:cs typeface="Times New Roman" pitchFamily="18" charset="0"/>
                  </a:rPr>
                  <a:t>(M)</a:t>
                </a:r>
                <a:endParaRPr lang="en-US" sz="1200">
                  <a:latin typeface="Times New Roman" pitchFamily="18" charset="0"/>
                  <a:cs typeface="Times New Roman" pitchFamily="18" charset="0"/>
                </a:endParaRPr>
              </a:p>
            </c:rich>
          </c:tx>
          <c:overlay val="0"/>
        </c:title>
        <c:numFmt formatCode="#,##0.00" sourceLinked="0"/>
        <c:majorTickMark val="out"/>
        <c:minorTickMark val="none"/>
        <c:tickLblPos val="nextTo"/>
        <c:spPr>
          <a:ln>
            <a:solidFill>
              <a:schemeClr val="tx1"/>
            </a:solidFill>
          </a:ln>
        </c:spPr>
        <c:txPr>
          <a:bodyPr rot="0" vert="horz"/>
          <a:lstStyle/>
          <a:p>
            <a:pPr>
              <a:defRPr sz="1000" b="0" i="0" u="none" strike="noStrike" baseline="0">
                <a:solidFill>
                  <a:srgbClr val="000000"/>
                </a:solidFill>
                <a:latin typeface="Calibri"/>
                <a:ea typeface="Calibri"/>
                <a:cs typeface="Calibri"/>
              </a:defRPr>
            </a:pPr>
            <a:endParaRPr lang="en-US"/>
          </a:p>
        </c:txPr>
        <c:crossAx val="68738432"/>
        <c:crosses val="autoZero"/>
        <c:crossBetween val="midCat"/>
        <c:majorUnit val="1"/>
        <c:minorUnit val="0.2"/>
      </c:valAx>
      <c:valAx>
        <c:axId val="68738432"/>
        <c:scaling>
          <c:orientation val="minMax"/>
          <c:max val="10"/>
          <c:min val="0"/>
        </c:scaling>
        <c:delete val="0"/>
        <c:axPos val="l"/>
        <c:title>
          <c:tx>
            <c:rich>
              <a:bodyPr rot="-5400000" vert="horz"/>
              <a:lstStyle/>
              <a:p>
                <a:pPr>
                  <a:defRPr/>
                </a:pPr>
                <a:r>
                  <a:rPr lang="en-US" sz="1200">
                    <a:latin typeface="Times New Roman" pitchFamily="18" charset="0"/>
                    <a:cs typeface="Times New Roman" pitchFamily="18" charset="0"/>
                  </a:rPr>
                  <a:t>Log</a:t>
                </a:r>
                <a:r>
                  <a:rPr lang="en-US" sz="1200" baseline="-25000">
                    <a:latin typeface="Times New Roman" pitchFamily="18" charset="0"/>
                    <a:cs typeface="Times New Roman" pitchFamily="18" charset="0"/>
                  </a:rPr>
                  <a:t>10</a:t>
                </a:r>
                <a:r>
                  <a:rPr lang="en-US" sz="1200">
                    <a:latin typeface="Times New Roman" pitchFamily="18" charset="0"/>
                    <a:cs typeface="Times New Roman" pitchFamily="18" charset="0"/>
                  </a:rPr>
                  <a:t> (Area)</a:t>
                </a:r>
              </a:p>
            </c:rich>
          </c:tx>
          <c:layout>
            <c:manualLayout>
              <c:xMode val="edge"/>
              <c:yMode val="edge"/>
              <c:x val="0.95413917189481068"/>
              <c:y val="0.39199104075944846"/>
            </c:manualLayout>
          </c:layout>
          <c:overlay val="0"/>
        </c:title>
        <c:numFmt formatCode="#,##0.00" sourceLinked="0"/>
        <c:majorTickMark val="in"/>
        <c:minorTickMark val="none"/>
        <c:tickLblPos val="high"/>
        <c:spPr>
          <a:ln>
            <a:solidFill>
              <a:schemeClr val="tx1"/>
            </a:solidFill>
          </a:ln>
        </c:spPr>
        <c:crossAx val="68736512"/>
        <c:crosses val="autoZero"/>
        <c:crossBetween val="midCat"/>
        <c:majorUnit val="2"/>
        <c:minorUnit val="0.2"/>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7093817220215897E-2"/>
          <c:y val="0.11121322071834711"/>
          <c:w val="0.85161665421422894"/>
          <c:h val="0.76681551517341418"/>
        </c:manualLayout>
      </c:layout>
      <c:scatterChart>
        <c:scatterStyle val="lineMarker"/>
        <c:varyColors val="0"/>
        <c:ser>
          <c:idx val="1"/>
          <c:order val="0"/>
          <c:spPr>
            <a:ln w="28575">
              <a:noFill/>
            </a:ln>
          </c:spPr>
          <c:marker>
            <c:symbol val="none"/>
          </c:marker>
          <c:trendline>
            <c:trendlineType val="linear"/>
            <c:dispRSqr val="1"/>
            <c:dispEq val="1"/>
            <c:trendlineLbl>
              <c:layout>
                <c:manualLayout>
                  <c:x val="-0.1491392839216045"/>
                  <c:y val="-1.8696496589933907E-2"/>
                </c:manualLayout>
              </c:layout>
              <c:tx>
                <c:rich>
                  <a:bodyPr/>
                  <a:lstStyle/>
                  <a:p>
                    <a:pPr>
                      <a:defRPr/>
                    </a:pPr>
                    <a:r>
                      <a:rPr lang="en-US" sz="1400" baseline="0">
                        <a:latin typeface="Times New Roman" pitchFamily="18" charset="0"/>
                        <a:cs typeface="Times New Roman" pitchFamily="18" charset="0"/>
                      </a:rPr>
                      <a:t>y = 0.9582x + 12.788
R² = 0.9916</a:t>
                    </a:r>
                    <a:endParaRPr lang="en-US" sz="1400">
                      <a:latin typeface="Times New Roman" pitchFamily="18" charset="0"/>
                      <a:cs typeface="Times New Roman" pitchFamily="18" charset="0"/>
                    </a:endParaRPr>
                  </a:p>
                </c:rich>
              </c:tx>
              <c:numFmt formatCode="#,##0.0000" sourceLinked="0"/>
            </c:trendlineLbl>
          </c:trendline>
          <c:xVal>
            <c:numRef>
              <c:f>'C:\Users\chemuser\Desktop\R&amp;D\Lipidomics\[GPC_Calibration_Curve.xls]GPC Cal Curve'!$D$14:$D$46</c:f>
              <c:numCache>
                <c:formatCode>General</c:formatCode>
                <c:ptCount val="33"/>
                <c:pt idx="0">
                  <c:v>-3.927256564073875</c:v>
                </c:pt>
                <c:pt idx="1">
                  <c:v>-3.927256564073875</c:v>
                </c:pt>
                <c:pt idx="2">
                  <c:v>-3.927256564073875</c:v>
                </c:pt>
                <c:pt idx="3">
                  <c:v>-4.4275694814554711</c:v>
                </c:pt>
                <c:pt idx="4">
                  <c:v>-4.4275694814554711</c:v>
                </c:pt>
                <c:pt idx="5">
                  <c:v>-4.4275694814554711</c:v>
                </c:pt>
                <c:pt idx="6">
                  <c:v>-4.9278823988370677</c:v>
                </c:pt>
                <c:pt idx="7">
                  <c:v>-4.9278823988370677</c:v>
                </c:pt>
                <c:pt idx="8">
                  <c:v>-4.9278823988370677</c:v>
                </c:pt>
                <c:pt idx="9">
                  <c:v>-5.4281953162186634</c:v>
                </c:pt>
                <c:pt idx="10">
                  <c:v>-5.4281953162186634</c:v>
                </c:pt>
                <c:pt idx="11">
                  <c:v>-5.4281953162186634</c:v>
                </c:pt>
                <c:pt idx="12">
                  <c:v>-5.9285082336002599</c:v>
                </c:pt>
                <c:pt idx="13">
                  <c:v>-5.9285082336002599</c:v>
                </c:pt>
                <c:pt idx="14">
                  <c:v>-5.9285082336002599</c:v>
                </c:pt>
                <c:pt idx="15">
                  <c:v>-6.4288211509818565</c:v>
                </c:pt>
                <c:pt idx="16">
                  <c:v>-6.4288211509818565</c:v>
                </c:pt>
                <c:pt idx="17">
                  <c:v>-6.4288211509818565</c:v>
                </c:pt>
                <c:pt idx="18">
                  <c:v>-6.9291340683634521</c:v>
                </c:pt>
                <c:pt idx="19">
                  <c:v>-6.9291340683634521</c:v>
                </c:pt>
                <c:pt idx="20">
                  <c:v>-6.9291340683634521</c:v>
                </c:pt>
                <c:pt idx="21">
                  <c:v>-7.4294469857450487</c:v>
                </c:pt>
                <c:pt idx="22">
                  <c:v>-7.4294469857450487</c:v>
                </c:pt>
                <c:pt idx="23">
                  <c:v>-7.4294469857450487</c:v>
                </c:pt>
                <c:pt idx="24">
                  <c:v>-7.9297599031266444</c:v>
                </c:pt>
                <c:pt idx="25">
                  <c:v>-7.9297599031266444</c:v>
                </c:pt>
                <c:pt idx="26">
                  <c:v>-7.9297599031266444</c:v>
                </c:pt>
                <c:pt idx="27">
                  <c:v>-8.43007282050824</c:v>
                </c:pt>
                <c:pt idx="28">
                  <c:v>-8.43007282050824</c:v>
                </c:pt>
                <c:pt idx="29">
                  <c:v>-8.43007282050824</c:v>
                </c:pt>
                <c:pt idx="30">
                  <c:v>-8.9303857378898375</c:v>
                </c:pt>
                <c:pt idx="31">
                  <c:v>-8.9303857378898375</c:v>
                </c:pt>
                <c:pt idx="32">
                  <c:v>-8.9303857378898375</c:v>
                </c:pt>
              </c:numCache>
            </c:numRef>
          </c:xVal>
          <c:yVal>
            <c:numRef>
              <c:f>'C:\Users\chemuser\Desktop\R&amp;D\Lipidomics\[GPC_Calibration_Curve.xls]GPC Cal Curve'!$E$14:$E$46</c:f>
              <c:numCache>
                <c:formatCode>General</c:formatCode>
                <c:ptCount val="33"/>
                <c:pt idx="0">
                  <c:v>8.8046557404122154</c:v>
                </c:pt>
                <c:pt idx="1">
                  <c:v>8.7979255463538593</c:v>
                </c:pt>
                <c:pt idx="2">
                  <c:v>8.7982426646748806</c:v>
                </c:pt>
                <c:pt idx="3">
                  <c:v>8.5423683592909061</c:v>
                </c:pt>
                <c:pt idx="4">
                  <c:v>8.5153634909933515</c:v>
                </c:pt>
                <c:pt idx="5">
                  <c:v>8.554829997059846</c:v>
                </c:pt>
                <c:pt idx="6">
                  <c:v>8.1472235255459076</c:v>
                </c:pt>
                <c:pt idx="7">
                  <c:v>8.1762322946820269</c:v>
                </c:pt>
                <c:pt idx="8">
                  <c:v>8.1913034549809289</c:v>
                </c:pt>
                <c:pt idx="9">
                  <c:v>7.7446910015351245</c:v>
                </c:pt>
                <c:pt idx="10">
                  <c:v>7.7947389508577727</c:v>
                </c:pt>
                <c:pt idx="11">
                  <c:v>7.7465536114667524</c:v>
                </c:pt>
                <c:pt idx="12">
                  <c:v>7.2368524841544186</c:v>
                </c:pt>
                <c:pt idx="13">
                  <c:v>7.241294173119603</c:v>
                </c:pt>
                <c:pt idx="14">
                  <c:v>7.2113784993907757</c:v>
                </c:pt>
                <c:pt idx="15">
                  <c:v>6.6691596375009512</c:v>
                </c:pt>
                <c:pt idx="16">
                  <c:v>6.6525016059770667</c:v>
                </c:pt>
                <c:pt idx="17">
                  <c:v>6.723852995289807</c:v>
                </c:pt>
                <c:pt idx="18">
                  <c:v>6.2081696035730625</c:v>
                </c:pt>
                <c:pt idx="19">
                  <c:v>6.1831936945051478</c:v>
                </c:pt>
                <c:pt idx="20">
                  <c:v>6.1696118447169175</c:v>
                </c:pt>
                <c:pt idx="21">
                  <c:v>5.3775304086661881</c:v>
                </c:pt>
                <c:pt idx="22">
                  <c:v>5.3772614165929582</c:v>
                </c:pt>
                <c:pt idx="23">
                  <c:v>5.5944958515522485</c:v>
                </c:pt>
                <c:pt idx="24">
                  <c:v>5.1454863881506894</c:v>
                </c:pt>
                <c:pt idx="25">
                  <c:v>5.1446012295367058</c:v>
                </c:pt>
                <c:pt idx="26">
                  <c:v>5.0981823673854922</c:v>
                </c:pt>
                <c:pt idx="27">
                  <c:v>4.4684064140775641</c:v>
                </c:pt>
                <c:pt idx="28">
                  <c:v>4.648177080806394</c:v>
                </c:pt>
                <c:pt idx="29">
                  <c:v>4.7303460669906485</c:v>
                </c:pt>
                <c:pt idx="30">
                  <c:v>4.2927100705502541</c:v>
                </c:pt>
                <c:pt idx="31">
                  <c:v>4.3611262048661521</c:v>
                </c:pt>
                <c:pt idx="32">
                  <c:v>4.3968753782094394</c:v>
                </c:pt>
              </c:numCache>
            </c:numRef>
          </c:yVal>
          <c:smooth val="0"/>
        </c:ser>
        <c:ser>
          <c:idx val="0"/>
          <c:order val="1"/>
          <c:spPr>
            <a:ln w="28575">
              <a:noFill/>
            </a:ln>
          </c:spPr>
          <c:marker>
            <c:symbol val="diamond"/>
            <c:size val="2"/>
          </c:marker>
          <c:xVal>
            <c:numRef>
              <c:f>'C:\Users\chemuser\Desktop\R&amp;D\Lipidomics\[GPC_Calibration_Curve.xls]GPC Cal Curve'!$D$2:$D$46</c:f>
              <c:numCache>
                <c:formatCode>General</c:formatCode>
                <c:ptCount val="45"/>
                <c:pt idx="0">
                  <c:v>-1.9260048945474906</c:v>
                </c:pt>
                <c:pt idx="1">
                  <c:v>-1.9260048945474906</c:v>
                </c:pt>
                <c:pt idx="2">
                  <c:v>-1.9260048945474906</c:v>
                </c:pt>
                <c:pt idx="3">
                  <c:v>-2.4263178119290867</c:v>
                </c:pt>
                <c:pt idx="4">
                  <c:v>-2.4263178119290867</c:v>
                </c:pt>
                <c:pt idx="5">
                  <c:v>-2.4263178119290867</c:v>
                </c:pt>
                <c:pt idx="6">
                  <c:v>-2.9266307293106828</c:v>
                </c:pt>
                <c:pt idx="7">
                  <c:v>-2.9266307293106828</c:v>
                </c:pt>
                <c:pt idx="8">
                  <c:v>-2.9266307293106828</c:v>
                </c:pt>
                <c:pt idx="9">
                  <c:v>-3.4269436466922789</c:v>
                </c:pt>
                <c:pt idx="10">
                  <c:v>-3.4269436466922789</c:v>
                </c:pt>
                <c:pt idx="11">
                  <c:v>-3.4269436466922789</c:v>
                </c:pt>
                <c:pt idx="12">
                  <c:v>-3.927256564073875</c:v>
                </c:pt>
                <c:pt idx="13">
                  <c:v>-3.927256564073875</c:v>
                </c:pt>
                <c:pt idx="14">
                  <c:v>-3.927256564073875</c:v>
                </c:pt>
                <c:pt idx="15">
                  <c:v>-4.4275694814554711</c:v>
                </c:pt>
                <c:pt idx="16">
                  <c:v>-4.4275694814554711</c:v>
                </c:pt>
                <c:pt idx="17">
                  <c:v>-4.4275694814554711</c:v>
                </c:pt>
                <c:pt idx="18">
                  <c:v>-4.9278823988370677</c:v>
                </c:pt>
                <c:pt idx="19">
                  <c:v>-4.9278823988370677</c:v>
                </c:pt>
                <c:pt idx="20">
                  <c:v>-4.9278823988370677</c:v>
                </c:pt>
                <c:pt idx="21">
                  <c:v>-5.4281953162186634</c:v>
                </c:pt>
                <c:pt idx="22">
                  <c:v>-5.4281953162186634</c:v>
                </c:pt>
                <c:pt idx="23">
                  <c:v>-5.4281953162186634</c:v>
                </c:pt>
                <c:pt idx="24">
                  <c:v>-5.9285082336002599</c:v>
                </c:pt>
                <c:pt idx="25">
                  <c:v>-5.9285082336002599</c:v>
                </c:pt>
                <c:pt idx="26">
                  <c:v>-5.9285082336002599</c:v>
                </c:pt>
                <c:pt idx="27">
                  <c:v>-6.4288211509818565</c:v>
                </c:pt>
                <c:pt idx="28">
                  <c:v>-6.4288211509818565</c:v>
                </c:pt>
                <c:pt idx="29">
                  <c:v>-6.4288211509818565</c:v>
                </c:pt>
                <c:pt idx="30">
                  <c:v>-6.9291340683634521</c:v>
                </c:pt>
                <c:pt idx="31">
                  <c:v>-6.9291340683634521</c:v>
                </c:pt>
                <c:pt idx="32">
                  <c:v>-6.9291340683634521</c:v>
                </c:pt>
                <c:pt idx="33">
                  <c:v>-7.4294469857450487</c:v>
                </c:pt>
                <c:pt idx="34">
                  <c:v>-7.4294469857450487</c:v>
                </c:pt>
                <c:pt idx="35">
                  <c:v>-7.4294469857450487</c:v>
                </c:pt>
                <c:pt idx="36">
                  <c:v>-7.9297599031266444</c:v>
                </c:pt>
                <c:pt idx="37">
                  <c:v>-7.9297599031266444</c:v>
                </c:pt>
                <c:pt idx="38">
                  <c:v>-7.9297599031266444</c:v>
                </c:pt>
                <c:pt idx="39">
                  <c:v>-8.43007282050824</c:v>
                </c:pt>
                <c:pt idx="40">
                  <c:v>-8.43007282050824</c:v>
                </c:pt>
                <c:pt idx="41">
                  <c:v>-8.43007282050824</c:v>
                </c:pt>
                <c:pt idx="42">
                  <c:v>-8.9303857378898375</c:v>
                </c:pt>
                <c:pt idx="43">
                  <c:v>-8.9303857378898375</c:v>
                </c:pt>
                <c:pt idx="44">
                  <c:v>-8.9303857378898375</c:v>
                </c:pt>
              </c:numCache>
            </c:numRef>
          </c:xVal>
          <c:yVal>
            <c:numRef>
              <c:f>'C:\Users\chemuser\Desktop\R&amp;D\Lipidomics\[GPC_Calibration_Curve.xls]GPC Cal Curve'!$E$2:$E$46</c:f>
              <c:numCache>
                <c:formatCode>General</c:formatCode>
                <c:ptCount val="45"/>
                <c:pt idx="0">
                  <c:v>9.588720433459633</c:v>
                </c:pt>
                <c:pt idx="1">
                  <c:v>9.5946027882862417</c:v>
                </c:pt>
                <c:pt idx="2">
                  <c:v>9.5859554668472615</c:v>
                </c:pt>
                <c:pt idx="3">
                  <c:v>9.435727022102153</c:v>
                </c:pt>
                <c:pt idx="4">
                  <c:v>9.4377139796996516</c:v>
                </c:pt>
                <c:pt idx="5">
                  <c:v>9.4506293162862587</c:v>
                </c:pt>
                <c:pt idx="6">
                  <c:v>9.2688232286591568</c:v>
                </c:pt>
                <c:pt idx="7">
                  <c:v>9.2788049820432015</c:v>
                </c:pt>
                <c:pt idx="8">
                  <c:v>9.2759389107878416</c:v>
                </c:pt>
                <c:pt idx="9">
                  <c:v>9.067279288379531</c:v>
                </c:pt>
                <c:pt idx="10">
                  <c:v>9.0746750341620963</c:v>
                </c:pt>
                <c:pt idx="11">
                  <c:v>9.0519520006924044</c:v>
                </c:pt>
                <c:pt idx="12">
                  <c:v>8.8046557404122154</c:v>
                </c:pt>
                <c:pt idx="13">
                  <c:v>8.7979255463538593</c:v>
                </c:pt>
                <c:pt idx="14">
                  <c:v>8.7982426646748806</c:v>
                </c:pt>
                <c:pt idx="15">
                  <c:v>8.5423683592909061</c:v>
                </c:pt>
                <c:pt idx="16">
                  <c:v>8.5153634909933515</c:v>
                </c:pt>
                <c:pt idx="17">
                  <c:v>8.554829997059846</c:v>
                </c:pt>
                <c:pt idx="18">
                  <c:v>8.1472235255459076</c:v>
                </c:pt>
                <c:pt idx="19">
                  <c:v>8.1762322946820269</c:v>
                </c:pt>
                <c:pt idx="20">
                  <c:v>8.1913034549809289</c:v>
                </c:pt>
                <c:pt idx="21">
                  <c:v>7.7446910015351245</c:v>
                </c:pt>
                <c:pt idx="22">
                  <c:v>7.7947389508577727</c:v>
                </c:pt>
                <c:pt idx="23">
                  <c:v>7.7465536114667524</c:v>
                </c:pt>
                <c:pt idx="24">
                  <c:v>7.2368524841544186</c:v>
                </c:pt>
                <c:pt idx="25">
                  <c:v>7.241294173119603</c:v>
                </c:pt>
                <c:pt idx="26">
                  <c:v>7.2113784993907757</c:v>
                </c:pt>
                <c:pt idx="27">
                  <c:v>6.6691596375009512</c:v>
                </c:pt>
                <c:pt idx="28">
                  <c:v>6.6525016059770667</c:v>
                </c:pt>
                <c:pt idx="29">
                  <c:v>6.723852995289807</c:v>
                </c:pt>
                <c:pt idx="30">
                  <c:v>6.2081696035730625</c:v>
                </c:pt>
                <c:pt idx="31">
                  <c:v>6.1831936945051478</c:v>
                </c:pt>
                <c:pt idx="32">
                  <c:v>6.1696118447169175</c:v>
                </c:pt>
                <c:pt idx="33">
                  <c:v>5.3775304086661881</c:v>
                </c:pt>
                <c:pt idx="34">
                  <c:v>5.3772614165929582</c:v>
                </c:pt>
                <c:pt idx="35">
                  <c:v>5.5944958515522485</c:v>
                </c:pt>
                <c:pt idx="36">
                  <c:v>5.1454863881506894</c:v>
                </c:pt>
                <c:pt idx="37">
                  <c:v>5.1446012295367058</c:v>
                </c:pt>
                <c:pt idx="38">
                  <c:v>5.0981823673854922</c:v>
                </c:pt>
                <c:pt idx="39">
                  <c:v>4.4684064140775641</c:v>
                </c:pt>
                <c:pt idx="40">
                  <c:v>4.648177080806394</c:v>
                </c:pt>
                <c:pt idx="41">
                  <c:v>4.7303460669906485</c:v>
                </c:pt>
                <c:pt idx="42">
                  <c:v>4.2927100705502541</c:v>
                </c:pt>
                <c:pt idx="43">
                  <c:v>4.3611262048661521</c:v>
                </c:pt>
                <c:pt idx="44">
                  <c:v>4.3968753782094394</c:v>
                </c:pt>
              </c:numCache>
            </c:numRef>
          </c:yVal>
          <c:smooth val="0"/>
        </c:ser>
        <c:dLbls>
          <c:showLegendKey val="0"/>
          <c:showVal val="0"/>
          <c:showCatName val="0"/>
          <c:showSerName val="0"/>
          <c:showPercent val="0"/>
          <c:showBubbleSize val="0"/>
        </c:dLbls>
        <c:axId val="80438784"/>
        <c:axId val="80440704"/>
      </c:scatterChart>
      <c:valAx>
        <c:axId val="80438784"/>
        <c:scaling>
          <c:orientation val="minMax"/>
          <c:max val="0"/>
          <c:min val="-9"/>
        </c:scaling>
        <c:delete val="0"/>
        <c:axPos val="b"/>
        <c:title>
          <c:tx>
            <c:rich>
              <a:bodyPr/>
              <a:lstStyle/>
              <a:p>
                <a:pPr algn="ctr">
                  <a:defRPr/>
                </a:pPr>
                <a:r>
                  <a:rPr lang="en-US" sz="1200" b="1">
                    <a:latin typeface="Times New Roman" pitchFamily="18" charset="0"/>
                    <a:cs typeface="Times New Roman" pitchFamily="18" charset="0"/>
                  </a:rPr>
                  <a:t>Log</a:t>
                </a:r>
                <a:r>
                  <a:rPr lang="en-US" sz="1200" b="1" baseline="-25000">
                    <a:latin typeface="Times New Roman" pitchFamily="18" charset="0"/>
                    <a:cs typeface="Times New Roman" pitchFamily="18" charset="0"/>
                  </a:rPr>
                  <a:t>10 </a:t>
                </a:r>
                <a:r>
                  <a:rPr lang="en-US" sz="1200" b="1" baseline="0">
                    <a:latin typeface="Times New Roman" pitchFamily="18" charset="0"/>
                    <a:cs typeface="Times New Roman" pitchFamily="18" charset="0"/>
                  </a:rPr>
                  <a:t>(M)</a:t>
                </a:r>
                <a:endParaRPr lang="en-US" sz="1200" b="1">
                  <a:latin typeface="Times New Roman" pitchFamily="18" charset="0"/>
                  <a:cs typeface="Times New Roman" pitchFamily="18" charset="0"/>
                </a:endParaRPr>
              </a:p>
            </c:rich>
          </c:tx>
          <c:overlay val="0"/>
        </c:title>
        <c:numFmt formatCode="#,##0.00" sourceLinked="0"/>
        <c:majorTickMark val="out"/>
        <c:minorTickMark val="none"/>
        <c:tickLblPos val="nextTo"/>
        <c:spPr>
          <a:ln>
            <a:solidFill>
              <a:schemeClr val="tx1"/>
            </a:solidFill>
          </a:ln>
        </c:spPr>
        <c:txPr>
          <a:bodyPr rot="0" vert="horz"/>
          <a:lstStyle/>
          <a:p>
            <a:pPr>
              <a:defRPr sz="1000" b="0" i="0" u="none" strike="noStrike" baseline="0">
                <a:solidFill>
                  <a:srgbClr val="000000"/>
                </a:solidFill>
                <a:latin typeface="Calibri"/>
                <a:ea typeface="Calibri"/>
                <a:cs typeface="Calibri"/>
              </a:defRPr>
            </a:pPr>
            <a:endParaRPr lang="en-US"/>
          </a:p>
        </c:txPr>
        <c:crossAx val="80440704"/>
        <c:crosses val="autoZero"/>
        <c:crossBetween val="midCat"/>
        <c:majorUnit val="1"/>
        <c:minorUnit val="0.2"/>
      </c:valAx>
      <c:valAx>
        <c:axId val="80440704"/>
        <c:scaling>
          <c:orientation val="minMax"/>
          <c:max val="10"/>
          <c:min val="0"/>
        </c:scaling>
        <c:delete val="0"/>
        <c:axPos val="l"/>
        <c:title>
          <c:tx>
            <c:rich>
              <a:bodyPr rot="-5400000" vert="horz"/>
              <a:lstStyle/>
              <a:p>
                <a:pPr>
                  <a:defRPr/>
                </a:pPr>
                <a:r>
                  <a:rPr lang="en-US" sz="1200" b="1">
                    <a:latin typeface="Times New Roman" pitchFamily="18" charset="0"/>
                    <a:cs typeface="Times New Roman" pitchFamily="18" charset="0"/>
                  </a:rPr>
                  <a:t>Log</a:t>
                </a:r>
                <a:r>
                  <a:rPr lang="en-US" sz="1200" b="1" baseline="-25000">
                    <a:latin typeface="Times New Roman" pitchFamily="18" charset="0"/>
                    <a:cs typeface="Times New Roman" pitchFamily="18" charset="0"/>
                  </a:rPr>
                  <a:t>10 </a:t>
                </a:r>
                <a:r>
                  <a:rPr lang="en-US" sz="1200" b="1" baseline="0">
                    <a:latin typeface="Times New Roman" pitchFamily="18" charset="0"/>
                    <a:cs typeface="Times New Roman" pitchFamily="18" charset="0"/>
                  </a:rPr>
                  <a:t>(Area)</a:t>
                </a:r>
              </a:p>
            </c:rich>
          </c:tx>
          <c:layout>
            <c:manualLayout>
              <c:xMode val="edge"/>
              <c:yMode val="edge"/>
              <c:x val="0.95408819582167936"/>
              <c:y val="0.39255877910098713"/>
            </c:manualLayout>
          </c:layout>
          <c:overlay val="0"/>
        </c:title>
        <c:numFmt formatCode="#,##0.00" sourceLinked="0"/>
        <c:majorTickMark val="in"/>
        <c:minorTickMark val="none"/>
        <c:tickLblPos val="high"/>
        <c:spPr>
          <a:noFill/>
          <a:ln>
            <a:solidFill>
              <a:schemeClr val="tx1"/>
            </a:solidFill>
          </a:ln>
        </c:spPr>
        <c:crossAx val="80438784"/>
        <c:crosses val="autoZero"/>
        <c:crossBetween val="midCat"/>
        <c:majorUnit val="2"/>
        <c:minorUnit val="0.4"/>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1181</TotalTime>
  <Pages>180</Pages>
  <Words>49102</Words>
  <Characters>279886</Characters>
  <Application>Microsoft Office Word</Application>
  <DocSecurity>0</DocSecurity>
  <Lines>2332</Lines>
  <Paragraphs>656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328332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chemuser</dc:creator>
  <cp:keywords/>
  <dc:description/>
  <cp:lastModifiedBy>chemuser</cp:lastModifiedBy>
  <cp:revision>131</cp:revision>
  <cp:lastPrinted>2013-03-26T02:08:00Z</cp:lastPrinted>
  <dcterms:created xsi:type="dcterms:W3CDTF">2013-03-20T08:53:00Z</dcterms:created>
  <dcterms:modified xsi:type="dcterms:W3CDTF">2013-04-16T16:30:00Z</dcterms:modified>
</cp:coreProperties>
</file>